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88838" w14:textId="77777777" w:rsidR="0025489E" w:rsidRDefault="0025489E" w:rsidP="0025489E">
      <w:r>
        <w:rPr>
          <w:noProof/>
        </w:rPr>
        <w:drawing>
          <wp:anchor distT="0" distB="0" distL="114300" distR="114300" simplePos="0" relativeHeight="251659264" behindDoc="1" locked="0" layoutInCell="1" allowOverlap="1" wp14:anchorId="632CCAB6" wp14:editId="486983C1">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5">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CEE8EBA" w14:textId="77777777" w:rsidR="0025489E" w:rsidRDefault="0025489E" w:rsidP="0025489E"/>
    <w:p w14:paraId="66E67339" w14:textId="77777777" w:rsidR="0025489E" w:rsidRDefault="0025489E" w:rsidP="0025489E"/>
    <w:p w14:paraId="31DF4313" w14:textId="77777777" w:rsidR="0025489E" w:rsidRDefault="0025489E" w:rsidP="0025489E"/>
    <w:p w14:paraId="5D1D02EC" w14:textId="77777777" w:rsidR="0025489E" w:rsidRDefault="0025489E" w:rsidP="0025489E">
      <w:pPr>
        <w:ind w:right="1229"/>
      </w:pPr>
    </w:p>
    <w:p w14:paraId="47BBDAEA" w14:textId="6930513C" w:rsidR="0025489E" w:rsidRPr="00063B4C" w:rsidRDefault="0025489E" w:rsidP="00F47A60">
      <w:pPr>
        <w:ind w:right="1229"/>
        <w:jc w:val="center"/>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298CD501" w14:textId="77777777" w:rsidR="0025489E" w:rsidRPr="00063B4C" w:rsidRDefault="0025489E" w:rsidP="0025489E">
      <w:pPr>
        <w:pStyle w:val="BodyText"/>
        <w:jc w:val="center"/>
        <w:rPr>
          <w:rFonts w:ascii="Aptos" w:hAnsi="Aptos" w:cs="Arial"/>
          <w:sz w:val="20"/>
        </w:rPr>
      </w:pPr>
    </w:p>
    <w:p w14:paraId="35383DD7" w14:textId="7F1524C3" w:rsidR="00F47A60" w:rsidRPr="00F47A60" w:rsidRDefault="0025489E" w:rsidP="00F47A60">
      <w:pPr>
        <w:spacing w:line="813" w:lineRule="exact"/>
        <w:jc w:val="center"/>
        <w:rPr>
          <w:rFonts w:cs="Arial"/>
          <w:sz w:val="60"/>
          <w:szCs w:val="60"/>
        </w:rPr>
      </w:pPr>
      <w:r w:rsidRPr="00063B4C">
        <w:rPr>
          <w:rFonts w:cs="Arial"/>
          <w:sz w:val="60"/>
          <w:szCs w:val="60"/>
        </w:rPr>
        <w:t>BSc (Hons) Health and Social Care</w:t>
      </w:r>
      <w:r w:rsidRPr="00063B4C">
        <w:rPr>
          <w:rFonts w:cs="Arial"/>
          <w:sz w:val="60"/>
          <w:szCs w:val="60"/>
        </w:rPr>
        <w:br/>
      </w:r>
    </w:p>
    <w:p w14:paraId="49A9309B" w14:textId="77777777" w:rsidR="00F47A60" w:rsidRPr="008F39D4" w:rsidRDefault="00F47A60" w:rsidP="00F47A60">
      <w:pPr>
        <w:spacing w:line="360" w:lineRule="auto"/>
        <w:jc w:val="center"/>
        <w:rPr>
          <w:rFonts w:ascii="Aptos" w:hAnsi="Aptos" w:cs="Arial"/>
          <w:b/>
          <w:bCs/>
          <w:kern w:val="0"/>
          <w:sz w:val="32"/>
          <w:szCs w:val="32"/>
          <w14:ligatures w14:val="none"/>
        </w:rPr>
      </w:pPr>
      <w:r w:rsidRPr="008F39D4">
        <w:rPr>
          <w:rFonts w:ascii="Aptos" w:hAnsi="Aptos" w:cs="Arial"/>
          <w:b/>
          <w:bCs/>
          <w:kern w:val="0"/>
          <w:sz w:val="32"/>
          <w:szCs w:val="32"/>
          <w14:ligatures w14:val="none"/>
        </w:rPr>
        <w:t>Assignment Title:</w:t>
      </w:r>
      <w:r w:rsidRPr="008F39D4">
        <w:rPr>
          <w:rFonts w:ascii="Times New Roman" w:hAnsi="Times New Roman"/>
          <w:kern w:val="0"/>
          <w:sz w:val="32"/>
          <w:szCs w:val="32"/>
          <w14:ligatures w14:val="none"/>
        </w:rPr>
        <w:t xml:space="preserve"> </w:t>
      </w:r>
      <w:r w:rsidRPr="008F39D4">
        <w:rPr>
          <w:rFonts w:ascii="Arial" w:hAnsi="Arial" w:cs="Arial"/>
          <w:b/>
          <w:bCs/>
          <w:kern w:val="0"/>
          <w:sz w:val="32"/>
          <w:szCs w:val="32"/>
          <w14:ligatures w14:val="none"/>
        </w:rPr>
        <w:t xml:space="preserve">Component </w:t>
      </w:r>
      <w:r>
        <w:rPr>
          <w:rFonts w:ascii="Arial" w:hAnsi="Arial" w:cs="Arial"/>
          <w:b/>
          <w:bCs/>
          <w:kern w:val="0"/>
          <w:sz w:val="32"/>
          <w:szCs w:val="32"/>
          <w14:ligatures w14:val="none"/>
        </w:rPr>
        <w:t>2</w:t>
      </w:r>
      <w:r w:rsidRPr="008F39D4">
        <w:rPr>
          <w:rFonts w:ascii="Arial" w:hAnsi="Arial" w:cs="Arial"/>
          <w:b/>
          <w:bCs/>
          <w:kern w:val="0"/>
          <w:sz w:val="32"/>
          <w:szCs w:val="32"/>
          <w14:ligatures w14:val="none"/>
        </w:rPr>
        <w:t xml:space="preserve">: </w:t>
      </w:r>
      <w:r>
        <w:rPr>
          <w:rFonts w:ascii="Arial" w:hAnsi="Arial" w:cs="Arial"/>
          <w:b/>
          <w:bCs/>
          <w:kern w:val="0"/>
          <w:sz w:val="32"/>
          <w:szCs w:val="32"/>
          <w14:ligatures w14:val="none"/>
        </w:rPr>
        <w:t>Dissertation</w:t>
      </w:r>
    </w:p>
    <w:p w14:paraId="7ABA796E" w14:textId="77777777" w:rsidR="00F47A60" w:rsidRPr="008F39D4" w:rsidRDefault="00F47A60" w:rsidP="00F47A60">
      <w:pPr>
        <w:spacing w:line="360" w:lineRule="auto"/>
        <w:jc w:val="center"/>
        <w:rPr>
          <w:rFonts w:ascii="Aptos" w:hAnsi="Aptos" w:cs="Arial"/>
          <w:b/>
          <w:bCs/>
          <w:kern w:val="0"/>
          <w:sz w:val="32"/>
          <w:szCs w:val="32"/>
          <w14:ligatures w14:val="none"/>
        </w:rPr>
      </w:pPr>
      <w:r w:rsidRPr="008F39D4">
        <w:rPr>
          <w:rFonts w:ascii="Aptos" w:hAnsi="Aptos" w:cs="Arial"/>
          <w:b/>
          <w:bCs/>
          <w:kern w:val="0"/>
          <w:sz w:val="32"/>
          <w:szCs w:val="32"/>
          <w14:ligatures w14:val="none"/>
        </w:rPr>
        <w:t>Student Name: Nurkas Kaneez</w:t>
      </w:r>
    </w:p>
    <w:p w14:paraId="5ED169F8" w14:textId="77777777" w:rsidR="00F47A60" w:rsidRPr="008F39D4" w:rsidRDefault="00F47A60" w:rsidP="00F47A60">
      <w:pPr>
        <w:spacing w:line="360" w:lineRule="auto"/>
        <w:jc w:val="center"/>
        <w:rPr>
          <w:rFonts w:ascii="Aptos" w:hAnsi="Aptos" w:cs="Arial"/>
          <w:b/>
          <w:bCs/>
          <w:kern w:val="0"/>
          <w:sz w:val="32"/>
          <w:szCs w:val="32"/>
          <w14:ligatures w14:val="none"/>
        </w:rPr>
      </w:pPr>
      <w:r w:rsidRPr="008F39D4">
        <w:rPr>
          <w:rFonts w:ascii="Aptos" w:hAnsi="Aptos" w:cs="Arial"/>
          <w:b/>
          <w:bCs/>
          <w:kern w:val="0"/>
          <w:sz w:val="32"/>
          <w:szCs w:val="32"/>
          <w14:ligatures w14:val="none"/>
        </w:rPr>
        <w:t>Student Number: 2225340</w:t>
      </w:r>
    </w:p>
    <w:p w14:paraId="22DB366C" w14:textId="77777777" w:rsidR="00F47A60" w:rsidRPr="008F39D4" w:rsidRDefault="00F47A60" w:rsidP="00F47A60">
      <w:pPr>
        <w:spacing w:line="360" w:lineRule="auto"/>
        <w:jc w:val="center"/>
        <w:rPr>
          <w:rFonts w:ascii="Aptos" w:hAnsi="Aptos" w:cs="Arial"/>
          <w:b/>
          <w:bCs/>
          <w:kern w:val="0"/>
          <w:sz w:val="32"/>
          <w:szCs w:val="32"/>
          <w14:ligatures w14:val="none"/>
        </w:rPr>
      </w:pPr>
      <w:r w:rsidRPr="008F39D4">
        <w:rPr>
          <w:rFonts w:ascii="Aptos" w:hAnsi="Aptos" w:cs="Arial"/>
          <w:b/>
          <w:bCs/>
          <w:kern w:val="0"/>
          <w:sz w:val="32"/>
          <w:szCs w:val="32"/>
          <w14:ligatures w14:val="none"/>
        </w:rPr>
        <w:t>Module Title: Independent Project</w:t>
      </w:r>
    </w:p>
    <w:p w14:paraId="4EC39338" w14:textId="77777777" w:rsidR="00F47A60" w:rsidRPr="008F39D4" w:rsidRDefault="00F47A60" w:rsidP="00F47A60">
      <w:pPr>
        <w:spacing w:line="360" w:lineRule="auto"/>
        <w:jc w:val="center"/>
        <w:rPr>
          <w:rFonts w:ascii="Aptos" w:hAnsi="Aptos" w:cs="Arial"/>
          <w:b/>
          <w:bCs/>
          <w:kern w:val="0"/>
          <w:sz w:val="32"/>
          <w:szCs w:val="32"/>
          <w14:ligatures w14:val="none"/>
        </w:rPr>
      </w:pPr>
      <w:r w:rsidRPr="008F39D4">
        <w:rPr>
          <w:rFonts w:ascii="Aptos" w:hAnsi="Aptos" w:cs="Arial"/>
          <w:b/>
          <w:bCs/>
          <w:kern w:val="0"/>
          <w:sz w:val="32"/>
          <w:szCs w:val="32"/>
          <w14:ligatures w14:val="none"/>
        </w:rPr>
        <w:t>Module Code: BMHP6020</w:t>
      </w:r>
    </w:p>
    <w:p w14:paraId="670B0BB5" w14:textId="7DA9697F" w:rsidR="0025489E" w:rsidRDefault="00F47A60" w:rsidP="00F47A60">
      <w:pPr>
        <w:spacing w:line="360" w:lineRule="auto"/>
        <w:jc w:val="center"/>
        <w:rPr>
          <w:rFonts w:ascii="Aptos" w:hAnsi="Aptos" w:cs="Arial"/>
          <w:kern w:val="0"/>
          <w:sz w:val="32"/>
          <w:szCs w:val="32"/>
          <w14:ligatures w14:val="none"/>
        </w:rPr>
      </w:pPr>
      <w:r w:rsidRPr="008F39D4">
        <w:rPr>
          <w:rFonts w:ascii="Aptos" w:hAnsi="Aptos" w:cs="Arial"/>
          <w:b/>
          <w:bCs/>
          <w:kern w:val="0"/>
          <w:sz w:val="32"/>
          <w:szCs w:val="32"/>
          <w14:ligatures w14:val="none"/>
        </w:rPr>
        <w:t>Lecturer’s Name: Danielle Dunne</w:t>
      </w:r>
    </w:p>
    <w:p w14:paraId="4B584A36" w14:textId="77777777" w:rsidR="00F47A60" w:rsidRPr="00F47A60" w:rsidRDefault="00F47A60" w:rsidP="00F47A60">
      <w:pPr>
        <w:spacing w:line="360" w:lineRule="auto"/>
        <w:jc w:val="center"/>
        <w:rPr>
          <w:rFonts w:ascii="Aptos" w:hAnsi="Aptos" w:cs="Arial"/>
          <w:kern w:val="0"/>
          <w:sz w:val="32"/>
          <w:szCs w:val="32"/>
          <w14:ligatures w14:val="none"/>
        </w:rPr>
      </w:pPr>
    </w:p>
    <w:p w14:paraId="11C123FE" w14:textId="77777777" w:rsidR="0025489E" w:rsidRPr="0025489E" w:rsidRDefault="0025489E" w:rsidP="0025489E">
      <w:pPr>
        <w:pStyle w:val="Heading1"/>
        <w:rPr>
          <w:rFonts w:ascii="Aptos" w:hAnsi="Aptos" w:cs="Arial"/>
          <w:b/>
          <w:bCs/>
        </w:rPr>
      </w:pPr>
      <w:bookmarkStart w:id="0" w:name="_Toc225060474"/>
      <w:r w:rsidRPr="0025489E">
        <w:rPr>
          <w:rFonts w:ascii="Aptos" w:hAnsi="Aptos" w:cs="Arial"/>
          <w:b/>
          <w:bCs/>
        </w:rPr>
        <w:t>Disclaimer</w:t>
      </w:r>
      <w:bookmarkEnd w:id="0"/>
    </w:p>
    <w:p w14:paraId="1AC530C8" w14:textId="77777777" w:rsidR="0025489E" w:rsidRDefault="0025489E" w:rsidP="0025489E">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495B0035" w14:textId="23B2BB39" w:rsidR="0025489E" w:rsidRPr="008F39D4" w:rsidRDefault="0025489E" w:rsidP="00F47A60">
      <w:pPr>
        <w:spacing w:before="62"/>
        <w:ind w:right="96"/>
        <w:jc w:val="center"/>
        <w:rPr>
          <w:rFonts w:ascii="Arial" w:hAnsi="Arial" w:cs="Arial"/>
          <w:sz w:val="20"/>
        </w:rPr>
      </w:pPr>
      <w:r w:rsidRPr="008F39D4">
        <w:rPr>
          <w:rFonts w:ascii="Arial" w:eastAsia="Times New Roman" w:hAnsi="Arial" w:cs="Arial"/>
          <w:b/>
          <w:sz w:val="28"/>
          <w:szCs w:val="28"/>
        </w:rPr>
        <w:lastRenderedPageBreak/>
        <w:t>DECLARATION</w:t>
      </w:r>
    </w:p>
    <w:p w14:paraId="4323CDF1" w14:textId="77777777" w:rsidR="0025489E" w:rsidRPr="008F39D4" w:rsidRDefault="0025489E" w:rsidP="0025489E">
      <w:pPr>
        <w:rPr>
          <w:rFonts w:ascii="Arial" w:eastAsia="Times New Roman" w:hAnsi="Arial" w:cs="Arial"/>
          <w:sz w:val="22"/>
          <w:szCs w:val="22"/>
        </w:rPr>
      </w:pPr>
      <w:r w:rsidRPr="008F39D4">
        <w:rPr>
          <w:rFonts w:ascii="Arial" w:eastAsia="Times New Roman" w:hAnsi="Arial" w:cs="Arial"/>
          <w:sz w:val="22"/>
          <w:szCs w:val="22"/>
        </w:rPr>
        <w:t>This work has not previously been accepted in substance for any degree and is not being concurrently submitted in candidature for any degree</w:t>
      </w:r>
    </w:p>
    <w:p w14:paraId="4FA0647A" w14:textId="4D9E961D" w:rsidR="0025489E" w:rsidRPr="008F39D4" w:rsidRDefault="0025489E" w:rsidP="0025489E">
      <w:pPr>
        <w:rPr>
          <w:rFonts w:ascii="Arial" w:eastAsia="Times New Roman" w:hAnsi="Arial" w:cs="Arial"/>
          <w:sz w:val="22"/>
          <w:szCs w:val="22"/>
        </w:rPr>
      </w:pPr>
      <w:r w:rsidRPr="008F39D4">
        <w:rPr>
          <w:rFonts w:ascii="Arial" w:eastAsia="Times New Roman" w:hAnsi="Arial" w:cs="Arial"/>
          <w:sz w:val="22"/>
          <w:szCs w:val="22"/>
        </w:rPr>
        <w:t>Signed…………………</w:t>
      </w:r>
      <w:proofErr w:type="spellStart"/>
      <w:proofErr w:type="gramStart"/>
      <w:r w:rsidR="00A6192F">
        <w:rPr>
          <w:rFonts w:ascii="Arial" w:eastAsia="Times New Roman" w:hAnsi="Arial" w:cs="Arial"/>
          <w:sz w:val="22"/>
          <w:szCs w:val="22"/>
        </w:rPr>
        <w:t>N.kaneez</w:t>
      </w:r>
      <w:proofErr w:type="spellEnd"/>
      <w:proofErr w:type="gramEnd"/>
      <w:r w:rsidRPr="008F39D4">
        <w:rPr>
          <w:rFonts w:ascii="Arial" w:eastAsia="Times New Roman" w:hAnsi="Arial" w:cs="Arial"/>
          <w:sz w:val="22"/>
          <w:szCs w:val="22"/>
        </w:rPr>
        <w:t>…………………………</w:t>
      </w:r>
    </w:p>
    <w:p w14:paraId="573B7290" w14:textId="624F9437" w:rsidR="0025489E" w:rsidRPr="008F39D4" w:rsidRDefault="0025489E" w:rsidP="0025489E">
      <w:pPr>
        <w:rPr>
          <w:rFonts w:ascii="Arial" w:eastAsia="Times New Roman" w:hAnsi="Arial" w:cs="Arial"/>
          <w:sz w:val="22"/>
          <w:szCs w:val="22"/>
        </w:rPr>
      </w:pPr>
      <w:r w:rsidRPr="008F39D4">
        <w:rPr>
          <w:rFonts w:ascii="Arial" w:eastAsia="Times New Roman" w:hAnsi="Arial" w:cs="Arial"/>
          <w:sz w:val="22"/>
          <w:szCs w:val="22"/>
        </w:rPr>
        <w:t>Date………………</w:t>
      </w:r>
      <w:r w:rsidR="00A6192F">
        <w:rPr>
          <w:rFonts w:ascii="Arial" w:eastAsia="Times New Roman" w:hAnsi="Arial" w:cs="Arial"/>
          <w:sz w:val="22"/>
          <w:szCs w:val="22"/>
        </w:rPr>
        <w:t>22.03.2026</w:t>
      </w:r>
      <w:r w:rsidRPr="008F39D4">
        <w:rPr>
          <w:rFonts w:ascii="Arial" w:eastAsia="Times New Roman" w:hAnsi="Arial" w:cs="Arial"/>
          <w:sz w:val="22"/>
          <w:szCs w:val="22"/>
        </w:rPr>
        <w:t>………………………………</w:t>
      </w:r>
    </w:p>
    <w:p w14:paraId="1EA6DAC7" w14:textId="77777777" w:rsidR="0025489E" w:rsidRPr="008F39D4" w:rsidRDefault="0025489E" w:rsidP="0025489E">
      <w:pPr>
        <w:rPr>
          <w:rFonts w:ascii="Arial" w:eastAsia="Times New Roman" w:hAnsi="Arial" w:cs="Arial"/>
          <w:bCs/>
          <w:kern w:val="32"/>
          <w:sz w:val="28"/>
          <w:szCs w:val="28"/>
        </w:rPr>
      </w:pPr>
      <w:r w:rsidRPr="008F39D4">
        <w:rPr>
          <w:rFonts w:ascii="Arial" w:eastAsia="Times New Roman" w:hAnsi="Arial" w:cs="Arial"/>
          <w:b/>
          <w:sz w:val="28"/>
          <w:szCs w:val="28"/>
        </w:rPr>
        <w:t xml:space="preserve">STATEMENT 1 </w:t>
      </w:r>
    </w:p>
    <w:p w14:paraId="0223BD51" w14:textId="77777777" w:rsidR="0025489E" w:rsidRPr="008F39D4" w:rsidRDefault="0025489E" w:rsidP="0025489E">
      <w:pPr>
        <w:rPr>
          <w:rFonts w:ascii="Arial" w:eastAsia="Times New Roman" w:hAnsi="Arial" w:cs="Arial"/>
          <w:sz w:val="22"/>
          <w:szCs w:val="22"/>
        </w:rPr>
      </w:pPr>
      <w:r w:rsidRPr="008F39D4">
        <w:rPr>
          <w:rFonts w:ascii="Arial" w:eastAsia="Times New Roman" w:hAnsi="Arial" w:cs="Arial"/>
          <w:sz w:val="22"/>
          <w:szCs w:val="22"/>
        </w:rPr>
        <w:t>This dissertation is being submitted in partial fulfilment of the requirements for the degree of BSc.</w:t>
      </w:r>
    </w:p>
    <w:p w14:paraId="302288AB" w14:textId="5620CB41" w:rsidR="0025489E" w:rsidRPr="008F39D4" w:rsidRDefault="0025489E" w:rsidP="0025489E">
      <w:pPr>
        <w:rPr>
          <w:rFonts w:ascii="Arial" w:eastAsia="Times New Roman" w:hAnsi="Arial" w:cs="Arial"/>
          <w:sz w:val="22"/>
          <w:szCs w:val="22"/>
        </w:rPr>
      </w:pPr>
      <w:r w:rsidRPr="008F39D4">
        <w:rPr>
          <w:rFonts w:ascii="Arial" w:eastAsia="Times New Roman" w:hAnsi="Arial" w:cs="Arial"/>
          <w:sz w:val="22"/>
          <w:szCs w:val="22"/>
        </w:rPr>
        <w:t>Signed…………………</w:t>
      </w:r>
      <w:proofErr w:type="spellStart"/>
      <w:proofErr w:type="gramStart"/>
      <w:r w:rsidR="00A6192F">
        <w:rPr>
          <w:rFonts w:ascii="Arial" w:eastAsia="Times New Roman" w:hAnsi="Arial" w:cs="Arial"/>
          <w:sz w:val="22"/>
          <w:szCs w:val="22"/>
        </w:rPr>
        <w:t>N.Kaneez</w:t>
      </w:r>
      <w:proofErr w:type="spellEnd"/>
      <w:proofErr w:type="gramEnd"/>
      <w:r w:rsidRPr="008F39D4">
        <w:rPr>
          <w:rFonts w:ascii="Arial" w:eastAsia="Times New Roman" w:hAnsi="Arial" w:cs="Arial"/>
          <w:sz w:val="22"/>
          <w:szCs w:val="22"/>
        </w:rPr>
        <w:t xml:space="preserve">…………………………. </w:t>
      </w:r>
    </w:p>
    <w:p w14:paraId="37E1E376" w14:textId="420CB388" w:rsidR="0025489E" w:rsidRPr="008F39D4" w:rsidRDefault="0025489E" w:rsidP="0025489E">
      <w:pPr>
        <w:rPr>
          <w:rFonts w:ascii="Arial" w:eastAsia="Times New Roman" w:hAnsi="Arial" w:cs="Arial"/>
          <w:sz w:val="22"/>
          <w:szCs w:val="22"/>
        </w:rPr>
      </w:pPr>
      <w:r w:rsidRPr="008F39D4">
        <w:rPr>
          <w:rFonts w:ascii="Arial" w:eastAsia="Times New Roman" w:hAnsi="Arial" w:cs="Arial"/>
          <w:sz w:val="22"/>
          <w:szCs w:val="22"/>
        </w:rPr>
        <w:t>Date…………………………</w:t>
      </w:r>
      <w:r w:rsidR="00A6192F">
        <w:rPr>
          <w:rFonts w:ascii="Arial" w:eastAsia="Times New Roman" w:hAnsi="Arial" w:cs="Arial"/>
          <w:sz w:val="22"/>
          <w:szCs w:val="22"/>
        </w:rPr>
        <w:t>22.03.2026</w:t>
      </w:r>
      <w:r w:rsidRPr="008F39D4">
        <w:rPr>
          <w:rFonts w:ascii="Arial" w:eastAsia="Times New Roman" w:hAnsi="Arial" w:cs="Arial"/>
          <w:sz w:val="22"/>
          <w:szCs w:val="22"/>
        </w:rPr>
        <w:t>……………………</w:t>
      </w:r>
    </w:p>
    <w:p w14:paraId="6FE00074" w14:textId="77777777" w:rsidR="0025489E" w:rsidRPr="008F39D4" w:rsidRDefault="0025489E" w:rsidP="0025489E">
      <w:pPr>
        <w:rPr>
          <w:rFonts w:ascii="Arial" w:eastAsia="Times New Roman" w:hAnsi="Arial" w:cs="Arial"/>
          <w:sz w:val="28"/>
          <w:szCs w:val="28"/>
        </w:rPr>
      </w:pPr>
      <w:r w:rsidRPr="008F39D4">
        <w:rPr>
          <w:rFonts w:ascii="Arial" w:eastAsia="Times New Roman" w:hAnsi="Arial" w:cs="Arial"/>
          <w:b/>
          <w:sz w:val="28"/>
          <w:szCs w:val="28"/>
        </w:rPr>
        <w:t>STATEMENT 2</w:t>
      </w:r>
    </w:p>
    <w:p w14:paraId="7F7E5321" w14:textId="77777777" w:rsidR="0025489E" w:rsidRPr="008F39D4" w:rsidRDefault="0025489E" w:rsidP="0025489E">
      <w:pPr>
        <w:rPr>
          <w:rFonts w:ascii="Arial" w:eastAsia="Times New Roman" w:hAnsi="Arial" w:cs="Arial"/>
          <w:sz w:val="22"/>
          <w:szCs w:val="22"/>
        </w:rPr>
      </w:pPr>
      <w:r w:rsidRPr="008F39D4">
        <w:rPr>
          <w:rFonts w:ascii="Arial" w:eastAsia="Times New Roman" w:hAnsi="Arial" w:cs="Arial"/>
          <w:sz w:val="22"/>
          <w:szCs w:val="22"/>
        </w:rPr>
        <w:t>This dissertation is the result of my own independent work/investigation, except where otherwise stated. Other sources are acknowledged by footnotes giving explicit references.  A bibliography is appended.</w:t>
      </w:r>
    </w:p>
    <w:p w14:paraId="2C4815E5" w14:textId="1ADF6746" w:rsidR="0025489E" w:rsidRPr="008F39D4" w:rsidRDefault="0025489E" w:rsidP="0025489E">
      <w:pPr>
        <w:rPr>
          <w:rFonts w:ascii="Arial" w:eastAsia="Times New Roman" w:hAnsi="Arial" w:cs="Arial"/>
          <w:sz w:val="22"/>
          <w:szCs w:val="22"/>
        </w:rPr>
      </w:pPr>
      <w:r w:rsidRPr="008F39D4">
        <w:rPr>
          <w:rFonts w:ascii="Arial" w:eastAsia="Times New Roman" w:hAnsi="Arial" w:cs="Arial"/>
          <w:sz w:val="22"/>
          <w:szCs w:val="22"/>
        </w:rPr>
        <w:t>Signed………………</w:t>
      </w:r>
      <w:proofErr w:type="spellStart"/>
      <w:proofErr w:type="gramStart"/>
      <w:r w:rsidR="00A6192F">
        <w:rPr>
          <w:rFonts w:ascii="Arial" w:eastAsia="Times New Roman" w:hAnsi="Arial" w:cs="Arial"/>
          <w:sz w:val="22"/>
          <w:szCs w:val="22"/>
        </w:rPr>
        <w:t>N.Kaneez</w:t>
      </w:r>
      <w:proofErr w:type="spellEnd"/>
      <w:proofErr w:type="gramEnd"/>
      <w:r w:rsidR="00A6192F">
        <w:rPr>
          <w:rFonts w:ascii="Arial" w:eastAsia="Times New Roman" w:hAnsi="Arial" w:cs="Arial"/>
          <w:sz w:val="22"/>
          <w:szCs w:val="22"/>
        </w:rPr>
        <w:tab/>
      </w:r>
      <w:r w:rsidRPr="008F39D4">
        <w:rPr>
          <w:rFonts w:ascii="Arial" w:eastAsia="Times New Roman" w:hAnsi="Arial" w:cs="Arial"/>
          <w:sz w:val="22"/>
          <w:szCs w:val="22"/>
        </w:rPr>
        <w:t>……………………………</w:t>
      </w:r>
    </w:p>
    <w:p w14:paraId="647CC43C" w14:textId="21B00BFA" w:rsidR="0025489E" w:rsidRPr="008F39D4" w:rsidRDefault="0025489E" w:rsidP="0025489E">
      <w:pPr>
        <w:rPr>
          <w:rFonts w:ascii="Arial" w:eastAsia="Times New Roman" w:hAnsi="Arial" w:cs="Arial"/>
          <w:sz w:val="22"/>
          <w:szCs w:val="22"/>
        </w:rPr>
      </w:pPr>
      <w:r w:rsidRPr="008F39D4">
        <w:rPr>
          <w:rFonts w:ascii="Arial" w:eastAsia="Times New Roman" w:hAnsi="Arial" w:cs="Arial"/>
          <w:sz w:val="22"/>
          <w:szCs w:val="22"/>
        </w:rPr>
        <w:t>Date……………………</w:t>
      </w:r>
      <w:r w:rsidR="00A6192F">
        <w:rPr>
          <w:rFonts w:ascii="Arial" w:eastAsia="Times New Roman" w:hAnsi="Arial" w:cs="Arial"/>
          <w:sz w:val="22"/>
          <w:szCs w:val="22"/>
        </w:rPr>
        <w:t>22.03.2026</w:t>
      </w:r>
      <w:r w:rsidRPr="008F39D4">
        <w:rPr>
          <w:rFonts w:ascii="Arial" w:eastAsia="Times New Roman" w:hAnsi="Arial" w:cs="Arial"/>
          <w:sz w:val="22"/>
          <w:szCs w:val="22"/>
        </w:rPr>
        <w:t xml:space="preserve">………………………… </w:t>
      </w:r>
    </w:p>
    <w:p w14:paraId="21812E08" w14:textId="77777777" w:rsidR="0025489E" w:rsidRPr="008F39D4" w:rsidRDefault="0025489E" w:rsidP="0025489E">
      <w:pPr>
        <w:rPr>
          <w:rFonts w:ascii="Arial" w:eastAsia="Times New Roman" w:hAnsi="Arial" w:cs="Arial"/>
          <w:sz w:val="28"/>
          <w:szCs w:val="28"/>
        </w:rPr>
      </w:pPr>
      <w:r w:rsidRPr="008F39D4">
        <w:rPr>
          <w:rFonts w:ascii="Arial" w:eastAsia="Times New Roman" w:hAnsi="Arial" w:cs="Arial"/>
          <w:b/>
          <w:sz w:val="28"/>
          <w:szCs w:val="28"/>
        </w:rPr>
        <w:t>STATEMENT 3</w:t>
      </w:r>
    </w:p>
    <w:p w14:paraId="73CFA286" w14:textId="77777777" w:rsidR="0025489E" w:rsidRPr="008F39D4" w:rsidRDefault="0025489E" w:rsidP="0025489E">
      <w:pPr>
        <w:rPr>
          <w:rFonts w:ascii="Arial" w:eastAsia="Times New Roman" w:hAnsi="Arial" w:cs="Arial"/>
          <w:sz w:val="22"/>
          <w:szCs w:val="22"/>
        </w:rPr>
      </w:pPr>
      <w:r w:rsidRPr="008F39D4">
        <w:rPr>
          <w:rFonts w:ascii="Arial" w:eastAsia="Times New Roman" w:hAnsi="Arial" w:cs="Arial"/>
          <w:sz w:val="22"/>
          <w:szCs w:val="22"/>
        </w:rPr>
        <w:t>I hereby give consent for my dissertation, if accepted, to be available for photocopying and for interlibrary loan, and for the title and summary to be made available to outside organisations.</w:t>
      </w:r>
    </w:p>
    <w:p w14:paraId="7F9AE2AA" w14:textId="5FD120F3" w:rsidR="0025489E" w:rsidRPr="008F39D4" w:rsidRDefault="0025489E" w:rsidP="0025489E">
      <w:pPr>
        <w:rPr>
          <w:rFonts w:ascii="Arial" w:eastAsia="Times New Roman" w:hAnsi="Arial" w:cs="Arial"/>
          <w:sz w:val="22"/>
          <w:szCs w:val="22"/>
        </w:rPr>
      </w:pPr>
      <w:r w:rsidRPr="008F39D4">
        <w:rPr>
          <w:rFonts w:ascii="Arial" w:eastAsia="Times New Roman" w:hAnsi="Arial" w:cs="Arial"/>
          <w:sz w:val="22"/>
          <w:szCs w:val="22"/>
        </w:rPr>
        <w:t>Signed…………………</w:t>
      </w:r>
      <w:proofErr w:type="spellStart"/>
      <w:proofErr w:type="gramStart"/>
      <w:r w:rsidR="00A6192F">
        <w:rPr>
          <w:rFonts w:ascii="Arial" w:eastAsia="Times New Roman" w:hAnsi="Arial" w:cs="Arial"/>
          <w:sz w:val="22"/>
          <w:szCs w:val="22"/>
        </w:rPr>
        <w:t>N.Kaneez</w:t>
      </w:r>
      <w:proofErr w:type="spellEnd"/>
      <w:proofErr w:type="gramEnd"/>
      <w:r w:rsidRPr="008F39D4">
        <w:rPr>
          <w:rFonts w:ascii="Arial" w:eastAsia="Times New Roman" w:hAnsi="Arial" w:cs="Arial"/>
          <w:sz w:val="22"/>
          <w:szCs w:val="22"/>
        </w:rPr>
        <w:t>……………………………</w:t>
      </w:r>
    </w:p>
    <w:p w14:paraId="73F69ADA" w14:textId="191CBF5C" w:rsidR="0025489E" w:rsidRPr="008F39D4" w:rsidRDefault="0025489E" w:rsidP="0025489E">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2"/>
          <w:szCs w:val="22"/>
        </w:rPr>
      </w:pPr>
      <w:r w:rsidRPr="008F39D4">
        <w:rPr>
          <w:rFonts w:ascii="Arial" w:eastAsia="Times New Roman" w:hAnsi="Arial" w:cs="Arial"/>
          <w:sz w:val="22"/>
          <w:szCs w:val="22"/>
        </w:rPr>
        <w:t>Date………………………</w:t>
      </w:r>
      <w:r w:rsidR="00A6192F">
        <w:rPr>
          <w:rFonts w:ascii="Arial" w:eastAsia="Times New Roman" w:hAnsi="Arial" w:cs="Arial"/>
          <w:sz w:val="22"/>
          <w:szCs w:val="22"/>
        </w:rPr>
        <w:t>22.03.2026</w:t>
      </w:r>
      <w:r w:rsidRPr="008F39D4">
        <w:rPr>
          <w:rFonts w:ascii="Arial" w:eastAsia="Times New Roman" w:hAnsi="Arial" w:cs="Arial"/>
          <w:sz w:val="22"/>
          <w:szCs w:val="22"/>
        </w:rPr>
        <w:t>…………………</w:t>
      </w:r>
    </w:p>
    <w:p w14:paraId="569F8A37" w14:textId="77777777" w:rsidR="0025489E" w:rsidRPr="008F39D4" w:rsidRDefault="0025489E" w:rsidP="0025489E">
      <w:pPr>
        <w:rPr>
          <w:rFonts w:ascii="Arial" w:eastAsia="Times New Roman" w:hAnsi="Arial" w:cs="Arial"/>
          <w:b/>
        </w:rPr>
      </w:pPr>
      <w:r w:rsidRPr="008F39D4">
        <w:rPr>
          <w:rFonts w:ascii="Arial" w:eastAsia="Times New Roman" w:hAnsi="Arial" w:cs="Arial"/>
          <w:b/>
        </w:rPr>
        <w:t>STATEMENT 4</w:t>
      </w:r>
    </w:p>
    <w:p w14:paraId="418644E9" w14:textId="77777777" w:rsidR="0025489E" w:rsidRPr="008F39D4" w:rsidRDefault="0025489E" w:rsidP="0025489E">
      <w:pPr>
        <w:rPr>
          <w:rFonts w:ascii="Arial" w:eastAsia="Times New Roman" w:hAnsi="Arial" w:cs="Arial"/>
          <w:sz w:val="22"/>
          <w:szCs w:val="22"/>
        </w:rPr>
      </w:pPr>
      <w:r w:rsidRPr="008F39D4">
        <w:rPr>
          <w:rFonts w:ascii="Arial" w:eastAsia="Times New Roman" w:hAnsi="Arial" w:cs="Arial"/>
          <w:sz w:val="22"/>
          <w:szCs w:val="22"/>
        </w:rPr>
        <w:t>I hereby give consent for my dissertation, if accepted, to be available on the university’s IT system to those who have consent to use the system.</w:t>
      </w:r>
    </w:p>
    <w:p w14:paraId="570E6BD2" w14:textId="3641F7BE" w:rsidR="0025489E" w:rsidRPr="008F39D4" w:rsidRDefault="0025489E" w:rsidP="0025489E">
      <w:pPr>
        <w:rPr>
          <w:rFonts w:ascii="Arial" w:eastAsia="Times New Roman" w:hAnsi="Arial" w:cs="Arial"/>
          <w:sz w:val="22"/>
          <w:szCs w:val="22"/>
        </w:rPr>
      </w:pPr>
      <w:r w:rsidRPr="008F39D4">
        <w:rPr>
          <w:rFonts w:ascii="Arial" w:eastAsia="Times New Roman" w:hAnsi="Arial" w:cs="Arial"/>
          <w:sz w:val="22"/>
          <w:szCs w:val="22"/>
        </w:rPr>
        <w:t>Signed……………</w:t>
      </w:r>
      <w:proofErr w:type="spellStart"/>
      <w:proofErr w:type="gramStart"/>
      <w:r w:rsidR="00A6192F">
        <w:rPr>
          <w:rFonts w:ascii="Arial" w:eastAsia="Times New Roman" w:hAnsi="Arial" w:cs="Arial"/>
          <w:sz w:val="22"/>
          <w:szCs w:val="22"/>
        </w:rPr>
        <w:t>N.Kaneez</w:t>
      </w:r>
      <w:proofErr w:type="spellEnd"/>
      <w:proofErr w:type="gramEnd"/>
      <w:r w:rsidRPr="008F39D4">
        <w:rPr>
          <w:rFonts w:ascii="Arial" w:eastAsia="Times New Roman" w:hAnsi="Arial" w:cs="Arial"/>
          <w:sz w:val="22"/>
          <w:szCs w:val="22"/>
        </w:rPr>
        <w:t>…………………………………</w:t>
      </w:r>
    </w:p>
    <w:p w14:paraId="5F4B3493" w14:textId="1DF61A04" w:rsidR="0025489E" w:rsidRPr="008F39D4" w:rsidRDefault="0025489E" w:rsidP="0025489E">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2"/>
          <w:szCs w:val="22"/>
        </w:rPr>
      </w:pPr>
      <w:r w:rsidRPr="008F39D4">
        <w:rPr>
          <w:rFonts w:ascii="Arial" w:eastAsia="Times New Roman" w:hAnsi="Arial" w:cs="Arial"/>
          <w:sz w:val="22"/>
          <w:szCs w:val="22"/>
        </w:rPr>
        <w:t>Date………………………</w:t>
      </w:r>
      <w:r w:rsidR="00A6192F">
        <w:rPr>
          <w:rFonts w:ascii="Arial" w:eastAsia="Times New Roman" w:hAnsi="Arial" w:cs="Arial"/>
          <w:sz w:val="22"/>
          <w:szCs w:val="22"/>
        </w:rPr>
        <w:t>22.03.2026</w:t>
      </w:r>
      <w:r w:rsidRPr="008F39D4">
        <w:rPr>
          <w:rFonts w:ascii="Arial" w:eastAsia="Times New Roman" w:hAnsi="Arial" w:cs="Arial"/>
          <w:sz w:val="22"/>
          <w:szCs w:val="22"/>
        </w:rPr>
        <w:t>…………………………</w:t>
      </w:r>
    </w:p>
    <w:p w14:paraId="6082BD5E" w14:textId="77777777" w:rsidR="002164E4" w:rsidRPr="008F39D4" w:rsidRDefault="002164E4" w:rsidP="00D334FC">
      <w:pPr>
        <w:spacing w:line="360" w:lineRule="auto"/>
        <w:jc w:val="both"/>
        <w:rPr>
          <w:rFonts w:ascii="Arial" w:hAnsi="Arial" w:cs="Arial"/>
          <w:b/>
          <w:bCs/>
          <w:sz w:val="22"/>
          <w:szCs w:val="22"/>
        </w:rPr>
      </w:pPr>
    </w:p>
    <w:p w14:paraId="428834E0" w14:textId="77777777" w:rsidR="002164E4" w:rsidRPr="008F39D4" w:rsidRDefault="002164E4" w:rsidP="00D334FC">
      <w:pPr>
        <w:spacing w:line="360" w:lineRule="auto"/>
        <w:jc w:val="both"/>
        <w:rPr>
          <w:rFonts w:ascii="Arial" w:hAnsi="Arial" w:cs="Arial"/>
          <w:b/>
          <w:bCs/>
          <w:sz w:val="22"/>
          <w:szCs w:val="22"/>
        </w:rPr>
      </w:pPr>
    </w:p>
    <w:p w14:paraId="7684BE83" w14:textId="77777777" w:rsidR="002164E4" w:rsidRPr="008F39D4" w:rsidRDefault="002164E4" w:rsidP="00D334FC">
      <w:pPr>
        <w:spacing w:line="360" w:lineRule="auto"/>
        <w:jc w:val="both"/>
        <w:rPr>
          <w:rFonts w:ascii="Arial" w:hAnsi="Arial" w:cs="Arial"/>
          <w:b/>
          <w:bCs/>
          <w:sz w:val="22"/>
          <w:szCs w:val="22"/>
        </w:rPr>
      </w:pPr>
    </w:p>
    <w:p w14:paraId="2295B7FB" w14:textId="77777777" w:rsidR="0025489E" w:rsidRPr="008F39D4" w:rsidRDefault="0025489E" w:rsidP="00D334FC">
      <w:pPr>
        <w:spacing w:line="360" w:lineRule="auto"/>
        <w:jc w:val="both"/>
        <w:rPr>
          <w:rFonts w:ascii="Arial" w:hAnsi="Arial" w:cs="Arial"/>
          <w:b/>
          <w:bCs/>
          <w:sz w:val="22"/>
          <w:szCs w:val="22"/>
        </w:rPr>
      </w:pPr>
    </w:p>
    <w:p w14:paraId="1BDB85FB" w14:textId="77777777" w:rsidR="002164E4" w:rsidRPr="008F39D4" w:rsidRDefault="002164E4" w:rsidP="00D334FC">
      <w:pPr>
        <w:spacing w:line="360" w:lineRule="auto"/>
        <w:jc w:val="both"/>
        <w:rPr>
          <w:rFonts w:ascii="Arial" w:hAnsi="Arial" w:cs="Arial"/>
          <w:b/>
          <w:bCs/>
          <w:sz w:val="22"/>
          <w:szCs w:val="22"/>
        </w:rPr>
      </w:pPr>
    </w:p>
    <w:p w14:paraId="23A8163A" w14:textId="77777777" w:rsidR="002164E4" w:rsidRPr="008F39D4" w:rsidRDefault="002164E4" w:rsidP="00D334FC">
      <w:pPr>
        <w:spacing w:line="360" w:lineRule="auto"/>
        <w:jc w:val="both"/>
        <w:rPr>
          <w:rFonts w:ascii="Arial" w:hAnsi="Arial" w:cs="Arial"/>
          <w:b/>
          <w:bCs/>
          <w:sz w:val="22"/>
          <w:szCs w:val="22"/>
        </w:rPr>
      </w:pPr>
    </w:p>
    <w:p w14:paraId="2340A0A4" w14:textId="77777777" w:rsidR="002164E4" w:rsidRPr="008F39D4" w:rsidRDefault="002164E4" w:rsidP="00D334FC">
      <w:pPr>
        <w:spacing w:line="360" w:lineRule="auto"/>
        <w:jc w:val="both"/>
        <w:rPr>
          <w:rFonts w:ascii="Arial" w:hAnsi="Arial" w:cs="Arial"/>
          <w:b/>
          <w:bCs/>
          <w:sz w:val="22"/>
          <w:szCs w:val="22"/>
        </w:rPr>
      </w:pPr>
    </w:p>
    <w:p w14:paraId="46F56ABF" w14:textId="77777777" w:rsidR="002164E4" w:rsidRPr="008F39D4" w:rsidRDefault="002164E4" w:rsidP="00D334FC">
      <w:pPr>
        <w:spacing w:line="360" w:lineRule="auto"/>
        <w:jc w:val="both"/>
        <w:rPr>
          <w:rFonts w:ascii="Arial" w:hAnsi="Arial" w:cs="Arial"/>
          <w:b/>
          <w:bCs/>
          <w:sz w:val="22"/>
          <w:szCs w:val="22"/>
        </w:rPr>
      </w:pPr>
    </w:p>
    <w:p w14:paraId="1FEE9C1A" w14:textId="77777777" w:rsidR="002164E4" w:rsidRDefault="002164E4" w:rsidP="00D334FC">
      <w:pPr>
        <w:spacing w:line="360" w:lineRule="auto"/>
        <w:jc w:val="both"/>
        <w:rPr>
          <w:rFonts w:ascii="Arial" w:hAnsi="Arial" w:cs="Arial"/>
          <w:b/>
          <w:bCs/>
          <w:sz w:val="22"/>
          <w:szCs w:val="22"/>
        </w:rPr>
      </w:pPr>
    </w:p>
    <w:p w14:paraId="093AD891" w14:textId="77777777" w:rsidR="008F39D4" w:rsidRDefault="008F39D4" w:rsidP="00D334FC">
      <w:pPr>
        <w:spacing w:line="360" w:lineRule="auto"/>
        <w:jc w:val="both"/>
        <w:rPr>
          <w:rFonts w:ascii="Arial" w:hAnsi="Arial" w:cs="Arial"/>
          <w:b/>
          <w:bCs/>
          <w:sz w:val="22"/>
          <w:szCs w:val="22"/>
        </w:rPr>
      </w:pPr>
    </w:p>
    <w:p w14:paraId="6C7E7D4C" w14:textId="77777777" w:rsidR="008F39D4" w:rsidRDefault="008F39D4" w:rsidP="00D334FC">
      <w:pPr>
        <w:spacing w:line="360" w:lineRule="auto"/>
        <w:jc w:val="both"/>
        <w:rPr>
          <w:rFonts w:ascii="Arial" w:hAnsi="Arial" w:cs="Arial"/>
          <w:b/>
          <w:bCs/>
          <w:sz w:val="22"/>
          <w:szCs w:val="22"/>
        </w:rPr>
      </w:pPr>
    </w:p>
    <w:p w14:paraId="64CABAFF" w14:textId="77777777" w:rsidR="008F39D4" w:rsidRDefault="008F39D4" w:rsidP="00D334FC">
      <w:pPr>
        <w:spacing w:line="360" w:lineRule="auto"/>
        <w:jc w:val="both"/>
        <w:rPr>
          <w:rFonts w:ascii="Arial" w:hAnsi="Arial" w:cs="Arial"/>
          <w:b/>
          <w:bCs/>
          <w:sz w:val="22"/>
          <w:szCs w:val="22"/>
        </w:rPr>
      </w:pPr>
    </w:p>
    <w:p w14:paraId="05EF40C6" w14:textId="77777777" w:rsidR="002164E4" w:rsidRPr="008F39D4" w:rsidRDefault="002164E4" w:rsidP="008F39D4">
      <w:pPr>
        <w:spacing w:line="360" w:lineRule="auto"/>
        <w:rPr>
          <w:rFonts w:ascii="Arial" w:hAnsi="Arial" w:cs="Arial"/>
          <w:b/>
          <w:bCs/>
          <w:sz w:val="32"/>
          <w:szCs w:val="32"/>
        </w:rPr>
      </w:pPr>
    </w:p>
    <w:p w14:paraId="40BFEA3D" w14:textId="509BD961" w:rsidR="00D334FC" w:rsidRPr="008F39D4" w:rsidRDefault="00D334FC" w:rsidP="002164E4">
      <w:pPr>
        <w:spacing w:line="360" w:lineRule="auto"/>
        <w:jc w:val="center"/>
        <w:rPr>
          <w:rFonts w:ascii="Arial" w:hAnsi="Arial" w:cs="Arial"/>
          <w:b/>
          <w:bCs/>
          <w:sz w:val="32"/>
          <w:szCs w:val="32"/>
        </w:rPr>
      </w:pPr>
      <w:r w:rsidRPr="008F39D4">
        <w:rPr>
          <w:rFonts w:ascii="Arial" w:hAnsi="Arial" w:cs="Arial"/>
          <w:b/>
          <w:bCs/>
          <w:sz w:val="32"/>
          <w:szCs w:val="32"/>
        </w:rPr>
        <w:t>Exploring the barriers to accessing health and social care services in the Asian community living in the UK</w:t>
      </w:r>
    </w:p>
    <w:p w14:paraId="1D8A0B2A" w14:textId="77777777" w:rsidR="00D334FC" w:rsidRPr="008F39D4" w:rsidRDefault="00D334FC" w:rsidP="00D334FC">
      <w:pPr>
        <w:spacing w:line="360" w:lineRule="auto"/>
        <w:jc w:val="both"/>
        <w:rPr>
          <w:rFonts w:ascii="Arial" w:hAnsi="Arial" w:cs="Arial"/>
          <w:sz w:val="22"/>
          <w:szCs w:val="22"/>
        </w:rPr>
      </w:pPr>
      <w:r w:rsidRPr="008F39D4">
        <w:rPr>
          <w:rFonts w:ascii="Arial" w:hAnsi="Arial" w:cs="Arial"/>
          <w:sz w:val="22"/>
          <w:szCs w:val="22"/>
        </w:rPr>
        <w:br w:type="page"/>
      </w:r>
    </w:p>
    <w:p w14:paraId="53DB1E67" w14:textId="77777777" w:rsidR="00D334FC" w:rsidRPr="008F39D4" w:rsidRDefault="00D334FC" w:rsidP="00D334FC">
      <w:pPr>
        <w:spacing w:line="360" w:lineRule="auto"/>
        <w:jc w:val="both"/>
        <w:rPr>
          <w:rFonts w:ascii="Arial" w:hAnsi="Arial" w:cs="Arial"/>
          <w:b/>
          <w:bCs/>
          <w:sz w:val="32"/>
          <w:szCs w:val="32"/>
        </w:rPr>
      </w:pPr>
      <w:r w:rsidRPr="008F39D4">
        <w:rPr>
          <w:rFonts w:ascii="Arial" w:hAnsi="Arial" w:cs="Arial"/>
          <w:b/>
          <w:bCs/>
          <w:sz w:val="32"/>
          <w:szCs w:val="32"/>
        </w:rPr>
        <w:lastRenderedPageBreak/>
        <w:t>Abstract</w:t>
      </w:r>
    </w:p>
    <w:p w14:paraId="182A2E96" w14:textId="77777777" w:rsidR="00D334FC" w:rsidRPr="008F39D4" w:rsidRDefault="00D334FC" w:rsidP="00D334FC">
      <w:pPr>
        <w:spacing w:line="360" w:lineRule="auto"/>
        <w:jc w:val="both"/>
        <w:rPr>
          <w:rFonts w:ascii="Arial" w:hAnsi="Arial" w:cs="Arial"/>
          <w:sz w:val="22"/>
          <w:szCs w:val="22"/>
        </w:rPr>
      </w:pPr>
      <w:r w:rsidRPr="008F39D4">
        <w:rPr>
          <w:rFonts w:ascii="Arial" w:hAnsi="Arial" w:cs="Arial"/>
          <w:sz w:val="22"/>
          <w:szCs w:val="22"/>
        </w:rPr>
        <w:t xml:space="preserve">The dissertation aims to evaluate barriers encountered by the Asian community in accessing care facilities in the UK. It focuses on service responsiveness, cultural differences and inequality in the care infrastructure of the country. The context of the research is associated with perspective rather than challenges for informing inclusive and practical recommendations so that discrimination can be reduced and equitable access to care services can be improved. </w:t>
      </w:r>
    </w:p>
    <w:p w14:paraId="2549E9D0" w14:textId="77777777" w:rsidR="00D334FC" w:rsidRPr="008F39D4" w:rsidRDefault="00D334FC" w:rsidP="00D334FC">
      <w:pPr>
        <w:spacing w:line="360" w:lineRule="auto"/>
        <w:jc w:val="both"/>
        <w:rPr>
          <w:rFonts w:ascii="Arial" w:hAnsi="Arial" w:cs="Arial"/>
          <w:sz w:val="22"/>
          <w:szCs w:val="22"/>
        </w:rPr>
      </w:pPr>
      <w:r w:rsidRPr="008F39D4">
        <w:rPr>
          <w:rFonts w:ascii="Arial" w:hAnsi="Arial" w:cs="Arial"/>
          <w:sz w:val="22"/>
          <w:szCs w:val="22"/>
        </w:rPr>
        <w:t xml:space="preserve">The research method chapter outlines the execution of a secondary qualitative study, which helps in evaluating the barriers faced by the Asian community in the UK. Several academic databases are searched systematically for collecting relevant data by utilising exclusion and inclusion criteria, structured keywords and CRAAP test. The thematic analysis technique is used for establishing themes from the collected data. </w:t>
      </w:r>
    </w:p>
    <w:p w14:paraId="1F9BA8AE" w14:textId="77777777" w:rsidR="00D334FC" w:rsidRPr="008F39D4" w:rsidRDefault="00D334FC" w:rsidP="00D334FC">
      <w:pPr>
        <w:spacing w:line="360" w:lineRule="auto"/>
        <w:jc w:val="both"/>
        <w:rPr>
          <w:rFonts w:ascii="Arial" w:hAnsi="Arial" w:cs="Arial"/>
          <w:sz w:val="22"/>
          <w:szCs w:val="22"/>
        </w:rPr>
      </w:pPr>
      <w:r w:rsidRPr="008F39D4">
        <w:rPr>
          <w:rFonts w:ascii="Arial" w:hAnsi="Arial" w:cs="Arial"/>
          <w:sz w:val="22"/>
          <w:szCs w:val="22"/>
        </w:rPr>
        <w:t xml:space="preserve">The limitation of the research is its reliance on existing evidence, which might not fully capture the lived experiences. Exclusion of primary data and non-English sources also reduced the diversity and depth of perspectives. </w:t>
      </w:r>
    </w:p>
    <w:p w14:paraId="31A2E611" w14:textId="77777777" w:rsidR="00D334FC" w:rsidRPr="008F39D4" w:rsidRDefault="00D334FC" w:rsidP="00D334FC">
      <w:pPr>
        <w:spacing w:line="360" w:lineRule="auto"/>
        <w:jc w:val="both"/>
        <w:rPr>
          <w:rFonts w:ascii="Arial" w:hAnsi="Arial" w:cs="Arial"/>
          <w:sz w:val="22"/>
          <w:szCs w:val="22"/>
        </w:rPr>
      </w:pPr>
      <w:r w:rsidRPr="008F39D4">
        <w:rPr>
          <w:rFonts w:ascii="Arial" w:hAnsi="Arial" w:cs="Arial"/>
          <w:sz w:val="22"/>
          <w:szCs w:val="22"/>
        </w:rPr>
        <w:t>The research outlines inequalities in access to care facilities for the Asian people of the UK. The major outcomes of the research indicate that negative perception related to care, inconsistent response of the professionals, cultural differences, language difficulties and structural barriers limit the quality of life and use of services. The research demonstrates that poor communication, lack of trust and cultural stigma minimise the engagement of the service users.</w:t>
      </w:r>
    </w:p>
    <w:p w14:paraId="5160DF42" w14:textId="77777777" w:rsidR="00D334FC" w:rsidRPr="008F39D4" w:rsidRDefault="00D334FC" w:rsidP="00D334FC">
      <w:pPr>
        <w:spacing w:line="360" w:lineRule="auto"/>
        <w:jc w:val="both"/>
        <w:rPr>
          <w:rFonts w:ascii="Arial" w:hAnsi="Arial" w:cs="Arial"/>
          <w:sz w:val="22"/>
          <w:szCs w:val="22"/>
        </w:rPr>
      </w:pPr>
      <w:r w:rsidRPr="008F39D4">
        <w:rPr>
          <w:rFonts w:ascii="Arial" w:hAnsi="Arial" w:cs="Arial"/>
          <w:sz w:val="22"/>
          <w:szCs w:val="22"/>
        </w:rPr>
        <w:t>The recommendation of the study put the emphasis on strengthening language accessible and culturally responsive care facilities for improving community engagement. It also focuses on promoting trust of the Asian community in the care professionals through partnership, and it embeds anti-discrimination measures and system-level accountability. The actions focus on enhancing health outcomes, improving access and minimising inequalities in the health infrastructure of the UK.</w:t>
      </w:r>
      <w:r w:rsidRPr="008F39D4">
        <w:rPr>
          <w:rFonts w:ascii="Arial" w:hAnsi="Arial" w:cs="Arial"/>
          <w:sz w:val="22"/>
          <w:szCs w:val="22"/>
        </w:rPr>
        <w:br w:type="page"/>
      </w:r>
    </w:p>
    <w:sdt>
      <w:sdtPr>
        <w:rPr>
          <w:rFonts w:ascii="Arial" w:eastAsiaTheme="minorHAnsi" w:hAnsi="Arial" w:cs="Arial"/>
          <w:b/>
          <w:bCs/>
          <w:color w:val="auto"/>
          <w:kern w:val="2"/>
          <w:sz w:val="22"/>
          <w:szCs w:val="22"/>
          <w:lang w:val="en-GB"/>
          <w14:ligatures w14:val="standardContextual"/>
        </w:rPr>
        <w:id w:val="1768341256"/>
        <w:docPartObj>
          <w:docPartGallery w:val="Table of Contents"/>
          <w:docPartUnique/>
        </w:docPartObj>
      </w:sdtPr>
      <w:sdtEndPr>
        <w:rPr>
          <w:noProof/>
          <w:color w:val="000000" w:themeColor="text1"/>
        </w:rPr>
      </w:sdtEndPr>
      <w:sdtContent>
        <w:p w14:paraId="0C61D2F4" w14:textId="77777777" w:rsidR="00D334FC" w:rsidRPr="008F39D4" w:rsidRDefault="00D334FC" w:rsidP="002164E4">
          <w:pPr>
            <w:pStyle w:val="TOCHeading"/>
            <w:spacing w:line="360" w:lineRule="auto"/>
            <w:jc w:val="center"/>
            <w:rPr>
              <w:rFonts w:ascii="Arial" w:hAnsi="Arial" w:cs="Arial"/>
              <w:b/>
              <w:bCs/>
              <w:color w:val="000000" w:themeColor="text1"/>
            </w:rPr>
          </w:pPr>
          <w:r w:rsidRPr="008F39D4">
            <w:rPr>
              <w:rFonts w:ascii="Arial" w:hAnsi="Arial" w:cs="Arial"/>
              <w:b/>
              <w:bCs/>
              <w:color w:val="000000" w:themeColor="text1"/>
            </w:rPr>
            <w:t>Table of Contents</w:t>
          </w:r>
        </w:p>
        <w:p w14:paraId="33E19F42" w14:textId="63905A4E" w:rsidR="00A6192F" w:rsidRDefault="00D334FC">
          <w:pPr>
            <w:pStyle w:val="TOC1"/>
            <w:tabs>
              <w:tab w:val="right" w:leader="dot" w:pos="9016"/>
            </w:tabs>
            <w:rPr>
              <w:rFonts w:eastAsiaTheme="minorEastAsia"/>
              <w:noProof/>
              <w:lang w:eastAsia="en-GB"/>
            </w:rPr>
          </w:pPr>
          <w:r w:rsidRPr="008F39D4">
            <w:rPr>
              <w:rFonts w:ascii="Arial" w:hAnsi="Arial" w:cs="Arial"/>
              <w:color w:val="000000" w:themeColor="text1"/>
              <w:sz w:val="22"/>
              <w:szCs w:val="22"/>
            </w:rPr>
            <w:fldChar w:fldCharType="begin"/>
          </w:r>
          <w:r w:rsidRPr="008F39D4">
            <w:rPr>
              <w:rFonts w:ascii="Arial" w:hAnsi="Arial" w:cs="Arial"/>
              <w:color w:val="000000" w:themeColor="text1"/>
              <w:sz w:val="22"/>
              <w:szCs w:val="22"/>
            </w:rPr>
            <w:instrText xml:space="preserve"> TOC \o "1-3" \h \z \u </w:instrText>
          </w:r>
          <w:r w:rsidRPr="008F39D4">
            <w:rPr>
              <w:rFonts w:ascii="Arial" w:hAnsi="Arial" w:cs="Arial"/>
              <w:color w:val="000000" w:themeColor="text1"/>
              <w:sz w:val="22"/>
              <w:szCs w:val="22"/>
            </w:rPr>
            <w:fldChar w:fldCharType="separate"/>
          </w:r>
          <w:hyperlink w:anchor="_Toc225060474" w:history="1">
            <w:r w:rsidR="00A6192F" w:rsidRPr="00DE17E8">
              <w:rPr>
                <w:rStyle w:val="Hyperlink"/>
                <w:rFonts w:ascii="Aptos" w:hAnsi="Aptos" w:cs="Arial"/>
                <w:b/>
                <w:bCs/>
                <w:noProof/>
              </w:rPr>
              <w:t>Disclaimer</w:t>
            </w:r>
            <w:r w:rsidR="00A6192F">
              <w:rPr>
                <w:noProof/>
                <w:webHidden/>
              </w:rPr>
              <w:tab/>
            </w:r>
            <w:r w:rsidR="00A6192F">
              <w:rPr>
                <w:noProof/>
                <w:webHidden/>
              </w:rPr>
              <w:fldChar w:fldCharType="begin"/>
            </w:r>
            <w:r w:rsidR="00A6192F">
              <w:rPr>
                <w:noProof/>
                <w:webHidden/>
              </w:rPr>
              <w:instrText xml:space="preserve"> PAGEREF _Toc225060474 \h </w:instrText>
            </w:r>
            <w:r w:rsidR="00A6192F">
              <w:rPr>
                <w:noProof/>
                <w:webHidden/>
              </w:rPr>
            </w:r>
            <w:r w:rsidR="00A6192F">
              <w:rPr>
                <w:noProof/>
                <w:webHidden/>
              </w:rPr>
              <w:fldChar w:fldCharType="separate"/>
            </w:r>
            <w:r w:rsidR="00A6192F">
              <w:rPr>
                <w:noProof/>
                <w:webHidden/>
              </w:rPr>
              <w:t>1</w:t>
            </w:r>
            <w:r w:rsidR="00A6192F">
              <w:rPr>
                <w:noProof/>
                <w:webHidden/>
              </w:rPr>
              <w:fldChar w:fldCharType="end"/>
            </w:r>
          </w:hyperlink>
        </w:p>
        <w:p w14:paraId="71A78682" w14:textId="7D78CE0D" w:rsidR="00A6192F" w:rsidRDefault="00A6192F">
          <w:pPr>
            <w:pStyle w:val="TOC1"/>
            <w:tabs>
              <w:tab w:val="right" w:leader="dot" w:pos="9016"/>
            </w:tabs>
            <w:rPr>
              <w:rFonts w:eastAsiaTheme="minorEastAsia"/>
              <w:noProof/>
              <w:lang w:eastAsia="en-GB"/>
            </w:rPr>
          </w:pPr>
          <w:hyperlink w:anchor="_Toc225060475" w:history="1">
            <w:r w:rsidRPr="00DE17E8">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_Toc225060475 \h </w:instrText>
            </w:r>
            <w:r>
              <w:rPr>
                <w:noProof/>
                <w:webHidden/>
              </w:rPr>
            </w:r>
            <w:r>
              <w:rPr>
                <w:noProof/>
                <w:webHidden/>
              </w:rPr>
              <w:fldChar w:fldCharType="separate"/>
            </w:r>
            <w:r>
              <w:rPr>
                <w:noProof/>
                <w:webHidden/>
              </w:rPr>
              <w:t>8</w:t>
            </w:r>
            <w:r>
              <w:rPr>
                <w:noProof/>
                <w:webHidden/>
              </w:rPr>
              <w:fldChar w:fldCharType="end"/>
            </w:r>
          </w:hyperlink>
        </w:p>
        <w:p w14:paraId="42E019C5" w14:textId="09F36675" w:rsidR="00A6192F" w:rsidRDefault="00A6192F">
          <w:pPr>
            <w:pStyle w:val="TOC2"/>
            <w:tabs>
              <w:tab w:val="right" w:leader="dot" w:pos="9016"/>
            </w:tabs>
            <w:rPr>
              <w:rFonts w:eastAsiaTheme="minorEastAsia"/>
              <w:noProof/>
              <w:lang w:eastAsia="en-GB"/>
            </w:rPr>
          </w:pPr>
          <w:hyperlink w:anchor="_Toc225060476" w:history="1">
            <w:r w:rsidRPr="00DE17E8">
              <w:rPr>
                <w:rStyle w:val="Hyperlink"/>
                <w:rFonts w:ascii="Arial" w:hAnsi="Arial" w:cs="Arial"/>
                <w:b/>
                <w:bCs/>
                <w:noProof/>
              </w:rPr>
              <w:t>1.1 Introduction</w:t>
            </w:r>
            <w:r>
              <w:rPr>
                <w:noProof/>
                <w:webHidden/>
              </w:rPr>
              <w:tab/>
            </w:r>
            <w:r>
              <w:rPr>
                <w:noProof/>
                <w:webHidden/>
              </w:rPr>
              <w:fldChar w:fldCharType="begin"/>
            </w:r>
            <w:r>
              <w:rPr>
                <w:noProof/>
                <w:webHidden/>
              </w:rPr>
              <w:instrText xml:space="preserve"> PAGEREF _Toc225060476 \h </w:instrText>
            </w:r>
            <w:r>
              <w:rPr>
                <w:noProof/>
                <w:webHidden/>
              </w:rPr>
            </w:r>
            <w:r>
              <w:rPr>
                <w:noProof/>
                <w:webHidden/>
              </w:rPr>
              <w:fldChar w:fldCharType="separate"/>
            </w:r>
            <w:r>
              <w:rPr>
                <w:noProof/>
                <w:webHidden/>
              </w:rPr>
              <w:t>8</w:t>
            </w:r>
            <w:r>
              <w:rPr>
                <w:noProof/>
                <w:webHidden/>
              </w:rPr>
              <w:fldChar w:fldCharType="end"/>
            </w:r>
          </w:hyperlink>
        </w:p>
        <w:p w14:paraId="2A496DD0" w14:textId="0DC65A74" w:rsidR="00A6192F" w:rsidRDefault="00A6192F">
          <w:pPr>
            <w:pStyle w:val="TOC2"/>
            <w:tabs>
              <w:tab w:val="right" w:leader="dot" w:pos="9016"/>
            </w:tabs>
            <w:rPr>
              <w:rFonts w:eastAsiaTheme="minorEastAsia"/>
              <w:noProof/>
              <w:lang w:eastAsia="en-GB"/>
            </w:rPr>
          </w:pPr>
          <w:hyperlink w:anchor="_Toc225060477" w:history="1">
            <w:r w:rsidRPr="00DE17E8">
              <w:rPr>
                <w:rStyle w:val="Hyperlink"/>
                <w:rFonts w:ascii="Arial" w:hAnsi="Arial" w:cs="Arial"/>
                <w:b/>
                <w:bCs/>
                <w:noProof/>
              </w:rPr>
              <w:t>1.2 Definitions and Terminology</w:t>
            </w:r>
            <w:r>
              <w:rPr>
                <w:noProof/>
                <w:webHidden/>
              </w:rPr>
              <w:tab/>
            </w:r>
            <w:r>
              <w:rPr>
                <w:noProof/>
                <w:webHidden/>
              </w:rPr>
              <w:fldChar w:fldCharType="begin"/>
            </w:r>
            <w:r>
              <w:rPr>
                <w:noProof/>
                <w:webHidden/>
              </w:rPr>
              <w:instrText xml:space="preserve"> PAGEREF _Toc225060477 \h </w:instrText>
            </w:r>
            <w:r>
              <w:rPr>
                <w:noProof/>
                <w:webHidden/>
              </w:rPr>
            </w:r>
            <w:r>
              <w:rPr>
                <w:noProof/>
                <w:webHidden/>
              </w:rPr>
              <w:fldChar w:fldCharType="separate"/>
            </w:r>
            <w:r>
              <w:rPr>
                <w:noProof/>
                <w:webHidden/>
              </w:rPr>
              <w:t>8</w:t>
            </w:r>
            <w:r>
              <w:rPr>
                <w:noProof/>
                <w:webHidden/>
              </w:rPr>
              <w:fldChar w:fldCharType="end"/>
            </w:r>
          </w:hyperlink>
        </w:p>
        <w:p w14:paraId="5E0696D5" w14:textId="560DCB29" w:rsidR="00A6192F" w:rsidRDefault="00A6192F">
          <w:pPr>
            <w:pStyle w:val="TOC2"/>
            <w:tabs>
              <w:tab w:val="right" w:leader="dot" w:pos="9016"/>
            </w:tabs>
            <w:rPr>
              <w:rFonts w:eastAsiaTheme="minorEastAsia"/>
              <w:noProof/>
              <w:lang w:eastAsia="en-GB"/>
            </w:rPr>
          </w:pPr>
          <w:hyperlink w:anchor="_Toc225060478" w:history="1">
            <w:r w:rsidRPr="00DE17E8">
              <w:rPr>
                <w:rStyle w:val="Hyperlink"/>
                <w:rFonts w:ascii="Arial" w:hAnsi="Arial" w:cs="Arial"/>
                <w:b/>
                <w:bCs/>
                <w:noProof/>
              </w:rPr>
              <w:t>1.3 Rationale for Research</w:t>
            </w:r>
            <w:r>
              <w:rPr>
                <w:noProof/>
                <w:webHidden/>
              </w:rPr>
              <w:tab/>
            </w:r>
            <w:r>
              <w:rPr>
                <w:noProof/>
                <w:webHidden/>
              </w:rPr>
              <w:fldChar w:fldCharType="begin"/>
            </w:r>
            <w:r>
              <w:rPr>
                <w:noProof/>
                <w:webHidden/>
              </w:rPr>
              <w:instrText xml:space="preserve"> PAGEREF _Toc225060478 \h </w:instrText>
            </w:r>
            <w:r>
              <w:rPr>
                <w:noProof/>
                <w:webHidden/>
              </w:rPr>
            </w:r>
            <w:r>
              <w:rPr>
                <w:noProof/>
                <w:webHidden/>
              </w:rPr>
              <w:fldChar w:fldCharType="separate"/>
            </w:r>
            <w:r>
              <w:rPr>
                <w:noProof/>
                <w:webHidden/>
              </w:rPr>
              <w:t>9</w:t>
            </w:r>
            <w:r>
              <w:rPr>
                <w:noProof/>
                <w:webHidden/>
              </w:rPr>
              <w:fldChar w:fldCharType="end"/>
            </w:r>
          </w:hyperlink>
        </w:p>
        <w:p w14:paraId="3DD55427" w14:textId="79457225" w:rsidR="00A6192F" w:rsidRDefault="00A6192F">
          <w:pPr>
            <w:pStyle w:val="TOC2"/>
            <w:tabs>
              <w:tab w:val="right" w:leader="dot" w:pos="9016"/>
            </w:tabs>
            <w:rPr>
              <w:rFonts w:eastAsiaTheme="minorEastAsia"/>
              <w:noProof/>
              <w:lang w:eastAsia="en-GB"/>
            </w:rPr>
          </w:pPr>
          <w:hyperlink w:anchor="_Toc225060479" w:history="1">
            <w:r w:rsidRPr="00DE17E8">
              <w:rPr>
                <w:rStyle w:val="Hyperlink"/>
                <w:rFonts w:ascii="Arial" w:hAnsi="Arial" w:cs="Arial"/>
                <w:b/>
                <w:bCs/>
                <w:noProof/>
              </w:rPr>
              <w:t>1.4 Aim and Objectives</w:t>
            </w:r>
            <w:r>
              <w:rPr>
                <w:noProof/>
                <w:webHidden/>
              </w:rPr>
              <w:tab/>
            </w:r>
            <w:r>
              <w:rPr>
                <w:noProof/>
                <w:webHidden/>
              </w:rPr>
              <w:fldChar w:fldCharType="begin"/>
            </w:r>
            <w:r>
              <w:rPr>
                <w:noProof/>
                <w:webHidden/>
              </w:rPr>
              <w:instrText xml:space="preserve"> PAGEREF _Toc225060479 \h </w:instrText>
            </w:r>
            <w:r>
              <w:rPr>
                <w:noProof/>
                <w:webHidden/>
              </w:rPr>
            </w:r>
            <w:r>
              <w:rPr>
                <w:noProof/>
                <w:webHidden/>
              </w:rPr>
              <w:fldChar w:fldCharType="separate"/>
            </w:r>
            <w:r>
              <w:rPr>
                <w:noProof/>
                <w:webHidden/>
              </w:rPr>
              <w:t>9</w:t>
            </w:r>
            <w:r>
              <w:rPr>
                <w:noProof/>
                <w:webHidden/>
              </w:rPr>
              <w:fldChar w:fldCharType="end"/>
            </w:r>
          </w:hyperlink>
        </w:p>
        <w:p w14:paraId="3C0A2FCA" w14:textId="3A714111" w:rsidR="00A6192F" w:rsidRDefault="00A6192F">
          <w:pPr>
            <w:pStyle w:val="TOC2"/>
            <w:tabs>
              <w:tab w:val="right" w:leader="dot" w:pos="9016"/>
            </w:tabs>
            <w:rPr>
              <w:rFonts w:eastAsiaTheme="minorEastAsia"/>
              <w:noProof/>
              <w:lang w:eastAsia="en-GB"/>
            </w:rPr>
          </w:pPr>
          <w:hyperlink w:anchor="_Toc225060480" w:history="1">
            <w:r w:rsidRPr="00DE17E8">
              <w:rPr>
                <w:rStyle w:val="Hyperlink"/>
                <w:rFonts w:ascii="Arial" w:hAnsi="Arial" w:cs="Arial"/>
                <w:b/>
                <w:bCs/>
                <w:noProof/>
              </w:rPr>
              <w:t>1.5 Conclusion</w:t>
            </w:r>
            <w:r>
              <w:rPr>
                <w:noProof/>
                <w:webHidden/>
              </w:rPr>
              <w:tab/>
            </w:r>
            <w:r>
              <w:rPr>
                <w:noProof/>
                <w:webHidden/>
              </w:rPr>
              <w:fldChar w:fldCharType="begin"/>
            </w:r>
            <w:r>
              <w:rPr>
                <w:noProof/>
                <w:webHidden/>
              </w:rPr>
              <w:instrText xml:space="preserve"> PAGEREF _Toc225060480 \h </w:instrText>
            </w:r>
            <w:r>
              <w:rPr>
                <w:noProof/>
                <w:webHidden/>
              </w:rPr>
            </w:r>
            <w:r>
              <w:rPr>
                <w:noProof/>
                <w:webHidden/>
              </w:rPr>
              <w:fldChar w:fldCharType="separate"/>
            </w:r>
            <w:r>
              <w:rPr>
                <w:noProof/>
                <w:webHidden/>
              </w:rPr>
              <w:t>10</w:t>
            </w:r>
            <w:r>
              <w:rPr>
                <w:noProof/>
                <w:webHidden/>
              </w:rPr>
              <w:fldChar w:fldCharType="end"/>
            </w:r>
          </w:hyperlink>
        </w:p>
        <w:p w14:paraId="6DD82721" w14:textId="38F473A4" w:rsidR="00A6192F" w:rsidRDefault="00A6192F">
          <w:pPr>
            <w:pStyle w:val="TOC1"/>
            <w:tabs>
              <w:tab w:val="right" w:leader="dot" w:pos="9016"/>
            </w:tabs>
            <w:rPr>
              <w:rFonts w:eastAsiaTheme="minorEastAsia"/>
              <w:noProof/>
              <w:lang w:eastAsia="en-GB"/>
            </w:rPr>
          </w:pPr>
          <w:hyperlink w:anchor="_Toc225060481" w:history="1">
            <w:r w:rsidRPr="00DE17E8">
              <w:rPr>
                <w:rStyle w:val="Hyperlink"/>
                <w:rFonts w:ascii="Arial" w:hAnsi="Arial" w:cs="Arial"/>
                <w:b/>
                <w:bCs/>
                <w:noProof/>
              </w:rPr>
              <w:t>CHAPTER 2 – Background Information and Analysis</w:t>
            </w:r>
            <w:r>
              <w:rPr>
                <w:noProof/>
                <w:webHidden/>
              </w:rPr>
              <w:tab/>
            </w:r>
            <w:r>
              <w:rPr>
                <w:noProof/>
                <w:webHidden/>
              </w:rPr>
              <w:fldChar w:fldCharType="begin"/>
            </w:r>
            <w:r>
              <w:rPr>
                <w:noProof/>
                <w:webHidden/>
              </w:rPr>
              <w:instrText xml:space="preserve"> PAGEREF _Toc225060481 \h </w:instrText>
            </w:r>
            <w:r>
              <w:rPr>
                <w:noProof/>
                <w:webHidden/>
              </w:rPr>
            </w:r>
            <w:r>
              <w:rPr>
                <w:noProof/>
                <w:webHidden/>
              </w:rPr>
              <w:fldChar w:fldCharType="separate"/>
            </w:r>
            <w:r>
              <w:rPr>
                <w:noProof/>
                <w:webHidden/>
              </w:rPr>
              <w:t>11</w:t>
            </w:r>
            <w:r>
              <w:rPr>
                <w:noProof/>
                <w:webHidden/>
              </w:rPr>
              <w:fldChar w:fldCharType="end"/>
            </w:r>
          </w:hyperlink>
        </w:p>
        <w:p w14:paraId="18621986" w14:textId="03798164" w:rsidR="00A6192F" w:rsidRDefault="00A6192F">
          <w:pPr>
            <w:pStyle w:val="TOC2"/>
            <w:tabs>
              <w:tab w:val="right" w:leader="dot" w:pos="9016"/>
            </w:tabs>
            <w:rPr>
              <w:rFonts w:eastAsiaTheme="minorEastAsia"/>
              <w:noProof/>
              <w:lang w:eastAsia="en-GB"/>
            </w:rPr>
          </w:pPr>
          <w:hyperlink w:anchor="_Toc225060482" w:history="1">
            <w:r w:rsidRPr="00DE17E8">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_Toc225060482 \h </w:instrText>
            </w:r>
            <w:r>
              <w:rPr>
                <w:noProof/>
                <w:webHidden/>
              </w:rPr>
            </w:r>
            <w:r>
              <w:rPr>
                <w:noProof/>
                <w:webHidden/>
              </w:rPr>
              <w:fldChar w:fldCharType="separate"/>
            </w:r>
            <w:r>
              <w:rPr>
                <w:noProof/>
                <w:webHidden/>
              </w:rPr>
              <w:t>11</w:t>
            </w:r>
            <w:r>
              <w:rPr>
                <w:noProof/>
                <w:webHidden/>
              </w:rPr>
              <w:fldChar w:fldCharType="end"/>
            </w:r>
          </w:hyperlink>
        </w:p>
        <w:p w14:paraId="0679D8F7" w14:textId="3FDCF53B" w:rsidR="00A6192F" w:rsidRDefault="00A6192F">
          <w:pPr>
            <w:pStyle w:val="TOC2"/>
            <w:tabs>
              <w:tab w:val="right" w:leader="dot" w:pos="9016"/>
            </w:tabs>
            <w:rPr>
              <w:rFonts w:eastAsiaTheme="minorEastAsia"/>
              <w:noProof/>
              <w:lang w:eastAsia="en-GB"/>
            </w:rPr>
          </w:pPr>
          <w:hyperlink w:anchor="_Toc225060483" w:history="1">
            <w:r w:rsidRPr="00DE17E8">
              <w:rPr>
                <w:rStyle w:val="Hyperlink"/>
                <w:rFonts w:ascii="Arial" w:hAnsi="Arial" w:cs="Arial"/>
                <w:b/>
                <w:bCs/>
                <w:noProof/>
              </w:rPr>
              <w:t>2.2 Historical Background</w:t>
            </w:r>
            <w:r>
              <w:rPr>
                <w:noProof/>
                <w:webHidden/>
              </w:rPr>
              <w:tab/>
            </w:r>
            <w:r>
              <w:rPr>
                <w:noProof/>
                <w:webHidden/>
              </w:rPr>
              <w:fldChar w:fldCharType="begin"/>
            </w:r>
            <w:r>
              <w:rPr>
                <w:noProof/>
                <w:webHidden/>
              </w:rPr>
              <w:instrText xml:space="preserve"> PAGEREF _Toc225060483 \h </w:instrText>
            </w:r>
            <w:r>
              <w:rPr>
                <w:noProof/>
                <w:webHidden/>
              </w:rPr>
            </w:r>
            <w:r>
              <w:rPr>
                <w:noProof/>
                <w:webHidden/>
              </w:rPr>
              <w:fldChar w:fldCharType="separate"/>
            </w:r>
            <w:r>
              <w:rPr>
                <w:noProof/>
                <w:webHidden/>
              </w:rPr>
              <w:t>11</w:t>
            </w:r>
            <w:r>
              <w:rPr>
                <w:noProof/>
                <w:webHidden/>
              </w:rPr>
              <w:fldChar w:fldCharType="end"/>
            </w:r>
          </w:hyperlink>
        </w:p>
        <w:p w14:paraId="0B852073" w14:textId="389C501F" w:rsidR="00A6192F" w:rsidRDefault="00A6192F">
          <w:pPr>
            <w:pStyle w:val="TOC2"/>
            <w:tabs>
              <w:tab w:val="right" w:leader="dot" w:pos="9016"/>
            </w:tabs>
            <w:rPr>
              <w:rFonts w:eastAsiaTheme="minorEastAsia"/>
              <w:noProof/>
              <w:lang w:eastAsia="en-GB"/>
            </w:rPr>
          </w:pPr>
          <w:hyperlink w:anchor="_Toc225060484" w:history="1">
            <w:r w:rsidRPr="00DE17E8">
              <w:rPr>
                <w:rStyle w:val="Hyperlink"/>
                <w:rFonts w:ascii="Arial" w:hAnsi="Arial" w:cs="Arial"/>
                <w:b/>
                <w:bCs/>
                <w:noProof/>
              </w:rPr>
              <w:t>2.3 Theoretical Background</w:t>
            </w:r>
            <w:r>
              <w:rPr>
                <w:noProof/>
                <w:webHidden/>
              </w:rPr>
              <w:tab/>
            </w:r>
            <w:r>
              <w:rPr>
                <w:noProof/>
                <w:webHidden/>
              </w:rPr>
              <w:fldChar w:fldCharType="begin"/>
            </w:r>
            <w:r>
              <w:rPr>
                <w:noProof/>
                <w:webHidden/>
              </w:rPr>
              <w:instrText xml:space="preserve"> PAGEREF _Toc225060484 \h </w:instrText>
            </w:r>
            <w:r>
              <w:rPr>
                <w:noProof/>
                <w:webHidden/>
              </w:rPr>
            </w:r>
            <w:r>
              <w:rPr>
                <w:noProof/>
                <w:webHidden/>
              </w:rPr>
              <w:fldChar w:fldCharType="separate"/>
            </w:r>
            <w:r>
              <w:rPr>
                <w:noProof/>
                <w:webHidden/>
              </w:rPr>
              <w:t>12</w:t>
            </w:r>
            <w:r>
              <w:rPr>
                <w:noProof/>
                <w:webHidden/>
              </w:rPr>
              <w:fldChar w:fldCharType="end"/>
            </w:r>
          </w:hyperlink>
        </w:p>
        <w:p w14:paraId="0D3A8F68" w14:textId="13B1A2E1" w:rsidR="00A6192F" w:rsidRDefault="00A6192F">
          <w:pPr>
            <w:pStyle w:val="TOC2"/>
            <w:tabs>
              <w:tab w:val="right" w:leader="dot" w:pos="9016"/>
            </w:tabs>
            <w:rPr>
              <w:rFonts w:eastAsiaTheme="minorEastAsia"/>
              <w:noProof/>
              <w:lang w:eastAsia="en-GB"/>
            </w:rPr>
          </w:pPr>
          <w:hyperlink w:anchor="_Toc225060485" w:history="1">
            <w:r w:rsidRPr="00DE17E8">
              <w:rPr>
                <w:rStyle w:val="Hyperlink"/>
                <w:rFonts w:ascii="Arial" w:hAnsi="Arial" w:cs="Arial"/>
                <w:b/>
                <w:bCs/>
                <w:noProof/>
              </w:rPr>
              <w:t>2.4 International Context</w:t>
            </w:r>
            <w:r>
              <w:rPr>
                <w:noProof/>
                <w:webHidden/>
              </w:rPr>
              <w:tab/>
            </w:r>
            <w:r>
              <w:rPr>
                <w:noProof/>
                <w:webHidden/>
              </w:rPr>
              <w:fldChar w:fldCharType="begin"/>
            </w:r>
            <w:r>
              <w:rPr>
                <w:noProof/>
                <w:webHidden/>
              </w:rPr>
              <w:instrText xml:space="preserve"> PAGEREF _Toc225060485 \h </w:instrText>
            </w:r>
            <w:r>
              <w:rPr>
                <w:noProof/>
                <w:webHidden/>
              </w:rPr>
            </w:r>
            <w:r>
              <w:rPr>
                <w:noProof/>
                <w:webHidden/>
              </w:rPr>
              <w:fldChar w:fldCharType="separate"/>
            </w:r>
            <w:r>
              <w:rPr>
                <w:noProof/>
                <w:webHidden/>
              </w:rPr>
              <w:t>15</w:t>
            </w:r>
            <w:r>
              <w:rPr>
                <w:noProof/>
                <w:webHidden/>
              </w:rPr>
              <w:fldChar w:fldCharType="end"/>
            </w:r>
          </w:hyperlink>
        </w:p>
        <w:p w14:paraId="1A9C4207" w14:textId="57BDE276" w:rsidR="00A6192F" w:rsidRDefault="00A6192F">
          <w:pPr>
            <w:pStyle w:val="TOC2"/>
            <w:tabs>
              <w:tab w:val="right" w:leader="dot" w:pos="9016"/>
            </w:tabs>
            <w:rPr>
              <w:rFonts w:eastAsiaTheme="minorEastAsia"/>
              <w:noProof/>
              <w:lang w:eastAsia="en-GB"/>
            </w:rPr>
          </w:pPr>
          <w:hyperlink w:anchor="_Toc225060486" w:history="1">
            <w:r w:rsidRPr="00DE17E8">
              <w:rPr>
                <w:rStyle w:val="Hyperlink"/>
                <w:rFonts w:ascii="Arial" w:hAnsi="Arial" w:cs="Arial"/>
                <w:b/>
                <w:bCs/>
                <w:noProof/>
              </w:rPr>
              <w:t>2.5 National/Local UK Context</w:t>
            </w:r>
            <w:r>
              <w:rPr>
                <w:noProof/>
                <w:webHidden/>
              </w:rPr>
              <w:tab/>
            </w:r>
            <w:r>
              <w:rPr>
                <w:noProof/>
                <w:webHidden/>
              </w:rPr>
              <w:fldChar w:fldCharType="begin"/>
            </w:r>
            <w:r>
              <w:rPr>
                <w:noProof/>
                <w:webHidden/>
              </w:rPr>
              <w:instrText xml:space="preserve"> PAGEREF _Toc225060486 \h </w:instrText>
            </w:r>
            <w:r>
              <w:rPr>
                <w:noProof/>
                <w:webHidden/>
              </w:rPr>
            </w:r>
            <w:r>
              <w:rPr>
                <w:noProof/>
                <w:webHidden/>
              </w:rPr>
              <w:fldChar w:fldCharType="separate"/>
            </w:r>
            <w:r>
              <w:rPr>
                <w:noProof/>
                <w:webHidden/>
              </w:rPr>
              <w:t>16</w:t>
            </w:r>
            <w:r>
              <w:rPr>
                <w:noProof/>
                <w:webHidden/>
              </w:rPr>
              <w:fldChar w:fldCharType="end"/>
            </w:r>
          </w:hyperlink>
        </w:p>
        <w:p w14:paraId="779DD7B0" w14:textId="32342AD6" w:rsidR="00A6192F" w:rsidRDefault="00A6192F">
          <w:pPr>
            <w:pStyle w:val="TOC2"/>
            <w:tabs>
              <w:tab w:val="right" w:leader="dot" w:pos="9016"/>
            </w:tabs>
            <w:rPr>
              <w:rFonts w:eastAsiaTheme="minorEastAsia"/>
              <w:noProof/>
              <w:lang w:eastAsia="en-GB"/>
            </w:rPr>
          </w:pPr>
          <w:hyperlink w:anchor="_Toc225060487" w:history="1">
            <w:r w:rsidRPr="00DE17E8">
              <w:rPr>
                <w:rStyle w:val="Hyperlink"/>
                <w:rFonts w:ascii="Arial" w:hAnsi="Arial" w:cs="Arial"/>
                <w:b/>
                <w:bCs/>
                <w:noProof/>
              </w:rPr>
              <w:t>2.6 Conclusion</w:t>
            </w:r>
            <w:r>
              <w:rPr>
                <w:noProof/>
                <w:webHidden/>
              </w:rPr>
              <w:tab/>
            </w:r>
            <w:r>
              <w:rPr>
                <w:noProof/>
                <w:webHidden/>
              </w:rPr>
              <w:fldChar w:fldCharType="begin"/>
            </w:r>
            <w:r>
              <w:rPr>
                <w:noProof/>
                <w:webHidden/>
              </w:rPr>
              <w:instrText xml:space="preserve"> PAGEREF _Toc225060487 \h </w:instrText>
            </w:r>
            <w:r>
              <w:rPr>
                <w:noProof/>
                <w:webHidden/>
              </w:rPr>
            </w:r>
            <w:r>
              <w:rPr>
                <w:noProof/>
                <w:webHidden/>
              </w:rPr>
              <w:fldChar w:fldCharType="separate"/>
            </w:r>
            <w:r>
              <w:rPr>
                <w:noProof/>
                <w:webHidden/>
              </w:rPr>
              <w:t>17</w:t>
            </w:r>
            <w:r>
              <w:rPr>
                <w:noProof/>
                <w:webHidden/>
              </w:rPr>
              <w:fldChar w:fldCharType="end"/>
            </w:r>
          </w:hyperlink>
        </w:p>
        <w:p w14:paraId="7D687046" w14:textId="68D4C43B" w:rsidR="00A6192F" w:rsidRDefault="00A6192F">
          <w:pPr>
            <w:pStyle w:val="TOC1"/>
            <w:tabs>
              <w:tab w:val="right" w:leader="dot" w:pos="9016"/>
            </w:tabs>
            <w:rPr>
              <w:rFonts w:eastAsiaTheme="minorEastAsia"/>
              <w:noProof/>
              <w:lang w:eastAsia="en-GB"/>
            </w:rPr>
          </w:pPr>
          <w:hyperlink w:anchor="_Toc225060488" w:history="1">
            <w:r w:rsidRPr="00DE17E8">
              <w:rPr>
                <w:rStyle w:val="Hyperlink"/>
                <w:rFonts w:ascii="Arial" w:hAnsi="Arial" w:cs="Arial"/>
                <w:b/>
                <w:bCs/>
                <w:noProof/>
              </w:rPr>
              <w:t>CHAPTER 3 – Research Methodology</w:t>
            </w:r>
            <w:r>
              <w:rPr>
                <w:noProof/>
                <w:webHidden/>
              </w:rPr>
              <w:tab/>
            </w:r>
            <w:r>
              <w:rPr>
                <w:noProof/>
                <w:webHidden/>
              </w:rPr>
              <w:fldChar w:fldCharType="begin"/>
            </w:r>
            <w:r>
              <w:rPr>
                <w:noProof/>
                <w:webHidden/>
              </w:rPr>
              <w:instrText xml:space="preserve"> PAGEREF _Toc225060488 \h </w:instrText>
            </w:r>
            <w:r>
              <w:rPr>
                <w:noProof/>
                <w:webHidden/>
              </w:rPr>
            </w:r>
            <w:r>
              <w:rPr>
                <w:noProof/>
                <w:webHidden/>
              </w:rPr>
              <w:fldChar w:fldCharType="separate"/>
            </w:r>
            <w:r>
              <w:rPr>
                <w:noProof/>
                <w:webHidden/>
              </w:rPr>
              <w:t>18</w:t>
            </w:r>
            <w:r>
              <w:rPr>
                <w:noProof/>
                <w:webHidden/>
              </w:rPr>
              <w:fldChar w:fldCharType="end"/>
            </w:r>
          </w:hyperlink>
        </w:p>
        <w:p w14:paraId="2AA818A7" w14:textId="4CE05EFE" w:rsidR="00A6192F" w:rsidRDefault="00A6192F">
          <w:pPr>
            <w:pStyle w:val="TOC2"/>
            <w:tabs>
              <w:tab w:val="right" w:leader="dot" w:pos="9016"/>
            </w:tabs>
            <w:rPr>
              <w:rFonts w:eastAsiaTheme="minorEastAsia"/>
              <w:noProof/>
              <w:lang w:eastAsia="en-GB"/>
            </w:rPr>
          </w:pPr>
          <w:hyperlink w:anchor="_Toc225060489" w:history="1">
            <w:r w:rsidRPr="00DE17E8">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_Toc225060489 \h </w:instrText>
            </w:r>
            <w:r>
              <w:rPr>
                <w:noProof/>
                <w:webHidden/>
              </w:rPr>
            </w:r>
            <w:r>
              <w:rPr>
                <w:noProof/>
                <w:webHidden/>
              </w:rPr>
              <w:fldChar w:fldCharType="separate"/>
            </w:r>
            <w:r>
              <w:rPr>
                <w:noProof/>
                <w:webHidden/>
              </w:rPr>
              <w:t>18</w:t>
            </w:r>
            <w:r>
              <w:rPr>
                <w:noProof/>
                <w:webHidden/>
              </w:rPr>
              <w:fldChar w:fldCharType="end"/>
            </w:r>
          </w:hyperlink>
        </w:p>
        <w:p w14:paraId="0DC695D0" w14:textId="31AA99E0" w:rsidR="00A6192F" w:rsidRDefault="00A6192F">
          <w:pPr>
            <w:pStyle w:val="TOC2"/>
            <w:tabs>
              <w:tab w:val="right" w:leader="dot" w:pos="9016"/>
            </w:tabs>
            <w:rPr>
              <w:rFonts w:eastAsiaTheme="minorEastAsia"/>
              <w:noProof/>
              <w:lang w:eastAsia="en-GB"/>
            </w:rPr>
          </w:pPr>
          <w:hyperlink w:anchor="_Toc225060490" w:history="1">
            <w:r w:rsidRPr="00DE17E8">
              <w:rPr>
                <w:rStyle w:val="Hyperlink"/>
                <w:rFonts w:ascii="Arial" w:hAnsi="Arial" w:cs="Arial"/>
                <w:b/>
                <w:bCs/>
                <w:noProof/>
              </w:rPr>
              <w:t>3.2 Search Strategy</w:t>
            </w:r>
            <w:r>
              <w:rPr>
                <w:noProof/>
                <w:webHidden/>
              </w:rPr>
              <w:tab/>
            </w:r>
            <w:r>
              <w:rPr>
                <w:noProof/>
                <w:webHidden/>
              </w:rPr>
              <w:fldChar w:fldCharType="begin"/>
            </w:r>
            <w:r>
              <w:rPr>
                <w:noProof/>
                <w:webHidden/>
              </w:rPr>
              <w:instrText xml:space="preserve"> PAGEREF _Toc225060490 \h </w:instrText>
            </w:r>
            <w:r>
              <w:rPr>
                <w:noProof/>
                <w:webHidden/>
              </w:rPr>
            </w:r>
            <w:r>
              <w:rPr>
                <w:noProof/>
                <w:webHidden/>
              </w:rPr>
              <w:fldChar w:fldCharType="separate"/>
            </w:r>
            <w:r>
              <w:rPr>
                <w:noProof/>
                <w:webHidden/>
              </w:rPr>
              <w:t>18</w:t>
            </w:r>
            <w:r>
              <w:rPr>
                <w:noProof/>
                <w:webHidden/>
              </w:rPr>
              <w:fldChar w:fldCharType="end"/>
            </w:r>
          </w:hyperlink>
        </w:p>
        <w:p w14:paraId="166E098F" w14:textId="787E86DB" w:rsidR="00A6192F" w:rsidRDefault="00A6192F">
          <w:pPr>
            <w:pStyle w:val="TOC2"/>
            <w:tabs>
              <w:tab w:val="right" w:leader="dot" w:pos="9016"/>
            </w:tabs>
            <w:rPr>
              <w:rFonts w:eastAsiaTheme="minorEastAsia"/>
              <w:noProof/>
              <w:lang w:eastAsia="en-GB"/>
            </w:rPr>
          </w:pPr>
          <w:hyperlink w:anchor="_Toc225060491" w:history="1">
            <w:r w:rsidRPr="00DE17E8">
              <w:rPr>
                <w:rStyle w:val="Hyperlink"/>
                <w:rFonts w:ascii="Arial" w:hAnsi="Arial" w:cs="Arial"/>
                <w:b/>
                <w:bCs/>
                <w:noProof/>
              </w:rPr>
              <w:t>3.3 Searching for Information</w:t>
            </w:r>
            <w:r>
              <w:rPr>
                <w:noProof/>
                <w:webHidden/>
              </w:rPr>
              <w:tab/>
            </w:r>
            <w:r>
              <w:rPr>
                <w:noProof/>
                <w:webHidden/>
              </w:rPr>
              <w:fldChar w:fldCharType="begin"/>
            </w:r>
            <w:r>
              <w:rPr>
                <w:noProof/>
                <w:webHidden/>
              </w:rPr>
              <w:instrText xml:space="preserve"> PAGEREF _Toc225060491 \h </w:instrText>
            </w:r>
            <w:r>
              <w:rPr>
                <w:noProof/>
                <w:webHidden/>
              </w:rPr>
            </w:r>
            <w:r>
              <w:rPr>
                <w:noProof/>
                <w:webHidden/>
              </w:rPr>
              <w:fldChar w:fldCharType="separate"/>
            </w:r>
            <w:r>
              <w:rPr>
                <w:noProof/>
                <w:webHidden/>
              </w:rPr>
              <w:t>19</w:t>
            </w:r>
            <w:r>
              <w:rPr>
                <w:noProof/>
                <w:webHidden/>
              </w:rPr>
              <w:fldChar w:fldCharType="end"/>
            </w:r>
          </w:hyperlink>
        </w:p>
        <w:p w14:paraId="167160E2" w14:textId="444E4247" w:rsidR="00A6192F" w:rsidRDefault="00A6192F">
          <w:pPr>
            <w:pStyle w:val="TOC2"/>
            <w:tabs>
              <w:tab w:val="right" w:leader="dot" w:pos="9016"/>
            </w:tabs>
            <w:rPr>
              <w:rFonts w:eastAsiaTheme="minorEastAsia"/>
              <w:noProof/>
              <w:lang w:eastAsia="en-GB"/>
            </w:rPr>
          </w:pPr>
          <w:hyperlink w:anchor="_Toc225060492" w:history="1">
            <w:r w:rsidRPr="00DE17E8">
              <w:rPr>
                <w:rStyle w:val="Hyperlink"/>
                <w:rFonts w:ascii="Arial" w:hAnsi="Arial" w:cs="Arial"/>
                <w:b/>
                <w:bCs/>
                <w:noProof/>
              </w:rPr>
              <w:t>3.4 Research Validation</w:t>
            </w:r>
            <w:r>
              <w:rPr>
                <w:noProof/>
                <w:webHidden/>
              </w:rPr>
              <w:tab/>
            </w:r>
            <w:r>
              <w:rPr>
                <w:noProof/>
                <w:webHidden/>
              </w:rPr>
              <w:fldChar w:fldCharType="begin"/>
            </w:r>
            <w:r>
              <w:rPr>
                <w:noProof/>
                <w:webHidden/>
              </w:rPr>
              <w:instrText xml:space="preserve"> PAGEREF _Toc225060492 \h </w:instrText>
            </w:r>
            <w:r>
              <w:rPr>
                <w:noProof/>
                <w:webHidden/>
              </w:rPr>
            </w:r>
            <w:r>
              <w:rPr>
                <w:noProof/>
                <w:webHidden/>
              </w:rPr>
              <w:fldChar w:fldCharType="separate"/>
            </w:r>
            <w:r>
              <w:rPr>
                <w:noProof/>
                <w:webHidden/>
              </w:rPr>
              <w:t>19</w:t>
            </w:r>
            <w:r>
              <w:rPr>
                <w:noProof/>
                <w:webHidden/>
              </w:rPr>
              <w:fldChar w:fldCharType="end"/>
            </w:r>
          </w:hyperlink>
        </w:p>
        <w:p w14:paraId="169E7ED8" w14:textId="17755BDC" w:rsidR="00A6192F" w:rsidRDefault="00A6192F">
          <w:pPr>
            <w:pStyle w:val="TOC2"/>
            <w:tabs>
              <w:tab w:val="right" w:leader="dot" w:pos="9016"/>
            </w:tabs>
            <w:rPr>
              <w:rFonts w:eastAsiaTheme="minorEastAsia"/>
              <w:noProof/>
              <w:lang w:eastAsia="en-GB"/>
            </w:rPr>
          </w:pPr>
          <w:hyperlink w:anchor="_Toc225060493" w:history="1">
            <w:r w:rsidRPr="00DE17E8">
              <w:rPr>
                <w:rStyle w:val="Hyperlink"/>
                <w:rFonts w:ascii="Arial" w:hAnsi="Arial" w:cs="Arial"/>
                <w:b/>
                <w:bCs/>
                <w:noProof/>
              </w:rPr>
              <w:t>3.5 Inclusion and Exclusion Criteria</w:t>
            </w:r>
            <w:r>
              <w:rPr>
                <w:noProof/>
                <w:webHidden/>
              </w:rPr>
              <w:tab/>
            </w:r>
            <w:r>
              <w:rPr>
                <w:noProof/>
                <w:webHidden/>
              </w:rPr>
              <w:fldChar w:fldCharType="begin"/>
            </w:r>
            <w:r>
              <w:rPr>
                <w:noProof/>
                <w:webHidden/>
              </w:rPr>
              <w:instrText xml:space="preserve"> PAGEREF _Toc225060493 \h </w:instrText>
            </w:r>
            <w:r>
              <w:rPr>
                <w:noProof/>
                <w:webHidden/>
              </w:rPr>
            </w:r>
            <w:r>
              <w:rPr>
                <w:noProof/>
                <w:webHidden/>
              </w:rPr>
              <w:fldChar w:fldCharType="separate"/>
            </w:r>
            <w:r>
              <w:rPr>
                <w:noProof/>
                <w:webHidden/>
              </w:rPr>
              <w:t>20</w:t>
            </w:r>
            <w:r>
              <w:rPr>
                <w:noProof/>
                <w:webHidden/>
              </w:rPr>
              <w:fldChar w:fldCharType="end"/>
            </w:r>
          </w:hyperlink>
        </w:p>
        <w:p w14:paraId="5974D58C" w14:textId="384E76DF" w:rsidR="00A6192F" w:rsidRDefault="00A6192F">
          <w:pPr>
            <w:pStyle w:val="TOC2"/>
            <w:tabs>
              <w:tab w:val="right" w:leader="dot" w:pos="9016"/>
            </w:tabs>
            <w:rPr>
              <w:rFonts w:eastAsiaTheme="minorEastAsia"/>
              <w:noProof/>
              <w:lang w:eastAsia="en-GB"/>
            </w:rPr>
          </w:pPr>
          <w:hyperlink w:anchor="_Toc225060494" w:history="1">
            <w:r w:rsidRPr="00DE17E8">
              <w:rPr>
                <w:rStyle w:val="Hyperlink"/>
                <w:rFonts w:ascii="Arial" w:hAnsi="Arial" w:cs="Arial"/>
                <w:b/>
                <w:bCs/>
                <w:noProof/>
              </w:rPr>
              <w:t>3.6 Analysing Research</w:t>
            </w:r>
            <w:r>
              <w:rPr>
                <w:noProof/>
                <w:webHidden/>
              </w:rPr>
              <w:tab/>
            </w:r>
            <w:r>
              <w:rPr>
                <w:noProof/>
                <w:webHidden/>
              </w:rPr>
              <w:fldChar w:fldCharType="begin"/>
            </w:r>
            <w:r>
              <w:rPr>
                <w:noProof/>
                <w:webHidden/>
              </w:rPr>
              <w:instrText xml:space="preserve"> PAGEREF _Toc225060494 \h </w:instrText>
            </w:r>
            <w:r>
              <w:rPr>
                <w:noProof/>
                <w:webHidden/>
              </w:rPr>
            </w:r>
            <w:r>
              <w:rPr>
                <w:noProof/>
                <w:webHidden/>
              </w:rPr>
              <w:fldChar w:fldCharType="separate"/>
            </w:r>
            <w:r>
              <w:rPr>
                <w:noProof/>
                <w:webHidden/>
              </w:rPr>
              <w:t>21</w:t>
            </w:r>
            <w:r>
              <w:rPr>
                <w:noProof/>
                <w:webHidden/>
              </w:rPr>
              <w:fldChar w:fldCharType="end"/>
            </w:r>
          </w:hyperlink>
        </w:p>
        <w:p w14:paraId="723134B9" w14:textId="04D881DD" w:rsidR="00A6192F" w:rsidRDefault="00A6192F">
          <w:pPr>
            <w:pStyle w:val="TOC2"/>
            <w:tabs>
              <w:tab w:val="right" w:leader="dot" w:pos="9016"/>
            </w:tabs>
            <w:rPr>
              <w:rFonts w:eastAsiaTheme="minorEastAsia"/>
              <w:noProof/>
              <w:lang w:eastAsia="en-GB"/>
            </w:rPr>
          </w:pPr>
          <w:hyperlink w:anchor="_Toc225060495" w:history="1">
            <w:r w:rsidRPr="00DE17E8">
              <w:rPr>
                <w:rStyle w:val="Hyperlink"/>
                <w:rFonts w:ascii="Arial" w:hAnsi="Arial" w:cs="Arial"/>
                <w:b/>
                <w:bCs/>
                <w:noProof/>
              </w:rPr>
              <w:t>3.7 Ethical Considerations</w:t>
            </w:r>
            <w:r>
              <w:rPr>
                <w:noProof/>
                <w:webHidden/>
              </w:rPr>
              <w:tab/>
            </w:r>
            <w:r>
              <w:rPr>
                <w:noProof/>
                <w:webHidden/>
              </w:rPr>
              <w:fldChar w:fldCharType="begin"/>
            </w:r>
            <w:r>
              <w:rPr>
                <w:noProof/>
                <w:webHidden/>
              </w:rPr>
              <w:instrText xml:space="preserve"> PAGEREF _Toc225060495 \h </w:instrText>
            </w:r>
            <w:r>
              <w:rPr>
                <w:noProof/>
                <w:webHidden/>
              </w:rPr>
            </w:r>
            <w:r>
              <w:rPr>
                <w:noProof/>
                <w:webHidden/>
              </w:rPr>
              <w:fldChar w:fldCharType="separate"/>
            </w:r>
            <w:r>
              <w:rPr>
                <w:noProof/>
                <w:webHidden/>
              </w:rPr>
              <w:t>21</w:t>
            </w:r>
            <w:r>
              <w:rPr>
                <w:noProof/>
                <w:webHidden/>
              </w:rPr>
              <w:fldChar w:fldCharType="end"/>
            </w:r>
          </w:hyperlink>
        </w:p>
        <w:p w14:paraId="64C08761" w14:textId="2CBE98A0" w:rsidR="00A6192F" w:rsidRDefault="00A6192F">
          <w:pPr>
            <w:pStyle w:val="TOC2"/>
            <w:tabs>
              <w:tab w:val="right" w:leader="dot" w:pos="9016"/>
            </w:tabs>
            <w:rPr>
              <w:rFonts w:eastAsiaTheme="minorEastAsia"/>
              <w:noProof/>
              <w:lang w:eastAsia="en-GB"/>
            </w:rPr>
          </w:pPr>
          <w:hyperlink w:anchor="_Toc225060496" w:history="1">
            <w:r w:rsidRPr="00DE17E8">
              <w:rPr>
                <w:rStyle w:val="Hyperlink"/>
                <w:rFonts w:ascii="Arial" w:hAnsi="Arial" w:cs="Arial"/>
                <w:b/>
                <w:bCs/>
                <w:noProof/>
              </w:rPr>
              <w:t>3.8 Summary</w:t>
            </w:r>
            <w:r>
              <w:rPr>
                <w:noProof/>
                <w:webHidden/>
              </w:rPr>
              <w:tab/>
            </w:r>
            <w:r>
              <w:rPr>
                <w:noProof/>
                <w:webHidden/>
              </w:rPr>
              <w:fldChar w:fldCharType="begin"/>
            </w:r>
            <w:r>
              <w:rPr>
                <w:noProof/>
                <w:webHidden/>
              </w:rPr>
              <w:instrText xml:space="preserve"> PAGEREF _Toc225060496 \h </w:instrText>
            </w:r>
            <w:r>
              <w:rPr>
                <w:noProof/>
                <w:webHidden/>
              </w:rPr>
            </w:r>
            <w:r>
              <w:rPr>
                <w:noProof/>
                <w:webHidden/>
              </w:rPr>
              <w:fldChar w:fldCharType="separate"/>
            </w:r>
            <w:r>
              <w:rPr>
                <w:noProof/>
                <w:webHidden/>
              </w:rPr>
              <w:t>21</w:t>
            </w:r>
            <w:r>
              <w:rPr>
                <w:noProof/>
                <w:webHidden/>
              </w:rPr>
              <w:fldChar w:fldCharType="end"/>
            </w:r>
          </w:hyperlink>
        </w:p>
        <w:p w14:paraId="49167CEA" w14:textId="2B832548" w:rsidR="00A6192F" w:rsidRDefault="00A6192F">
          <w:pPr>
            <w:pStyle w:val="TOC1"/>
            <w:tabs>
              <w:tab w:val="right" w:leader="dot" w:pos="9016"/>
            </w:tabs>
            <w:rPr>
              <w:rFonts w:eastAsiaTheme="minorEastAsia"/>
              <w:noProof/>
              <w:lang w:eastAsia="en-GB"/>
            </w:rPr>
          </w:pPr>
          <w:hyperlink w:anchor="_Toc225060497" w:history="1">
            <w:r w:rsidRPr="00DE17E8">
              <w:rPr>
                <w:rStyle w:val="Hyperlink"/>
                <w:rFonts w:ascii="Arial" w:hAnsi="Arial" w:cs="Arial"/>
                <w:b/>
                <w:bCs/>
                <w:noProof/>
              </w:rPr>
              <w:t>CHAPTER 4 – Results and Discussion</w:t>
            </w:r>
            <w:r>
              <w:rPr>
                <w:noProof/>
                <w:webHidden/>
              </w:rPr>
              <w:tab/>
            </w:r>
            <w:r>
              <w:rPr>
                <w:noProof/>
                <w:webHidden/>
              </w:rPr>
              <w:fldChar w:fldCharType="begin"/>
            </w:r>
            <w:r>
              <w:rPr>
                <w:noProof/>
                <w:webHidden/>
              </w:rPr>
              <w:instrText xml:space="preserve"> PAGEREF _Toc225060497 \h </w:instrText>
            </w:r>
            <w:r>
              <w:rPr>
                <w:noProof/>
                <w:webHidden/>
              </w:rPr>
            </w:r>
            <w:r>
              <w:rPr>
                <w:noProof/>
                <w:webHidden/>
              </w:rPr>
              <w:fldChar w:fldCharType="separate"/>
            </w:r>
            <w:r>
              <w:rPr>
                <w:noProof/>
                <w:webHidden/>
              </w:rPr>
              <w:t>22</w:t>
            </w:r>
            <w:r>
              <w:rPr>
                <w:noProof/>
                <w:webHidden/>
              </w:rPr>
              <w:fldChar w:fldCharType="end"/>
            </w:r>
          </w:hyperlink>
        </w:p>
        <w:p w14:paraId="7EC2ED54" w14:textId="08E7630C" w:rsidR="00A6192F" w:rsidRDefault="00A6192F">
          <w:pPr>
            <w:pStyle w:val="TOC2"/>
            <w:tabs>
              <w:tab w:val="right" w:leader="dot" w:pos="9016"/>
            </w:tabs>
            <w:rPr>
              <w:rFonts w:eastAsiaTheme="minorEastAsia"/>
              <w:noProof/>
              <w:lang w:eastAsia="en-GB"/>
            </w:rPr>
          </w:pPr>
          <w:hyperlink w:anchor="_Toc225060498" w:history="1">
            <w:r w:rsidRPr="00DE17E8">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_Toc225060498 \h </w:instrText>
            </w:r>
            <w:r>
              <w:rPr>
                <w:noProof/>
                <w:webHidden/>
              </w:rPr>
            </w:r>
            <w:r>
              <w:rPr>
                <w:noProof/>
                <w:webHidden/>
              </w:rPr>
              <w:fldChar w:fldCharType="separate"/>
            </w:r>
            <w:r>
              <w:rPr>
                <w:noProof/>
                <w:webHidden/>
              </w:rPr>
              <w:t>22</w:t>
            </w:r>
            <w:r>
              <w:rPr>
                <w:noProof/>
                <w:webHidden/>
              </w:rPr>
              <w:fldChar w:fldCharType="end"/>
            </w:r>
          </w:hyperlink>
        </w:p>
        <w:p w14:paraId="1717A4EE" w14:textId="431D77CA" w:rsidR="00A6192F" w:rsidRDefault="00A6192F">
          <w:pPr>
            <w:pStyle w:val="TOC2"/>
            <w:tabs>
              <w:tab w:val="right" w:leader="dot" w:pos="9016"/>
            </w:tabs>
            <w:rPr>
              <w:rFonts w:eastAsiaTheme="minorEastAsia"/>
              <w:noProof/>
              <w:lang w:eastAsia="en-GB"/>
            </w:rPr>
          </w:pPr>
          <w:hyperlink w:anchor="_Toc225060499" w:history="1">
            <w:r w:rsidRPr="00DE17E8">
              <w:rPr>
                <w:rStyle w:val="Hyperlink"/>
                <w:rFonts w:ascii="Arial" w:hAnsi="Arial" w:cs="Arial"/>
                <w:b/>
                <w:bCs/>
                <w:noProof/>
              </w:rPr>
              <w:t>4.2 Thematic analysis</w:t>
            </w:r>
            <w:r>
              <w:rPr>
                <w:noProof/>
                <w:webHidden/>
              </w:rPr>
              <w:tab/>
            </w:r>
            <w:r>
              <w:rPr>
                <w:noProof/>
                <w:webHidden/>
              </w:rPr>
              <w:fldChar w:fldCharType="begin"/>
            </w:r>
            <w:r>
              <w:rPr>
                <w:noProof/>
                <w:webHidden/>
              </w:rPr>
              <w:instrText xml:space="preserve"> PAGEREF _Toc225060499 \h </w:instrText>
            </w:r>
            <w:r>
              <w:rPr>
                <w:noProof/>
                <w:webHidden/>
              </w:rPr>
            </w:r>
            <w:r>
              <w:rPr>
                <w:noProof/>
                <w:webHidden/>
              </w:rPr>
              <w:fldChar w:fldCharType="separate"/>
            </w:r>
            <w:r>
              <w:rPr>
                <w:noProof/>
                <w:webHidden/>
              </w:rPr>
              <w:t>22</w:t>
            </w:r>
            <w:r>
              <w:rPr>
                <w:noProof/>
                <w:webHidden/>
              </w:rPr>
              <w:fldChar w:fldCharType="end"/>
            </w:r>
          </w:hyperlink>
        </w:p>
        <w:p w14:paraId="011F0A38" w14:textId="19E18AB4" w:rsidR="00A6192F" w:rsidRDefault="00A6192F">
          <w:pPr>
            <w:pStyle w:val="TOC2"/>
            <w:tabs>
              <w:tab w:val="right" w:leader="dot" w:pos="9016"/>
            </w:tabs>
            <w:rPr>
              <w:rFonts w:eastAsiaTheme="minorEastAsia"/>
              <w:noProof/>
              <w:lang w:eastAsia="en-GB"/>
            </w:rPr>
          </w:pPr>
          <w:hyperlink w:anchor="_Toc225060500" w:history="1">
            <w:r w:rsidRPr="00DE17E8">
              <w:rPr>
                <w:rStyle w:val="Hyperlink"/>
                <w:rFonts w:ascii="Arial" w:hAnsi="Arial" w:cs="Arial"/>
                <w:b/>
                <w:bCs/>
                <w:noProof/>
              </w:rPr>
              <w:t>4.3 Theme 1: Access barriers</w:t>
            </w:r>
            <w:r>
              <w:rPr>
                <w:noProof/>
                <w:webHidden/>
              </w:rPr>
              <w:tab/>
            </w:r>
            <w:r>
              <w:rPr>
                <w:noProof/>
                <w:webHidden/>
              </w:rPr>
              <w:fldChar w:fldCharType="begin"/>
            </w:r>
            <w:r>
              <w:rPr>
                <w:noProof/>
                <w:webHidden/>
              </w:rPr>
              <w:instrText xml:space="preserve"> PAGEREF _Toc225060500 \h </w:instrText>
            </w:r>
            <w:r>
              <w:rPr>
                <w:noProof/>
                <w:webHidden/>
              </w:rPr>
            </w:r>
            <w:r>
              <w:rPr>
                <w:noProof/>
                <w:webHidden/>
              </w:rPr>
              <w:fldChar w:fldCharType="separate"/>
            </w:r>
            <w:r>
              <w:rPr>
                <w:noProof/>
                <w:webHidden/>
              </w:rPr>
              <w:t>24</w:t>
            </w:r>
            <w:r>
              <w:rPr>
                <w:noProof/>
                <w:webHidden/>
              </w:rPr>
              <w:fldChar w:fldCharType="end"/>
            </w:r>
          </w:hyperlink>
        </w:p>
        <w:p w14:paraId="1ED7ABF6" w14:textId="2A0AEA4F" w:rsidR="00A6192F" w:rsidRDefault="00A6192F">
          <w:pPr>
            <w:pStyle w:val="TOC2"/>
            <w:tabs>
              <w:tab w:val="right" w:leader="dot" w:pos="9016"/>
            </w:tabs>
            <w:rPr>
              <w:rFonts w:eastAsiaTheme="minorEastAsia"/>
              <w:noProof/>
              <w:lang w:eastAsia="en-GB"/>
            </w:rPr>
          </w:pPr>
          <w:hyperlink w:anchor="_Toc225060501" w:history="1">
            <w:r w:rsidRPr="00DE17E8">
              <w:rPr>
                <w:rStyle w:val="Hyperlink"/>
                <w:rFonts w:ascii="Arial" w:hAnsi="Arial" w:cs="Arial"/>
                <w:b/>
                <w:bCs/>
                <w:noProof/>
              </w:rPr>
              <w:t>4.4 Theme 2: Differences in culture, language perceptions, beliefs, and feelings</w:t>
            </w:r>
            <w:r>
              <w:rPr>
                <w:noProof/>
                <w:webHidden/>
              </w:rPr>
              <w:tab/>
            </w:r>
            <w:r>
              <w:rPr>
                <w:noProof/>
                <w:webHidden/>
              </w:rPr>
              <w:fldChar w:fldCharType="begin"/>
            </w:r>
            <w:r>
              <w:rPr>
                <w:noProof/>
                <w:webHidden/>
              </w:rPr>
              <w:instrText xml:space="preserve"> PAGEREF _Toc225060501 \h </w:instrText>
            </w:r>
            <w:r>
              <w:rPr>
                <w:noProof/>
                <w:webHidden/>
              </w:rPr>
            </w:r>
            <w:r>
              <w:rPr>
                <w:noProof/>
                <w:webHidden/>
              </w:rPr>
              <w:fldChar w:fldCharType="separate"/>
            </w:r>
            <w:r>
              <w:rPr>
                <w:noProof/>
                <w:webHidden/>
              </w:rPr>
              <w:t>29</w:t>
            </w:r>
            <w:r>
              <w:rPr>
                <w:noProof/>
                <w:webHidden/>
              </w:rPr>
              <w:fldChar w:fldCharType="end"/>
            </w:r>
          </w:hyperlink>
        </w:p>
        <w:p w14:paraId="52ECB6E3" w14:textId="430BFB22" w:rsidR="00A6192F" w:rsidRDefault="00A6192F">
          <w:pPr>
            <w:pStyle w:val="TOC2"/>
            <w:tabs>
              <w:tab w:val="right" w:leader="dot" w:pos="9016"/>
            </w:tabs>
            <w:rPr>
              <w:rFonts w:eastAsiaTheme="minorEastAsia"/>
              <w:noProof/>
              <w:lang w:eastAsia="en-GB"/>
            </w:rPr>
          </w:pPr>
          <w:hyperlink w:anchor="_Toc225060502" w:history="1">
            <w:r w:rsidRPr="00DE17E8">
              <w:rPr>
                <w:rStyle w:val="Hyperlink"/>
                <w:rFonts w:ascii="Arial" w:hAnsi="Arial" w:cs="Arial"/>
                <w:b/>
                <w:bCs/>
                <w:noProof/>
              </w:rPr>
              <w:t>4.5 Theme 3: Role of care professionals in navigating and addressing issues in care infrastructure</w:t>
            </w:r>
            <w:r>
              <w:rPr>
                <w:noProof/>
                <w:webHidden/>
              </w:rPr>
              <w:tab/>
            </w:r>
            <w:r>
              <w:rPr>
                <w:noProof/>
                <w:webHidden/>
              </w:rPr>
              <w:fldChar w:fldCharType="begin"/>
            </w:r>
            <w:r>
              <w:rPr>
                <w:noProof/>
                <w:webHidden/>
              </w:rPr>
              <w:instrText xml:space="preserve"> PAGEREF _Toc225060502 \h </w:instrText>
            </w:r>
            <w:r>
              <w:rPr>
                <w:noProof/>
                <w:webHidden/>
              </w:rPr>
            </w:r>
            <w:r>
              <w:rPr>
                <w:noProof/>
                <w:webHidden/>
              </w:rPr>
              <w:fldChar w:fldCharType="separate"/>
            </w:r>
            <w:r>
              <w:rPr>
                <w:noProof/>
                <w:webHidden/>
              </w:rPr>
              <w:t>31</w:t>
            </w:r>
            <w:r>
              <w:rPr>
                <w:noProof/>
                <w:webHidden/>
              </w:rPr>
              <w:fldChar w:fldCharType="end"/>
            </w:r>
          </w:hyperlink>
        </w:p>
        <w:p w14:paraId="5E31027C" w14:textId="5E6F8D20" w:rsidR="00A6192F" w:rsidRDefault="00A6192F">
          <w:pPr>
            <w:pStyle w:val="TOC2"/>
            <w:tabs>
              <w:tab w:val="right" w:leader="dot" w:pos="9016"/>
            </w:tabs>
            <w:rPr>
              <w:rFonts w:eastAsiaTheme="minorEastAsia"/>
              <w:noProof/>
              <w:lang w:eastAsia="en-GB"/>
            </w:rPr>
          </w:pPr>
          <w:hyperlink w:anchor="_Toc225060503" w:history="1">
            <w:r w:rsidRPr="00DE17E8">
              <w:rPr>
                <w:rStyle w:val="Hyperlink"/>
                <w:rFonts w:ascii="Arial" w:hAnsi="Arial" w:cs="Arial"/>
                <w:b/>
                <w:bCs/>
                <w:noProof/>
              </w:rPr>
              <w:t>4.6 Conclusion</w:t>
            </w:r>
            <w:r>
              <w:rPr>
                <w:noProof/>
                <w:webHidden/>
              </w:rPr>
              <w:tab/>
            </w:r>
            <w:r>
              <w:rPr>
                <w:noProof/>
                <w:webHidden/>
              </w:rPr>
              <w:fldChar w:fldCharType="begin"/>
            </w:r>
            <w:r>
              <w:rPr>
                <w:noProof/>
                <w:webHidden/>
              </w:rPr>
              <w:instrText xml:space="preserve"> PAGEREF _Toc225060503 \h </w:instrText>
            </w:r>
            <w:r>
              <w:rPr>
                <w:noProof/>
                <w:webHidden/>
              </w:rPr>
            </w:r>
            <w:r>
              <w:rPr>
                <w:noProof/>
                <w:webHidden/>
              </w:rPr>
              <w:fldChar w:fldCharType="separate"/>
            </w:r>
            <w:r>
              <w:rPr>
                <w:noProof/>
                <w:webHidden/>
              </w:rPr>
              <w:t>33</w:t>
            </w:r>
            <w:r>
              <w:rPr>
                <w:noProof/>
                <w:webHidden/>
              </w:rPr>
              <w:fldChar w:fldCharType="end"/>
            </w:r>
          </w:hyperlink>
        </w:p>
        <w:p w14:paraId="1939334E" w14:textId="4252914D" w:rsidR="00A6192F" w:rsidRDefault="00A6192F">
          <w:pPr>
            <w:pStyle w:val="TOC1"/>
            <w:tabs>
              <w:tab w:val="right" w:leader="dot" w:pos="9016"/>
            </w:tabs>
            <w:rPr>
              <w:rFonts w:eastAsiaTheme="minorEastAsia"/>
              <w:noProof/>
              <w:lang w:eastAsia="en-GB"/>
            </w:rPr>
          </w:pPr>
          <w:hyperlink w:anchor="_Toc225060504" w:history="1">
            <w:r w:rsidRPr="00DE17E8">
              <w:rPr>
                <w:rStyle w:val="Hyperlink"/>
                <w:rFonts w:ascii="Arial" w:hAnsi="Arial" w:cs="Arial"/>
                <w:b/>
                <w:bCs/>
                <w:noProof/>
              </w:rPr>
              <w:t>CHAPTER 5 – Recommendations and Conclusion</w:t>
            </w:r>
            <w:r>
              <w:rPr>
                <w:noProof/>
                <w:webHidden/>
              </w:rPr>
              <w:tab/>
            </w:r>
            <w:r>
              <w:rPr>
                <w:noProof/>
                <w:webHidden/>
              </w:rPr>
              <w:fldChar w:fldCharType="begin"/>
            </w:r>
            <w:r>
              <w:rPr>
                <w:noProof/>
                <w:webHidden/>
              </w:rPr>
              <w:instrText xml:space="preserve"> PAGEREF _Toc225060504 \h </w:instrText>
            </w:r>
            <w:r>
              <w:rPr>
                <w:noProof/>
                <w:webHidden/>
              </w:rPr>
            </w:r>
            <w:r>
              <w:rPr>
                <w:noProof/>
                <w:webHidden/>
              </w:rPr>
              <w:fldChar w:fldCharType="separate"/>
            </w:r>
            <w:r>
              <w:rPr>
                <w:noProof/>
                <w:webHidden/>
              </w:rPr>
              <w:t>34</w:t>
            </w:r>
            <w:r>
              <w:rPr>
                <w:noProof/>
                <w:webHidden/>
              </w:rPr>
              <w:fldChar w:fldCharType="end"/>
            </w:r>
          </w:hyperlink>
        </w:p>
        <w:p w14:paraId="4271EC29" w14:textId="4689E508" w:rsidR="00A6192F" w:rsidRDefault="00A6192F">
          <w:pPr>
            <w:pStyle w:val="TOC2"/>
            <w:tabs>
              <w:tab w:val="right" w:leader="dot" w:pos="9016"/>
            </w:tabs>
            <w:rPr>
              <w:rFonts w:eastAsiaTheme="minorEastAsia"/>
              <w:noProof/>
              <w:lang w:eastAsia="en-GB"/>
            </w:rPr>
          </w:pPr>
          <w:hyperlink w:anchor="_Toc225060505" w:history="1">
            <w:r w:rsidRPr="00DE17E8">
              <w:rPr>
                <w:rStyle w:val="Hyperlink"/>
                <w:rFonts w:ascii="Arial" w:hAnsi="Arial" w:cs="Arial"/>
                <w:b/>
                <w:bCs/>
                <w:noProof/>
              </w:rPr>
              <w:t>5.1 Overall conclusion</w:t>
            </w:r>
            <w:r>
              <w:rPr>
                <w:noProof/>
                <w:webHidden/>
              </w:rPr>
              <w:tab/>
            </w:r>
            <w:r>
              <w:rPr>
                <w:noProof/>
                <w:webHidden/>
              </w:rPr>
              <w:fldChar w:fldCharType="begin"/>
            </w:r>
            <w:r>
              <w:rPr>
                <w:noProof/>
                <w:webHidden/>
              </w:rPr>
              <w:instrText xml:space="preserve"> PAGEREF _Toc225060505 \h </w:instrText>
            </w:r>
            <w:r>
              <w:rPr>
                <w:noProof/>
                <w:webHidden/>
              </w:rPr>
            </w:r>
            <w:r>
              <w:rPr>
                <w:noProof/>
                <w:webHidden/>
              </w:rPr>
              <w:fldChar w:fldCharType="separate"/>
            </w:r>
            <w:r>
              <w:rPr>
                <w:noProof/>
                <w:webHidden/>
              </w:rPr>
              <w:t>34</w:t>
            </w:r>
            <w:r>
              <w:rPr>
                <w:noProof/>
                <w:webHidden/>
              </w:rPr>
              <w:fldChar w:fldCharType="end"/>
            </w:r>
          </w:hyperlink>
        </w:p>
        <w:p w14:paraId="277DBCE9" w14:textId="0EFD2A19" w:rsidR="00A6192F" w:rsidRDefault="00A6192F">
          <w:pPr>
            <w:pStyle w:val="TOC2"/>
            <w:tabs>
              <w:tab w:val="right" w:leader="dot" w:pos="9016"/>
            </w:tabs>
            <w:rPr>
              <w:rFonts w:eastAsiaTheme="minorEastAsia"/>
              <w:noProof/>
              <w:lang w:eastAsia="en-GB"/>
            </w:rPr>
          </w:pPr>
          <w:hyperlink w:anchor="_Toc225060506" w:history="1">
            <w:r w:rsidRPr="00DE17E8">
              <w:rPr>
                <w:rStyle w:val="Hyperlink"/>
                <w:rFonts w:ascii="Arial" w:hAnsi="Arial" w:cs="Arial"/>
                <w:b/>
                <w:bCs/>
                <w:noProof/>
              </w:rPr>
              <w:t>5.2 Recommendations</w:t>
            </w:r>
            <w:r>
              <w:rPr>
                <w:noProof/>
                <w:webHidden/>
              </w:rPr>
              <w:tab/>
            </w:r>
            <w:r>
              <w:rPr>
                <w:noProof/>
                <w:webHidden/>
              </w:rPr>
              <w:fldChar w:fldCharType="begin"/>
            </w:r>
            <w:r>
              <w:rPr>
                <w:noProof/>
                <w:webHidden/>
              </w:rPr>
              <w:instrText xml:space="preserve"> PAGEREF _Toc225060506 \h </w:instrText>
            </w:r>
            <w:r>
              <w:rPr>
                <w:noProof/>
                <w:webHidden/>
              </w:rPr>
            </w:r>
            <w:r>
              <w:rPr>
                <w:noProof/>
                <w:webHidden/>
              </w:rPr>
              <w:fldChar w:fldCharType="separate"/>
            </w:r>
            <w:r>
              <w:rPr>
                <w:noProof/>
                <w:webHidden/>
              </w:rPr>
              <w:t>35</w:t>
            </w:r>
            <w:r>
              <w:rPr>
                <w:noProof/>
                <w:webHidden/>
              </w:rPr>
              <w:fldChar w:fldCharType="end"/>
            </w:r>
          </w:hyperlink>
        </w:p>
        <w:p w14:paraId="1DC4EC38" w14:textId="6595CF30" w:rsidR="00A6192F" w:rsidRDefault="00A6192F">
          <w:pPr>
            <w:pStyle w:val="TOC3"/>
            <w:tabs>
              <w:tab w:val="right" w:leader="dot" w:pos="9016"/>
            </w:tabs>
            <w:rPr>
              <w:rFonts w:eastAsiaTheme="minorEastAsia"/>
              <w:noProof/>
              <w:lang w:eastAsia="en-GB"/>
            </w:rPr>
          </w:pPr>
          <w:hyperlink w:anchor="_Toc225060507" w:history="1">
            <w:r w:rsidRPr="00DE17E8">
              <w:rPr>
                <w:rStyle w:val="Hyperlink"/>
                <w:rFonts w:ascii="Arial" w:hAnsi="Arial" w:cs="Arial"/>
                <w:b/>
                <w:bCs/>
                <w:noProof/>
              </w:rPr>
              <w:t>5.2.1 Recommendation 1</w:t>
            </w:r>
            <w:r>
              <w:rPr>
                <w:noProof/>
                <w:webHidden/>
              </w:rPr>
              <w:tab/>
            </w:r>
            <w:r>
              <w:rPr>
                <w:noProof/>
                <w:webHidden/>
              </w:rPr>
              <w:fldChar w:fldCharType="begin"/>
            </w:r>
            <w:r>
              <w:rPr>
                <w:noProof/>
                <w:webHidden/>
              </w:rPr>
              <w:instrText xml:space="preserve"> PAGEREF _Toc225060507 \h </w:instrText>
            </w:r>
            <w:r>
              <w:rPr>
                <w:noProof/>
                <w:webHidden/>
              </w:rPr>
            </w:r>
            <w:r>
              <w:rPr>
                <w:noProof/>
                <w:webHidden/>
              </w:rPr>
              <w:fldChar w:fldCharType="separate"/>
            </w:r>
            <w:r>
              <w:rPr>
                <w:noProof/>
                <w:webHidden/>
              </w:rPr>
              <w:t>35</w:t>
            </w:r>
            <w:r>
              <w:rPr>
                <w:noProof/>
                <w:webHidden/>
              </w:rPr>
              <w:fldChar w:fldCharType="end"/>
            </w:r>
          </w:hyperlink>
        </w:p>
        <w:p w14:paraId="26A6F550" w14:textId="388AFA6E" w:rsidR="00A6192F" w:rsidRDefault="00A6192F">
          <w:pPr>
            <w:pStyle w:val="TOC3"/>
            <w:tabs>
              <w:tab w:val="right" w:leader="dot" w:pos="9016"/>
            </w:tabs>
            <w:rPr>
              <w:rFonts w:eastAsiaTheme="minorEastAsia"/>
              <w:noProof/>
              <w:lang w:eastAsia="en-GB"/>
            </w:rPr>
          </w:pPr>
          <w:hyperlink w:anchor="_Toc225060508" w:history="1">
            <w:r w:rsidRPr="00DE17E8">
              <w:rPr>
                <w:rStyle w:val="Hyperlink"/>
                <w:rFonts w:ascii="Arial" w:hAnsi="Arial" w:cs="Arial"/>
                <w:b/>
                <w:bCs/>
                <w:noProof/>
              </w:rPr>
              <w:t>5.2.2 Recommendation 2</w:t>
            </w:r>
            <w:r>
              <w:rPr>
                <w:noProof/>
                <w:webHidden/>
              </w:rPr>
              <w:tab/>
            </w:r>
            <w:r>
              <w:rPr>
                <w:noProof/>
                <w:webHidden/>
              </w:rPr>
              <w:fldChar w:fldCharType="begin"/>
            </w:r>
            <w:r>
              <w:rPr>
                <w:noProof/>
                <w:webHidden/>
              </w:rPr>
              <w:instrText xml:space="preserve"> PAGEREF _Toc225060508 \h </w:instrText>
            </w:r>
            <w:r>
              <w:rPr>
                <w:noProof/>
                <w:webHidden/>
              </w:rPr>
            </w:r>
            <w:r>
              <w:rPr>
                <w:noProof/>
                <w:webHidden/>
              </w:rPr>
              <w:fldChar w:fldCharType="separate"/>
            </w:r>
            <w:r>
              <w:rPr>
                <w:noProof/>
                <w:webHidden/>
              </w:rPr>
              <w:t>35</w:t>
            </w:r>
            <w:r>
              <w:rPr>
                <w:noProof/>
                <w:webHidden/>
              </w:rPr>
              <w:fldChar w:fldCharType="end"/>
            </w:r>
          </w:hyperlink>
        </w:p>
        <w:p w14:paraId="6E1DD726" w14:textId="55DF6C9C" w:rsidR="00A6192F" w:rsidRDefault="00A6192F">
          <w:pPr>
            <w:pStyle w:val="TOC3"/>
            <w:tabs>
              <w:tab w:val="right" w:leader="dot" w:pos="9016"/>
            </w:tabs>
            <w:rPr>
              <w:rFonts w:eastAsiaTheme="minorEastAsia"/>
              <w:noProof/>
              <w:lang w:eastAsia="en-GB"/>
            </w:rPr>
          </w:pPr>
          <w:hyperlink w:anchor="_Toc225060509" w:history="1">
            <w:r w:rsidRPr="00DE17E8">
              <w:rPr>
                <w:rStyle w:val="Hyperlink"/>
                <w:rFonts w:ascii="Arial" w:hAnsi="Arial" w:cs="Arial"/>
                <w:b/>
                <w:bCs/>
                <w:noProof/>
              </w:rPr>
              <w:t>5.2.3 Recommendation 3</w:t>
            </w:r>
            <w:r>
              <w:rPr>
                <w:noProof/>
                <w:webHidden/>
              </w:rPr>
              <w:tab/>
            </w:r>
            <w:r>
              <w:rPr>
                <w:noProof/>
                <w:webHidden/>
              </w:rPr>
              <w:fldChar w:fldCharType="begin"/>
            </w:r>
            <w:r>
              <w:rPr>
                <w:noProof/>
                <w:webHidden/>
              </w:rPr>
              <w:instrText xml:space="preserve"> PAGEREF _Toc225060509 \h </w:instrText>
            </w:r>
            <w:r>
              <w:rPr>
                <w:noProof/>
                <w:webHidden/>
              </w:rPr>
            </w:r>
            <w:r>
              <w:rPr>
                <w:noProof/>
                <w:webHidden/>
              </w:rPr>
              <w:fldChar w:fldCharType="separate"/>
            </w:r>
            <w:r>
              <w:rPr>
                <w:noProof/>
                <w:webHidden/>
              </w:rPr>
              <w:t>36</w:t>
            </w:r>
            <w:r>
              <w:rPr>
                <w:noProof/>
                <w:webHidden/>
              </w:rPr>
              <w:fldChar w:fldCharType="end"/>
            </w:r>
          </w:hyperlink>
        </w:p>
        <w:p w14:paraId="09D3CBE3" w14:textId="4A77D7FD" w:rsidR="00A6192F" w:rsidRDefault="00A6192F">
          <w:pPr>
            <w:pStyle w:val="TOC1"/>
            <w:tabs>
              <w:tab w:val="right" w:leader="dot" w:pos="9016"/>
            </w:tabs>
            <w:rPr>
              <w:rFonts w:eastAsiaTheme="minorEastAsia"/>
              <w:noProof/>
              <w:lang w:eastAsia="en-GB"/>
            </w:rPr>
          </w:pPr>
          <w:hyperlink w:anchor="_Toc225060510" w:history="1">
            <w:r w:rsidRPr="00DE17E8">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_Toc225060510 \h </w:instrText>
            </w:r>
            <w:r>
              <w:rPr>
                <w:noProof/>
                <w:webHidden/>
              </w:rPr>
            </w:r>
            <w:r>
              <w:rPr>
                <w:noProof/>
                <w:webHidden/>
              </w:rPr>
              <w:fldChar w:fldCharType="separate"/>
            </w:r>
            <w:r>
              <w:rPr>
                <w:noProof/>
                <w:webHidden/>
              </w:rPr>
              <w:t>38</w:t>
            </w:r>
            <w:r>
              <w:rPr>
                <w:noProof/>
                <w:webHidden/>
              </w:rPr>
              <w:fldChar w:fldCharType="end"/>
            </w:r>
          </w:hyperlink>
        </w:p>
        <w:p w14:paraId="1D417957" w14:textId="5DF2595B" w:rsidR="00A6192F" w:rsidRDefault="00A6192F">
          <w:pPr>
            <w:pStyle w:val="TOC1"/>
            <w:tabs>
              <w:tab w:val="right" w:leader="dot" w:pos="9016"/>
            </w:tabs>
            <w:rPr>
              <w:rFonts w:eastAsiaTheme="minorEastAsia"/>
              <w:noProof/>
              <w:lang w:eastAsia="en-GB"/>
            </w:rPr>
          </w:pPr>
          <w:hyperlink w:anchor="_Toc225060511" w:history="1">
            <w:r w:rsidRPr="00DE17E8">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_Toc225060511 \h </w:instrText>
            </w:r>
            <w:r>
              <w:rPr>
                <w:noProof/>
                <w:webHidden/>
              </w:rPr>
            </w:r>
            <w:r>
              <w:rPr>
                <w:noProof/>
                <w:webHidden/>
              </w:rPr>
              <w:fldChar w:fldCharType="separate"/>
            </w:r>
            <w:r>
              <w:rPr>
                <w:noProof/>
                <w:webHidden/>
              </w:rPr>
              <w:t>47</w:t>
            </w:r>
            <w:r>
              <w:rPr>
                <w:noProof/>
                <w:webHidden/>
              </w:rPr>
              <w:fldChar w:fldCharType="end"/>
            </w:r>
          </w:hyperlink>
        </w:p>
        <w:p w14:paraId="73D8C915" w14:textId="7952A94A" w:rsidR="00A6192F" w:rsidRDefault="00A6192F">
          <w:pPr>
            <w:pStyle w:val="TOC2"/>
            <w:tabs>
              <w:tab w:val="right" w:leader="dot" w:pos="9016"/>
            </w:tabs>
            <w:rPr>
              <w:rFonts w:eastAsiaTheme="minorEastAsia"/>
              <w:noProof/>
              <w:lang w:eastAsia="en-GB"/>
            </w:rPr>
          </w:pPr>
          <w:hyperlink w:anchor="_Toc225060512" w:history="1">
            <w:r w:rsidRPr="00DE17E8">
              <w:rPr>
                <w:rStyle w:val="Hyperlink"/>
                <w:rFonts w:ascii="Arial" w:hAnsi="Arial" w:cs="Arial"/>
                <w:b/>
                <w:bCs/>
                <w:noProof/>
              </w:rPr>
              <w:t>Appendix 1: Source Tracking Table</w:t>
            </w:r>
            <w:r>
              <w:rPr>
                <w:noProof/>
                <w:webHidden/>
              </w:rPr>
              <w:tab/>
            </w:r>
            <w:r>
              <w:rPr>
                <w:noProof/>
                <w:webHidden/>
              </w:rPr>
              <w:fldChar w:fldCharType="begin"/>
            </w:r>
            <w:r>
              <w:rPr>
                <w:noProof/>
                <w:webHidden/>
              </w:rPr>
              <w:instrText xml:space="preserve"> PAGEREF _Toc225060512 \h </w:instrText>
            </w:r>
            <w:r>
              <w:rPr>
                <w:noProof/>
                <w:webHidden/>
              </w:rPr>
            </w:r>
            <w:r>
              <w:rPr>
                <w:noProof/>
                <w:webHidden/>
              </w:rPr>
              <w:fldChar w:fldCharType="separate"/>
            </w:r>
            <w:r>
              <w:rPr>
                <w:noProof/>
                <w:webHidden/>
              </w:rPr>
              <w:t>47</w:t>
            </w:r>
            <w:r>
              <w:rPr>
                <w:noProof/>
                <w:webHidden/>
              </w:rPr>
              <w:fldChar w:fldCharType="end"/>
            </w:r>
          </w:hyperlink>
        </w:p>
        <w:p w14:paraId="5EA71999" w14:textId="67505971" w:rsidR="00A6192F" w:rsidRDefault="00A6192F">
          <w:pPr>
            <w:pStyle w:val="TOC2"/>
            <w:tabs>
              <w:tab w:val="right" w:leader="dot" w:pos="9016"/>
            </w:tabs>
            <w:rPr>
              <w:rFonts w:eastAsiaTheme="minorEastAsia"/>
              <w:noProof/>
              <w:lang w:eastAsia="en-GB"/>
            </w:rPr>
          </w:pPr>
          <w:hyperlink w:anchor="_Toc225060513" w:history="1">
            <w:r w:rsidRPr="00DE17E8">
              <w:rPr>
                <w:rStyle w:val="Hyperlink"/>
                <w:rFonts w:ascii="Arial" w:hAnsi="Arial" w:cs="Arial"/>
                <w:b/>
                <w:bCs/>
                <w:noProof/>
              </w:rPr>
              <w:t>Appendix 2: Results summary sheet</w:t>
            </w:r>
            <w:r>
              <w:rPr>
                <w:noProof/>
                <w:webHidden/>
              </w:rPr>
              <w:tab/>
            </w:r>
            <w:r>
              <w:rPr>
                <w:noProof/>
                <w:webHidden/>
              </w:rPr>
              <w:fldChar w:fldCharType="begin"/>
            </w:r>
            <w:r>
              <w:rPr>
                <w:noProof/>
                <w:webHidden/>
              </w:rPr>
              <w:instrText xml:space="preserve"> PAGEREF _Toc225060513 \h </w:instrText>
            </w:r>
            <w:r>
              <w:rPr>
                <w:noProof/>
                <w:webHidden/>
              </w:rPr>
            </w:r>
            <w:r>
              <w:rPr>
                <w:noProof/>
                <w:webHidden/>
              </w:rPr>
              <w:fldChar w:fldCharType="separate"/>
            </w:r>
            <w:r>
              <w:rPr>
                <w:noProof/>
                <w:webHidden/>
              </w:rPr>
              <w:t>56</w:t>
            </w:r>
            <w:r>
              <w:rPr>
                <w:noProof/>
                <w:webHidden/>
              </w:rPr>
              <w:fldChar w:fldCharType="end"/>
            </w:r>
          </w:hyperlink>
        </w:p>
        <w:p w14:paraId="242C23B6" w14:textId="4B8DDCDF"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b/>
              <w:bCs/>
              <w:noProof/>
              <w:color w:val="000000" w:themeColor="text1"/>
              <w:sz w:val="22"/>
              <w:szCs w:val="22"/>
            </w:rPr>
            <w:fldChar w:fldCharType="end"/>
          </w:r>
        </w:p>
      </w:sdtContent>
    </w:sdt>
    <w:p w14:paraId="4C62B131" w14:textId="77777777" w:rsidR="00D334FC" w:rsidRPr="008F39D4" w:rsidRDefault="00D334FC" w:rsidP="00D334FC">
      <w:pPr>
        <w:spacing w:line="360" w:lineRule="auto"/>
        <w:jc w:val="both"/>
        <w:rPr>
          <w:rFonts w:ascii="Arial" w:hAnsi="Arial" w:cs="Arial"/>
          <w:sz w:val="22"/>
          <w:szCs w:val="22"/>
        </w:rPr>
      </w:pPr>
      <w:r w:rsidRPr="008F39D4">
        <w:rPr>
          <w:rFonts w:ascii="Arial" w:hAnsi="Arial" w:cs="Arial"/>
          <w:sz w:val="22"/>
          <w:szCs w:val="22"/>
        </w:rPr>
        <w:br w:type="page"/>
      </w:r>
    </w:p>
    <w:p w14:paraId="013487DC" w14:textId="77777777" w:rsidR="00D334FC" w:rsidRPr="008F39D4" w:rsidRDefault="00D334FC" w:rsidP="00D334FC">
      <w:pPr>
        <w:pStyle w:val="Heading1"/>
        <w:spacing w:line="360" w:lineRule="auto"/>
        <w:jc w:val="both"/>
        <w:rPr>
          <w:rFonts w:ascii="Arial" w:hAnsi="Arial" w:cs="Arial"/>
          <w:b/>
          <w:bCs/>
          <w:color w:val="000000" w:themeColor="text1"/>
          <w:sz w:val="32"/>
          <w:szCs w:val="32"/>
        </w:rPr>
      </w:pPr>
      <w:bookmarkStart w:id="1" w:name="_Toc225060475"/>
      <w:r w:rsidRPr="008F39D4">
        <w:rPr>
          <w:rFonts w:ascii="Arial" w:hAnsi="Arial" w:cs="Arial"/>
          <w:b/>
          <w:bCs/>
          <w:color w:val="000000" w:themeColor="text1"/>
          <w:sz w:val="32"/>
          <w:szCs w:val="32"/>
        </w:rPr>
        <w:lastRenderedPageBreak/>
        <w:t>CHAPTER 1: Introduction</w:t>
      </w:r>
      <w:bookmarkEnd w:id="1"/>
      <w:r w:rsidRPr="008F39D4">
        <w:rPr>
          <w:rFonts w:ascii="Arial" w:hAnsi="Arial" w:cs="Arial"/>
          <w:b/>
          <w:bCs/>
          <w:color w:val="000000" w:themeColor="text1"/>
          <w:sz w:val="32"/>
          <w:szCs w:val="32"/>
        </w:rPr>
        <w:t xml:space="preserve"> </w:t>
      </w:r>
    </w:p>
    <w:p w14:paraId="574CBB57"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2" w:name="_Toc225060476"/>
      <w:r w:rsidRPr="008F39D4">
        <w:rPr>
          <w:rFonts w:ascii="Arial" w:hAnsi="Arial" w:cs="Arial"/>
          <w:b/>
          <w:bCs/>
          <w:color w:val="000000" w:themeColor="text1"/>
          <w:sz w:val="28"/>
          <w:szCs w:val="28"/>
        </w:rPr>
        <w:t>1.1 Introduction</w:t>
      </w:r>
      <w:bookmarkEnd w:id="2"/>
    </w:p>
    <w:p w14:paraId="35BBF031"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The research is associated with an appropriate exploration of barriers encountered by the Asian population who live in the United Kingdom. This population mostly experiences challenges in accessing the care services available within the country. The initiative considered by the National Health Service indicates that the country is taking substantial measures to ensure equality in the distribution of care services (</w:t>
      </w:r>
      <w:r w:rsidRPr="008F39D4">
        <w:rPr>
          <w:rFonts w:ascii="Arial" w:hAnsi="Arial" w:cs="Arial"/>
          <w:color w:val="000000" w:themeColor="text1"/>
          <w:sz w:val="22"/>
          <w:szCs w:val="22"/>
        </w:rPr>
        <w:t>Percival et al., 2023, p. 1668</w:t>
      </w:r>
      <w:r w:rsidRPr="008F39D4">
        <w:rPr>
          <w:rFonts w:ascii="Arial" w:hAnsi="Arial" w:cs="Arial"/>
          <w:color w:val="000000" w:themeColor="text1"/>
          <w:sz w:val="22"/>
          <w:szCs w:val="22"/>
          <w:lang w:val="en-IN"/>
        </w:rPr>
        <w:t>). However, despite the presence of multiple authorities, the challenges are persistent for the Asian people within the country. The pattern of migration plays an important role in demonstrating the experience of the Asian people significantly (</w:t>
      </w:r>
      <w:r w:rsidRPr="008F39D4">
        <w:rPr>
          <w:rFonts w:ascii="Arial" w:hAnsi="Arial" w:cs="Arial"/>
          <w:color w:val="000000" w:themeColor="text1"/>
          <w:sz w:val="22"/>
          <w:szCs w:val="22"/>
        </w:rPr>
        <w:t>Fu and Wen, 2023, p. 4501</w:t>
      </w:r>
      <w:r w:rsidRPr="008F39D4">
        <w:rPr>
          <w:rFonts w:ascii="Arial" w:hAnsi="Arial" w:cs="Arial"/>
          <w:color w:val="000000" w:themeColor="text1"/>
          <w:sz w:val="22"/>
          <w:szCs w:val="22"/>
          <w:lang w:val="en-IN"/>
        </w:rPr>
        <w:t>). During the recent period, health inequalities have become a notable concern, which is mostly affecting people belonging to the minority population of the country. This situation necessitates the execution of the secondary research so that such issues can be resolved successfully. The study and its outcomes are also expected to deliver improved well-being and lifestyle to the Asian people through the appropriate use of published literature.</w:t>
      </w:r>
    </w:p>
    <w:p w14:paraId="05FA6936"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3" w:name="_Toc225060477"/>
      <w:r w:rsidRPr="008F39D4">
        <w:rPr>
          <w:rFonts w:ascii="Arial" w:hAnsi="Arial" w:cs="Arial"/>
          <w:b/>
          <w:bCs/>
          <w:color w:val="000000" w:themeColor="text1"/>
          <w:sz w:val="28"/>
          <w:szCs w:val="28"/>
        </w:rPr>
        <w:t>1.2 Definitions and Terminology</w:t>
      </w:r>
      <w:bookmarkEnd w:id="3"/>
      <w:r w:rsidRPr="008F39D4">
        <w:rPr>
          <w:rFonts w:ascii="Arial" w:hAnsi="Arial" w:cs="Arial"/>
          <w:b/>
          <w:bCs/>
          <w:color w:val="000000" w:themeColor="text1"/>
          <w:sz w:val="28"/>
          <w:szCs w:val="28"/>
        </w:rPr>
        <w:t xml:space="preserve"> </w:t>
      </w:r>
    </w:p>
    <w:p w14:paraId="72A2F52F"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main definition associated with the research is the Asian population, which indicates people residing in the United Kingdom who belong to Asian countries. Several people of the UK have cultural roots in </w:t>
      </w:r>
      <w:proofErr w:type="gramStart"/>
      <w:r w:rsidRPr="008F39D4">
        <w:rPr>
          <w:rFonts w:ascii="Arial" w:hAnsi="Arial" w:cs="Arial"/>
          <w:color w:val="000000" w:themeColor="text1"/>
          <w:sz w:val="22"/>
          <w:szCs w:val="22"/>
        </w:rPr>
        <w:t>South East</w:t>
      </w:r>
      <w:proofErr w:type="gramEnd"/>
      <w:r w:rsidRPr="008F39D4">
        <w:rPr>
          <w:rFonts w:ascii="Arial" w:hAnsi="Arial" w:cs="Arial"/>
          <w:color w:val="000000" w:themeColor="text1"/>
          <w:sz w:val="22"/>
          <w:szCs w:val="22"/>
        </w:rPr>
        <w:t xml:space="preserve"> or Eastern or South Asia, which is why their culture and beliefs differ from the cultural values of the British people (Ullah and Ming Yit Ho, 2021, p. 194). Identifying the differences in the culture and language and their impact on the accessibility of the people to obtain healthcare services can be regarded as a core focus of the study. Care services can also be considered as a significant concept in this context because they indicate the support and assistance offered to the individuals of a country for improving public health (Van Druten et al., 2022, p. 9). In this case, the psychological support providers, general practices and social workers are collectively considered as stakeholders. These professionals identify the needs of the patients and comply with their cultural beliefs while delivering care to them. An important concept associated with the studies is the barrier, which highlights the obstacles that limit the potential of Asian people to access care services in the UK (Robinson et al., 2022, p. 1435). It often includes financial challenges, language differences and diversity in cultural beliefs, which highlights the barriers.</w:t>
      </w:r>
    </w:p>
    <w:p w14:paraId="70A51198"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4" w:name="_Toc225060478"/>
      <w:r w:rsidRPr="008F39D4">
        <w:rPr>
          <w:rFonts w:ascii="Arial" w:hAnsi="Arial" w:cs="Arial"/>
          <w:b/>
          <w:bCs/>
          <w:color w:val="000000" w:themeColor="text1"/>
          <w:sz w:val="28"/>
          <w:szCs w:val="28"/>
        </w:rPr>
        <w:lastRenderedPageBreak/>
        <w:t>1.3 Rationale for Research</w:t>
      </w:r>
      <w:bookmarkEnd w:id="4"/>
      <w:r w:rsidRPr="008F39D4">
        <w:rPr>
          <w:rFonts w:ascii="Arial" w:hAnsi="Arial" w:cs="Arial"/>
          <w:b/>
          <w:bCs/>
          <w:color w:val="000000" w:themeColor="text1"/>
          <w:sz w:val="28"/>
          <w:szCs w:val="28"/>
        </w:rPr>
        <w:t xml:space="preserve"> </w:t>
      </w:r>
    </w:p>
    <w:p w14:paraId="07A0E870"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research intends to outline the challenges experienced by the Asian population who are currently living in the United Kingdom. This population faces notable challenges in accessing the care facilities. The main reason behind considering the topic is the extensive differences between the cultures of the British people and the Asian individuals (Kitayama and Salvador, 2024, p. 501). Language and cultural beliefs are significant bases of differences between people of both cultural backgrounds. Differences in understanding eventually reduce the awareness of the Asian people regarding available facilities. It also creates challenges for them to access care services equally in the country, like the British population. </w:t>
      </w:r>
    </w:p>
    <w:p w14:paraId="4301B9AC"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The research provides significant insight into the concepts of inclusion and diversity, focusing on the context of public health. The limited opportunities of the Asian people are a drawback in this case because they affect their physical health over time (Abbas et al., 2021, p. 1921). The existing literature hardly focuses on the challenges encountered by the Asian people of the UK while accessing the care services within the country, which can be regarded as a gap in the literature. Understanding the gender and religion of the Asian people can be beneficial in this case for satisfying the research objectives successfully. Despite long-standing national equity strategies, inequalities persist due to structural discrimination, cultural insensitivity, language barriers, inconsistent implementation, and limited engagement with the lived experiences of Asian communities.</w:t>
      </w:r>
    </w:p>
    <w:p w14:paraId="343CE309"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5" w:name="_Toc225060479"/>
      <w:r w:rsidRPr="008F39D4">
        <w:rPr>
          <w:rFonts w:ascii="Arial" w:hAnsi="Arial" w:cs="Arial"/>
          <w:b/>
          <w:bCs/>
          <w:color w:val="000000" w:themeColor="text1"/>
          <w:sz w:val="28"/>
          <w:szCs w:val="28"/>
        </w:rPr>
        <w:t>1.4 Aim and Objectives</w:t>
      </w:r>
      <w:bookmarkEnd w:id="5"/>
      <w:r w:rsidRPr="008F39D4">
        <w:rPr>
          <w:rFonts w:ascii="Arial" w:hAnsi="Arial" w:cs="Arial"/>
          <w:b/>
          <w:bCs/>
          <w:color w:val="000000" w:themeColor="text1"/>
          <w:sz w:val="28"/>
          <w:szCs w:val="28"/>
        </w:rPr>
        <w:t xml:space="preserve"> </w:t>
      </w:r>
    </w:p>
    <w:p w14:paraId="1EDEAB29"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 xml:space="preserve">The purpose of the research is to explore and analyse the barriers that affect the Asian community in accessing health and social care services in the UK, and to identify strategies for improving inclusivity and accessibility. The inequality-related challenges encountered by the population are the prime focus of the dissertation. The study intends to evaluate the local, national and global context while conducting a detailed review of the research context. Identification of the barriers is essential so that practical recommendations can be made for improving equal access of the Asian population to the care services offered by the authorities of the UK. </w:t>
      </w:r>
    </w:p>
    <w:p w14:paraId="5F590408"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The objectives of the research are listed as follows:</w:t>
      </w:r>
    </w:p>
    <w:p w14:paraId="74FC9353" w14:textId="77777777" w:rsidR="00D334FC" w:rsidRPr="008F39D4" w:rsidRDefault="00D334FC" w:rsidP="00D334FC">
      <w:pPr>
        <w:pStyle w:val="ListParagraph"/>
        <w:numPr>
          <w:ilvl w:val="0"/>
          <w:numId w:val="1"/>
        </w:num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 xml:space="preserve">To explore the factors that reduce the access of the Asian population to the available </w:t>
      </w:r>
      <w:r w:rsidRPr="008F39D4">
        <w:rPr>
          <w:rFonts w:ascii="Arial" w:hAnsi="Arial" w:cs="Arial"/>
          <w:color w:val="000000" w:themeColor="text1"/>
          <w:sz w:val="22"/>
          <w:szCs w:val="22"/>
        </w:rPr>
        <w:t xml:space="preserve">health and social care provisions </w:t>
      </w:r>
      <w:r w:rsidRPr="008F39D4">
        <w:rPr>
          <w:rFonts w:ascii="Arial" w:hAnsi="Arial" w:cs="Arial"/>
          <w:color w:val="000000" w:themeColor="text1"/>
          <w:sz w:val="22"/>
          <w:szCs w:val="22"/>
          <w:lang w:val="en-IN"/>
        </w:rPr>
        <w:t>of the UK.</w:t>
      </w:r>
    </w:p>
    <w:p w14:paraId="18ACD0FD" w14:textId="77777777" w:rsidR="00D334FC" w:rsidRPr="008F39D4" w:rsidRDefault="00D334FC" w:rsidP="00D334FC">
      <w:pPr>
        <w:pStyle w:val="ListParagraph"/>
        <w:numPr>
          <w:ilvl w:val="0"/>
          <w:numId w:val="1"/>
        </w:num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To identify the impact of language, tradition and cultural differences on the services available in the UK for improving the health and well-being of the country’s population.</w:t>
      </w:r>
    </w:p>
    <w:p w14:paraId="38DA3AE0" w14:textId="77777777" w:rsidR="00D334FC" w:rsidRPr="008F39D4" w:rsidRDefault="00D334FC" w:rsidP="00D334FC">
      <w:pPr>
        <w:pStyle w:val="ListParagraph"/>
        <w:numPr>
          <w:ilvl w:val="0"/>
          <w:numId w:val="1"/>
        </w:num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lastRenderedPageBreak/>
        <w:t>To analyse the current literature for understanding the perceptions of the Asian population regarding the challenges they face in obtaining care services to improve their quality of life.</w:t>
      </w:r>
    </w:p>
    <w:p w14:paraId="2711695C" w14:textId="77777777" w:rsidR="00D334FC" w:rsidRPr="008F39D4" w:rsidRDefault="00D334FC" w:rsidP="00D334FC">
      <w:pPr>
        <w:pStyle w:val="ListParagraph"/>
        <w:numPr>
          <w:ilvl w:val="0"/>
          <w:numId w:val="1"/>
        </w:num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To evaluate how the care professionals recognise and address the specific challenges experienced by the Asian population of the UK through thematic analysis.</w:t>
      </w:r>
    </w:p>
    <w:p w14:paraId="6203BAEC" w14:textId="77777777" w:rsidR="00D334FC" w:rsidRPr="008F39D4" w:rsidRDefault="00D334FC" w:rsidP="00D334FC">
      <w:pPr>
        <w:pStyle w:val="ListParagraph"/>
        <w:numPr>
          <w:ilvl w:val="0"/>
          <w:numId w:val="1"/>
        </w:num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To establish actionable recommendations for improving the care infrastructure of the UK, along with mitigating discrimination.</w:t>
      </w:r>
    </w:p>
    <w:p w14:paraId="4426DB08"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6" w:name="_Toc225060480"/>
      <w:r w:rsidRPr="008F39D4">
        <w:rPr>
          <w:rFonts w:ascii="Arial" w:hAnsi="Arial" w:cs="Arial"/>
          <w:b/>
          <w:bCs/>
          <w:color w:val="000000" w:themeColor="text1"/>
          <w:sz w:val="28"/>
          <w:szCs w:val="28"/>
        </w:rPr>
        <w:t>1.5 Conclusion</w:t>
      </w:r>
      <w:bookmarkEnd w:id="6"/>
    </w:p>
    <w:p w14:paraId="21AD9FF2"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The first chapter has provided an insight into the purpose of the study regarding the barriers encountered by the Asian population of the UK while accessing health and social care provisions (Kitayama and Salvador, 2024, p. 501). It has demonstrated the background of the study, along with highlighting the importance of executing the research. The overview of the research phenomenon has demonstrated how cultural and language-related differences create challenges for the Asian population of the UK to access the care facilities (Abbas et al., 2021, p. 1921). Identification of the aim and objectives of the study is a significant aspect that demonstrates the direction of the research. The first chapter has highlighted the definition of the core concepts of the study, based on which several literatures are reviewed for setting the background of the research. Outlining appropriate gaps and theoretical frameworks can be regarded as notable components of the second chapter of the dissertation, which can provide an in-depth insight into the existing empirical evidence.</w:t>
      </w:r>
    </w:p>
    <w:p w14:paraId="1CDDB8D2"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br w:type="page"/>
      </w:r>
    </w:p>
    <w:p w14:paraId="010802B8" w14:textId="77777777" w:rsidR="00D334FC" w:rsidRPr="008F39D4" w:rsidRDefault="00D334FC" w:rsidP="00D334FC">
      <w:pPr>
        <w:pStyle w:val="Heading1"/>
        <w:spacing w:line="360" w:lineRule="auto"/>
        <w:jc w:val="both"/>
        <w:rPr>
          <w:rFonts w:ascii="Arial" w:hAnsi="Arial" w:cs="Arial"/>
          <w:b/>
          <w:bCs/>
          <w:color w:val="000000" w:themeColor="text1"/>
          <w:sz w:val="32"/>
          <w:szCs w:val="32"/>
        </w:rPr>
      </w:pPr>
      <w:bookmarkStart w:id="7" w:name="_Toc225060481"/>
      <w:r w:rsidRPr="008F39D4">
        <w:rPr>
          <w:rFonts w:ascii="Arial" w:hAnsi="Arial" w:cs="Arial"/>
          <w:b/>
          <w:bCs/>
          <w:color w:val="000000" w:themeColor="text1"/>
          <w:sz w:val="32"/>
          <w:szCs w:val="32"/>
        </w:rPr>
        <w:lastRenderedPageBreak/>
        <w:t>CHAPTER 2 – Background Information and Analysis</w:t>
      </w:r>
      <w:bookmarkEnd w:id="7"/>
      <w:r w:rsidRPr="008F39D4">
        <w:rPr>
          <w:rFonts w:ascii="Arial" w:hAnsi="Arial" w:cs="Arial"/>
          <w:b/>
          <w:bCs/>
          <w:color w:val="000000" w:themeColor="text1"/>
          <w:sz w:val="32"/>
          <w:szCs w:val="32"/>
        </w:rPr>
        <w:t xml:space="preserve"> </w:t>
      </w:r>
    </w:p>
    <w:p w14:paraId="2B5D09B0"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8" w:name="_Toc225060482"/>
      <w:r w:rsidRPr="008F39D4">
        <w:rPr>
          <w:rFonts w:ascii="Arial" w:hAnsi="Arial" w:cs="Arial"/>
          <w:b/>
          <w:bCs/>
          <w:color w:val="000000" w:themeColor="text1"/>
          <w:sz w:val="28"/>
          <w:szCs w:val="28"/>
        </w:rPr>
        <w:t>2.1 Introduction</w:t>
      </w:r>
      <w:bookmarkEnd w:id="8"/>
      <w:r w:rsidRPr="008F39D4">
        <w:rPr>
          <w:rFonts w:ascii="Arial" w:hAnsi="Arial" w:cs="Arial"/>
          <w:b/>
          <w:bCs/>
          <w:color w:val="000000" w:themeColor="text1"/>
          <w:sz w:val="28"/>
          <w:szCs w:val="28"/>
        </w:rPr>
        <w:t xml:space="preserve"> </w:t>
      </w:r>
    </w:p>
    <w:p w14:paraId="2B496B4C"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 xml:space="preserve"> This chapter will review a white range of peer-reviewed articles so that appropriate insight can be obtained into the existing empirical evidence associated with the research phenomenon. It will evaluate relevant articles that indicate the historical aspects associated with discrimination associated with accessibility to </w:t>
      </w:r>
      <w:r w:rsidRPr="008F39D4">
        <w:rPr>
          <w:rFonts w:ascii="Arial" w:hAnsi="Arial" w:cs="Arial"/>
          <w:color w:val="000000" w:themeColor="text1"/>
          <w:sz w:val="22"/>
          <w:szCs w:val="22"/>
        </w:rPr>
        <w:t>healthcare </w:t>
      </w:r>
      <w:r w:rsidRPr="008F39D4">
        <w:rPr>
          <w:rFonts w:ascii="Arial" w:hAnsi="Arial" w:cs="Arial"/>
          <w:color w:val="000000" w:themeColor="text1"/>
          <w:sz w:val="22"/>
          <w:szCs w:val="22"/>
          <w:lang w:val="en-IN"/>
        </w:rPr>
        <w:t>facilities for the Asian population of the UK. The health belief model, social determinant and behavioural model will be discussed critically for identifying the contribution of the theories to the study. Along with the local and national context, the international aspect of the research phenomenon will be presented as well in the chapter.</w:t>
      </w:r>
    </w:p>
    <w:p w14:paraId="3AA61717"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9" w:name="_Toc225060483"/>
      <w:r w:rsidRPr="008F39D4">
        <w:rPr>
          <w:rFonts w:ascii="Arial" w:hAnsi="Arial" w:cs="Arial"/>
          <w:b/>
          <w:bCs/>
          <w:color w:val="000000" w:themeColor="text1"/>
          <w:sz w:val="28"/>
          <w:szCs w:val="28"/>
        </w:rPr>
        <w:t>2.2 Historical Background</w:t>
      </w:r>
      <w:bookmarkEnd w:id="9"/>
      <w:r w:rsidRPr="008F39D4">
        <w:rPr>
          <w:rFonts w:ascii="Arial" w:hAnsi="Arial" w:cs="Arial"/>
          <w:b/>
          <w:bCs/>
          <w:color w:val="000000" w:themeColor="text1"/>
          <w:sz w:val="28"/>
          <w:szCs w:val="28"/>
        </w:rPr>
        <w:t xml:space="preserve"> </w:t>
      </w:r>
    </w:p>
    <w:p w14:paraId="10D0B2B3"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 xml:space="preserve">Barriers to accessing </w:t>
      </w:r>
      <w:r w:rsidRPr="008F39D4">
        <w:rPr>
          <w:rFonts w:ascii="Arial" w:hAnsi="Arial" w:cs="Arial"/>
          <w:color w:val="000000" w:themeColor="text1"/>
          <w:sz w:val="22"/>
          <w:szCs w:val="22"/>
        </w:rPr>
        <w:t xml:space="preserve">health and social care provisions </w:t>
      </w:r>
      <w:r w:rsidRPr="008F39D4">
        <w:rPr>
          <w:rFonts w:ascii="Arial" w:hAnsi="Arial" w:cs="Arial"/>
          <w:color w:val="000000" w:themeColor="text1"/>
          <w:sz w:val="22"/>
          <w:szCs w:val="22"/>
          <w:lang w:val="en-IN"/>
        </w:rPr>
        <w:t>are a common challenge that is often encountered by the Asian people of the UK. The war that took place during the 1960s initiated migration within the country, and during this period, a wide population entered the UK (</w:t>
      </w:r>
      <w:r w:rsidRPr="008F39D4">
        <w:rPr>
          <w:rFonts w:ascii="Arial" w:hAnsi="Arial" w:cs="Arial"/>
          <w:color w:val="000000" w:themeColor="text1"/>
          <w:sz w:val="22"/>
          <w:szCs w:val="22"/>
        </w:rPr>
        <w:t>Slaven, 2022, p. 53</w:t>
      </w:r>
      <w:r w:rsidRPr="008F39D4">
        <w:rPr>
          <w:rFonts w:ascii="Arial" w:hAnsi="Arial" w:cs="Arial"/>
          <w:color w:val="000000" w:themeColor="text1"/>
          <w:sz w:val="22"/>
          <w:szCs w:val="22"/>
          <w:lang w:val="en-IN"/>
        </w:rPr>
        <w:t>). People mainly from Bangladesh, Pakistan and India migrated within the country during this period, and they started their employment in the care, transportation and textile sectors. During this period, the National Health Service of the country used to offer poor focus on language and cultural diversity in the care service distribution process (</w:t>
      </w:r>
      <w:proofErr w:type="spellStart"/>
      <w:r w:rsidRPr="008F39D4">
        <w:rPr>
          <w:rFonts w:ascii="Arial" w:hAnsi="Arial" w:cs="Arial"/>
          <w:color w:val="000000" w:themeColor="text1"/>
          <w:sz w:val="22"/>
          <w:szCs w:val="22"/>
        </w:rPr>
        <w:t>Katoue</w:t>
      </w:r>
      <w:proofErr w:type="spellEnd"/>
      <w:r w:rsidRPr="008F39D4">
        <w:rPr>
          <w:rFonts w:ascii="Arial" w:hAnsi="Arial" w:cs="Arial"/>
          <w:color w:val="000000" w:themeColor="text1"/>
          <w:sz w:val="22"/>
          <w:szCs w:val="22"/>
        </w:rPr>
        <w:t xml:space="preserve"> et al., 2022, p. 6</w:t>
      </w:r>
      <w:r w:rsidRPr="008F39D4">
        <w:rPr>
          <w:rFonts w:ascii="Arial" w:hAnsi="Arial" w:cs="Arial"/>
          <w:color w:val="000000" w:themeColor="text1"/>
          <w:sz w:val="22"/>
          <w:szCs w:val="22"/>
          <w:lang w:val="en-IN"/>
        </w:rPr>
        <w:t xml:space="preserve">). Therefore, several Asian people started facing challenges in recognising the care infrastructure and obtaining facilities efficiently. Eventually, the inequalities within the country started to expand over time, and they imposed negative impacts on the minority population. </w:t>
      </w:r>
    </w:p>
    <w:p w14:paraId="31643706"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rPr>
        <w:t xml:space="preserve">Existing studies show </w:t>
      </w:r>
      <w:r w:rsidRPr="008F39D4">
        <w:rPr>
          <w:rFonts w:ascii="Arial" w:hAnsi="Arial" w:cs="Arial"/>
          <w:color w:val="000000" w:themeColor="text1"/>
          <w:sz w:val="22"/>
          <w:szCs w:val="22"/>
          <w:lang w:val="en-IN"/>
        </w:rPr>
        <w:t>that language differences are a major barrier in the Asian population phase in the UK. In addition, the cultural difference between the Asian and the British people creates gaps in coordination, which is why the process of accessing the available care services becomes complicated. The Act of Race Relations was established in 1976, which states that discriminating against people based on their race is illegal (</w:t>
      </w:r>
      <w:r w:rsidRPr="008F39D4">
        <w:rPr>
          <w:rFonts w:ascii="Arial" w:hAnsi="Arial" w:cs="Arial"/>
          <w:color w:val="000000" w:themeColor="text1"/>
          <w:sz w:val="22"/>
          <w:szCs w:val="22"/>
        </w:rPr>
        <w:t>Costello and Foster, 2022, p. 248</w:t>
      </w:r>
      <w:r w:rsidRPr="008F39D4">
        <w:rPr>
          <w:rFonts w:ascii="Arial" w:hAnsi="Arial" w:cs="Arial"/>
          <w:color w:val="000000" w:themeColor="text1"/>
          <w:sz w:val="22"/>
          <w:szCs w:val="22"/>
          <w:lang w:val="en-IN"/>
        </w:rPr>
        <w:t>). The introduction of the Equality Act in 2010 was also associated with a similar purpose (</w:t>
      </w:r>
      <w:r w:rsidRPr="008F39D4">
        <w:rPr>
          <w:rFonts w:ascii="Arial" w:hAnsi="Arial" w:cs="Arial"/>
          <w:color w:val="000000" w:themeColor="text1"/>
          <w:sz w:val="22"/>
          <w:szCs w:val="22"/>
        </w:rPr>
        <w:t>Saini et al., 2023, p. 2037</w:t>
      </w:r>
      <w:r w:rsidRPr="008F39D4">
        <w:rPr>
          <w:rFonts w:ascii="Arial" w:hAnsi="Arial" w:cs="Arial"/>
          <w:color w:val="000000" w:themeColor="text1"/>
          <w:sz w:val="22"/>
          <w:szCs w:val="22"/>
          <w:lang w:val="en-IN"/>
        </w:rPr>
        <w:t>). However, despite the introduction of multiple regulations, inequalities are present within the communities during the current era.</w:t>
      </w:r>
    </w:p>
    <w:p w14:paraId="6C9FAB48"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Different organisations, as well as individuals, have made significant contributions towards enhancing the understanding of public health concepts. Mala Rao is a renowned individual who has possessed notable expertise on public health concepts and has indicated the commonality of ethnic inequalities across the healthcare infrastructures (</w:t>
      </w:r>
      <w:proofErr w:type="spellStart"/>
      <w:r w:rsidRPr="008F39D4">
        <w:rPr>
          <w:rFonts w:ascii="Arial" w:hAnsi="Arial" w:cs="Arial"/>
          <w:color w:val="000000" w:themeColor="text1"/>
          <w:sz w:val="22"/>
          <w:szCs w:val="22"/>
        </w:rPr>
        <w:t>Gopichandran</w:t>
      </w:r>
      <w:proofErr w:type="spellEnd"/>
      <w:r w:rsidRPr="008F39D4">
        <w:rPr>
          <w:rFonts w:ascii="Arial" w:hAnsi="Arial" w:cs="Arial"/>
          <w:color w:val="000000" w:themeColor="text1"/>
          <w:sz w:val="22"/>
          <w:szCs w:val="22"/>
        </w:rPr>
        <w:t xml:space="preserve"> and Subramaniam, 2021, p. 10</w:t>
      </w:r>
      <w:r w:rsidRPr="008F39D4">
        <w:rPr>
          <w:rFonts w:ascii="Arial" w:hAnsi="Arial" w:cs="Arial"/>
          <w:color w:val="000000" w:themeColor="text1"/>
          <w:sz w:val="22"/>
          <w:szCs w:val="22"/>
          <w:lang w:val="en-IN"/>
        </w:rPr>
        <w:t xml:space="preserve">). The King’s Fund is a significant organisation in the UK that has </w:t>
      </w:r>
      <w:r w:rsidRPr="008F39D4">
        <w:rPr>
          <w:rFonts w:ascii="Arial" w:hAnsi="Arial" w:cs="Arial"/>
          <w:color w:val="000000" w:themeColor="text1"/>
          <w:sz w:val="22"/>
          <w:szCs w:val="22"/>
          <w:lang w:val="en-IN"/>
        </w:rPr>
        <w:lastRenderedPageBreak/>
        <w:t>demonstrated certain concepts associated with public health. The “NHS Race” can also be regarded as a notable organisation in this case, which has shaped the strategic actions of the government of the nation significantly.</w:t>
      </w:r>
    </w:p>
    <w:p w14:paraId="447ADBA6"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10" w:name="_Toc225060484"/>
      <w:r w:rsidRPr="008F39D4">
        <w:rPr>
          <w:rFonts w:ascii="Arial" w:hAnsi="Arial" w:cs="Arial"/>
          <w:b/>
          <w:bCs/>
          <w:color w:val="000000" w:themeColor="text1"/>
          <w:sz w:val="28"/>
          <w:szCs w:val="28"/>
        </w:rPr>
        <w:t>2.3 Theoretical Background</w:t>
      </w:r>
      <w:bookmarkEnd w:id="10"/>
    </w:p>
    <w:p w14:paraId="384937C3"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The health belief model is one of the most significant theoretical frameworks that evaluates the beliefs of people regarding the influence of their health conditions on their attitudes. The model demonstrates the likelihood of people to utilise different health facilities when they recognise risk factors associated with their well-being (</w:t>
      </w:r>
      <w:proofErr w:type="spellStart"/>
      <w:r w:rsidRPr="008F39D4">
        <w:rPr>
          <w:rFonts w:ascii="Arial" w:hAnsi="Arial" w:cs="Arial"/>
          <w:color w:val="000000" w:themeColor="text1"/>
          <w:sz w:val="22"/>
          <w:szCs w:val="22"/>
        </w:rPr>
        <w:t>Daragmeh</w:t>
      </w:r>
      <w:proofErr w:type="spellEnd"/>
      <w:r w:rsidRPr="008F39D4">
        <w:rPr>
          <w:rFonts w:ascii="Arial" w:hAnsi="Arial" w:cs="Arial"/>
          <w:color w:val="000000" w:themeColor="text1"/>
          <w:sz w:val="22"/>
          <w:szCs w:val="22"/>
        </w:rPr>
        <w:t xml:space="preserve"> et al., 2021, p. 10</w:t>
      </w:r>
      <w:r w:rsidRPr="008F39D4">
        <w:rPr>
          <w:rFonts w:ascii="Arial" w:hAnsi="Arial" w:cs="Arial"/>
          <w:color w:val="000000" w:themeColor="text1"/>
          <w:sz w:val="22"/>
          <w:szCs w:val="22"/>
          <w:lang w:val="en-IN"/>
        </w:rPr>
        <w:t>). The theory makes individuals believe that every illness has severe impacts in the long run, which is why taking immediate measures is essential for resolving the risk factors. Stigma, linguistic difference and cultural factors are significant aspects that influence the well-being of the Asian community. Another important theoretical framework in this context is the behavioural model by Andersen, which is dedicated to the utilisation of care facilities (</w:t>
      </w:r>
      <w:r w:rsidRPr="008F39D4">
        <w:rPr>
          <w:rFonts w:ascii="Arial" w:hAnsi="Arial" w:cs="Arial"/>
          <w:color w:val="000000" w:themeColor="text1"/>
          <w:sz w:val="22"/>
          <w:szCs w:val="22"/>
        </w:rPr>
        <w:t>Alkhawaldeh et al., 2023, p. 1349</w:t>
      </w:r>
      <w:r w:rsidRPr="008F39D4">
        <w:rPr>
          <w:rFonts w:ascii="Arial" w:hAnsi="Arial" w:cs="Arial"/>
          <w:color w:val="000000" w:themeColor="text1"/>
          <w:sz w:val="22"/>
          <w:szCs w:val="22"/>
          <w:lang w:val="en-IN"/>
        </w:rPr>
        <w:t xml:space="preserve">). The model puts significant focus on the need, enabling and predisposing factors. The requirement for </w:t>
      </w:r>
      <w:r w:rsidRPr="008F39D4">
        <w:rPr>
          <w:rFonts w:ascii="Arial" w:hAnsi="Arial" w:cs="Arial"/>
          <w:color w:val="000000" w:themeColor="text1"/>
          <w:sz w:val="22"/>
          <w:szCs w:val="22"/>
        </w:rPr>
        <w:t xml:space="preserve">health and social care provisions </w:t>
      </w:r>
      <w:r w:rsidRPr="008F39D4">
        <w:rPr>
          <w:rFonts w:ascii="Arial" w:hAnsi="Arial" w:cs="Arial"/>
          <w:color w:val="000000" w:themeColor="text1"/>
          <w:sz w:val="22"/>
          <w:szCs w:val="22"/>
          <w:lang w:val="en-IN"/>
        </w:rPr>
        <w:t xml:space="preserve">can be regarded as the need when language and income-related factors are the enabling aspects. In addition, the democratic factors like education, gender and age can be regarded as predisposing elements. In the case of the UK, the Asian communities are mostly affected by the enabling elements which restrict their access to </w:t>
      </w:r>
      <w:r w:rsidRPr="008F39D4">
        <w:rPr>
          <w:rFonts w:ascii="Arial" w:hAnsi="Arial" w:cs="Arial"/>
          <w:color w:val="000000" w:themeColor="text1"/>
          <w:sz w:val="22"/>
          <w:szCs w:val="22"/>
        </w:rPr>
        <w:t>healthcare provisions</w:t>
      </w:r>
      <w:r w:rsidRPr="008F39D4">
        <w:rPr>
          <w:rFonts w:ascii="Arial" w:hAnsi="Arial" w:cs="Arial"/>
          <w:color w:val="000000" w:themeColor="text1"/>
          <w:sz w:val="22"/>
          <w:szCs w:val="22"/>
          <w:lang w:val="en-IN"/>
        </w:rPr>
        <w:t>. The social determinants are another notable concept in this case (</w:t>
      </w:r>
      <w:r w:rsidRPr="008F39D4">
        <w:rPr>
          <w:rFonts w:ascii="Arial" w:hAnsi="Arial" w:cs="Arial"/>
          <w:color w:val="000000" w:themeColor="text1"/>
          <w:sz w:val="22"/>
          <w:szCs w:val="22"/>
        </w:rPr>
        <w:t>Kirkbride et al., 2024, p. 62</w:t>
      </w:r>
      <w:r w:rsidRPr="008F39D4">
        <w:rPr>
          <w:rFonts w:ascii="Arial" w:hAnsi="Arial" w:cs="Arial"/>
          <w:color w:val="000000" w:themeColor="text1"/>
          <w:sz w:val="22"/>
          <w:szCs w:val="22"/>
          <w:lang w:val="en-IN"/>
        </w:rPr>
        <w:t xml:space="preserve">), which is extensively relevant to the study. It evaluates how discrimination based on demographic or cultural factors influences the well-being and health outcomes of individuals. </w:t>
      </w:r>
    </w:p>
    <w:p w14:paraId="6BED001D"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Application of the health belief model demonstrates that it is widely utilised for evaluating the health behaviour of people belonging to the minority population of countries. Cultural beliefs regarding the gender and security of illnesses influence the women of the South Asian communities living in the UK (</w:t>
      </w:r>
      <w:r w:rsidRPr="008F39D4">
        <w:rPr>
          <w:rFonts w:ascii="Arial" w:hAnsi="Arial" w:cs="Arial"/>
          <w:color w:val="000000" w:themeColor="text1"/>
          <w:sz w:val="22"/>
          <w:szCs w:val="22"/>
        </w:rPr>
        <w:t>Sangar and Howe, 2021, p. 348</w:t>
      </w:r>
      <w:r w:rsidRPr="008F39D4">
        <w:rPr>
          <w:rFonts w:ascii="Arial" w:hAnsi="Arial" w:cs="Arial"/>
          <w:color w:val="000000" w:themeColor="text1"/>
          <w:sz w:val="22"/>
          <w:szCs w:val="22"/>
          <w:lang w:val="en-IN"/>
        </w:rPr>
        <w:t>). The application of behavioural models, on the other hand, demonstrates how transportation and language-related challenges perpetuate structural issues which prevent the access of the population to</w:t>
      </w:r>
      <w:r w:rsidRPr="008F39D4">
        <w:rPr>
          <w:rFonts w:ascii="Arial" w:hAnsi="Arial" w:cs="Arial"/>
          <w:color w:val="000000" w:themeColor="text1"/>
          <w:sz w:val="22"/>
          <w:szCs w:val="22"/>
        </w:rPr>
        <w:t xml:space="preserve"> care provisions</w:t>
      </w:r>
      <w:r w:rsidRPr="008F39D4">
        <w:rPr>
          <w:rFonts w:ascii="Arial" w:hAnsi="Arial" w:cs="Arial"/>
          <w:color w:val="000000" w:themeColor="text1"/>
          <w:sz w:val="22"/>
          <w:szCs w:val="22"/>
          <w:lang w:val="en-IN"/>
        </w:rPr>
        <w:t>. The theory of social determinants can also be applied in this context for outlining discrimination among the societal population (</w:t>
      </w:r>
      <w:r w:rsidRPr="008F39D4">
        <w:rPr>
          <w:rFonts w:ascii="Arial" w:hAnsi="Arial" w:cs="Arial"/>
          <w:color w:val="000000" w:themeColor="text1"/>
          <w:sz w:val="22"/>
          <w:szCs w:val="22"/>
        </w:rPr>
        <w:t>Holt-</w:t>
      </w:r>
      <w:proofErr w:type="spellStart"/>
      <w:r w:rsidRPr="008F39D4">
        <w:rPr>
          <w:rFonts w:ascii="Arial" w:hAnsi="Arial" w:cs="Arial"/>
          <w:color w:val="000000" w:themeColor="text1"/>
          <w:sz w:val="22"/>
          <w:szCs w:val="22"/>
        </w:rPr>
        <w:t>Lunstad</w:t>
      </w:r>
      <w:proofErr w:type="spellEnd"/>
      <w:r w:rsidRPr="008F39D4">
        <w:rPr>
          <w:rFonts w:ascii="Arial" w:hAnsi="Arial" w:cs="Arial"/>
          <w:color w:val="000000" w:themeColor="text1"/>
          <w:sz w:val="22"/>
          <w:szCs w:val="22"/>
        </w:rPr>
        <w:t>, 2022, p. 196</w:t>
      </w:r>
      <w:r w:rsidRPr="008F39D4">
        <w:rPr>
          <w:rFonts w:ascii="Arial" w:hAnsi="Arial" w:cs="Arial"/>
          <w:color w:val="000000" w:themeColor="text1"/>
          <w:sz w:val="22"/>
          <w:szCs w:val="22"/>
          <w:lang w:val="en-IN"/>
        </w:rPr>
        <w:t xml:space="preserve">). Lack of access to information associated with public health and lower levels of income are significant determinants in the case of the Asian population of the UK. These factors collectively limit their potential to access available </w:t>
      </w:r>
      <w:r w:rsidRPr="008F39D4">
        <w:rPr>
          <w:rFonts w:ascii="Arial" w:hAnsi="Arial" w:cs="Arial"/>
          <w:color w:val="000000" w:themeColor="text1"/>
          <w:sz w:val="22"/>
          <w:szCs w:val="22"/>
        </w:rPr>
        <w:t>social care provisions</w:t>
      </w:r>
      <w:r w:rsidRPr="008F39D4">
        <w:rPr>
          <w:rFonts w:ascii="Arial" w:hAnsi="Arial" w:cs="Arial"/>
          <w:color w:val="000000" w:themeColor="text1"/>
          <w:sz w:val="22"/>
          <w:szCs w:val="22"/>
          <w:lang w:val="en-IN"/>
        </w:rPr>
        <w:t>.</w:t>
      </w:r>
    </w:p>
    <w:p w14:paraId="7E2A554A"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According to the critical analysis of the model, extensive focus on personal belief and lack of emphasis on cultural factors are the negative aspects of the framework (</w:t>
      </w:r>
      <w:r w:rsidRPr="008F39D4">
        <w:rPr>
          <w:rFonts w:ascii="Arial" w:hAnsi="Arial" w:cs="Arial"/>
          <w:color w:val="000000" w:themeColor="text1"/>
          <w:sz w:val="22"/>
          <w:szCs w:val="22"/>
        </w:rPr>
        <w:t xml:space="preserve">Maddux et al., 2021, </w:t>
      </w:r>
      <w:r w:rsidRPr="008F39D4">
        <w:rPr>
          <w:rFonts w:ascii="Arial" w:hAnsi="Arial" w:cs="Arial"/>
          <w:color w:val="000000" w:themeColor="text1"/>
          <w:sz w:val="22"/>
          <w:szCs w:val="22"/>
        </w:rPr>
        <w:lastRenderedPageBreak/>
        <w:t>p. 347</w:t>
      </w:r>
      <w:r w:rsidRPr="008F39D4">
        <w:rPr>
          <w:rFonts w:ascii="Arial" w:hAnsi="Arial" w:cs="Arial"/>
          <w:color w:val="000000" w:themeColor="text1"/>
          <w:sz w:val="22"/>
          <w:szCs w:val="22"/>
          <w:lang w:val="en-IN"/>
        </w:rPr>
        <w:t>). Similarly, the behavioural model is also evaluated practically with the help of literature, and it indicates that the consideration of economic and social factors is a strength of the theory. However, the lack of potential of the framework to address systemic or cultural differences can be regarded as its limitations (</w:t>
      </w:r>
      <w:r w:rsidRPr="008F39D4">
        <w:rPr>
          <w:rFonts w:ascii="Arial" w:hAnsi="Arial" w:cs="Arial"/>
          <w:color w:val="000000" w:themeColor="text1"/>
          <w:sz w:val="22"/>
          <w:szCs w:val="22"/>
        </w:rPr>
        <w:t>Albakri and Wood</w:t>
      </w:r>
      <w:r w:rsidRPr="008F39D4">
        <w:rPr>
          <w:rFonts w:ascii="Cambria Math" w:hAnsi="Cambria Math" w:cs="Cambria Math"/>
          <w:color w:val="000000" w:themeColor="text1"/>
          <w:sz w:val="22"/>
          <w:szCs w:val="22"/>
        </w:rPr>
        <w:t>‐</w:t>
      </w:r>
      <w:r w:rsidRPr="008F39D4">
        <w:rPr>
          <w:rFonts w:ascii="Arial" w:hAnsi="Arial" w:cs="Arial"/>
          <w:color w:val="000000" w:themeColor="text1"/>
          <w:sz w:val="22"/>
          <w:szCs w:val="22"/>
        </w:rPr>
        <w:t>Harper, 2025, p. 162</w:t>
      </w:r>
      <w:r w:rsidRPr="008F39D4">
        <w:rPr>
          <w:rFonts w:ascii="Arial" w:hAnsi="Arial" w:cs="Arial"/>
          <w:color w:val="000000" w:themeColor="text1"/>
          <w:sz w:val="22"/>
          <w:szCs w:val="22"/>
          <w:lang w:val="en-IN"/>
        </w:rPr>
        <w:t>). The framework associated with the social determinant indicates that societal and structural differences play a crucial role in creating accessibility related differences. On the other hand, excessive generic assumptions during the application can be regarded as a limitation of the framework.</w:t>
      </w:r>
    </w:p>
    <w:p w14:paraId="3916E25B"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Cultural competence theory and cultural humility both emphasise responsiveness to cultural diversity, but cultural competence risks treating culture as static, while cultural humility recognises power imbalances and promotes continuous self-reflection by professionals. The Andersen Behavioural Model explains service use through predisposing, enabling, and need factors, aligning with the Health Belief Model’s focus on individual perceptions of risk, yet both under-address systemic discrimination (</w:t>
      </w:r>
      <w:proofErr w:type="spellStart"/>
      <w:r w:rsidRPr="008F39D4">
        <w:rPr>
          <w:rFonts w:ascii="Arial" w:hAnsi="Arial" w:cs="Arial"/>
          <w:color w:val="000000" w:themeColor="text1"/>
          <w:sz w:val="22"/>
          <w:szCs w:val="22"/>
        </w:rPr>
        <w:t>Daragmeh</w:t>
      </w:r>
      <w:proofErr w:type="spellEnd"/>
      <w:r w:rsidRPr="008F39D4">
        <w:rPr>
          <w:rFonts w:ascii="Arial" w:hAnsi="Arial" w:cs="Arial"/>
          <w:color w:val="000000" w:themeColor="text1"/>
          <w:sz w:val="22"/>
          <w:szCs w:val="22"/>
        </w:rPr>
        <w:t xml:space="preserve"> et al., 2021, p. 10). Intersectionality and structural racism theory extend these models by highlighting how overlapping identities and institutional power structures shape health inequalities. However, while structural racism theory explains root causes, it offers limited guidance for individual behaviour change compared to the Health Belief Model.</w:t>
      </w:r>
    </w:p>
    <w:tbl>
      <w:tblPr>
        <w:tblStyle w:val="TableGrid"/>
        <w:tblW w:w="0" w:type="auto"/>
        <w:tblLook w:val="04A0" w:firstRow="1" w:lastRow="0" w:firstColumn="1" w:lastColumn="0" w:noHBand="0" w:noVBand="1"/>
      </w:tblPr>
      <w:tblGrid>
        <w:gridCol w:w="1980"/>
        <w:gridCol w:w="1665"/>
        <w:gridCol w:w="1573"/>
        <w:gridCol w:w="2009"/>
        <w:gridCol w:w="1789"/>
      </w:tblGrid>
      <w:tr w:rsidR="00D334FC" w:rsidRPr="008F39D4" w14:paraId="2EF5B882" w14:textId="77777777" w:rsidTr="002B4D7F">
        <w:tc>
          <w:tcPr>
            <w:tcW w:w="0" w:type="auto"/>
            <w:hideMark/>
          </w:tcPr>
          <w:p w14:paraId="3DF69B3E" w14:textId="77777777" w:rsidR="00D334FC" w:rsidRPr="008F39D4" w:rsidRDefault="00D334FC" w:rsidP="00D334FC">
            <w:pPr>
              <w:spacing w:after="160"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t>Theory</w:t>
            </w:r>
          </w:p>
        </w:tc>
        <w:tc>
          <w:tcPr>
            <w:tcW w:w="0" w:type="auto"/>
            <w:hideMark/>
          </w:tcPr>
          <w:p w14:paraId="38AE7FBA" w14:textId="77777777" w:rsidR="00D334FC" w:rsidRPr="008F39D4" w:rsidRDefault="00D334FC" w:rsidP="00D334FC">
            <w:pPr>
              <w:spacing w:after="160"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t>Core Focus</w:t>
            </w:r>
          </w:p>
        </w:tc>
        <w:tc>
          <w:tcPr>
            <w:tcW w:w="0" w:type="auto"/>
            <w:hideMark/>
          </w:tcPr>
          <w:p w14:paraId="1966D31F" w14:textId="77777777" w:rsidR="00D334FC" w:rsidRPr="008F39D4" w:rsidRDefault="00D334FC" w:rsidP="00D334FC">
            <w:pPr>
              <w:spacing w:after="160"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t>Key Strengths</w:t>
            </w:r>
          </w:p>
        </w:tc>
        <w:tc>
          <w:tcPr>
            <w:tcW w:w="0" w:type="auto"/>
            <w:hideMark/>
          </w:tcPr>
          <w:p w14:paraId="18BE09DB" w14:textId="77777777" w:rsidR="00D334FC" w:rsidRPr="008F39D4" w:rsidRDefault="00D334FC" w:rsidP="00D334FC">
            <w:pPr>
              <w:spacing w:after="160"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t>Key Limitations</w:t>
            </w:r>
          </w:p>
        </w:tc>
        <w:tc>
          <w:tcPr>
            <w:tcW w:w="0" w:type="auto"/>
            <w:hideMark/>
          </w:tcPr>
          <w:p w14:paraId="4D8CD5DF" w14:textId="77777777" w:rsidR="00D334FC" w:rsidRPr="008F39D4" w:rsidRDefault="00D334FC" w:rsidP="00D334FC">
            <w:pPr>
              <w:spacing w:after="160"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t>Relevance to the Asian Population in the UK</w:t>
            </w:r>
          </w:p>
        </w:tc>
      </w:tr>
      <w:tr w:rsidR="00D334FC" w:rsidRPr="008F39D4" w14:paraId="720240FE" w14:textId="77777777" w:rsidTr="002B4D7F">
        <w:tc>
          <w:tcPr>
            <w:tcW w:w="0" w:type="auto"/>
            <w:hideMark/>
          </w:tcPr>
          <w:p w14:paraId="23B42DAB"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b/>
                <w:bCs/>
                <w:color w:val="000000" w:themeColor="text1"/>
                <w:sz w:val="22"/>
                <w:szCs w:val="22"/>
              </w:rPr>
              <w:t>Health Belief Model (HBM)</w:t>
            </w:r>
          </w:p>
        </w:tc>
        <w:tc>
          <w:tcPr>
            <w:tcW w:w="0" w:type="auto"/>
            <w:hideMark/>
          </w:tcPr>
          <w:p w14:paraId="5248B5D0"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Individual beliefs about health risks, severity, and benefits of action</w:t>
            </w:r>
          </w:p>
        </w:tc>
        <w:tc>
          <w:tcPr>
            <w:tcW w:w="0" w:type="auto"/>
            <w:hideMark/>
          </w:tcPr>
          <w:p w14:paraId="4A73CB59"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Explains health-seeking behaviour and attitudes towards illness and prevention</w:t>
            </w:r>
          </w:p>
        </w:tc>
        <w:tc>
          <w:tcPr>
            <w:tcW w:w="0" w:type="auto"/>
            <w:hideMark/>
          </w:tcPr>
          <w:p w14:paraId="574CE68E"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Overemphasises individual responsibility and underplays cultural and structural barriers</w:t>
            </w:r>
          </w:p>
        </w:tc>
        <w:tc>
          <w:tcPr>
            <w:tcW w:w="0" w:type="auto"/>
            <w:hideMark/>
          </w:tcPr>
          <w:p w14:paraId="3C35AB87"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Useful for understanding stigma, fear, and delayed help-seeking within Asian communities</w:t>
            </w:r>
          </w:p>
        </w:tc>
      </w:tr>
      <w:tr w:rsidR="00D334FC" w:rsidRPr="008F39D4" w14:paraId="4E6BEBB7" w14:textId="77777777" w:rsidTr="002B4D7F">
        <w:tc>
          <w:tcPr>
            <w:tcW w:w="0" w:type="auto"/>
            <w:hideMark/>
          </w:tcPr>
          <w:p w14:paraId="5B844024"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b/>
                <w:bCs/>
                <w:color w:val="000000" w:themeColor="text1"/>
                <w:sz w:val="22"/>
                <w:szCs w:val="22"/>
              </w:rPr>
              <w:t>Andersen Behavioural Model of Health Service Use</w:t>
            </w:r>
          </w:p>
        </w:tc>
        <w:tc>
          <w:tcPr>
            <w:tcW w:w="0" w:type="auto"/>
            <w:hideMark/>
          </w:tcPr>
          <w:p w14:paraId="7B9D8642"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Predisposing, enabling, and need factors influencing </w:t>
            </w:r>
            <w:r w:rsidRPr="008F39D4">
              <w:rPr>
                <w:rFonts w:ascii="Arial" w:hAnsi="Arial" w:cs="Arial"/>
                <w:color w:val="000000" w:themeColor="text1"/>
                <w:sz w:val="22"/>
                <w:szCs w:val="22"/>
              </w:rPr>
              <w:lastRenderedPageBreak/>
              <w:t>service utilisation</w:t>
            </w:r>
          </w:p>
        </w:tc>
        <w:tc>
          <w:tcPr>
            <w:tcW w:w="0" w:type="auto"/>
            <w:hideMark/>
          </w:tcPr>
          <w:p w14:paraId="6534825E"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lastRenderedPageBreak/>
              <w:t xml:space="preserve">Incorporates social and economic factors </w:t>
            </w:r>
            <w:r w:rsidRPr="008F39D4">
              <w:rPr>
                <w:rFonts w:ascii="Arial" w:hAnsi="Arial" w:cs="Arial"/>
                <w:color w:val="000000" w:themeColor="text1"/>
                <w:sz w:val="22"/>
                <w:szCs w:val="22"/>
              </w:rPr>
              <w:lastRenderedPageBreak/>
              <w:t>affecting access</w:t>
            </w:r>
          </w:p>
        </w:tc>
        <w:tc>
          <w:tcPr>
            <w:tcW w:w="0" w:type="auto"/>
            <w:hideMark/>
          </w:tcPr>
          <w:p w14:paraId="2A7A3BAC"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lastRenderedPageBreak/>
              <w:t>Limited focus on cultural identity and systemic discrimination</w:t>
            </w:r>
          </w:p>
        </w:tc>
        <w:tc>
          <w:tcPr>
            <w:tcW w:w="0" w:type="auto"/>
            <w:hideMark/>
          </w:tcPr>
          <w:p w14:paraId="2E500210"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Highlights how language, income, and transport restrict </w:t>
            </w:r>
            <w:r w:rsidRPr="008F39D4">
              <w:rPr>
                <w:rFonts w:ascii="Arial" w:hAnsi="Arial" w:cs="Arial"/>
                <w:color w:val="000000" w:themeColor="text1"/>
                <w:sz w:val="22"/>
                <w:szCs w:val="22"/>
              </w:rPr>
              <w:lastRenderedPageBreak/>
              <w:t>healthcare access for Asian groups</w:t>
            </w:r>
          </w:p>
        </w:tc>
      </w:tr>
      <w:tr w:rsidR="00D334FC" w:rsidRPr="008F39D4" w14:paraId="69E85CC5" w14:textId="77777777" w:rsidTr="002B4D7F">
        <w:tc>
          <w:tcPr>
            <w:tcW w:w="0" w:type="auto"/>
            <w:hideMark/>
          </w:tcPr>
          <w:p w14:paraId="1D3EA566"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b/>
                <w:bCs/>
                <w:color w:val="000000" w:themeColor="text1"/>
                <w:sz w:val="22"/>
                <w:szCs w:val="22"/>
              </w:rPr>
              <w:t>Cultural Competence Theory</w:t>
            </w:r>
          </w:p>
        </w:tc>
        <w:tc>
          <w:tcPr>
            <w:tcW w:w="0" w:type="auto"/>
            <w:hideMark/>
          </w:tcPr>
          <w:p w14:paraId="075BEC56"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Ability of professionals to deliver culturally appropriate care</w:t>
            </w:r>
          </w:p>
        </w:tc>
        <w:tc>
          <w:tcPr>
            <w:tcW w:w="0" w:type="auto"/>
            <w:hideMark/>
          </w:tcPr>
          <w:p w14:paraId="6C864E25"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Promotes awareness of cultural differences in care delivery</w:t>
            </w:r>
          </w:p>
        </w:tc>
        <w:tc>
          <w:tcPr>
            <w:tcW w:w="0" w:type="auto"/>
            <w:hideMark/>
          </w:tcPr>
          <w:p w14:paraId="7770D667"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Treats culture as static and risks stereotyping</w:t>
            </w:r>
          </w:p>
        </w:tc>
        <w:tc>
          <w:tcPr>
            <w:tcW w:w="0" w:type="auto"/>
            <w:hideMark/>
          </w:tcPr>
          <w:p w14:paraId="3EDE1C16"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Supports culturally tailored services but may oversimplify diverse Asian identities</w:t>
            </w:r>
          </w:p>
        </w:tc>
      </w:tr>
      <w:tr w:rsidR="00D334FC" w:rsidRPr="008F39D4" w14:paraId="377EAC99" w14:textId="77777777" w:rsidTr="002B4D7F">
        <w:tc>
          <w:tcPr>
            <w:tcW w:w="0" w:type="auto"/>
            <w:hideMark/>
          </w:tcPr>
          <w:p w14:paraId="123BD72C"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b/>
                <w:bCs/>
                <w:color w:val="000000" w:themeColor="text1"/>
                <w:sz w:val="22"/>
                <w:szCs w:val="22"/>
              </w:rPr>
              <w:t>Cultural Humility</w:t>
            </w:r>
          </w:p>
        </w:tc>
        <w:tc>
          <w:tcPr>
            <w:tcW w:w="0" w:type="auto"/>
            <w:hideMark/>
          </w:tcPr>
          <w:p w14:paraId="1CBA7227"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Ongoing self-reflection, power awareness, and learning in care practice</w:t>
            </w:r>
          </w:p>
        </w:tc>
        <w:tc>
          <w:tcPr>
            <w:tcW w:w="0" w:type="auto"/>
            <w:hideMark/>
          </w:tcPr>
          <w:p w14:paraId="37B9FA5D"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Addresses power imbalances and </w:t>
            </w:r>
            <w:proofErr w:type="gramStart"/>
            <w:r w:rsidRPr="008F39D4">
              <w:rPr>
                <w:rFonts w:ascii="Arial" w:hAnsi="Arial" w:cs="Arial"/>
                <w:color w:val="000000" w:themeColor="text1"/>
                <w:sz w:val="22"/>
                <w:szCs w:val="22"/>
              </w:rPr>
              <w:t>promotes</w:t>
            </w:r>
            <w:proofErr w:type="gramEnd"/>
            <w:r w:rsidRPr="008F39D4">
              <w:rPr>
                <w:rFonts w:ascii="Arial" w:hAnsi="Arial" w:cs="Arial"/>
                <w:color w:val="000000" w:themeColor="text1"/>
                <w:sz w:val="22"/>
                <w:szCs w:val="22"/>
              </w:rPr>
              <w:t xml:space="preserve"> patient-centred care</w:t>
            </w:r>
          </w:p>
        </w:tc>
        <w:tc>
          <w:tcPr>
            <w:tcW w:w="0" w:type="auto"/>
            <w:hideMark/>
          </w:tcPr>
          <w:p w14:paraId="74C6A476"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Lacks clear measurement and implementation frameworks</w:t>
            </w:r>
          </w:p>
        </w:tc>
        <w:tc>
          <w:tcPr>
            <w:tcW w:w="0" w:type="auto"/>
            <w:hideMark/>
          </w:tcPr>
          <w:p w14:paraId="03A04B8A"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Encourages trust-building and respectful engagement with Asian service users</w:t>
            </w:r>
          </w:p>
        </w:tc>
      </w:tr>
      <w:tr w:rsidR="00D334FC" w:rsidRPr="008F39D4" w14:paraId="27B39032" w14:textId="77777777" w:rsidTr="002B4D7F">
        <w:tc>
          <w:tcPr>
            <w:tcW w:w="0" w:type="auto"/>
            <w:hideMark/>
          </w:tcPr>
          <w:p w14:paraId="11B03DA8"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b/>
                <w:bCs/>
                <w:color w:val="000000" w:themeColor="text1"/>
                <w:sz w:val="22"/>
                <w:szCs w:val="22"/>
              </w:rPr>
              <w:t>Intersectionality Theory</w:t>
            </w:r>
          </w:p>
        </w:tc>
        <w:tc>
          <w:tcPr>
            <w:tcW w:w="0" w:type="auto"/>
            <w:hideMark/>
          </w:tcPr>
          <w:p w14:paraId="313A01DE"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Overlapping identities such as ethnicity, gender, and migration status</w:t>
            </w:r>
          </w:p>
        </w:tc>
        <w:tc>
          <w:tcPr>
            <w:tcW w:w="0" w:type="auto"/>
            <w:hideMark/>
          </w:tcPr>
          <w:p w14:paraId="19665F18"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Explains complex, layered inequalities</w:t>
            </w:r>
          </w:p>
        </w:tc>
        <w:tc>
          <w:tcPr>
            <w:tcW w:w="0" w:type="auto"/>
            <w:hideMark/>
          </w:tcPr>
          <w:p w14:paraId="075ACD1A"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Can be difficult to operationalise in practice</w:t>
            </w:r>
          </w:p>
        </w:tc>
        <w:tc>
          <w:tcPr>
            <w:tcW w:w="0" w:type="auto"/>
            <w:hideMark/>
          </w:tcPr>
          <w:p w14:paraId="417B0675"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Helps understand the compounded disadvantages faced by Asian women and migrants</w:t>
            </w:r>
          </w:p>
        </w:tc>
      </w:tr>
      <w:tr w:rsidR="00D334FC" w:rsidRPr="008F39D4" w14:paraId="19350067" w14:textId="77777777" w:rsidTr="002B4D7F">
        <w:tc>
          <w:tcPr>
            <w:tcW w:w="0" w:type="auto"/>
            <w:hideMark/>
          </w:tcPr>
          <w:p w14:paraId="2EAF91E7"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b/>
                <w:bCs/>
                <w:color w:val="000000" w:themeColor="text1"/>
                <w:sz w:val="22"/>
                <w:szCs w:val="22"/>
              </w:rPr>
              <w:t>Structural Racism Theory</w:t>
            </w:r>
          </w:p>
        </w:tc>
        <w:tc>
          <w:tcPr>
            <w:tcW w:w="0" w:type="auto"/>
            <w:hideMark/>
          </w:tcPr>
          <w:p w14:paraId="207D0630"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Institutional policies and systems produce unequal outcomes</w:t>
            </w:r>
          </w:p>
        </w:tc>
        <w:tc>
          <w:tcPr>
            <w:tcW w:w="0" w:type="auto"/>
            <w:hideMark/>
          </w:tcPr>
          <w:p w14:paraId="77632CE9"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Identifies root causes of persistent health inequalities</w:t>
            </w:r>
          </w:p>
        </w:tc>
        <w:tc>
          <w:tcPr>
            <w:tcW w:w="0" w:type="auto"/>
            <w:hideMark/>
          </w:tcPr>
          <w:p w14:paraId="32BEDFCE"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Limited guidance for individual-level interventions</w:t>
            </w:r>
          </w:p>
        </w:tc>
        <w:tc>
          <w:tcPr>
            <w:tcW w:w="0" w:type="auto"/>
            <w:hideMark/>
          </w:tcPr>
          <w:p w14:paraId="5F9CB0BC" w14:textId="77777777" w:rsidR="00D334FC" w:rsidRPr="008F39D4" w:rsidRDefault="00D334FC" w:rsidP="00D334FC">
            <w:pPr>
              <w:spacing w:after="160"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Explains systemic discrimination affecting Asian populations in UK healthcare</w:t>
            </w:r>
          </w:p>
        </w:tc>
      </w:tr>
    </w:tbl>
    <w:p w14:paraId="215D3CAC" w14:textId="77777777" w:rsidR="00D334FC" w:rsidRPr="008F39D4" w:rsidRDefault="00D334FC" w:rsidP="00D334FC">
      <w:pPr>
        <w:spacing w:line="360" w:lineRule="auto"/>
        <w:jc w:val="both"/>
        <w:rPr>
          <w:rFonts w:ascii="Arial" w:hAnsi="Arial" w:cs="Arial"/>
          <w:b/>
          <w:bCs/>
          <w:color w:val="000000" w:themeColor="text1"/>
          <w:sz w:val="22"/>
          <w:szCs w:val="22"/>
          <w:lang w:val="en-IN"/>
        </w:rPr>
      </w:pPr>
      <w:r w:rsidRPr="008F39D4">
        <w:rPr>
          <w:rFonts w:ascii="Arial" w:hAnsi="Arial" w:cs="Arial"/>
          <w:b/>
          <w:bCs/>
          <w:color w:val="000000" w:themeColor="text1"/>
          <w:sz w:val="22"/>
          <w:szCs w:val="22"/>
          <w:lang w:val="en-IN"/>
        </w:rPr>
        <w:t>Figure 1: Comparison of theories</w:t>
      </w:r>
    </w:p>
    <w:p w14:paraId="10ED5061"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(Source: Self-developed)</w:t>
      </w:r>
    </w:p>
    <w:p w14:paraId="7B314E0F"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11" w:name="_Toc225060485"/>
      <w:r w:rsidRPr="008F39D4">
        <w:rPr>
          <w:rFonts w:ascii="Arial" w:hAnsi="Arial" w:cs="Arial"/>
          <w:b/>
          <w:bCs/>
          <w:color w:val="000000" w:themeColor="text1"/>
          <w:sz w:val="28"/>
          <w:szCs w:val="28"/>
        </w:rPr>
        <w:lastRenderedPageBreak/>
        <w:t>2.4 International Context</w:t>
      </w:r>
      <w:bookmarkEnd w:id="11"/>
    </w:p>
    <w:p w14:paraId="2D8C97D3"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Access to care services can be regarded as one of the most significant challenges around the world. It is a common issue, and it indicates the significance of providing fair opportunities to all individuals in care facilities, irrespective of their community or background. Minority populations across the world often experience challenges in accessing these facilities, which is why it can be regarded as a drawback for these people (</w:t>
      </w:r>
      <w:r w:rsidRPr="008F39D4">
        <w:rPr>
          <w:rFonts w:ascii="Arial" w:hAnsi="Arial" w:cs="Arial"/>
          <w:color w:val="000000" w:themeColor="text1"/>
          <w:sz w:val="22"/>
          <w:szCs w:val="22"/>
        </w:rPr>
        <w:t>Brown et al., 2023, p. 609</w:t>
      </w:r>
      <w:r w:rsidRPr="008F39D4">
        <w:rPr>
          <w:rFonts w:ascii="Arial" w:hAnsi="Arial" w:cs="Arial"/>
          <w:color w:val="000000" w:themeColor="text1"/>
          <w:sz w:val="22"/>
          <w:szCs w:val="22"/>
          <w:lang w:val="en-IN"/>
        </w:rPr>
        <w:t xml:space="preserve">). Australia and the United States are remarkable nations worldwide that mostly experience these challenges associated with the UK’s Asian community. The governments of these countries have outlined that sensitivity initiated by the cultural differences of the people needs to be understood appropriately while offering </w:t>
      </w:r>
      <w:r w:rsidRPr="008F39D4">
        <w:rPr>
          <w:rFonts w:ascii="Arial" w:hAnsi="Arial" w:cs="Arial"/>
          <w:color w:val="000000" w:themeColor="text1"/>
          <w:sz w:val="22"/>
          <w:szCs w:val="22"/>
        </w:rPr>
        <w:t>health and social care provisions</w:t>
      </w:r>
      <w:r w:rsidRPr="008F39D4">
        <w:rPr>
          <w:rFonts w:ascii="Arial" w:hAnsi="Arial" w:cs="Arial"/>
          <w:color w:val="000000" w:themeColor="text1"/>
          <w:sz w:val="22"/>
          <w:szCs w:val="22"/>
          <w:lang w:val="en-IN"/>
        </w:rPr>
        <w:t>. Appropriate cultural competence is essential among the care service providers, which includes the nursing professionals, doctors and other social workers (</w:t>
      </w:r>
      <w:r w:rsidRPr="008F39D4">
        <w:rPr>
          <w:rFonts w:ascii="Arial" w:hAnsi="Arial" w:cs="Arial"/>
          <w:color w:val="000000" w:themeColor="text1"/>
          <w:sz w:val="22"/>
          <w:szCs w:val="22"/>
        </w:rPr>
        <w:t>Kangasniemi et al., 2022, p. 407</w:t>
      </w:r>
      <w:r w:rsidRPr="008F39D4">
        <w:rPr>
          <w:rFonts w:ascii="Arial" w:hAnsi="Arial" w:cs="Arial"/>
          <w:color w:val="000000" w:themeColor="text1"/>
          <w:sz w:val="22"/>
          <w:szCs w:val="22"/>
          <w:lang w:val="en-IN"/>
        </w:rPr>
        <w:t xml:space="preserve">). Understanding the cultural beliefs of the patients is essential so that high-quality </w:t>
      </w:r>
      <w:r w:rsidRPr="008F39D4">
        <w:rPr>
          <w:rFonts w:ascii="Arial" w:hAnsi="Arial" w:cs="Arial"/>
          <w:color w:val="000000" w:themeColor="text1"/>
          <w:sz w:val="22"/>
          <w:szCs w:val="22"/>
        </w:rPr>
        <w:t xml:space="preserve">healthcare provisions </w:t>
      </w:r>
      <w:r w:rsidRPr="008F39D4">
        <w:rPr>
          <w:rFonts w:ascii="Arial" w:hAnsi="Arial" w:cs="Arial"/>
          <w:color w:val="000000" w:themeColor="text1"/>
          <w:sz w:val="22"/>
          <w:szCs w:val="22"/>
          <w:lang w:val="en-IN"/>
        </w:rPr>
        <w:t xml:space="preserve">can be provided to them. Global organisations, such as the United Nations and the World Health Organisation, have developed significant policies and practices to successfully mitigate discrimination among diverse populations. </w:t>
      </w:r>
    </w:p>
    <w:p w14:paraId="05A95598"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The comparative evaluation demonstrates that inequalities are evident across countries worldwide. Australia can be regarded as a notable example in this case, which has established significant policies for offering multicultural clinical services to the people of the country. The country demonstrates a notable Association between the leaders of the communities and the care sectors, which is why ensuring the accessibility of the people to the basic rights becomes easier for them. Multicultural programs are launched in the care sector of Canada as well, which ensures appropriate training and development programmes for the care professionals (</w:t>
      </w:r>
      <w:r w:rsidRPr="008F39D4">
        <w:rPr>
          <w:rFonts w:ascii="Arial" w:hAnsi="Arial" w:cs="Arial"/>
          <w:color w:val="000000" w:themeColor="text1"/>
          <w:sz w:val="22"/>
          <w:szCs w:val="22"/>
        </w:rPr>
        <w:t>Velázquez, 2024, p. 43</w:t>
      </w:r>
      <w:r w:rsidRPr="008F39D4">
        <w:rPr>
          <w:rFonts w:ascii="Arial" w:hAnsi="Arial" w:cs="Arial"/>
          <w:color w:val="000000" w:themeColor="text1"/>
          <w:sz w:val="22"/>
          <w:szCs w:val="22"/>
          <w:lang w:val="en-IN"/>
        </w:rPr>
        <w:t>). The government of the country efficiently utilises its funds for offering equal access to care facilities to the immigrants of the country. Complicated challenges are encountered by the healthcare system of the United States, which is mostly based on insurance. The Asian population and other immigrants in the country experience challenges in accessing clinical facilities appropriately (</w:t>
      </w:r>
      <w:r w:rsidRPr="008F39D4">
        <w:rPr>
          <w:rFonts w:ascii="Arial" w:hAnsi="Arial" w:cs="Arial"/>
          <w:color w:val="000000" w:themeColor="text1"/>
          <w:sz w:val="22"/>
          <w:szCs w:val="22"/>
        </w:rPr>
        <w:t>Vakil et al., 2023, p. 285</w:t>
      </w:r>
      <w:r w:rsidRPr="008F39D4">
        <w:rPr>
          <w:rFonts w:ascii="Arial" w:hAnsi="Arial" w:cs="Arial"/>
          <w:color w:val="000000" w:themeColor="text1"/>
          <w:sz w:val="22"/>
          <w:szCs w:val="22"/>
          <w:lang w:val="en-IN"/>
        </w:rPr>
        <w:t xml:space="preserve">), which can be regarded as a drawback in this context. The World Health Organisation has launched an initiative named Health for All, which is a structured framework for ensuring equal access for all individuals to </w:t>
      </w:r>
      <w:r w:rsidRPr="008F39D4">
        <w:rPr>
          <w:rFonts w:ascii="Arial" w:hAnsi="Arial" w:cs="Arial"/>
          <w:color w:val="000000" w:themeColor="text1"/>
          <w:sz w:val="22"/>
          <w:szCs w:val="22"/>
        </w:rPr>
        <w:t>healthcare services</w:t>
      </w:r>
      <w:r w:rsidRPr="008F39D4">
        <w:rPr>
          <w:rFonts w:ascii="Arial" w:hAnsi="Arial" w:cs="Arial"/>
          <w:color w:val="000000" w:themeColor="text1"/>
          <w:sz w:val="22"/>
          <w:szCs w:val="22"/>
          <w:lang w:val="en-IN"/>
        </w:rPr>
        <w:t>.</w:t>
      </w:r>
    </w:p>
    <w:p w14:paraId="4C4556D3"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 xml:space="preserve">Several case studies can also be </w:t>
      </w:r>
      <w:proofErr w:type="gramStart"/>
      <w:r w:rsidRPr="008F39D4">
        <w:rPr>
          <w:rFonts w:ascii="Arial" w:hAnsi="Arial" w:cs="Arial"/>
          <w:color w:val="000000" w:themeColor="text1"/>
          <w:sz w:val="22"/>
          <w:szCs w:val="22"/>
          <w:lang w:val="en-IN"/>
        </w:rPr>
        <w:t>taken into account</w:t>
      </w:r>
      <w:proofErr w:type="gramEnd"/>
      <w:r w:rsidRPr="008F39D4">
        <w:rPr>
          <w:rFonts w:ascii="Arial" w:hAnsi="Arial" w:cs="Arial"/>
          <w:color w:val="000000" w:themeColor="text1"/>
          <w:sz w:val="22"/>
          <w:szCs w:val="22"/>
          <w:lang w:val="en-IN"/>
        </w:rPr>
        <w:t xml:space="preserve"> in the scenario to highlight the international context more efficiently. The health foundation of the United Kingdom dedicated to the South Asian population is a notable initiative which plays an important role in enhancing access and awareness of the Asian people of the country regarding the available care facilities </w:t>
      </w:r>
      <w:r w:rsidRPr="008F39D4">
        <w:rPr>
          <w:rFonts w:ascii="Arial" w:hAnsi="Arial" w:cs="Arial"/>
          <w:color w:val="000000" w:themeColor="text1"/>
          <w:sz w:val="22"/>
          <w:szCs w:val="22"/>
          <w:lang w:val="en-IN"/>
        </w:rPr>
        <w:lastRenderedPageBreak/>
        <w:t>(</w:t>
      </w:r>
      <w:r w:rsidRPr="008F39D4">
        <w:rPr>
          <w:rFonts w:ascii="Arial" w:hAnsi="Arial" w:cs="Arial"/>
          <w:color w:val="000000" w:themeColor="text1"/>
          <w:sz w:val="22"/>
          <w:szCs w:val="22"/>
        </w:rPr>
        <w:t>He and Tang, 2021, p. 353</w:t>
      </w:r>
      <w:r w:rsidRPr="008F39D4">
        <w:rPr>
          <w:rFonts w:ascii="Arial" w:hAnsi="Arial" w:cs="Arial"/>
          <w:color w:val="000000" w:themeColor="text1"/>
          <w:sz w:val="22"/>
          <w:szCs w:val="22"/>
          <w:lang w:val="en-IN"/>
        </w:rPr>
        <w:t xml:space="preserve">). The Transcultural Centre of Australia for improving the psychological well-being of the people is also a notable initiative in this context. It offers psychological assistance to people belonging to diverse cultural backgrounds. </w:t>
      </w:r>
    </w:p>
    <w:p w14:paraId="1B20B5BF"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12" w:name="_Toc225060486"/>
      <w:r w:rsidRPr="008F39D4">
        <w:rPr>
          <w:rFonts w:ascii="Arial" w:hAnsi="Arial" w:cs="Arial"/>
          <w:b/>
          <w:bCs/>
          <w:color w:val="000000" w:themeColor="text1"/>
          <w:sz w:val="28"/>
          <w:szCs w:val="28"/>
        </w:rPr>
        <w:t>2.5 National/Local UK Context</w:t>
      </w:r>
      <w:bookmarkEnd w:id="12"/>
      <w:r w:rsidRPr="008F39D4">
        <w:rPr>
          <w:rFonts w:ascii="Arial" w:hAnsi="Arial" w:cs="Arial"/>
          <w:b/>
          <w:bCs/>
          <w:color w:val="000000" w:themeColor="text1"/>
          <w:sz w:val="28"/>
          <w:szCs w:val="28"/>
        </w:rPr>
        <w:t xml:space="preserve"> </w:t>
      </w:r>
    </w:p>
    <w:p w14:paraId="50E912BD"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 xml:space="preserve">One of the fundamental rights of the people of the United Kingdom is access to </w:t>
      </w:r>
      <w:r w:rsidRPr="008F39D4">
        <w:rPr>
          <w:rFonts w:ascii="Arial" w:hAnsi="Arial" w:cs="Arial"/>
          <w:color w:val="000000" w:themeColor="text1"/>
          <w:sz w:val="22"/>
          <w:szCs w:val="22"/>
        </w:rPr>
        <w:t>healthcare services</w:t>
      </w:r>
      <w:r w:rsidRPr="008F39D4">
        <w:rPr>
          <w:rFonts w:ascii="Arial" w:hAnsi="Arial" w:cs="Arial"/>
          <w:color w:val="000000" w:themeColor="text1"/>
          <w:sz w:val="22"/>
          <w:szCs w:val="22"/>
          <w:lang w:val="en-IN"/>
        </w:rPr>
        <w:t xml:space="preserve">. The background of the individuals is disregarded while focusing on their access to the social well-being-related services. Several Asian people in the UK experience significant challenges in accessing the care facilities adequately. The National Health Service of the nation and the government of the country collectively outline linguistic barriers and differences in the culture of the individuals as significant problems which prevent them from accessing the available </w:t>
      </w:r>
      <w:r w:rsidRPr="008F39D4">
        <w:rPr>
          <w:rFonts w:ascii="Arial" w:hAnsi="Arial" w:cs="Arial"/>
          <w:color w:val="000000" w:themeColor="text1"/>
          <w:sz w:val="22"/>
          <w:szCs w:val="22"/>
        </w:rPr>
        <w:t xml:space="preserve">health and social care provisions </w:t>
      </w:r>
      <w:r w:rsidRPr="008F39D4">
        <w:rPr>
          <w:rFonts w:ascii="Arial" w:hAnsi="Arial" w:cs="Arial"/>
          <w:color w:val="000000" w:themeColor="text1"/>
          <w:sz w:val="22"/>
          <w:szCs w:val="22"/>
          <w:lang w:val="en-IN"/>
        </w:rPr>
        <w:t>successfully (</w:t>
      </w:r>
      <w:r w:rsidRPr="008F39D4">
        <w:rPr>
          <w:rFonts w:ascii="Arial" w:hAnsi="Arial" w:cs="Arial"/>
          <w:color w:val="000000" w:themeColor="text1"/>
          <w:sz w:val="22"/>
          <w:szCs w:val="22"/>
        </w:rPr>
        <w:t>Marcus et al., 2022, p. 7</w:t>
      </w:r>
      <w:r w:rsidRPr="008F39D4">
        <w:rPr>
          <w:rFonts w:ascii="Arial" w:hAnsi="Arial" w:cs="Arial"/>
          <w:color w:val="000000" w:themeColor="text1"/>
          <w:sz w:val="22"/>
          <w:szCs w:val="22"/>
          <w:lang w:val="en-IN"/>
        </w:rPr>
        <w:t xml:space="preserve">). The trend of the nation demonstrates that the Asian population mostly encounter health inequalities, which disrupt their lifestyle and well-being to a greater extent. The excessive prevalence of heart diseases and diabetes can be regarded as evidence in this case, which indicates how access to care </w:t>
      </w:r>
      <w:r w:rsidRPr="008F39D4">
        <w:rPr>
          <w:rFonts w:ascii="Arial" w:hAnsi="Arial" w:cs="Arial"/>
          <w:color w:val="000000" w:themeColor="text1"/>
          <w:sz w:val="22"/>
          <w:szCs w:val="22"/>
        </w:rPr>
        <w:t xml:space="preserve">provisions </w:t>
      </w:r>
      <w:r w:rsidRPr="008F39D4">
        <w:rPr>
          <w:rFonts w:ascii="Arial" w:hAnsi="Arial" w:cs="Arial"/>
          <w:color w:val="000000" w:themeColor="text1"/>
          <w:sz w:val="22"/>
          <w:szCs w:val="22"/>
          <w:lang w:val="en-IN"/>
        </w:rPr>
        <w:t>was delayed due to discrimination. NHS, in this context, plays a significant role in enhancing the cultural understanding of the staff members. Public Health England often establishes alliances with the local institutions for launching campaigns and improving the quality of social and health care facilities (</w:t>
      </w:r>
      <w:r w:rsidRPr="008F39D4">
        <w:rPr>
          <w:rFonts w:ascii="Arial" w:hAnsi="Arial" w:cs="Arial"/>
          <w:color w:val="000000" w:themeColor="text1"/>
          <w:sz w:val="22"/>
          <w:szCs w:val="22"/>
        </w:rPr>
        <w:t xml:space="preserve">Drakeford and </w:t>
      </w:r>
      <w:proofErr w:type="spellStart"/>
      <w:r w:rsidRPr="008F39D4">
        <w:rPr>
          <w:rFonts w:ascii="Arial" w:hAnsi="Arial" w:cs="Arial"/>
          <w:color w:val="000000" w:themeColor="text1"/>
          <w:sz w:val="22"/>
          <w:szCs w:val="22"/>
        </w:rPr>
        <w:t>Majebi</w:t>
      </w:r>
      <w:proofErr w:type="spellEnd"/>
      <w:r w:rsidRPr="008F39D4">
        <w:rPr>
          <w:rFonts w:ascii="Arial" w:hAnsi="Arial" w:cs="Arial"/>
          <w:color w:val="000000" w:themeColor="text1"/>
          <w:sz w:val="22"/>
          <w:szCs w:val="22"/>
        </w:rPr>
        <w:t>, 2024, p. 103</w:t>
      </w:r>
      <w:r w:rsidRPr="008F39D4">
        <w:rPr>
          <w:rFonts w:ascii="Arial" w:hAnsi="Arial" w:cs="Arial"/>
          <w:color w:val="000000" w:themeColor="text1"/>
          <w:sz w:val="22"/>
          <w:szCs w:val="22"/>
          <w:lang w:val="en-IN"/>
        </w:rPr>
        <w:t>).</w:t>
      </w:r>
    </w:p>
    <w:p w14:paraId="1880B8E6"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 xml:space="preserve">The national practices of the UK are fairly distributed within the country so that all individuals can equally access the benefits. The Health and Social Care Act 2012 is a notable legislation which enhances the access of individuals in the country to </w:t>
      </w:r>
      <w:r w:rsidRPr="008F39D4">
        <w:rPr>
          <w:rFonts w:ascii="Arial" w:hAnsi="Arial" w:cs="Arial"/>
          <w:color w:val="000000" w:themeColor="text1"/>
          <w:sz w:val="22"/>
          <w:szCs w:val="22"/>
        </w:rPr>
        <w:t xml:space="preserve">healthcare-related </w:t>
      </w:r>
      <w:r w:rsidRPr="008F39D4">
        <w:rPr>
          <w:rFonts w:ascii="Arial" w:hAnsi="Arial" w:cs="Arial"/>
          <w:color w:val="000000" w:themeColor="text1"/>
          <w:sz w:val="22"/>
          <w:szCs w:val="22"/>
          <w:lang w:val="en-IN"/>
        </w:rPr>
        <w:t>facilities. Satisfying the needs of a diverse group of people is a significant purpose of the legislation (</w:t>
      </w:r>
      <w:proofErr w:type="spellStart"/>
      <w:r w:rsidRPr="008F39D4">
        <w:rPr>
          <w:rFonts w:ascii="Arial" w:hAnsi="Arial" w:cs="Arial"/>
          <w:color w:val="000000" w:themeColor="text1"/>
          <w:sz w:val="22"/>
          <w:szCs w:val="22"/>
        </w:rPr>
        <w:t>Ocloo</w:t>
      </w:r>
      <w:proofErr w:type="spellEnd"/>
      <w:r w:rsidRPr="008F39D4">
        <w:rPr>
          <w:rFonts w:ascii="Arial" w:hAnsi="Arial" w:cs="Arial"/>
          <w:color w:val="000000" w:themeColor="text1"/>
          <w:sz w:val="22"/>
          <w:szCs w:val="22"/>
        </w:rPr>
        <w:t xml:space="preserve"> et al., 2021, p. 12</w:t>
      </w:r>
      <w:r w:rsidRPr="008F39D4">
        <w:rPr>
          <w:rFonts w:ascii="Arial" w:hAnsi="Arial" w:cs="Arial"/>
          <w:color w:val="000000" w:themeColor="text1"/>
          <w:sz w:val="22"/>
          <w:szCs w:val="22"/>
          <w:lang w:val="en-IN"/>
        </w:rPr>
        <w:t>). Another significant regulation in this context is the Equality Act 2010, which safeguards individuals from discrimination within the country. It ensures that the ethnicity, religion or race of the people does not create barriers for them to access the public facilities available across the UK. In addition, the National Health Service of the country has introduced a long-term plan to minimise inequalities in the well-being of the people. The Government of the UK has also established a separate unit for addressing the disparity among individuals based on their race. Practising this plan has been beneficial for the UK as it has helped in developing an integrated care infrastructure within the country (</w:t>
      </w:r>
      <w:r w:rsidRPr="008F39D4">
        <w:rPr>
          <w:rFonts w:ascii="Arial" w:hAnsi="Arial" w:cs="Arial"/>
          <w:color w:val="000000" w:themeColor="text1"/>
          <w:sz w:val="22"/>
          <w:szCs w:val="22"/>
        </w:rPr>
        <w:t xml:space="preserve">Pronk et al., 2021, p. </w:t>
      </w:r>
      <w:r w:rsidRPr="008F39D4">
        <w:rPr>
          <w:rFonts w:ascii="Arial" w:hAnsi="Arial" w:cs="Arial"/>
          <w:sz w:val="22"/>
          <w:szCs w:val="22"/>
        </w:rPr>
        <w:t>S245</w:t>
      </w:r>
      <w:r w:rsidRPr="008F39D4">
        <w:rPr>
          <w:rFonts w:ascii="Arial" w:hAnsi="Arial" w:cs="Arial"/>
          <w:color w:val="000000" w:themeColor="text1"/>
          <w:sz w:val="22"/>
          <w:szCs w:val="22"/>
          <w:lang w:val="en-IN"/>
        </w:rPr>
        <w:t xml:space="preserve">). </w:t>
      </w:r>
    </w:p>
    <w:p w14:paraId="1D421A09"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 xml:space="preserve">The National Health Service and other councils of the UK operate at the local level, which indicates the potential of different projects to enhance the accessibility of the Asian people of the country. The local board of the nation is designated for offering early screening and health education. Bilingual workers are often hired by the different NHS trusts in the local areas, </w:t>
      </w:r>
      <w:r w:rsidRPr="008F39D4">
        <w:rPr>
          <w:rFonts w:ascii="Arial" w:hAnsi="Arial" w:cs="Arial"/>
          <w:color w:val="000000" w:themeColor="text1"/>
          <w:sz w:val="22"/>
          <w:szCs w:val="22"/>
          <w:lang w:val="en-IN"/>
        </w:rPr>
        <w:lastRenderedPageBreak/>
        <w:t>which helps in addressing communication gaps successfully (</w:t>
      </w:r>
      <w:r w:rsidRPr="008F39D4">
        <w:rPr>
          <w:rFonts w:ascii="Arial" w:hAnsi="Arial" w:cs="Arial"/>
          <w:color w:val="000000" w:themeColor="text1"/>
          <w:sz w:val="22"/>
          <w:szCs w:val="22"/>
        </w:rPr>
        <w:t>Mistry et al., 2022, p. 5</w:t>
      </w:r>
      <w:r w:rsidRPr="008F39D4">
        <w:rPr>
          <w:rFonts w:ascii="Arial" w:hAnsi="Arial" w:cs="Arial"/>
          <w:color w:val="000000" w:themeColor="text1"/>
          <w:sz w:val="22"/>
          <w:szCs w:val="22"/>
          <w:lang w:val="en-IN"/>
        </w:rPr>
        <w:t xml:space="preserve">). Because of the regional differences, the population in the urban areas have more access to search measures as compared to the rural population. Rapid collaboration of the local community, policy makers and healthcare professionals is essential while intending to resolve challenges prevailing in the social and healthcare community of the UK. </w:t>
      </w:r>
      <w:r w:rsidRPr="008F39D4">
        <w:rPr>
          <w:rFonts w:ascii="Arial" w:hAnsi="Arial" w:cs="Arial"/>
          <w:color w:val="000000" w:themeColor="text1"/>
          <w:sz w:val="22"/>
          <w:szCs w:val="22"/>
        </w:rPr>
        <w:t>Although the UK has introduced equality legislation and inclusive policies, cultural and linguistic barriers persist in practice. Limited cultural competence, mistrust, and staff shortages reduce effectiveness. This shows that legislation alone is insufficient without consistent implementation, community engagement, and culturally sensitive service delivery.</w:t>
      </w:r>
    </w:p>
    <w:p w14:paraId="0BED93E1"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13" w:name="_Toc225060487"/>
      <w:r w:rsidRPr="008F39D4">
        <w:rPr>
          <w:rFonts w:ascii="Arial" w:hAnsi="Arial" w:cs="Arial"/>
          <w:b/>
          <w:bCs/>
          <w:color w:val="000000" w:themeColor="text1"/>
          <w:sz w:val="28"/>
          <w:szCs w:val="28"/>
        </w:rPr>
        <w:t>2.6 Conclusion</w:t>
      </w:r>
      <w:bookmarkEnd w:id="13"/>
      <w:r w:rsidRPr="008F39D4">
        <w:rPr>
          <w:rFonts w:ascii="Arial" w:hAnsi="Arial" w:cs="Arial"/>
          <w:b/>
          <w:bCs/>
          <w:color w:val="000000" w:themeColor="text1"/>
          <w:sz w:val="28"/>
          <w:szCs w:val="28"/>
        </w:rPr>
        <w:t xml:space="preserve"> </w:t>
      </w:r>
    </w:p>
    <w:p w14:paraId="344ED297"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The review of a wide range of literature has indicated that discrimination is quite prevalent among the Asian population of the UK. It has been found that this group of people face challenges in accessing care services successfully. The study has further indicated that the National Health Service has taken several initiatives to improve care facilities and mitigate discrimination in the care infrastructure of the country. However, the issue is persistent in the market and resolving it is crucial for improving the lifestyle of the Asian people. Addressing the gap can play an important role in minimising the challenges encountered by Asian individuals while enhancing their well-being.</w:t>
      </w:r>
    </w:p>
    <w:p w14:paraId="4EF1B901"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br w:type="page"/>
      </w:r>
    </w:p>
    <w:p w14:paraId="2A534683" w14:textId="77777777" w:rsidR="00D334FC" w:rsidRPr="008F39D4" w:rsidRDefault="00D334FC" w:rsidP="00D334FC">
      <w:pPr>
        <w:pStyle w:val="Heading1"/>
        <w:spacing w:line="360" w:lineRule="auto"/>
        <w:jc w:val="both"/>
        <w:rPr>
          <w:rFonts w:ascii="Arial" w:hAnsi="Arial" w:cs="Arial"/>
          <w:b/>
          <w:bCs/>
          <w:color w:val="000000" w:themeColor="text1"/>
          <w:sz w:val="32"/>
          <w:szCs w:val="32"/>
        </w:rPr>
      </w:pPr>
      <w:bookmarkStart w:id="14" w:name="_Toc225060488"/>
      <w:r w:rsidRPr="008F39D4">
        <w:rPr>
          <w:rFonts w:ascii="Arial" w:hAnsi="Arial" w:cs="Arial"/>
          <w:b/>
          <w:bCs/>
          <w:color w:val="000000" w:themeColor="text1"/>
          <w:sz w:val="32"/>
          <w:szCs w:val="32"/>
        </w:rPr>
        <w:lastRenderedPageBreak/>
        <w:t>CHAPTER 3 – Research Methodology</w:t>
      </w:r>
      <w:bookmarkEnd w:id="14"/>
    </w:p>
    <w:p w14:paraId="57C4DFB0"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15" w:name="_Toc225060489"/>
      <w:r w:rsidRPr="008F39D4">
        <w:rPr>
          <w:rFonts w:ascii="Arial" w:hAnsi="Arial" w:cs="Arial"/>
          <w:b/>
          <w:bCs/>
          <w:color w:val="000000" w:themeColor="text1"/>
          <w:sz w:val="28"/>
          <w:szCs w:val="28"/>
        </w:rPr>
        <w:t>3.1 Introduction</w:t>
      </w:r>
      <w:bookmarkEnd w:id="15"/>
    </w:p>
    <w:p w14:paraId="36C64372"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chapter evaluates how the literature-based method is utilised in this dissertation for accomplishing the research objectives. The research focused on collecting existing empirical evidence and policy-related information so that the challenges associated with accessing care services in the UK can be explored. The Asian community started the study, which is the prime focus of the dissertation. This chapter provides an overview and justification for the method of data analysis, data collection, and research design considered. The components of the research method are essential as they provide an insight into the process of how the collected literature is evaluated, selected and recognised. </w:t>
      </w:r>
    </w:p>
    <w:p w14:paraId="6F164474"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16" w:name="_Toc225060490"/>
      <w:r w:rsidRPr="008F39D4">
        <w:rPr>
          <w:rFonts w:ascii="Arial" w:hAnsi="Arial" w:cs="Arial"/>
          <w:b/>
          <w:bCs/>
          <w:color w:val="000000" w:themeColor="text1"/>
          <w:sz w:val="28"/>
          <w:szCs w:val="28"/>
        </w:rPr>
        <w:t>3.2 Search Strategy</w:t>
      </w:r>
      <w:bookmarkEnd w:id="16"/>
    </w:p>
    <w:p w14:paraId="444D0064"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 xml:space="preserve">The search strategy for the research was established by utilising some key concepts which are directly </w:t>
      </w:r>
      <w:proofErr w:type="gramStart"/>
      <w:r w:rsidRPr="008F39D4">
        <w:rPr>
          <w:rFonts w:ascii="Arial" w:hAnsi="Arial" w:cs="Arial"/>
          <w:color w:val="000000" w:themeColor="text1"/>
          <w:sz w:val="22"/>
          <w:szCs w:val="22"/>
          <w:lang w:val="en-IN"/>
        </w:rPr>
        <w:t>taken into account</w:t>
      </w:r>
      <w:proofErr w:type="gramEnd"/>
      <w:r w:rsidRPr="008F39D4">
        <w:rPr>
          <w:rFonts w:ascii="Arial" w:hAnsi="Arial" w:cs="Arial"/>
          <w:color w:val="000000" w:themeColor="text1"/>
          <w:sz w:val="22"/>
          <w:szCs w:val="22"/>
          <w:lang w:val="en-IN"/>
        </w:rPr>
        <w:t xml:space="preserve"> from the title and the question of the research. The health services of the United Kingdom, health inequalities, access to care facilities and the Asian community are significant terminologies in this context. They are combined appropriately with the help of Boolean operators (</w:t>
      </w:r>
      <w:proofErr w:type="spellStart"/>
      <w:r w:rsidRPr="008F39D4">
        <w:rPr>
          <w:rFonts w:ascii="Arial" w:hAnsi="Arial" w:cs="Arial"/>
          <w:color w:val="000000" w:themeColor="text1"/>
          <w:sz w:val="22"/>
          <w:szCs w:val="22"/>
        </w:rPr>
        <w:t>Carcassi</w:t>
      </w:r>
      <w:proofErr w:type="spellEnd"/>
      <w:r w:rsidRPr="008F39D4">
        <w:rPr>
          <w:rFonts w:ascii="Arial" w:hAnsi="Arial" w:cs="Arial"/>
          <w:color w:val="000000" w:themeColor="text1"/>
          <w:sz w:val="22"/>
          <w:szCs w:val="22"/>
        </w:rPr>
        <w:t xml:space="preserve"> and </w:t>
      </w:r>
      <w:proofErr w:type="spellStart"/>
      <w:r w:rsidRPr="008F39D4">
        <w:rPr>
          <w:rFonts w:ascii="Arial" w:hAnsi="Arial" w:cs="Arial"/>
          <w:color w:val="000000" w:themeColor="text1"/>
          <w:sz w:val="22"/>
          <w:szCs w:val="22"/>
        </w:rPr>
        <w:t>Sbardolini</w:t>
      </w:r>
      <w:proofErr w:type="spellEnd"/>
      <w:r w:rsidRPr="008F39D4">
        <w:rPr>
          <w:rFonts w:ascii="Arial" w:hAnsi="Arial" w:cs="Arial"/>
          <w:color w:val="000000" w:themeColor="text1"/>
          <w:sz w:val="22"/>
          <w:szCs w:val="22"/>
        </w:rPr>
        <w:t>, 2023, p. 1190</w:t>
      </w:r>
      <w:r w:rsidRPr="008F39D4">
        <w:rPr>
          <w:rFonts w:ascii="Arial" w:hAnsi="Arial" w:cs="Arial"/>
          <w:color w:val="000000" w:themeColor="text1"/>
          <w:sz w:val="22"/>
          <w:szCs w:val="22"/>
          <w:lang w:val="en-IN"/>
        </w:rPr>
        <w:t>) so that relevant empirical evidence can be collected for answering the research question. The OR operator is utilised while similar concepts or terminologies are searched for, collecting relevant articles. On the other hand, the AND operator is taken into consideration for establishing links among the concepts appropriately. Another important operator in this context is NOT, which is utilised for removing irrelevant evidence or outcomes associated with the study. Access to health care facilities OR care services in the UK is a significant example of keywords for the study. Cultural barriers AND challenges encountered by ethnic minorities are another example of keywords.</w:t>
      </w:r>
    </w:p>
    <w:p w14:paraId="5914C5AF"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A search was conducted in the ScienceDirect database using the keywords “healthcare access AND Asian community AND UK”, which initially produced around 245 results. After applying filters such as peer-reviewed articles and publication years between 2020 and 2025, the results were reduced to 38 relevant studies. Similarly, another search was conducted in Google Scholar using the terms “health inequalities AND ethnic minorities AND UK healthcare”, which generated more than 1,000 results. After limiting the search to recent peer-reviewed publications and screening the titles and abstracts, approximately 45 studies were considered relevant for further review. Additionally, combinations such as “access to healthcare facilities OR care services in the UK” and “cultural barriers AND challenges encountered by ethnic minorities” were also used to ensure that a broad range of relevant academic sources were identified. This systematic search strategy helped in identifying high-</w:t>
      </w:r>
      <w:r w:rsidRPr="008F39D4">
        <w:rPr>
          <w:rFonts w:ascii="Arial" w:hAnsi="Arial" w:cs="Arial"/>
          <w:color w:val="000000" w:themeColor="text1"/>
          <w:sz w:val="22"/>
          <w:szCs w:val="22"/>
          <w:lang w:val="en-IN"/>
        </w:rPr>
        <w:lastRenderedPageBreak/>
        <w:t>quality and relevant literature that supports the research objectives and strengthens the credibility of the study.</w:t>
      </w:r>
    </w:p>
    <w:p w14:paraId="0CF09DC0"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17" w:name="_Toc225060491"/>
      <w:r w:rsidRPr="008F39D4">
        <w:rPr>
          <w:rFonts w:ascii="Arial" w:hAnsi="Arial" w:cs="Arial"/>
          <w:b/>
          <w:bCs/>
          <w:color w:val="000000" w:themeColor="text1"/>
          <w:sz w:val="28"/>
          <w:szCs w:val="28"/>
        </w:rPr>
        <w:t>3.3 Searching for Information</w:t>
      </w:r>
      <w:bookmarkEnd w:id="17"/>
    </w:p>
    <w:p w14:paraId="05E073B2"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Different academic sources are identified in the study from relevant platforms and databases like NHS Digital and ScienceDirect (Desai et al., 2023, p. 27). The ResearchGate platform is also used in this case to locate journal articles rather than as a primary database </w:t>
      </w:r>
      <w:r w:rsidRPr="008F39D4">
        <w:rPr>
          <w:rFonts w:ascii="Arial" w:hAnsi="Arial" w:cs="Arial"/>
          <w:b/>
          <w:bCs/>
          <w:i/>
          <w:iCs/>
          <w:color w:val="000000" w:themeColor="text1"/>
          <w:sz w:val="22"/>
          <w:szCs w:val="22"/>
        </w:rPr>
        <w:t>(Refer to Appendix 1)</w:t>
      </w:r>
      <w:r w:rsidRPr="008F39D4">
        <w:rPr>
          <w:rFonts w:ascii="Arial" w:hAnsi="Arial" w:cs="Arial"/>
          <w:color w:val="000000" w:themeColor="text1"/>
          <w:sz w:val="22"/>
          <w:szCs w:val="22"/>
        </w:rPr>
        <w:t xml:space="preserve">. The source tracking table was developed for recording the process of selecting literature. CRAAP evaluation enhanced transparency while ensuring systematic evaluation of credibility. The sources are chosen because they offer policy documents, peer-reviewed journal articles and trusted information regarding the social and healthcare facilities of the UK. The utilisation of credible platforms helps in ensuring that the information utilised in the dissertation is academically sound and accurate. Several filters are applied in the research process for narrowing down the search outcomes and limiting the sources to publications from the last 5 years. Only the peer-reviewed articles are </w:t>
      </w:r>
      <w:proofErr w:type="gramStart"/>
      <w:r w:rsidRPr="008F39D4">
        <w:rPr>
          <w:rFonts w:ascii="Arial" w:hAnsi="Arial" w:cs="Arial"/>
          <w:color w:val="000000" w:themeColor="text1"/>
          <w:sz w:val="22"/>
          <w:szCs w:val="22"/>
        </w:rPr>
        <w:t>taken into account</w:t>
      </w:r>
      <w:proofErr w:type="gramEnd"/>
      <w:r w:rsidRPr="008F39D4">
        <w:rPr>
          <w:rFonts w:ascii="Arial" w:hAnsi="Arial" w:cs="Arial"/>
          <w:color w:val="000000" w:themeColor="text1"/>
          <w:sz w:val="22"/>
          <w:szCs w:val="22"/>
        </w:rPr>
        <w:t xml:space="preserve"> for maintaining the credibility of the research outcomes. Significant keywords are adjusted accordingly so that unrelated results can be avoided while conducting the initial search. Specific phrases are utilised for matching the focus of the research efficiently. </w:t>
      </w:r>
    </w:p>
    <w:p w14:paraId="0EC315D6"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18" w:name="_Toc225060492"/>
      <w:r w:rsidRPr="008F39D4">
        <w:rPr>
          <w:rFonts w:ascii="Arial" w:hAnsi="Arial" w:cs="Arial"/>
          <w:b/>
          <w:bCs/>
          <w:color w:val="000000" w:themeColor="text1"/>
          <w:sz w:val="28"/>
          <w:szCs w:val="28"/>
        </w:rPr>
        <w:t>3.4 Research Validation</w:t>
      </w:r>
      <w:bookmarkEnd w:id="18"/>
      <w:r w:rsidRPr="008F39D4">
        <w:rPr>
          <w:rFonts w:ascii="Arial" w:hAnsi="Arial" w:cs="Arial"/>
          <w:b/>
          <w:bCs/>
          <w:color w:val="000000" w:themeColor="text1"/>
          <w:sz w:val="28"/>
          <w:szCs w:val="28"/>
        </w:rPr>
        <w:t xml:space="preserve"> </w:t>
      </w:r>
    </w:p>
    <w:p w14:paraId="6D295F9F" w14:textId="77777777" w:rsidR="00D334FC" w:rsidRPr="008F39D4" w:rsidRDefault="00D334FC" w:rsidP="00D334FC">
      <w:pPr>
        <w:spacing w:line="360" w:lineRule="auto"/>
        <w:jc w:val="both"/>
        <w:rPr>
          <w:rFonts w:ascii="Arial" w:hAnsi="Arial" w:cs="Arial"/>
          <w:color w:val="000000" w:themeColor="text1"/>
          <w:sz w:val="22"/>
          <w:szCs w:val="22"/>
          <w:lang w:val="en-IN"/>
        </w:rPr>
      </w:pPr>
      <w:proofErr w:type="gramStart"/>
      <w:r w:rsidRPr="008F39D4">
        <w:rPr>
          <w:rFonts w:ascii="Arial" w:hAnsi="Arial" w:cs="Arial"/>
          <w:color w:val="000000" w:themeColor="text1"/>
          <w:sz w:val="22"/>
          <w:szCs w:val="22"/>
        </w:rPr>
        <w:t>In order to</w:t>
      </w:r>
      <w:proofErr w:type="gramEnd"/>
      <w:r w:rsidRPr="008F39D4">
        <w:rPr>
          <w:rFonts w:ascii="Arial" w:hAnsi="Arial" w:cs="Arial"/>
          <w:color w:val="000000" w:themeColor="text1"/>
          <w:sz w:val="22"/>
          <w:szCs w:val="22"/>
        </w:rPr>
        <w:t xml:space="preserve"> quickly evaluate the relevance and credibility of the sources, different skimming mechanisms are </w:t>
      </w:r>
      <w:proofErr w:type="gramStart"/>
      <w:r w:rsidRPr="008F39D4">
        <w:rPr>
          <w:rFonts w:ascii="Arial" w:hAnsi="Arial" w:cs="Arial"/>
          <w:color w:val="000000" w:themeColor="text1"/>
          <w:sz w:val="22"/>
          <w:szCs w:val="22"/>
        </w:rPr>
        <w:t>taken into account</w:t>
      </w:r>
      <w:proofErr w:type="gramEnd"/>
      <w:r w:rsidRPr="008F39D4">
        <w:rPr>
          <w:rFonts w:ascii="Arial" w:hAnsi="Arial" w:cs="Arial"/>
          <w:color w:val="000000" w:themeColor="text1"/>
          <w:sz w:val="22"/>
          <w:szCs w:val="22"/>
        </w:rPr>
        <w:t xml:space="preserve">. In this case, the CRAAP test (Muis et al., 2022, p. 243) is utilised so that the abstract, conclusion, introduction and title of the articles can be initially reviewed appropriately. It helps in making a faster decision regarding the consideration of the source by checking its alignment with the objectives and topic of the research. </w:t>
      </w:r>
      <w:r w:rsidRPr="008F39D4">
        <w:rPr>
          <w:rFonts w:ascii="Arial" w:hAnsi="Arial" w:cs="Arial"/>
          <w:color w:val="000000" w:themeColor="text1"/>
          <w:sz w:val="22"/>
          <w:szCs w:val="22"/>
          <w:lang w:val="en-IN"/>
        </w:rPr>
        <w:t xml:space="preserve">For example, a research paper published in 2018 that focused on ethnic minorities was excluded as it did not match the currency criteria. On the other side, a research paper published in 2022 discussing gender exploitation and institutional racism was </w:t>
      </w:r>
      <w:proofErr w:type="gramStart"/>
      <w:r w:rsidRPr="008F39D4">
        <w:rPr>
          <w:rFonts w:ascii="Arial" w:hAnsi="Arial" w:cs="Arial"/>
          <w:color w:val="000000" w:themeColor="text1"/>
          <w:sz w:val="22"/>
          <w:szCs w:val="22"/>
          <w:lang w:val="en-IN"/>
        </w:rPr>
        <w:t>taken into account</w:t>
      </w:r>
      <w:proofErr w:type="gramEnd"/>
      <w:r w:rsidRPr="008F39D4">
        <w:rPr>
          <w:rFonts w:ascii="Arial" w:hAnsi="Arial" w:cs="Arial"/>
          <w:color w:val="000000" w:themeColor="text1"/>
          <w:sz w:val="22"/>
          <w:szCs w:val="22"/>
          <w:lang w:val="en-IN"/>
        </w:rPr>
        <w:t xml:space="preserve"> as it satisfied the authority criteria, along with meeting the relevance criteria. </w:t>
      </w:r>
    </w:p>
    <w:p w14:paraId="6EFC9B5C" w14:textId="77777777" w:rsidR="002164E4" w:rsidRPr="008F39D4" w:rsidRDefault="002164E4" w:rsidP="00D334FC">
      <w:pPr>
        <w:spacing w:line="360" w:lineRule="auto"/>
        <w:jc w:val="both"/>
        <w:rPr>
          <w:rFonts w:ascii="Arial" w:hAnsi="Arial" w:cs="Arial"/>
          <w:color w:val="000000" w:themeColor="text1"/>
          <w:sz w:val="22"/>
          <w:szCs w:val="22"/>
          <w:lang w:val="en-IN"/>
        </w:rPr>
      </w:pPr>
    </w:p>
    <w:p w14:paraId="309AFC00" w14:textId="77777777" w:rsidR="002164E4" w:rsidRPr="008F39D4" w:rsidRDefault="002164E4" w:rsidP="00D334FC">
      <w:pPr>
        <w:spacing w:line="360" w:lineRule="auto"/>
        <w:jc w:val="both"/>
        <w:rPr>
          <w:rFonts w:ascii="Arial" w:hAnsi="Arial" w:cs="Arial"/>
          <w:color w:val="000000" w:themeColor="text1"/>
          <w:sz w:val="22"/>
          <w:szCs w:val="22"/>
          <w:lang w:val="en-IN"/>
        </w:rPr>
      </w:pPr>
    </w:p>
    <w:p w14:paraId="6F99087C" w14:textId="77777777" w:rsidR="002164E4" w:rsidRPr="008F39D4" w:rsidRDefault="002164E4" w:rsidP="00D334FC">
      <w:pPr>
        <w:spacing w:line="360" w:lineRule="auto"/>
        <w:jc w:val="both"/>
        <w:rPr>
          <w:rFonts w:ascii="Arial" w:hAnsi="Arial" w:cs="Arial"/>
          <w:color w:val="000000" w:themeColor="text1"/>
          <w:sz w:val="22"/>
          <w:szCs w:val="22"/>
          <w:lang w:val="en-IN"/>
        </w:rPr>
      </w:pPr>
    </w:p>
    <w:p w14:paraId="3424FB62" w14:textId="77777777" w:rsidR="002164E4" w:rsidRPr="008F39D4" w:rsidRDefault="002164E4" w:rsidP="00D334FC">
      <w:pPr>
        <w:spacing w:line="360" w:lineRule="auto"/>
        <w:jc w:val="both"/>
        <w:rPr>
          <w:rFonts w:ascii="Arial" w:hAnsi="Arial" w:cs="Arial"/>
          <w:color w:val="000000" w:themeColor="text1"/>
          <w:sz w:val="22"/>
          <w:szCs w:val="22"/>
          <w:lang w:val="en-IN"/>
        </w:rPr>
      </w:pPr>
    </w:p>
    <w:p w14:paraId="0B2ED6DC" w14:textId="77777777" w:rsidR="002164E4" w:rsidRPr="008F39D4" w:rsidRDefault="002164E4" w:rsidP="00D334FC">
      <w:pPr>
        <w:spacing w:line="360" w:lineRule="auto"/>
        <w:jc w:val="both"/>
        <w:rPr>
          <w:rFonts w:ascii="Arial" w:hAnsi="Arial" w:cs="Arial"/>
          <w:color w:val="000000" w:themeColor="text1"/>
          <w:sz w:val="22"/>
          <w:szCs w:val="22"/>
          <w:lang w:val="en-IN"/>
        </w:rPr>
      </w:pPr>
    </w:p>
    <w:tbl>
      <w:tblPr>
        <w:tblStyle w:val="TableGrid"/>
        <w:tblW w:w="0" w:type="auto"/>
        <w:tblLook w:val="04A0" w:firstRow="1" w:lastRow="0" w:firstColumn="1" w:lastColumn="0" w:noHBand="0" w:noVBand="1"/>
      </w:tblPr>
      <w:tblGrid>
        <w:gridCol w:w="1980"/>
        <w:gridCol w:w="7036"/>
      </w:tblGrid>
      <w:tr w:rsidR="00D334FC" w:rsidRPr="008F39D4" w14:paraId="0DCA2898" w14:textId="77777777" w:rsidTr="002B4D7F">
        <w:tc>
          <w:tcPr>
            <w:tcW w:w="1980" w:type="dxa"/>
          </w:tcPr>
          <w:p w14:paraId="67464F65"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lastRenderedPageBreak/>
              <w:t>Currency</w:t>
            </w:r>
          </w:p>
        </w:tc>
        <w:tc>
          <w:tcPr>
            <w:tcW w:w="7036" w:type="dxa"/>
          </w:tcPr>
          <w:p w14:paraId="0F60C09E"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Prajapati and Liebling (2022, p. 604); Delon et al. (2022, p. 1769); Chen et al. (2023, p. 722); </w:t>
            </w:r>
            <w:proofErr w:type="spellStart"/>
            <w:r w:rsidRPr="008F39D4">
              <w:rPr>
                <w:rFonts w:ascii="Arial" w:hAnsi="Arial" w:cs="Arial"/>
                <w:color w:val="000000" w:themeColor="text1"/>
                <w:sz w:val="22"/>
                <w:szCs w:val="22"/>
              </w:rPr>
              <w:t>Georgeou</w:t>
            </w:r>
            <w:proofErr w:type="spellEnd"/>
            <w:r w:rsidRPr="008F39D4">
              <w:rPr>
                <w:rFonts w:ascii="Arial" w:hAnsi="Arial" w:cs="Arial"/>
                <w:color w:val="000000" w:themeColor="text1"/>
                <w:sz w:val="22"/>
                <w:szCs w:val="22"/>
              </w:rPr>
              <w:t xml:space="preserve"> et al. (2023, p. 187); Dadswell and Bungay (2025, p. 6); Khatri and Assefa (2022, p. 3); Mohd </w:t>
            </w:r>
            <w:proofErr w:type="spellStart"/>
            <w:r w:rsidRPr="008F39D4">
              <w:rPr>
                <w:rFonts w:ascii="Arial" w:hAnsi="Arial" w:cs="Arial"/>
                <w:color w:val="000000" w:themeColor="text1"/>
                <w:sz w:val="22"/>
                <w:szCs w:val="22"/>
              </w:rPr>
              <w:t>Rosnu</w:t>
            </w:r>
            <w:proofErr w:type="spellEnd"/>
            <w:r w:rsidRPr="008F39D4">
              <w:rPr>
                <w:rFonts w:ascii="Arial" w:hAnsi="Arial" w:cs="Arial"/>
                <w:color w:val="000000" w:themeColor="text1"/>
                <w:sz w:val="22"/>
                <w:szCs w:val="22"/>
              </w:rPr>
              <w:t xml:space="preserve"> et al. (2022, p. 7); </w:t>
            </w:r>
            <w:proofErr w:type="spellStart"/>
            <w:r w:rsidRPr="008F39D4">
              <w:rPr>
                <w:rFonts w:ascii="Arial" w:hAnsi="Arial" w:cs="Arial"/>
                <w:color w:val="000000" w:themeColor="text1"/>
                <w:sz w:val="22"/>
                <w:szCs w:val="22"/>
              </w:rPr>
              <w:t>Velaithan</w:t>
            </w:r>
            <w:proofErr w:type="spellEnd"/>
            <w:r w:rsidRPr="008F39D4">
              <w:rPr>
                <w:rFonts w:ascii="Arial" w:hAnsi="Arial" w:cs="Arial"/>
                <w:color w:val="000000" w:themeColor="text1"/>
                <w:sz w:val="22"/>
                <w:szCs w:val="22"/>
              </w:rPr>
              <w:t xml:space="preserve"> et al. (2024, p. 11); Hazzan et al. (2022, p. 6); Farooqi et al. (2022, p. 9); Bansal et al. (2022, p. 17) Hwang and Beauregard (2022, p. 613); Yip et al. (2024, p. 7); Barnes et al. (2024, p. 3); and Jindal et al. (2023, p. 302) are the articles from which data are used for performing the research. All the articles are published within the last five years, which reflects the currency of the data. </w:t>
            </w:r>
          </w:p>
        </w:tc>
      </w:tr>
      <w:tr w:rsidR="00D334FC" w:rsidRPr="008F39D4" w14:paraId="712324DB" w14:textId="77777777" w:rsidTr="002B4D7F">
        <w:tc>
          <w:tcPr>
            <w:tcW w:w="1980" w:type="dxa"/>
          </w:tcPr>
          <w:p w14:paraId="1F8415BB"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Relevance</w:t>
            </w:r>
          </w:p>
        </w:tc>
        <w:tc>
          <w:tcPr>
            <w:tcW w:w="7036" w:type="dxa"/>
          </w:tcPr>
          <w:p w14:paraId="2942577D"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research papers have offered information associated with health inequality and discrimination that indicates the relevance of the articles for the dissertation. </w:t>
            </w:r>
          </w:p>
        </w:tc>
      </w:tr>
      <w:tr w:rsidR="00D334FC" w:rsidRPr="008F39D4" w14:paraId="59054DD8" w14:textId="77777777" w:rsidTr="002B4D7F">
        <w:tc>
          <w:tcPr>
            <w:tcW w:w="1980" w:type="dxa"/>
          </w:tcPr>
          <w:p w14:paraId="6C49EC94"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Authority</w:t>
            </w:r>
          </w:p>
        </w:tc>
        <w:tc>
          <w:tcPr>
            <w:tcW w:w="7036" w:type="dxa"/>
          </w:tcPr>
          <w:p w14:paraId="6B05CFE4"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Relevant sources like ScienceDirect are considered for the research, which reflects the credibility of the sources. </w:t>
            </w:r>
          </w:p>
        </w:tc>
      </w:tr>
      <w:tr w:rsidR="00D334FC" w:rsidRPr="008F39D4" w14:paraId="4B390FD9" w14:textId="77777777" w:rsidTr="002B4D7F">
        <w:tc>
          <w:tcPr>
            <w:tcW w:w="1980" w:type="dxa"/>
          </w:tcPr>
          <w:p w14:paraId="3B884697"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Accuracy</w:t>
            </w:r>
          </w:p>
        </w:tc>
        <w:tc>
          <w:tcPr>
            <w:tcW w:w="7036" w:type="dxa"/>
          </w:tcPr>
          <w:p w14:paraId="7608D0A4"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articles are peer-reviewed and relevant as they are supported by substantial evidence. Therefore, the accuracy of the collected data is high. </w:t>
            </w:r>
          </w:p>
        </w:tc>
      </w:tr>
      <w:tr w:rsidR="00D334FC" w:rsidRPr="008F39D4" w14:paraId="51124276" w14:textId="77777777" w:rsidTr="002B4D7F">
        <w:tc>
          <w:tcPr>
            <w:tcW w:w="1980" w:type="dxa"/>
          </w:tcPr>
          <w:p w14:paraId="6721E3CD"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Purpose</w:t>
            </w:r>
          </w:p>
        </w:tc>
        <w:tc>
          <w:tcPr>
            <w:tcW w:w="7036" w:type="dxa"/>
          </w:tcPr>
          <w:p w14:paraId="1A2D25DD"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Clarity in the formation of the objective of the articles reflects the reliability of the sources in the study. </w:t>
            </w:r>
          </w:p>
        </w:tc>
      </w:tr>
    </w:tbl>
    <w:p w14:paraId="5DD8476A" w14:textId="5A6B681E" w:rsidR="00D334FC" w:rsidRPr="00A6192F" w:rsidRDefault="00D334FC" w:rsidP="00D334FC">
      <w:pPr>
        <w:spacing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t>Table 1: CRAAP Test</w:t>
      </w:r>
      <w:r w:rsidR="00A6192F">
        <w:rPr>
          <w:rFonts w:ascii="Arial" w:hAnsi="Arial" w:cs="Arial"/>
          <w:b/>
          <w:bCs/>
          <w:color w:val="000000" w:themeColor="text1"/>
          <w:sz w:val="22"/>
          <w:szCs w:val="22"/>
        </w:rPr>
        <w:tab/>
        <w:t xml:space="preserve">                                                                     </w:t>
      </w:r>
      <w:proofErr w:type="gramStart"/>
      <w:r w:rsidR="00A6192F">
        <w:rPr>
          <w:rFonts w:ascii="Arial" w:hAnsi="Arial" w:cs="Arial"/>
          <w:b/>
          <w:bCs/>
          <w:color w:val="000000" w:themeColor="text1"/>
          <w:sz w:val="22"/>
          <w:szCs w:val="22"/>
        </w:rPr>
        <w:t xml:space="preserve">   </w:t>
      </w:r>
      <w:r w:rsidRPr="008F39D4">
        <w:rPr>
          <w:rFonts w:ascii="Arial" w:hAnsi="Arial" w:cs="Arial"/>
          <w:color w:val="000000" w:themeColor="text1"/>
          <w:sz w:val="22"/>
          <w:szCs w:val="22"/>
        </w:rPr>
        <w:t>(</w:t>
      </w:r>
      <w:proofErr w:type="gramEnd"/>
      <w:r w:rsidRPr="008F39D4">
        <w:rPr>
          <w:rFonts w:ascii="Arial" w:hAnsi="Arial" w:cs="Arial"/>
          <w:color w:val="000000" w:themeColor="text1"/>
          <w:sz w:val="22"/>
          <w:szCs w:val="22"/>
        </w:rPr>
        <w:t>Source: Self-developed)</w:t>
      </w:r>
    </w:p>
    <w:p w14:paraId="4D38A099"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19" w:name="_Toc225060493"/>
      <w:r w:rsidRPr="008F39D4">
        <w:rPr>
          <w:rFonts w:ascii="Arial" w:hAnsi="Arial" w:cs="Arial"/>
          <w:b/>
          <w:bCs/>
          <w:color w:val="000000" w:themeColor="text1"/>
          <w:sz w:val="28"/>
          <w:szCs w:val="28"/>
        </w:rPr>
        <w:t>3.5 Inclusion and Exclusion Criteria</w:t>
      </w:r>
      <w:bookmarkEnd w:id="19"/>
    </w:p>
    <w:p w14:paraId="1075E76D"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criteria of exclusion and inclusion play an important role in helping to determine the significance of considering journal articles and sources for conducting research (Alshareef et al., 2024, p. 4). The non-English publications are avoided while collecting relevant information associated with the study. The studies that focused on the minority population and healthcare discrimination encountered by them have been </w:t>
      </w:r>
      <w:proofErr w:type="gramStart"/>
      <w:r w:rsidRPr="008F39D4">
        <w:rPr>
          <w:rFonts w:ascii="Arial" w:hAnsi="Arial" w:cs="Arial"/>
          <w:color w:val="000000" w:themeColor="text1"/>
          <w:sz w:val="22"/>
          <w:szCs w:val="22"/>
        </w:rPr>
        <w:t>taken into account</w:t>
      </w:r>
      <w:proofErr w:type="gramEnd"/>
      <w:r w:rsidRPr="008F39D4">
        <w:rPr>
          <w:rFonts w:ascii="Arial" w:hAnsi="Arial" w:cs="Arial"/>
          <w:color w:val="000000" w:themeColor="text1"/>
          <w:sz w:val="22"/>
          <w:szCs w:val="22"/>
        </w:rPr>
        <w:t xml:space="preserve"> for performing the research.</w:t>
      </w:r>
    </w:p>
    <w:tbl>
      <w:tblPr>
        <w:tblStyle w:val="TableGrid"/>
        <w:tblW w:w="0" w:type="auto"/>
        <w:tblLook w:val="04A0" w:firstRow="1" w:lastRow="0" w:firstColumn="1" w:lastColumn="0" w:noHBand="0" w:noVBand="1"/>
      </w:tblPr>
      <w:tblGrid>
        <w:gridCol w:w="2547"/>
        <w:gridCol w:w="3463"/>
        <w:gridCol w:w="3006"/>
      </w:tblGrid>
      <w:tr w:rsidR="00D334FC" w:rsidRPr="008F39D4" w14:paraId="4432B1DF" w14:textId="77777777" w:rsidTr="002B4D7F">
        <w:tc>
          <w:tcPr>
            <w:tcW w:w="2547" w:type="dxa"/>
          </w:tcPr>
          <w:p w14:paraId="163BEBE9" w14:textId="77777777" w:rsidR="00D334FC" w:rsidRPr="008F39D4" w:rsidRDefault="00D334FC" w:rsidP="00D334FC">
            <w:pPr>
              <w:spacing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t>Base of criteria</w:t>
            </w:r>
          </w:p>
        </w:tc>
        <w:tc>
          <w:tcPr>
            <w:tcW w:w="3463" w:type="dxa"/>
          </w:tcPr>
          <w:p w14:paraId="13D5FCAC" w14:textId="77777777" w:rsidR="00D334FC" w:rsidRPr="008F39D4" w:rsidRDefault="00D334FC" w:rsidP="00D334FC">
            <w:pPr>
              <w:spacing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t>Inclusion</w:t>
            </w:r>
          </w:p>
        </w:tc>
        <w:tc>
          <w:tcPr>
            <w:tcW w:w="3006" w:type="dxa"/>
          </w:tcPr>
          <w:p w14:paraId="134B20B6" w14:textId="77777777" w:rsidR="00D334FC" w:rsidRPr="008F39D4" w:rsidRDefault="00D334FC" w:rsidP="00D334FC">
            <w:pPr>
              <w:spacing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t>Exclusion</w:t>
            </w:r>
          </w:p>
        </w:tc>
      </w:tr>
      <w:tr w:rsidR="00D334FC" w:rsidRPr="008F39D4" w14:paraId="4C006F59" w14:textId="77777777" w:rsidTr="002B4D7F">
        <w:tc>
          <w:tcPr>
            <w:tcW w:w="2547" w:type="dxa"/>
          </w:tcPr>
          <w:p w14:paraId="67DE83FD"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Form of articles</w:t>
            </w:r>
          </w:p>
        </w:tc>
        <w:tc>
          <w:tcPr>
            <w:tcW w:w="3463" w:type="dxa"/>
          </w:tcPr>
          <w:p w14:paraId="5E7A61CA"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Peer-reviewed journals, policy documents and government reports</w:t>
            </w:r>
          </w:p>
        </w:tc>
        <w:tc>
          <w:tcPr>
            <w:tcW w:w="3006" w:type="dxa"/>
          </w:tcPr>
          <w:p w14:paraId="18067D45"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Non-peer-reviewed articles and websites</w:t>
            </w:r>
          </w:p>
        </w:tc>
      </w:tr>
      <w:tr w:rsidR="00D334FC" w:rsidRPr="008F39D4" w14:paraId="26E07384" w14:textId="77777777" w:rsidTr="002B4D7F">
        <w:tc>
          <w:tcPr>
            <w:tcW w:w="2547" w:type="dxa"/>
          </w:tcPr>
          <w:p w14:paraId="47BC7469"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Timeline</w:t>
            </w:r>
          </w:p>
        </w:tc>
        <w:tc>
          <w:tcPr>
            <w:tcW w:w="3463" w:type="dxa"/>
          </w:tcPr>
          <w:p w14:paraId="23CABA23"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Published between 2020 to 2025.</w:t>
            </w:r>
          </w:p>
        </w:tc>
        <w:tc>
          <w:tcPr>
            <w:tcW w:w="3006" w:type="dxa"/>
          </w:tcPr>
          <w:p w14:paraId="335389F6"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Published before 2020. </w:t>
            </w:r>
          </w:p>
        </w:tc>
      </w:tr>
      <w:tr w:rsidR="00D334FC" w:rsidRPr="008F39D4" w14:paraId="47D1722A" w14:textId="77777777" w:rsidTr="002B4D7F">
        <w:tc>
          <w:tcPr>
            <w:tcW w:w="2547" w:type="dxa"/>
          </w:tcPr>
          <w:p w14:paraId="0BBC5DEE"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Population</w:t>
            </w:r>
          </w:p>
        </w:tc>
        <w:tc>
          <w:tcPr>
            <w:tcW w:w="3463" w:type="dxa"/>
          </w:tcPr>
          <w:p w14:paraId="546C382B"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Ethnic minorities</w:t>
            </w:r>
          </w:p>
        </w:tc>
        <w:tc>
          <w:tcPr>
            <w:tcW w:w="3006" w:type="dxa"/>
          </w:tcPr>
          <w:p w14:paraId="56B3B91D"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Non-ethnic minorities</w:t>
            </w:r>
          </w:p>
        </w:tc>
      </w:tr>
      <w:tr w:rsidR="00D334FC" w:rsidRPr="008F39D4" w14:paraId="595A7935" w14:textId="77777777" w:rsidTr="002B4D7F">
        <w:tc>
          <w:tcPr>
            <w:tcW w:w="2547" w:type="dxa"/>
          </w:tcPr>
          <w:p w14:paraId="49158CEC"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Language</w:t>
            </w:r>
          </w:p>
        </w:tc>
        <w:tc>
          <w:tcPr>
            <w:tcW w:w="3463" w:type="dxa"/>
          </w:tcPr>
          <w:p w14:paraId="5ACC2781"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English</w:t>
            </w:r>
          </w:p>
        </w:tc>
        <w:tc>
          <w:tcPr>
            <w:tcW w:w="3006" w:type="dxa"/>
          </w:tcPr>
          <w:p w14:paraId="65145DAC"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Non-English</w:t>
            </w:r>
          </w:p>
        </w:tc>
      </w:tr>
    </w:tbl>
    <w:p w14:paraId="43D036DD" w14:textId="4DF84DB6" w:rsidR="00D334FC" w:rsidRPr="00A6192F" w:rsidRDefault="00D334FC" w:rsidP="00D334FC">
      <w:pPr>
        <w:spacing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t>Table 2: Exclusion and Inclusion Criteria</w:t>
      </w:r>
      <w:r w:rsidR="00A6192F">
        <w:rPr>
          <w:rFonts w:ascii="Arial" w:hAnsi="Arial" w:cs="Arial"/>
          <w:b/>
          <w:bCs/>
          <w:color w:val="000000" w:themeColor="text1"/>
          <w:sz w:val="22"/>
          <w:szCs w:val="22"/>
        </w:rPr>
        <w:t xml:space="preserve">                                   </w:t>
      </w:r>
      <w:proofErr w:type="gramStart"/>
      <w:r w:rsidR="00A6192F">
        <w:rPr>
          <w:rFonts w:ascii="Arial" w:hAnsi="Arial" w:cs="Arial"/>
          <w:b/>
          <w:bCs/>
          <w:color w:val="000000" w:themeColor="text1"/>
          <w:sz w:val="22"/>
          <w:szCs w:val="22"/>
        </w:rPr>
        <w:t xml:space="preserve">   </w:t>
      </w:r>
      <w:r w:rsidRPr="008F39D4">
        <w:rPr>
          <w:rFonts w:ascii="Arial" w:hAnsi="Arial" w:cs="Arial"/>
          <w:color w:val="000000" w:themeColor="text1"/>
          <w:sz w:val="22"/>
          <w:szCs w:val="22"/>
        </w:rPr>
        <w:t>(</w:t>
      </w:r>
      <w:proofErr w:type="gramEnd"/>
      <w:r w:rsidRPr="008F39D4">
        <w:rPr>
          <w:rFonts w:ascii="Arial" w:hAnsi="Arial" w:cs="Arial"/>
          <w:color w:val="000000" w:themeColor="text1"/>
          <w:sz w:val="22"/>
          <w:szCs w:val="22"/>
        </w:rPr>
        <w:t>Source: Self-developed)</w:t>
      </w:r>
    </w:p>
    <w:p w14:paraId="25D58D49"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20" w:name="_Toc225060494"/>
      <w:r w:rsidRPr="008F39D4">
        <w:rPr>
          <w:rFonts w:ascii="Arial" w:hAnsi="Arial" w:cs="Arial"/>
          <w:b/>
          <w:bCs/>
          <w:color w:val="000000" w:themeColor="text1"/>
          <w:sz w:val="28"/>
          <w:szCs w:val="28"/>
        </w:rPr>
        <w:lastRenderedPageBreak/>
        <w:t>3.6 Analysing Research</w:t>
      </w:r>
      <w:bookmarkEnd w:id="20"/>
    </w:p>
    <w:p w14:paraId="0C99EA90"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rPr>
        <w:t xml:space="preserve">The process of data analysis is one of the most important components of the research method, and in this case, specific literature is </w:t>
      </w:r>
      <w:proofErr w:type="gramStart"/>
      <w:r w:rsidRPr="008F39D4">
        <w:rPr>
          <w:rFonts w:ascii="Arial" w:hAnsi="Arial" w:cs="Arial"/>
          <w:color w:val="000000" w:themeColor="text1"/>
          <w:sz w:val="22"/>
          <w:szCs w:val="22"/>
        </w:rPr>
        <w:t>taken into account</w:t>
      </w:r>
      <w:proofErr w:type="gramEnd"/>
      <w:r w:rsidRPr="008F39D4">
        <w:rPr>
          <w:rFonts w:ascii="Arial" w:hAnsi="Arial" w:cs="Arial"/>
          <w:color w:val="000000" w:themeColor="text1"/>
          <w:sz w:val="22"/>
          <w:szCs w:val="22"/>
        </w:rPr>
        <w:t xml:space="preserve"> for generating the research outcomes (Snyder, 2024, p. 552). As the qualitative evidence is utilised for generating the research outcomes, the thematic analysis technique is adopted for evaluating the data. It is a six-step process which helps in outlining the codes from the collected literature, based on which themes are prepared accordingly. The collection of the codes and establishment of the themes are demonstrated in the form of a table in Chapter 4, which reflects the appropriate execution of the thematic analysis process in the study. </w:t>
      </w:r>
      <w:r w:rsidRPr="008F39D4">
        <w:rPr>
          <w:rFonts w:ascii="Arial" w:hAnsi="Arial" w:cs="Arial"/>
          <w:color w:val="000000" w:themeColor="text1"/>
          <w:sz w:val="22"/>
          <w:szCs w:val="22"/>
          <w:lang w:val="en-IN"/>
        </w:rPr>
        <w:t>A results summary sheet was created to organise key findings from selected studies. Each article was reviewed and coded for concepts such as language barriers, cultural stigma, discrimination and structural inequality. Related codes were grouped into broader themes, including cultural barriers, systemic barriers and socioeconomic challenges. Appendix 2 shows how these studies informed the final analytical themes.</w:t>
      </w:r>
    </w:p>
    <w:p w14:paraId="07C83CE8"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21" w:name="_Toc225060495"/>
      <w:r w:rsidRPr="008F39D4">
        <w:rPr>
          <w:rFonts w:ascii="Arial" w:hAnsi="Arial" w:cs="Arial"/>
          <w:b/>
          <w:bCs/>
          <w:color w:val="000000" w:themeColor="text1"/>
          <w:sz w:val="28"/>
          <w:szCs w:val="28"/>
        </w:rPr>
        <w:t>3.7 Ethical Considerations</w:t>
      </w:r>
      <w:bookmarkEnd w:id="21"/>
    </w:p>
    <w:p w14:paraId="27D5324D" w14:textId="77777777" w:rsidR="00D334FC" w:rsidRPr="008F39D4" w:rsidRDefault="00D334FC" w:rsidP="00D334FC">
      <w:pPr>
        <w:spacing w:line="360" w:lineRule="auto"/>
        <w:jc w:val="both"/>
        <w:rPr>
          <w:rFonts w:ascii="Arial" w:hAnsi="Arial" w:cs="Arial"/>
          <w:color w:val="000000" w:themeColor="text1"/>
          <w:sz w:val="28"/>
          <w:szCs w:val="28"/>
        </w:rPr>
      </w:pPr>
      <w:r w:rsidRPr="008F39D4">
        <w:rPr>
          <w:rFonts w:ascii="Arial" w:hAnsi="Arial" w:cs="Arial"/>
          <w:color w:val="000000" w:themeColor="text1"/>
          <w:sz w:val="22"/>
          <w:szCs w:val="22"/>
        </w:rPr>
        <w:t>As the research is based on secondary information, any primary sources or participants have not been considered for executing the study. It has minimised the direct ethical risk factors associated with confidentiality and consent. However, while utilising secondary sources for the study, appropriate academic integrity is maintained by utilising the Harvard referencing system. Microsoft Office Word and Grammarly tools are used ethically for maintaining the originality and clarity of the content appropriately (Granjeiro et al., 2025, p. 3). It is also ensured that the information presented throughout the study is not misinterpreted or misrepresented. The presentation of literature has helped in maintaining transparency of the research process and acknowledging the sources.</w:t>
      </w:r>
      <w:r w:rsidRPr="008F39D4">
        <w:rPr>
          <w:rFonts w:ascii="Arial" w:hAnsi="Arial" w:cs="Arial"/>
          <w:color w:val="000000" w:themeColor="text1"/>
          <w:sz w:val="28"/>
          <w:szCs w:val="28"/>
        </w:rPr>
        <w:t xml:space="preserve"> </w:t>
      </w:r>
    </w:p>
    <w:p w14:paraId="38F77948"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22" w:name="_Toc225060496"/>
      <w:r w:rsidRPr="008F39D4">
        <w:rPr>
          <w:rFonts w:ascii="Arial" w:hAnsi="Arial" w:cs="Arial"/>
          <w:b/>
          <w:bCs/>
          <w:color w:val="000000" w:themeColor="text1"/>
          <w:sz w:val="28"/>
          <w:szCs w:val="28"/>
        </w:rPr>
        <w:t>3.8 Summary</w:t>
      </w:r>
      <w:bookmarkEnd w:id="22"/>
    </w:p>
    <w:p w14:paraId="08F499AC"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The chapter has demonstrated the key steps utilised for analysing, evaluating and locating relevant literature associated with the study. It has presented the structured strategy, technique of thematic analysis and criteria of inclusion and exclusion considered for conducting the research. The chapter has presented a research validation technique which helps in maintaining reliability and credibility in the process. The consideration of appropriate referencing techniques has strengthened the quality of the research outcomes.</w:t>
      </w:r>
    </w:p>
    <w:p w14:paraId="2AB81F25"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br w:type="page"/>
      </w:r>
    </w:p>
    <w:p w14:paraId="616429F9" w14:textId="77777777" w:rsidR="00D334FC" w:rsidRPr="008F39D4" w:rsidRDefault="00D334FC" w:rsidP="00D334FC">
      <w:pPr>
        <w:pStyle w:val="Heading1"/>
        <w:spacing w:line="360" w:lineRule="auto"/>
        <w:jc w:val="both"/>
        <w:rPr>
          <w:rFonts w:ascii="Arial" w:hAnsi="Arial" w:cs="Arial"/>
          <w:b/>
          <w:bCs/>
          <w:color w:val="000000" w:themeColor="text1"/>
          <w:sz w:val="32"/>
          <w:szCs w:val="32"/>
        </w:rPr>
      </w:pPr>
      <w:bookmarkStart w:id="23" w:name="_Toc223764765"/>
      <w:bookmarkStart w:id="24" w:name="_Toc224132819"/>
      <w:bookmarkStart w:id="25" w:name="_Toc225060497"/>
      <w:r w:rsidRPr="008F39D4">
        <w:rPr>
          <w:rFonts w:ascii="Arial" w:hAnsi="Arial" w:cs="Arial"/>
          <w:b/>
          <w:bCs/>
          <w:color w:val="000000" w:themeColor="text1"/>
          <w:sz w:val="32"/>
          <w:szCs w:val="32"/>
        </w:rPr>
        <w:lastRenderedPageBreak/>
        <w:t>CHAPTER 4 – Results and Discussion</w:t>
      </w:r>
      <w:bookmarkEnd w:id="23"/>
      <w:bookmarkEnd w:id="24"/>
      <w:bookmarkEnd w:id="25"/>
    </w:p>
    <w:p w14:paraId="5AAB3296"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26" w:name="_Toc220178355"/>
      <w:bookmarkStart w:id="27" w:name="_Toc223764766"/>
      <w:bookmarkStart w:id="28" w:name="_Toc224132820"/>
      <w:bookmarkStart w:id="29" w:name="_Toc225060498"/>
      <w:r w:rsidRPr="008F39D4">
        <w:rPr>
          <w:rFonts w:ascii="Arial" w:hAnsi="Arial" w:cs="Arial"/>
          <w:b/>
          <w:bCs/>
          <w:color w:val="000000" w:themeColor="text1"/>
          <w:sz w:val="28"/>
          <w:szCs w:val="28"/>
        </w:rPr>
        <w:t>4.1 Introduction</w:t>
      </w:r>
      <w:bookmarkEnd w:id="26"/>
      <w:bookmarkEnd w:id="27"/>
      <w:bookmarkEnd w:id="28"/>
      <w:bookmarkEnd w:id="29"/>
    </w:p>
    <w:p w14:paraId="74C08B5E"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This chapter identifies the thematic evaluation exploring the barriers that create challenges for the Asian population to access the care facilities in the UK. It presents three interconnected themes examining structural, cultural, and professional factors influencing access to care. The themes provide a comprehensive insight into the understanding of inequalities in accessing care services. It also offers significant data regarding the inequality of health outcomes and discrimination in service delivery encountered by the Asian people of the country. It further presents an intersection of life experiences and systemic practices that collectively shape the well-being of the Asian community across the UK. </w:t>
      </w:r>
    </w:p>
    <w:p w14:paraId="19AF7E0D"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30" w:name="_Toc220178356"/>
      <w:bookmarkStart w:id="31" w:name="_Toc223764767"/>
      <w:bookmarkStart w:id="32" w:name="_Toc224132821"/>
      <w:bookmarkStart w:id="33" w:name="_Toc225060499"/>
      <w:r w:rsidRPr="008F39D4">
        <w:rPr>
          <w:rFonts w:ascii="Arial" w:hAnsi="Arial" w:cs="Arial"/>
          <w:b/>
          <w:bCs/>
          <w:color w:val="000000" w:themeColor="text1"/>
          <w:sz w:val="28"/>
          <w:szCs w:val="28"/>
        </w:rPr>
        <w:t>4.2 Thematic analysis</w:t>
      </w:r>
      <w:bookmarkEnd w:id="30"/>
      <w:bookmarkEnd w:id="31"/>
      <w:bookmarkEnd w:id="32"/>
      <w:bookmarkEnd w:id="33"/>
      <w:r w:rsidRPr="008F39D4">
        <w:rPr>
          <w:rFonts w:ascii="Arial" w:hAnsi="Arial" w:cs="Arial"/>
          <w:b/>
          <w:bCs/>
          <w:color w:val="000000" w:themeColor="text1"/>
          <w:sz w:val="28"/>
          <w:szCs w:val="28"/>
        </w:rPr>
        <w:t xml:space="preserve"> </w:t>
      </w:r>
    </w:p>
    <w:p w14:paraId="2776EE7B" w14:textId="42AF724D"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The thematic analysis framework established by Braun and Clarke (2006) is taken into consideration in the study for evaluating the collective empirical evidence (Braun and Clarke, 2024). It ensured that the articles are reviewed systematically, which are associated with improvement, experience and access to care facilities of the Asian people in the UK. The familiarisation stage has helped in re-reading and recognising information regarding the barriers for the Asian people to access care facilities. It indicated that systemic inequality, cultural mismatch, language differences and discrimination are examples of barriers in this context. The second stage is generating the initial codes, where an appropriate table is prepared for collecting information from all the articles and generating suitable codes accordingly (Riazi et al., 2023). Based on the grouping of the codes, effective themes are prepared accordingly. The themes are then reviewed so that it can be ensured if the evidence overlaps, and based on it, they are named, as depicted in the table below. Based on the development of the themes, the findings are presented systematically in this chapter. Key concepts such as language barriers, stigma, discrimination, and service mistrust were identified across studies and grouped into broader thematic categories representing structural, cultural, and perceptual barriers. Codes were derived from recurring concepts across selected studies, including stigma, language barriers, discrimination, and service mistrust, which were grouped into broader thematic categories reflecting structural, cultural, and professional barriers.</w:t>
      </w:r>
    </w:p>
    <w:p w14:paraId="01D57F8D" w14:textId="77777777" w:rsidR="002164E4" w:rsidRPr="008F39D4" w:rsidRDefault="002164E4" w:rsidP="00D334FC">
      <w:pPr>
        <w:spacing w:line="360" w:lineRule="auto"/>
        <w:jc w:val="both"/>
        <w:rPr>
          <w:rFonts w:ascii="Arial" w:hAnsi="Arial" w:cs="Arial"/>
          <w:color w:val="000000" w:themeColor="text1"/>
          <w:sz w:val="22"/>
          <w:szCs w:val="22"/>
        </w:rPr>
      </w:pPr>
    </w:p>
    <w:p w14:paraId="7D58F6A2" w14:textId="77777777" w:rsidR="002164E4" w:rsidRPr="008F39D4" w:rsidRDefault="002164E4" w:rsidP="00D334FC">
      <w:pPr>
        <w:spacing w:line="360" w:lineRule="auto"/>
        <w:jc w:val="both"/>
        <w:rPr>
          <w:rFonts w:ascii="Arial" w:hAnsi="Arial" w:cs="Arial"/>
          <w:color w:val="000000" w:themeColor="text1"/>
          <w:sz w:val="22"/>
          <w:szCs w:val="22"/>
        </w:rPr>
      </w:pPr>
    </w:p>
    <w:p w14:paraId="18A7AF51" w14:textId="77777777" w:rsidR="00D334FC" w:rsidRPr="008F39D4" w:rsidRDefault="00D334FC" w:rsidP="00D334FC">
      <w:pPr>
        <w:spacing w:line="360" w:lineRule="auto"/>
        <w:jc w:val="both"/>
        <w:rPr>
          <w:rFonts w:ascii="Arial" w:hAnsi="Arial" w:cs="Arial"/>
          <w:color w:val="000000" w:themeColor="text1"/>
          <w:sz w:val="22"/>
          <w:szCs w:val="22"/>
        </w:rPr>
      </w:pPr>
    </w:p>
    <w:tbl>
      <w:tblPr>
        <w:tblStyle w:val="TableGrid"/>
        <w:tblW w:w="9923" w:type="dxa"/>
        <w:tblInd w:w="-572" w:type="dxa"/>
        <w:tblLook w:val="04A0" w:firstRow="1" w:lastRow="0" w:firstColumn="1" w:lastColumn="0" w:noHBand="0" w:noVBand="1"/>
      </w:tblPr>
      <w:tblGrid>
        <w:gridCol w:w="2268"/>
        <w:gridCol w:w="5245"/>
        <w:gridCol w:w="2410"/>
      </w:tblGrid>
      <w:tr w:rsidR="00D334FC" w:rsidRPr="008F39D4" w14:paraId="2129BBEF" w14:textId="77777777" w:rsidTr="002164E4">
        <w:tc>
          <w:tcPr>
            <w:tcW w:w="2268" w:type="dxa"/>
          </w:tcPr>
          <w:p w14:paraId="73FD669A" w14:textId="77777777" w:rsidR="00D334FC" w:rsidRPr="008F39D4" w:rsidRDefault="00D334FC" w:rsidP="00D334FC">
            <w:pPr>
              <w:spacing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lastRenderedPageBreak/>
              <w:t>Articles</w:t>
            </w:r>
          </w:p>
        </w:tc>
        <w:tc>
          <w:tcPr>
            <w:tcW w:w="5245" w:type="dxa"/>
          </w:tcPr>
          <w:p w14:paraId="5B561A47" w14:textId="77777777" w:rsidR="00D334FC" w:rsidRPr="008F39D4" w:rsidRDefault="00D334FC" w:rsidP="00D334FC">
            <w:pPr>
              <w:spacing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t>Codes</w:t>
            </w:r>
          </w:p>
        </w:tc>
        <w:tc>
          <w:tcPr>
            <w:tcW w:w="2410" w:type="dxa"/>
          </w:tcPr>
          <w:p w14:paraId="113B0B35" w14:textId="77777777" w:rsidR="00D334FC" w:rsidRPr="008F39D4" w:rsidRDefault="00D334FC" w:rsidP="00D334FC">
            <w:pPr>
              <w:spacing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t>Themes</w:t>
            </w:r>
          </w:p>
        </w:tc>
      </w:tr>
      <w:tr w:rsidR="00D334FC" w:rsidRPr="008F39D4" w14:paraId="4F464CB1" w14:textId="77777777" w:rsidTr="002164E4">
        <w:tc>
          <w:tcPr>
            <w:tcW w:w="2268" w:type="dxa"/>
          </w:tcPr>
          <w:p w14:paraId="591B84D5"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Prajapati and Liebling (2022)</w:t>
            </w:r>
          </w:p>
        </w:tc>
        <w:tc>
          <w:tcPr>
            <w:tcW w:w="5245" w:type="dxa"/>
          </w:tcPr>
          <w:p w14:paraId="0FC3C463" w14:textId="77777777" w:rsidR="00D334FC" w:rsidRPr="008F39D4" w:rsidRDefault="00D334FC" w:rsidP="00D334FC">
            <w:pPr>
              <w:pStyle w:val="ListParagraph"/>
              <w:numPr>
                <w:ilvl w:val="0"/>
                <w:numId w:val="2"/>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Mental Health Stigma</w:t>
            </w:r>
          </w:p>
          <w:p w14:paraId="6451B7BF" w14:textId="77777777" w:rsidR="00D334FC" w:rsidRPr="008F39D4" w:rsidRDefault="00D334FC" w:rsidP="00D334FC">
            <w:pPr>
              <w:pStyle w:val="ListParagraph"/>
              <w:numPr>
                <w:ilvl w:val="0"/>
                <w:numId w:val="2"/>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Fear of Judgment</w:t>
            </w:r>
          </w:p>
          <w:p w14:paraId="2E02F38E" w14:textId="77777777" w:rsidR="00D334FC" w:rsidRPr="008F39D4" w:rsidRDefault="00D334FC" w:rsidP="00D334FC">
            <w:pPr>
              <w:pStyle w:val="ListParagraph"/>
              <w:numPr>
                <w:ilvl w:val="0"/>
                <w:numId w:val="2"/>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Lack of Culturally Appropriate Services</w:t>
            </w:r>
          </w:p>
          <w:p w14:paraId="424647E8" w14:textId="77777777" w:rsidR="00D334FC" w:rsidRPr="008F39D4" w:rsidRDefault="00D334FC" w:rsidP="00D334FC">
            <w:pPr>
              <w:pStyle w:val="ListParagraph"/>
              <w:numPr>
                <w:ilvl w:val="0"/>
                <w:numId w:val="2"/>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Service Mistrust</w:t>
            </w:r>
          </w:p>
          <w:p w14:paraId="1D416766" w14:textId="77777777" w:rsidR="00D334FC" w:rsidRPr="008F39D4" w:rsidRDefault="00D334FC" w:rsidP="00D334FC">
            <w:pPr>
              <w:pStyle w:val="ListParagraph"/>
              <w:numPr>
                <w:ilvl w:val="0"/>
                <w:numId w:val="2"/>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Delayed Help-Seeking</w:t>
            </w:r>
          </w:p>
        </w:tc>
        <w:tc>
          <w:tcPr>
            <w:tcW w:w="2410" w:type="dxa"/>
            <w:vMerge w:val="restart"/>
          </w:tcPr>
          <w:p w14:paraId="71287EE8"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Access barriers</w:t>
            </w:r>
          </w:p>
          <w:p w14:paraId="399975BB" w14:textId="77777777" w:rsidR="00D334FC" w:rsidRPr="008F39D4" w:rsidRDefault="00D334FC" w:rsidP="00D334FC">
            <w:pPr>
              <w:spacing w:line="360" w:lineRule="auto"/>
              <w:jc w:val="both"/>
              <w:rPr>
                <w:rFonts w:ascii="Arial" w:hAnsi="Arial" w:cs="Arial"/>
                <w:color w:val="000000" w:themeColor="text1"/>
                <w:sz w:val="22"/>
                <w:szCs w:val="22"/>
              </w:rPr>
            </w:pPr>
          </w:p>
        </w:tc>
      </w:tr>
      <w:tr w:rsidR="00D334FC" w:rsidRPr="008F39D4" w14:paraId="05709A27" w14:textId="77777777" w:rsidTr="002164E4">
        <w:tc>
          <w:tcPr>
            <w:tcW w:w="2268" w:type="dxa"/>
          </w:tcPr>
          <w:p w14:paraId="56F90043"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Delon et al. (2022)</w:t>
            </w:r>
          </w:p>
        </w:tc>
        <w:tc>
          <w:tcPr>
            <w:tcW w:w="5245" w:type="dxa"/>
          </w:tcPr>
          <w:p w14:paraId="298BDBA4" w14:textId="77777777" w:rsidR="00D334FC" w:rsidRPr="008F39D4" w:rsidRDefault="00D334FC" w:rsidP="00D334FC">
            <w:pPr>
              <w:pStyle w:val="ListParagraph"/>
              <w:numPr>
                <w:ilvl w:val="0"/>
                <w:numId w:val="3"/>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Unequal Cancer Incidence</w:t>
            </w:r>
          </w:p>
          <w:p w14:paraId="7575D91F" w14:textId="77777777" w:rsidR="00D334FC" w:rsidRPr="008F39D4" w:rsidRDefault="00D334FC" w:rsidP="00D334FC">
            <w:pPr>
              <w:pStyle w:val="ListParagraph"/>
              <w:numPr>
                <w:ilvl w:val="0"/>
                <w:numId w:val="3"/>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Late-Stage Diagnosis</w:t>
            </w:r>
          </w:p>
          <w:p w14:paraId="45178375" w14:textId="77777777" w:rsidR="00D334FC" w:rsidRPr="008F39D4" w:rsidRDefault="00D334FC" w:rsidP="00D334FC">
            <w:pPr>
              <w:pStyle w:val="ListParagraph"/>
              <w:numPr>
                <w:ilvl w:val="0"/>
                <w:numId w:val="3"/>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Screening Underutilisation</w:t>
            </w:r>
          </w:p>
          <w:p w14:paraId="321AE976" w14:textId="77777777" w:rsidR="00D334FC" w:rsidRPr="008F39D4" w:rsidRDefault="00D334FC" w:rsidP="00D334FC">
            <w:pPr>
              <w:pStyle w:val="ListParagraph"/>
              <w:numPr>
                <w:ilvl w:val="0"/>
                <w:numId w:val="3"/>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Ethnic Health Disparities</w:t>
            </w:r>
          </w:p>
        </w:tc>
        <w:tc>
          <w:tcPr>
            <w:tcW w:w="2410" w:type="dxa"/>
            <w:vMerge/>
          </w:tcPr>
          <w:p w14:paraId="4D7B120F" w14:textId="77777777" w:rsidR="00D334FC" w:rsidRPr="008F39D4" w:rsidRDefault="00D334FC" w:rsidP="00D334FC">
            <w:pPr>
              <w:spacing w:line="360" w:lineRule="auto"/>
              <w:jc w:val="both"/>
              <w:rPr>
                <w:rFonts w:ascii="Arial" w:hAnsi="Arial" w:cs="Arial"/>
                <w:color w:val="000000" w:themeColor="text1"/>
                <w:sz w:val="22"/>
                <w:szCs w:val="22"/>
              </w:rPr>
            </w:pPr>
          </w:p>
        </w:tc>
      </w:tr>
      <w:tr w:rsidR="00D334FC" w:rsidRPr="008F39D4" w14:paraId="3CF80A27" w14:textId="77777777" w:rsidTr="002164E4">
        <w:tc>
          <w:tcPr>
            <w:tcW w:w="2268" w:type="dxa"/>
          </w:tcPr>
          <w:p w14:paraId="4BD66F55"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Chen et al. (2023)</w:t>
            </w:r>
          </w:p>
        </w:tc>
        <w:tc>
          <w:tcPr>
            <w:tcW w:w="5245" w:type="dxa"/>
          </w:tcPr>
          <w:p w14:paraId="7C79ED50" w14:textId="77777777" w:rsidR="00D334FC" w:rsidRPr="008F39D4" w:rsidRDefault="00D334FC" w:rsidP="00D334FC">
            <w:pPr>
              <w:pStyle w:val="ListParagraph"/>
              <w:numPr>
                <w:ilvl w:val="0"/>
                <w:numId w:val="4"/>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Algorithmic Bias</w:t>
            </w:r>
          </w:p>
          <w:p w14:paraId="6C92034E" w14:textId="77777777" w:rsidR="00D334FC" w:rsidRPr="008F39D4" w:rsidRDefault="00D334FC" w:rsidP="00D334FC">
            <w:pPr>
              <w:pStyle w:val="ListParagraph"/>
              <w:numPr>
                <w:ilvl w:val="0"/>
                <w:numId w:val="4"/>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Data Underrepresentation</w:t>
            </w:r>
          </w:p>
          <w:p w14:paraId="3895C13F" w14:textId="77777777" w:rsidR="00D334FC" w:rsidRPr="008F39D4" w:rsidRDefault="00D334FC" w:rsidP="00D334FC">
            <w:pPr>
              <w:pStyle w:val="ListParagraph"/>
              <w:numPr>
                <w:ilvl w:val="0"/>
                <w:numId w:val="4"/>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Digital Inequality</w:t>
            </w:r>
          </w:p>
          <w:p w14:paraId="642355BE" w14:textId="77777777" w:rsidR="00D334FC" w:rsidRPr="008F39D4" w:rsidRDefault="00D334FC" w:rsidP="00D334FC">
            <w:pPr>
              <w:pStyle w:val="ListParagraph"/>
              <w:numPr>
                <w:ilvl w:val="0"/>
                <w:numId w:val="4"/>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AI-Driven Exclusion</w:t>
            </w:r>
          </w:p>
        </w:tc>
        <w:tc>
          <w:tcPr>
            <w:tcW w:w="2410" w:type="dxa"/>
            <w:vMerge/>
          </w:tcPr>
          <w:p w14:paraId="3A9D3B48" w14:textId="77777777" w:rsidR="00D334FC" w:rsidRPr="008F39D4" w:rsidRDefault="00D334FC" w:rsidP="00D334FC">
            <w:pPr>
              <w:spacing w:line="360" w:lineRule="auto"/>
              <w:jc w:val="both"/>
              <w:rPr>
                <w:rFonts w:ascii="Arial" w:hAnsi="Arial" w:cs="Arial"/>
                <w:color w:val="000000" w:themeColor="text1"/>
                <w:sz w:val="22"/>
                <w:szCs w:val="22"/>
              </w:rPr>
            </w:pPr>
          </w:p>
        </w:tc>
      </w:tr>
      <w:tr w:rsidR="00D334FC" w:rsidRPr="008F39D4" w14:paraId="13B60229" w14:textId="77777777" w:rsidTr="002164E4">
        <w:tc>
          <w:tcPr>
            <w:tcW w:w="2268" w:type="dxa"/>
          </w:tcPr>
          <w:p w14:paraId="12AA6192" w14:textId="77777777" w:rsidR="00D334FC" w:rsidRPr="008F39D4" w:rsidRDefault="00D334FC" w:rsidP="00D334FC">
            <w:pPr>
              <w:spacing w:line="360" w:lineRule="auto"/>
              <w:jc w:val="both"/>
              <w:rPr>
                <w:rFonts w:ascii="Arial" w:hAnsi="Arial" w:cs="Arial"/>
                <w:color w:val="000000" w:themeColor="text1"/>
                <w:sz w:val="22"/>
                <w:szCs w:val="22"/>
              </w:rPr>
            </w:pPr>
            <w:proofErr w:type="spellStart"/>
            <w:r w:rsidRPr="008F39D4">
              <w:rPr>
                <w:rFonts w:ascii="Arial" w:hAnsi="Arial" w:cs="Arial"/>
                <w:color w:val="000000" w:themeColor="text1"/>
                <w:sz w:val="22"/>
                <w:szCs w:val="22"/>
              </w:rPr>
              <w:t>Georgeou</w:t>
            </w:r>
            <w:proofErr w:type="spellEnd"/>
            <w:r w:rsidRPr="008F39D4">
              <w:rPr>
                <w:rFonts w:ascii="Arial" w:hAnsi="Arial" w:cs="Arial"/>
                <w:color w:val="000000" w:themeColor="text1"/>
                <w:sz w:val="22"/>
                <w:szCs w:val="22"/>
              </w:rPr>
              <w:t xml:space="preserve"> et al. (2023)</w:t>
            </w:r>
          </w:p>
        </w:tc>
        <w:tc>
          <w:tcPr>
            <w:tcW w:w="5245" w:type="dxa"/>
          </w:tcPr>
          <w:p w14:paraId="2D6DEAFE" w14:textId="77777777" w:rsidR="00D334FC" w:rsidRPr="008F39D4" w:rsidRDefault="00D334FC" w:rsidP="00D334FC">
            <w:pPr>
              <w:pStyle w:val="ListParagraph"/>
              <w:numPr>
                <w:ilvl w:val="0"/>
                <w:numId w:val="5"/>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Language Isolation</w:t>
            </w:r>
          </w:p>
          <w:p w14:paraId="6CDCDAA7" w14:textId="77777777" w:rsidR="00D334FC" w:rsidRPr="008F39D4" w:rsidRDefault="00D334FC" w:rsidP="00D334FC">
            <w:pPr>
              <w:pStyle w:val="ListParagraph"/>
              <w:numPr>
                <w:ilvl w:val="0"/>
                <w:numId w:val="5"/>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Cultural Disconnect</w:t>
            </w:r>
          </w:p>
          <w:p w14:paraId="6FBD2456" w14:textId="77777777" w:rsidR="00D334FC" w:rsidRPr="008F39D4" w:rsidRDefault="00D334FC" w:rsidP="00D334FC">
            <w:pPr>
              <w:pStyle w:val="ListParagraph"/>
              <w:numPr>
                <w:ilvl w:val="0"/>
                <w:numId w:val="5"/>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Migration Stress</w:t>
            </w:r>
          </w:p>
          <w:p w14:paraId="4627F832" w14:textId="77777777" w:rsidR="00D334FC" w:rsidRPr="008F39D4" w:rsidRDefault="00D334FC" w:rsidP="00D334FC">
            <w:pPr>
              <w:pStyle w:val="ListParagraph"/>
              <w:numPr>
                <w:ilvl w:val="0"/>
                <w:numId w:val="5"/>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Ageing Identity Loss</w:t>
            </w:r>
          </w:p>
        </w:tc>
        <w:tc>
          <w:tcPr>
            <w:tcW w:w="2410" w:type="dxa"/>
            <w:vMerge/>
          </w:tcPr>
          <w:p w14:paraId="066960DF" w14:textId="77777777" w:rsidR="00D334FC" w:rsidRPr="008F39D4" w:rsidRDefault="00D334FC" w:rsidP="00D334FC">
            <w:pPr>
              <w:spacing w:line="360" w:lineRule="auto"/>
              <w:jc w:val="both"/>
              <w:rPr>
                <w:rFonts w:ascii="Arial" w:hAnsi="Arial" w:cs="Arial"/>
                <w:color w:val="000000" w:themeColor="text1"/>
                <w:sz w:val="22"/>
                <w:szCs w:val="22"/>
              </w:rPr>
            </w:pPr>
          </w:p>
        </w:tc>
      </w:tr>
      <w:tr w:rsidR="00D334FC" w:rsidRPr="008F39D4" w14:paraId="42E999C3" w14:textId="77777777" w:rsidTr="002164E4">
        <w:tc>
          <w:tcPr>
            <w:tcW w:w="2268" w:type="dxa"/>
          </w:tcPr>
          <w:p w14:paraId="487DACBF"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Dadswell and Bungay (2025)</w:t>
            </w:r>
          </w:p>
        </w:tc>
        <w:tc>
          <w:tcPr>
            <w:tcW w:w="5245" w:type="dxa"/>
          </w:tcPr>
          <w:p w14:paraId="1858EAAA" w14:textId="77777777" w:rsidR="00D334FC" w:rsidRPr="008F39D4" w:rsidRDefault="00D334FC" w:rsidP="00D334FC">
            <w:pPr>
              <w:pStyle w:val="ListParagraph"/>
              <w:numPr>
                <w:ilvl w:val="0"/>
                <w:numId w:val="6"/>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Language-Inclusive Social Prescribing</w:t>
            </w:r>
          </w:p>
          <w:p w14:paraId="262F35FB" w14:textId="77777777" w:rsidR="00D334FC" w:rsidRPr="008F39D4" w:rsidRDefault="00D334FC" w:rsidP="00D334FC">
            <w:pPr>
              <w:pStyle w:val="ListParagraph"/>
              <w:numPr>
                <w:ilvl w:val="0"/>
                <w:numId w:val="6"/>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Community Co-Production</w:t>
            </w:r>
          </w:p>
          <w:p w14:paraId="7C3696D3" w14:textId="77777777" w:rsidR="00D334FC" w:rsidRPr="008F39D4" w:rsidRDefault="00D334FC" w:rsidP="00D334FC">
            <w:pPr>
              <w:pStyle w:val="ListParagraph"/>
              <w:numPr>
                <w:ilvl w:val="0"/>
                <w:numId w:val="6"/>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Cultural Participation</w:t>
            </w:r>
          </w:p>
          <w:p w14:paraId="55452924" w14:textId="77777777" w:rsidR="00D334FC" w:rsidRPr="008F39D4" w:rsidRDefault="00D334FC" w:rsidP="00D334FC">
            <w:pPr>
              <w:pStyle w:val="ListParagraph"/>
              <w:numPr>
                <w:ilvl w:val="0"/>
                <w:numId w:val="6"/>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Service Accessibility</w:t>
            </w:r>
          </w:p>
        </w:tc>
        <w:tc>
          <w:tcPr>
            <w:tcW w:w="2410" w:type="dxa"/>
            <w:vMerge/>
          </w:tcPr>
          <w:p w14:paraId="59483A18" w14:textId="77777777" w:rsidR="00D334FC" w:rsidRPr="008F39D4" w:rsidRDefault="00D334FC" w:rsidP="00D334FC">
            <w:pPr>
              <w:spacing w:line="360" w:lineRule="auto"/>
              <w:jc w:val="both"/>
              <w:rPr>
                <w:rFonts w:ascii="Arial" w:hAnsi="Arial" w:cs="Arial"/>
                <w:color w:val="000000" w:themeColor="text1"/>
                <w:sz w:val="22"/>
                <w:szCs w:val="22"/>
              </w:rPr>
            </w:pPr>
          </w:p>
        </w:tc>
      </w:tr>
      <w:tr w:rsidR="00D334FC" w:rsidRPr="008F39D4" w14:paraId="529095EC" w14:textId="77777777" w:rsidTr="002164E4">
        <w:tc>
          <w:tcPr>
            <w:tcW w:w="2268" w:type="dxa"/>
          </w:tcPr>
          <w:p w14:paraId="16BCAF06"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Khatri and Assefa (2022)</w:t>
            </w:r>
          </w:p>
        </w:tc>
        <w:tc>
          <w:tcPr>
            <w:tcW w:w="5245" w:type="dxa"/>
          </w:tcPr>
          <w:p w14:paraId="5F934335" w14:textId="77777777" w:rsidR="00D334FC" w:rsidRPr="008F39D4" w:rsidRDefault="00D334FC" w:rsidP="00D334FC">
            <w:pPr>
              <w:pStyle w:val="ListParagraph"/>
              <w:numPr>
                <w:ilvl w:val="0"/>
                <w:numId w:val="7"/>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Health System Navigation Barriers</w:t>
            </w:r>
          </w:p>
          <w:p w14:paraId="2F8633C7" w14:textId="77777777" w:rsidR="00D334FC" w:rsidRPr="008F39D4" w:rsidRDefault="00D334FC" w:rsidP="00D334FC">
            <w:pPr>
              <w:pStyle w:val="ListParagraph"/>
              <w:numPr>
                <w:ilvl w:val="0"/>
                <w:numId w:val="7"/>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Limited Interpreter Services</w:t>
            </w:r>
          </w:p>
          <w:p w14:paraId="4A7D25DF" w14:textId="77777777" w:rsidR="00D334FC" w:rsidRPr="008F39D4" w:rsidRDefault="00D334FC" w:rsidP="00D334FC">
            <w:pPr>
              <w:pStyle w:val="ListParagraph"/>
              <w:numPr>
                <w:ilvl w:val="0"/>
                <w:numId w:val="7"/>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Cultural Misunderstanding</w:t>
            </w:r>
          </w:p>
        </w:tc>
        <w:tc>
          <w:tcPr>
            <w:tcW w:w="2410" w:type="dxa"/>
            <w:vMerge/>
          </w:tcPr>
          <w:p w14:paraId="3E22A7EA" w14:textId="77777777" w:rsidR="00D334FC" w:rsidRPr="008F39D4" w:rsidRDefault="00D334FC" w:rsidP="00D334FC">
            <w:pPr>
              <w:spacing w:line="360" w:lineRule="auto"/>
              <w:jc w:val="both"/>
              <w:rPr>
                <w:rFonts w:ascii="Arial" w:hAnsi="Arial" w:cs="Arial"/>
                <w:color w:val="000000" w:themeColor="text1"/>
                <w:sz w:val="22"/>
                <w:szCs w:val="22"/>
              </w:rPr>
            </w:pPr>
          </w:p>
        </w:tc>
      </w:tr>
      <w:tr w:rsidR="00D334FC" w:rsidRPr="008F39D4" w14:paraId="5135FFC5" w14:textId="77777777" w:rsidTr="002164E4">
        <w:tc>
          <w:tcPr>
            <w:tcW w:w="2268" w:type="dxa"/>
          </w:tcPr>
          <w:p w14:paraId="0FD45761"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Mohd Rosnu et al. (2022)</w:t>
            </w:r>
          </w:p>
        </w:tc>
        <w:tc>
          <w:tcPr>
            <w:tcW w:w="5245" w:type="dxa"/>
          </w:tcPr>
          <w:p w14:paraId="6028D324" w14:textId="77777777" w:rsidR="00D334FC" w:rsidRPr="008F39D4" w:rsidRDefault="00D334FC" w:rsidP="00D334FC">
            <w:pPr>
              <w:pStyle w:val="ListParagraph"/>
              <w:numPr>
                <w:ilvl w:val="0"/>
                <w:numId w:val="8"/>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Financial Barriers</w:t>
            </w:r>
          </w:p>
          <w:p w14:paraId="1939010B" w14:textId="77777777" w:rsidR="00D334FC" w:rsidRPr="008F39D4" w:rsidRDefault="00D334FC" w:rsidP="00D334FC">
            <w:pPr>
              <w:pStyle w:val="ListParagraph"/>
              <w:numPr>
                <w:ilvl w:val="0"/>
                <w:numId w:val="8"/>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Transport Limitations</w:t>
            </w:r>
          </w:p>
          <w:p w14:paraId="3AE9CB3A" w14:textId="77777777" w:rsidR="00D334FC" w:rsidRPr="008F39D4" w:rsidRDefault="00D334FC" w:rsidP="00D334FC">
            <w:pPr>
              <w:pStyle w:val="ListParagraph"/>
              <w:numPr>
                <w:ilvl w:val="0"/>
                <w:numId w:val="8"/>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Family Dependence</w:t>
            </w:r>
          </w:p>
          <w:p w14:paraId="36264DCE" w14:textId="77777777" w:rsidR="00D334FC" w:rsidRPr="008F39D4" w:rsidRDefault="00D334FC" w:rsidP="00D334FC">
            <w:pPr>
              <w:pStyle w:val="ListParagraph"/>
              <w:numPr>
                <w:ilvl w:val="0"/>
                <w:numId w:val="8"/>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Health Awareness Gaps</w:t>
            </w:r>
          </w:p>
        </w:tc>
        <w:tc>
          <w:tcPr>
            <w:tcW w:w="2410" w:type="dxa"/>
            <w:vMerge w:val="restart"/>
          </w:tcPr>
          <w:p w14:paraId="7683BA97"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lang w:val="en-GB"/>
              </w:rPr>
              <w:t>Differences in culture, language perceptions, beliefs, and feelings</w:t>
            </w:r>
          </w:p>
          <w:p w14:paraId="369A1C21" w14:textId="77777777" w:rsidR="00D334FC" w:rsidRPr="008F39D4" w:rsidRDefault="00D334FC" w:rsidP="00D334FC">
            <w:pPr>
              <w:spacing w:line="360" w:lineRule="auto"/>
              <w:jc w:val="both"/>
              <w:rPr>
                <w:rFonts w:ascii="Arial" w:hAnsi="Arial" w:cs="Arial"/>
                <w:color w:val="000000" w:themeColor="text1"/>
                <w:sz w:val="22"/>
                <w:szCs w:val="22"/>
              </w:rPr>
            </w:pPr>
          </w:p>
        </w:tc>
      </w:tr>
      <w:tr w:rsidR="00D334FC" w:rsidRPr="008F39D4" w14:paraId="1B300C53" w14:textId="77777777" w:rsidTr="002164E4">
        <w:tc>
          <w:tcPr>
            <w:tcW w:w="2268" w:type="dxa"/>
          </w:tcPr>
          <w:p w14:paraId="1FA203FB" w14:textId="77777777" w:rsidR="00D334FC" w:rsidRPr="008F39D4" w:rsidRDefault="00D334FC" w:rsidP="00D334FC">
            <w:pPr>
              <w:spacing w:line="360" w:lineRule="auto"/>
              <w:jc w:val="both"/>
              <w:rPr>
                <w:rFonts w:ascii="Arial" w:hAnsi="Arial" w:cs="Arial"/>
                <w:color w:val="000000" w:themeColor="text1"/>
                <w:sz w:val="22"/>
                <w:szCs w:val="22"/>
              </w:rPr>
            </w:pPr>
            <w:proofErr w:type="spellStart"/>
            <w:r w:rsidRPr="008F39D4">
              <w:rPr>
                <w:rFonts w:ascii="Arial" w:hAnsi="Arial" w:cs="Arial"/>
                <w:color w:val="000000" w:themeColor="text1"/>
                <w:sz w:val="22"/>
                <w:szCs w:val="22"/>
              </w:rPr>
              <w:t>Velaithan</w:t>
            </w:r>
            <w:proofErr w:type="spellEnd"/>
            <w:r w:rsidRPr="008F39D4">
              <w:rPr>
                <w:rFonts w:ascii="Arial" w:hAnsi="Arial" w:cs="Arial"/>
                <w:color w:val="000000" w:themeColor="text1"/>
                <w:sz w:val="22"/>
                <w:szCs w:val="22"/>
              </w:rPr>
              <w:t xml:space="preserve"> et al. (2024)</w:t>
            </w:r>
          </w:p>
        </w:tc>
        <w:tc>
          <w:tcPr>
            <w:tcW w:w="5245" w:type="dxa"/>
          </w:tcPr>
          <w:p w14:paraId="257F7EBD" w14:textId="77777777" w:rsidR="00D334FC" w:rsidRPr="008F39D4" w:rsidRDefault="00D334FC" w:rsidP="00D334FC">
            <w:pPr>
              <w:pStyle w:val="ListParagraph"/>
              <w:numPr>
                <w:ilvl w:val="0"/>
                <w:numId w:val="9"/>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Negative Self-Perception </w:t>
            </w:r>
            <w:proofErr w:type="gramStart"/>
            <w:r w:rsidRPr="008F39D4">
              <w:rPr>
                <w:rFonts w:ascii="Arial" w:hAnsi="Arial" w:cs="Arial"/>
                <w:color w:val="000000" w:themeColor="text1"/>
                <w:sz w:val="22"/>
                <w:szCs w:val="22"/>
              </w:rPr>
              <w:t>Of</w:t>
            </w:r>
            <w:proofErr w:type="gramEnd"/>
            <w:r w:rsidRPr="008F39D4">
              <w:rPr>
                <w:rFonts w:ascii="Arial" w:hAnsi="Arial" w:cs="Arial"/>
                <w:color w:val="000000" w:themeColor="text1"/>
                <w:sz w:val="22"/>
                <w:szCs w:val="22"/>
              </w:rPr>
              <w:t xml:space="preserve"> Ageing</w:t>
            </w:r>
          </w:p>
          <w:p w14:paraId="272DE83C" w14:textId="77777777" w:rsidR="00D334FC" w:rsidRPr="008F39D4" w:rsidRDefault="00D334FC" w:rsidP="00D334FC">
            <w:pPr>
              <w:pStyle w:val="ListParagraph"/>
              <w:numPr>
                <w:ilvl w:val="0"/>
                <w:numId w:val="9"/>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Psychological Vulnerability</w:t>
            </w:r>
          </w:p>
          <w:p w14:paraId="27331BE4" w14:textId="77777777" w:rsidR="00D334FC" w:rsidRPr="008F39D4" w:rsidRDefault="00D334FC" w:rsidP="00D334FC">
            <w:pPr>
              <w:pStyle w:val="ListParagraph"/>
              <w:numPr>
                <w:ilvl w:val="0"/>
                <w:numId w:val="9"/>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Reduced Life Satisfaction</w:t>
            </w:r>
          </w:p>
        </w:tc>
        <w:tc>
          <w:tcPr>
            <w:tcW w:w="2410" w:type="dxa"/>
            <w:vMerge/>
          </w:tcPr>
          <w:p w14:paraId="6EC1C85A" w14:textId="77777777" w:rsidR="00D334FC" w:rsidRPr="008F39D4" w:rsidRDefault="00D334FC" w:rsidP="00D334FC">
            <w:pPr>
              <w:spacing w:line="360" w:lineRule="auto"/>
              <w:jc w:val="both"/>
              <w:rPr>
                <w:rFonts w:ascii="Arial" w:hAnsi="Arial" w:cs="Arial"/>
                <w:color w:val="000000" w:themeColor="text1"/>
                <w:sz w:val="22"/>
                <w:szCs w:val="22"/>
              </w:rPr>
            </w:pPr>
          </w:p>
        </w:tc>
      </w:tr>
      <w:tr w:rsidR="00D334FC" w:rsidRPr="008F39D4" w14:paraId="6915FCD7" w14:textId="77777777" w:rsidTr="002164E4">
        <w:tc>
          <w:tcPr>
            <w:tcW w:w="2268" w:type="dxa"/>
          </w:tcPr>
          <w:p w14:paraId="1D5587B9"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Hazzan et al. (2022)</w:t>
            </w:r>
          </w:p>
        </w:tc>
        <w:tc>
          <w:tcPr>
            <w:tcW w:w="5245" w:type="dxa"/>
          </w:tcPr>
          <w:p w14:paraId="75448731" w14:textId="77777777" w:rsidR="00D334FC" w:rsidRPr="008F39D4" w:rsidRDefault="00D334FC" w:rsidP="00D334FC">
            <w:pPr>
              <w:pStyle w:val="ListParagraph"/>
              <w:numPr>
                <w:ilvl w:val="0"/>
                <w:numId w:val="10"/>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Caregiver Emotional Strain</w:t>
            </w:r>
          </w:p>
          <w:p w14:paraId="61034B79" w14:textId="77777777" w:rsidR="00D334FC" w:rsidRPr="008F39D4" w:rsidRDefault="00D334FC" w:rsidP="00D334FC">
            <w:pPr>
              <w:pStyle w:val="ListParagraph"/>
              <w:numPr>
                <w:ilvl w:val="0"/>
                <w:numId w:val="10"/>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Role Overload</w:t>
            </w:r>
          </w:p>
          <w:p w14:paraId="567357B8" w14:textId="77777777" w:rsidR="00D334FC" w:rsidRPr="008F39D4" w:rsidRDefault="00D334FC" w:rsidP="00D334FC">
            <w:pPr>
              <w:pStyle w:val="ListParagraph"/>
              <w:numPr>
                <w:ilvl w:val="0"/>
                <w:numId w:val="10"/>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Lack Of Support Networks</w:t>
            </w:r>
          </w:p>
        </w:tc>
        <w:tc>
          <w:tcPr>
            <w:tcW w:w="2410" w:type="dxa"/>
            <w:vMerge/>
          </w:tcPr>
          <w:p w14:paraId="21F903DD" w14:textId="77777777" w:rsidR="00D334FC" w:rsidRPr="008F39D4" w:rsidRDefault="00D334FC" w:rsidP="00D334FC">
            <w:pPr>
              <w:spacing w:line="360" w:lineRule="auto"/>
              <w:jc w:val="both"/>
              <w:rPr>
                <w:rFonts w:ascii="Arial" w:hAnsi="Arial" w:cs="Arial"/>
                <w:color w:val="000000" w:themeColor="text1"/>
                <w:sz w:val="22"/>
                <w:szCs w:val="22"/>
              </w:rPr>
            </w:pPr>
          </w:p>
        </w:tc>
      </w:tr>
      <w:tr w:rsidR="00D334FC" w:rsidRPr="008F39D4" w14:paraId="5AC2C38E" w14:textId="77777777" w:rsidTr="002164E4">
        <w:tc>
          <w:tcPr>
            <w:tcW w:w="2268" w:type="dxa"/>
          </w:tcPr>
          <w:p w14:paraId="0B91AFDB"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lastRenderedPageBreak/>
              <w:t>Farooqi et al. (2022)</w:t>
            </w:r>
          </w:p>
        </w:tc>
        <w:tc>
          <w:tcPr>
            <w:tcW w:w="5245" w:type="dxa"/>
          </w:tcPr>
          <w:p w14:paraId="6F141FAD" w14:textId="77777777" w:rsidR="00D334FC" w:rsidRPr="008F39D4" w:rsidRDefault="00D334FC" w:rsidP="00D334FC">
            <w:pPr>
              <w:pStyle w:val="ListParagraph"/>
              <w:numPr>
                <w:ilvl w:val="0"/>
                <w:numId w:val="11"/>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Community Engagement Tools</w:t>
            </w:r>
          </w:p>
          <w:p w14:paraId="721015BF" w14:textId="77777777" w:rsidR="00D334FC" w:rsidRPr="008F39D4" w:rsidRDefault="00D334FC" w:rsidP="00D334FC">
            <w:pPr>
              <w:pStyle w:val="ListParagraph"/>
              <w:numPr>
                <w:ilvl w:val="0"/>
                <w:numId w:val="11"/>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Inclusive Research Participation</w:t>
            </w:r>
          </w:p>
          <w:p w14:paraId="6E1F41C9" w14:textId="77777777" w:rsidR="00D334FC" w:rsidRPr="008F39D4" w:rsidRDefault="00D334FC" w:rsidP="00D334FC">
            <w:pPr>
              <w:pStyle w:val="ListParagraph"/>
              <w:numPr>
                <w:ilvl w:val="0"/>
                <w:numId w:val="11"/>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Trust-Building Strategies</w:t>
            </w:r>
          </w:p>
        </w:tc>
        <w:tc>
          <w:tcPr>
            <w:tcW w:w="2410" w:type="dxa"/>
            <w:vMerge w:val="restart"/>
          </w:tcPr>
          <w:p w14:paraId="402BB089"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Role of care professionals in navigating and addressing issues</w:t>
            </w:r>
          </w:p>
          <w:p w14:paraId="67203CA0"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in care infrastructure</w:t>
            </w:r>
          </w:p>
        </w:tc>
      </w:tr>
      <w:tr w:rsidR="00D334FC" w:rsidRPr="008F39D4" w14:paraId="79A0E0CE" w14:textId="77777777" w:rsidTr="002164E4">
        <w:tc>
          <w:tcPr>
            <w:tcW w:w="2268" w:type="dxa"/>
          </w:tcPr>
          <w:p w14:paraId="7CD4FAF8"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Bansal et al. (2022)</w:t>
            </w:r>
          </w:p>
        </w:tc>
        <w:tc>
          <w:tcPr>
            <w:tcW w:w="5245" w:type="dxa"/>
          </w:tcPr>
          <w:p w14:paraId="11ACFAE0" w14:textId="77777777" w:rsidR="00D334FC" w:rsidRPr="008F39D4" w:rsidRDefault="00D334FC" w:rsidP="00D334FC">
            <w:pPr>
              <w:pStyle w:val="ListParagraph"/>
              <w:numPr>
                <w:ilvl w:val="0"/>
                <w:numId w:val="12"/>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Institutional Racism</w:t>
            </w:r>
          </w:p>
          <w:p w14:paraId="342123BD" w14:textId="77777777" w:rsidR="00D334FC" w:rsidRPr="008F39D4" w:rsidRDefault="00D334FC" w:rsidP="00D334FC">
            <w:pPr>
              <w:pStyle w:val="ListParagraph"/>
              <w:numPr>
                <w:ilvl w:val="0"/>
                <w:numId w:val="12"/>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Unequal Treatment Pathways</w:t>
            </w:r>
          </w:p>
          <w:p w14:paraId="7664E49F" w14:textId="77777777" w:rsidR="00D334FC" w:rsidRPr="008F39D4" w:rsidRDefault="00D334FC" w:rsidP="00D334FC">
            <w:pPr>
              <w:pStyle w:val="ListParagraph"/>
              <w:numPr>
                <w:ilvl w:val="0"/>
                <w:numId w:val="12"/>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Misdiagnosis Risk</w:t>
            </w:r>
          </w:p>
        </w:tc>
        <w:tc>
          <w:tcPr>
            <w:tcW w:w="2410" w:type="dxa"/>
            <w:vMerge/>
          </w:tcPr>
          <w:p w14:paraId="17A3953C" w14:textId="77777777" w:rsidR="00D334FC" w:rsidRPr="008F39D4" w:rsidRDefault="00D334FC" w:rsidP="00D334FC">
            <w:pPr>
              <w:spacing w:line="360" w:lineRule="auto"/>
              <w:jc w:val="both"/>
              <w:rPr>
                <w:rFonts w:ascii="Arial" w:hAnsi="Arial" w:cs="Arial"/>
                <w:color w:val="000000" w:themeColor="text1"/>
                <w:sz w:val="22"/>
                <w:szCs w:val="22"/>
              </w:rPr>
            </w:pPr>
          </w:p>
        </w:tc>
      </w:tr>
      <w:tr w:rsidR="00D334FC" w:rsidRPr="008F39D4" w14:paraId="037AEEEC" w14:textId="77777777" w:rsidTr="002164E4">
        <w:tc>
          <w:tcPr>
            <w:tcW w:w="2268" w:type="dxa"/>
          </w:tcPr>
          <w:p w14:paraId="2BDD4004"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Hwang and Beauregard (2022)</w:t>
            </w:r>
          </w:p>
        </w:tc>
        <w:tc>
          <w:tcPr>
            <w:tcW w:w="5245" w:type="dxa"/>
          </w:tcPr>
          <w:p w14:paraId="61ED929F" w14:textId="77777777" w:rsidR="00D334FC" w:rsidRPr="008F39D4" w:rsidRDefault="00D334FC" w:rsidP="00D334FC">
            <w:pPr>
              <w:pStyle w:val="ListParagraph"/>
              <w:numPr>
                <w:ilvl w:val="0"/>
                <w:numId w:val="13"/>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Intersectional Disadvantage</w:t>
            </w:r>
          </w:p>
          <w:p w14:paraId="721ECE4D" w14:textId="77777777" w:rsidR="00D334FC" w:rsidRPr="008F39D4" w:rsidRDefault="00D334FC" w:rsidP="00D334FC">
            <w:pPr>
              <w:pStyle w:val="ListParagraph"/>
              <w:numPr>
                <w:ilvl w:val="0"/>
                <w:numId w:val="13"/>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Gendered Exploitation</w:t>
            </w:r>
          </w:p>
          <w:p w14:paraId="22DD596F" w14:textId="77777777" w:rsidR="00D334FC" w:rsidRPr="008F39D4" w:rsidRDefault="00D334FC" w:rsidP="00D334FC">
            <w:pPr>
              <w:pStyle w:val="ListParagraph"/>
              <w:numPr>
                <w:ilvl w:val="0"/>
                <w:numId w:val="13"/>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Migrant Vulnerability</w:t>
            </w:r>
          </w:p>
        </w:tc>
        <w:tc>
          <w:tcPr>
            <w:tcW w:w="2410" w:type="dxa"/>
            <w:vMerge/>
          </w:tcPr>
          <w:p w14:paraId="20BCBBBC" w14:textId="77777777" w:rsidR="00D334FC" w:rsidRPr="008F39D4" w:rsidRDefault="00D334FC" w:rsidP="00D334FC">
            <w:pPr>
              <w:spacing w:line="360" w:lineRule="auto"/>
              <w:jc w:val="both"/>
              <w:rPr>
                <w:rFonts w:ascii="Arial" w:hAnsi="Arial" w:cs="Arial"/>
                <w:color w:val="000000" w:themeColor="text1"/>
                <w:sz w:val="22"/>
                <w:szCs w:val="22"/>
              </w:rPr>
            </w:pPr>
          </w:p>
        </w:tc>
      </w:tr>
      <w:tr w:rsidR="00D334FC" w:rsidRPr="008F39D4" w14:paraId="41761BD8" w14:textId="77777777" w:rsidTr="002164E4">
        <w:tc>
          <w:tcPr>
            <w:tcW w:w="2268" w:type="dxa"/>
          </w:tcPr>
          <w:p w14:paraId="1E2C7C20"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Yip et al. (2024)</w:t>
            </w:r>
          </w:p>
        </w:tc>
        <w:tc>
          <w:tcPr>
            <w:tcW w:w="5245" w:type="dxa"/>
          </w:tcPr>
          <w:p w14:paraId="2BA2876E" w14:textId="77777777" w:rsidR="00D334FC" w:rsidRPr="008F39D4" w:rsidRDefault="00D334FC" w:rsidP="00D334FC">
            <w:pPr>
              <w:pStyle w:val="ListParagraph"/>
              <w:numPr>
                <w:ilvl w:val="0"/>
                <w:numId w:val="14"/>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Anti-Racist Healthcare Training</w:t>
            </w:r>
          </w:p>
          <w:p w14:paraId="15325C75" w14:textId="77777777" w:rsidR="00D334FC" w:rsidRPr="008F39D4" w:rsidRDefault="00D334FC" w:rsidP="00D334FC">
            <w:pPr>
              <w:pStyle w:val="ListParagraph"/>
              <w:numPr>
                <w:ilvl w:val="0"/>
                <w:numId w:val="14"/>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System Accountability</w:t>
            </w:r>
          </w:p>
          <w:p w14:paraId="4811B1A5" w14:textId="77777777" w:rsidR="00D334FC" w:rsidRPr="008F39D4" w:rsidRDefault="00D334FC" w:rsidP="00D334FC">
            <w:pPr>
              <w:pStyle w:val="ListParagraph"/>
              <w:numPr>
                <w:ilvl w:val="0"/>
                <w:numId w:val="14"/>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Equity-Focused Policy</w:t>
            </w:r>
          </w:p>
        </w:tc>
        <w:tc>
          <w:tcPr>
            <w:tcW w:w="2410" w:type="dxa"/>
            <w:vMerge/>
          </w:tcPr>
          <w:p w14:paraId="69D8E92C" w14:textId="77777777" w:rsidR="00D334FC" w:rsidRPr="008F39D4" w:rsidRDefault="00D334FC" w:rsidP="00D334FC">
            <w:pPr>
              <w:spacing w:line="360" w:lineRule="auto"/>
              <w:jc w:val="both"/>
              <w:rPr>
                <w:rFonts w:ascii="Arial" w:hAnsi="Arial" w:cs="Arial"/>
                <w:color w:val="000000" w:themeColor="text1"/>
                <w:sz w:val="22"/>
                <w:szCs w:val="22"/>
              </w:rPr>
            </w:pPr>
          </w:p>
        </w:tc>
      </w:tr>
      <w:tr w:rsidR="00D334FC" w:rsidRPr="008F39D4" w14:paraId="273D46F6" w14:textId="77777777" w:rsidTr="002164E4">
        <w:tc>
          <w:tcPr>
            <w:tcW w:w="2268" w:type="dxa"/>
          </w:tcPr>
          <w:p w14:paraId="6B1705A8"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Barnes et al. (2024)</w:t>
            </w:r>
          </w:p>
        </w:tc>
        <w:tc>
          <w:tcPr>
            <w:tcW w:w="5245" w:type="dxa"/>
          </w:tcPr>
          <w:p w14:paraId="6D40F637" w14:textId="77777777" w:rsidR="00D334FC" w:rsidRPr="008F39D4" w:rsidRDefault="00D334FC" w:rsidP="00D334FC">
            <w:pPr>
              <w:pStyle w:val="ListParagraph"/>
              <w:numPr>
                <w:ilvl w:val="0"/>
                <w:numId w:val="15"/>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Informal Carer Recognition</w:t>
            </w:r>
          </w:p>
          <w:p w14:paraId="7032834E" w14:textId="77777777" w:rsidR="00D334FC" w:rsidRPr="008F39D4" w:rsidRDefault="00D334FC" w:rsidP="00D334FC">
            <w:pPr>
              <w:pStyle w:val="ListParagraph"/>
              <w:numPr>
                <w:ilvl w:val="0"/>
                <w:numId w:val="15"/>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Local Authority Support</w:t>
            </w:r>
          </w:p>
          <w:p w14:paraId="5CE433C1" w14:textId="77777777" w:rsidR="00D334FC" w:rsidRPr="008F39D4" w:rsidRDefault="00D334FC" w:rsidP="00D334FC">
            <w:pPr>
              <w:pStyle w:val="ListParagraph"/>
              <w:numPr>
                <w:ilvl w:val="0"/>
                <w:numId w:val="15"/>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Financial Assistance</w:t>
            </w:r>
          </w:p>
        </w:tc>
        <w:tc>
          <w:tcPr>
            <w:tcW w:w="2410" w:type="dxa"/>
            <w:vMerge/>
          </w:tcPr>
          <w:p w14:paraId="39A26D06" w14:textId="77777777" w:rsidR="00D334FC" w:rsidRPr="008F39D4" w:rsidRDefault="00D334FC" w:rsidP="00D334FC">
            <w:pPr>
              <w:spacing w:line="360" w:lineRule="auto"/>
              <w:jc w:val="both"/>
              <w:rPr>
                <w:rFonts w:ascii="Arial" w:hAnsi="Arial" w:cs="Arial"/>
                <w:color w:val="000000" w:themeColor="text1"/>
                <w:sz w:val="22"/>
                <w:szCs w:val="22"/>
              </w:rPr>
            </w:pPr>
          </w:p>
        </w:tc>
      </w:tr>
      <w:tr w:rsidR="00D334FC" w:rsidRPr="008F39D4" w14:paraId="3634E483" w14:textId="77777777" w:rsidTr="002164E4">
        <w:tc>
          <w:tcPr>
            <w:tcW w:w="2268" w:type="dxa"/>
          </w:tcPr>
          <w:p w14:paraId="74D825A7"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Jindal et al. (2023)</w:t>
            </w:r>
          </w:p>
        </w:tc>
        <w:tc>
          <w:tcPr>
            <w:tcW w:w="5245" w:type="dxa"/>
          </w:tcPr>
          <w:p w14:paraId="23297327" w14:textId="77777777" w:rsidR="00D334FC" w:rsidRPr="008F39D4" w:rsidRDefault="00D334FC" w:rsidP="00D334FC">
            <w:pPr>
              <w:pStyle w:val="ListParagraph"/>
              <w:numPr>
                <w:ilvl w:val="0"/>
                <w:numId w:val="16"/>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Access Strengthening</w:t>
            </w:r>
          </w:p>
          <w:p w14:paraId="08335FD6" w14:textId="77777777" w:rsidR="00D334FC" w:rsidRPr="008F39D4" w:rsidRDefault="00D334FC" w:rsidP="00D334FC">
            <w:pPr>
              <w:pStyle w:val="ListParagraph"/>
              <w:numPr>
                <w:ilvl w:val="0"/>
                <w:numId w:val="16"/>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Service Integration</w:t>
            </w:r>
          </w:p>
          <w:p w14:paraId="35F03EDA" w14:textId="77777777" w:rsidR="00D334FC" w:rsidRPr="008F39D4" w:rsidRDefault="00D334FC" w:rsidP="00D334FC">
            <w:pPr>
              <w:pStyle w:val="ListParagraph"/>
              <w:numPr>
                <w:ilvl w:val="0"/>
                <w:numId w:val="16"/>
              </w:num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Equitable Care Delivery</w:t>
            </w:r>
          </w:p>
        </w:tc>
        <w:tc>
          <w:tcPr>
            <w:tcW w:w="2410" w:type="dxa"/>
            <w:vMerge/>
          </w:tcPr>
          <w:p w14:paraId="5CA80E2E" w14:textId="77777777" w:rsidR="00D334FC" w:rsidRPr="008F39D4" w:rsidRDefault="00D334FC" w:rsidP="00D334FC">
            <w:pPr>
              <w:spacing w:line="360" w:lineRule="auto"/>
              <w:jc w:val="both"/>
              <w:rPr>
                <w:rFonts w:ascii="Arial" w:hAnsi="Arial" w:cs="Arial"/>
                <w:color w:val="000000" w:themeColor="text1"/>
                <w:sz w:val="22"/>
                <w:szCs w:val="22"/>
              </w:rPr>
            </w:pPr>
          </w:p>
        </w:tc>
      </w:tr>
    </w:tbl>
    <w:p w14:paraId="262F3B5A" w14:textId="77777777" w:rsidR="00D334FC" w:rsidRPr="008F39D4" w:rsidRDefault="00D334FC" w:rsidP="00D334FC">
      <w:pPr>
        <w:spacing w:line="360" w:lineRule="auto"/>
        <w:jc w:val="both"/>
        <w:rPr>
          <w:rFonts w:ascii="Arial" w:hAnsi="Arial" w:cs="Arial"/>
          <w:color w:val="000000" w:themeColor="text1"/>
          <w:sz w:val="22"/>
          <w:szCs w:val="22"/>
        </w:rPr>
      </w:pPr>
    </w:p>
    <w:p w14:paraId="7D04A34A" w14:textId="77777777" w:rsidR="00D334FC" w:rsidRPr="008F39D4" w:rsidRDefault="00D334FC" w:rsidP="00D334FC">
      <w:pPr>
        <w:spacing w:line="360" w:lineRule="auto"/>
        <w:jc w:val="both"/>
        <w:rPr>
          <w:rFonts w:ascii="Arial" w:hAnsi="Arial" w:cs="Arial"/>
          <w:b/>
          <w:bCs/>
          <w:color w:val="000000" w:themeColor="text1"/>
          <w:sz w:val="22"/>
          <w:szCs w:val="22"/>
        </w:rPr>
      </w:pPr>
      <w:r w:rsidRPr="008F39D4">
        <w:rPr>
          <w:rFonts w:ascii="Arial" w:hAnsi="Arial" w:cs="Arial"/>
          <w:b/>
          <w:bCs/>
          <w:color w:val="000000" w:themeColor="text1"/>
          <w:sz w:val="22"/>
          <w:szCs w:val="22"/>
        </w:rPr>
        <w:t>Table 3: Thematic analysis table of codes</w:t>
      </w:r>
    </w:p>
    <w:p w14:paraId="35F9458B"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(Source: Self-developed)</w:t>
      </w:r>
    </w:p>
    <w:p w14:paraId="36EDC27C"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34" w:name="_Toc220178357"/>
      <w:bookmarkStart w:id="35" w:name="_Toc223764768"/>
      <w:bookmarkStart w:id="36" w:name="_Toc224132822"/>
      <w:bookmarkStart w:id="37" w:name="_Toc225060500"/>
      <w:r w:rsidRPr="008F39D4">
        <w:rPr>
          <w:rFonts w:ascii="Arial" w:hAnsi="Arial" w:cs="Arial"/>
          <w:b/>
          <w:bCs/>
          <w:color w:val="000000" w:themeColor="text1"/>
          <w:sz w:val="28"/>
          <w:szCs w:val="28"/>
        </w:rPr>
        <w:t xml:space="preserve">4.3 Theme 1: </w:t>
      </w:r>
      <w:bookmarkEnd w:id="34"/>
      <w:bookmarkEnd w:id="35"/>
      <w:r w:rsidRPr="008F39D4">
        <w:rPr>
          <w:rFonts w:ascii="Arial" w:hAnsi="Arial" w:cs="Arial"/>
          <w:b/>
          <w:bCs/>
          <w:color w:val="000000" w:themeColor="text1"/>
          <w:sz w:val="28"/>
          <w:szCs w:val="28"/>
        </w:rPr>
        <w:t>Access barriers</w:t>
      </w:r>
      <w:bookmarkEnd w:id="36"/>
      <w:bookmarkEnd w:id="37"/>
    </w:p>
    <w:p w14:paraId="5A4AD27B"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theme identifies significant factors which create or reinforce barriers to access for Asian individuals in care facilities in the United Kingdom. Access indicates the potential of individuals to identify their needs for obtaining care facilities. Seeking effective services and ensuring that they reach the care professionals promptly is essential for delivering appropriate care facilities. Lack of access indicates the absence of services </w:t>
      </w:r>
      <w:proofErr w:type="gramStart"/>
      <w:r w:rsidRPr="008F39D4">
        <w:rPr>
          <w:rFonts w:ascii="Arial" w:hAnsi="Arial" w:cs="Arial"/>
          <w:color w:val="000000" w:themeColor="text1"/>
          <w:sz w:val="22"/>
          <w:szCs w:val="22"/>
        </w:rPr>
        <w:t>and also</w:t>
      </w:r>
      <w:proofErr w:type="gramEnd"/>
      <w:r w:rsidRPr="008F39D4">
        <w:rPr>
          <w:rFonts w:ascii="Arial" w:hAnsi="Arial" w:cs="Arial"/>
          <w:color w:val="000000" w:themeColor="text1"/>
          <w:sz w:val="22"/>
          <w:szCs w:val="22"/>
        </w:rPr>
        <w:t xml:space="preserve"> clear barriers for individuals to utilise the existing facilities. The barriers are mostly systemic, linguistic, cultural and structural, which proportionately influence the Asian population.</w:t>
      </w:r>
    </w:p>
    <w:p w14:paraId="0379A4CF"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historical context demonstrates that the health and care facilities in the UK are designed to consider the needs of the English-speaking and Western population. Though the principle of equality and universality has been taken into consideration for establishing the principles of the National Health Service, it did not support the minority population in the UK in obtaining equal access to the care facilities. Migration in the UK during the post-war period from South </w:t>
      </w:r>
      <w:r w:rsidRPr="008F39D4">
        <w:rPr>
          <w:rFonts w:ascii="Arial" w:hAnsi="Arial" w:cs="Arial"/>
          <w:color w:val="000000" w:themeColor="text1"/>
          <w:sz w:val="22"/>
          <w:szCs w:val="22"/>
        </w:rPr>
        <w:lastRenderedPageBreak/>
        <w:t>Asia has boosted the total number of the Asian population in this country. However, cultural diversity is mostly ignored by the authorities of the UK while designing the care services. Therefore, the longitudinal inequalities in the process of accessing care facilities persist within the industry. The inequalities are influenced by social determinants like the status of migration, housing facilities, education and income that are also regarded as disadvantageous to the Asian community of the UK.</w:t>
      </w:r>
    </w:p>
    <w:p w14:paraId="6CB450CB"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The theme is extremely relevant to the research question as it directly addresses why the Asian population have comparatively limited access to care facilities despite the availability of services. Recognising the barriers is important for navigating gaps in the provision of services and informing strategic actions so that equity can be improved in the care infrastructure of the UK. Lack of focus on barriers associated with access to health inequalities might be pursued in the long run, which can undermine the public health targets of the country, along with affecting the patients’ health outcomes.</w:t>
      </w:r>
    </w:p>
    <w:p w14:paraId="5C8C7368"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Statistical evidence in this context demonstrated certain challenges, which included the variation of detection rates in different ethnic groups of England (Delon et al., 2022). It also indicated the cancer incidence and its prevalence among the ethnic minority population of the UK. Several subgroups of the Asian community demonstrate a lower rate of reported incidence for cancers, which indicates the challenge of underdiagnosis in the country. Delayed access and lead presentation to screening facilities are major contributing factors in this case. It indicates that the Asian population might not be accessing the preventive facilities at the same rate as white people in the UK. For this reason, the risk of poor health outcomes for Asian patients in the UK is a diagnosis of disease at a later stage.</w:t>
      </w:r>
    </w:p>
    <w:p w14:paraId="133439C5"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Different theoretical frameworks play an important role in evaluating the access-related challenges. The framework of the health belief model is extremely relevant in this context because it focuses on the beliefs of individuals regarding perceived severity, trust and illness in the health care infrastructure, which is influenced by the care-seeking attitude of people. Cultural stigma is a major issue for several Asian people in the UK, which revolves around mental health, and it plays a significant role in the reduction of perceived acceptability of facilities. The research of Prajapati and Liebling (2022) has demonstrated that the South Asian patients often delay seeking psychological health facilities because of the fear of community judgment, same and lack of availability of services that are appropriate to their culture. Lack of health literacy and language barriers are also crucial challenges that minimise access to care facilities, even during the technical availability of the services.</w:t>
      </w:r>
    </w:p>
    <w:p w14:paraId="5598FE00"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Several legislations and policies also contribute towards minimising inequalities in the health infrastructure of the UK. The Equality Act 2010 is a notable legislation which ensures that care </w:t>
      </w:r>
      <w:r w:rsidRPr="008F39D4">
        <w:rPr>
          <w:rFonts w:ascii="Arial" w:hAnsi="Arial" w:cs="Arial"/>
          <w:color w:val="000000" w:themeColor="text1"/>
          <w:sz w:val="22"/>
          <w:szCs w:val="22"/>
        </w:rPr>
        <w:lastRenderedPageBreak/>
        <w:t xml:space="preserve">service providers eliminate discrimination while promoting equality in the delivery of care services to patients. In addition, the National Health Service England has structured significant policies so that the cultural competence of the care infrastructure can be improved, along with the reduction of care inequalities. However, the recent empirical evidence has demonstrated that evidence cannot always be implemented appropriately in care practices. The research of Prajapati and Liebling (2022) has indicated that policies focused on equality are widely established in the UK, but South Asian patients are still experiencing difficulties. Lack of understanding of cultural background, Limited interpretation of the services and poor communication from the professionals are creating difficulties for the population to access care facilities successfully. </w:t>
      </w:r>
    </w:p>
    <w:p w14:paraId="6955321F"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The technological advancement influences the access of the Asian population to the care facilities available in the UK to a greater extent. The recent research of Chen et al. (2023) has indicated algorithmic fairness in the artificial intelligence system of care infrastructure. It has highlighted how biased information can create disadvantages for the ethnic minorities in the UK. Appropriate training of the artificial intelligence tools regarding data from the white population creates barriers to interpreting the information in the context of the Asian people. It creates a system barrier and indicates how digital innovation reinforces inequality in the care infrastructure over time.</w:t>
      </w:r>
    </w:p>
    <w:p w14:paraId="0470AD3A"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implications associated with the lack of access to care facilities are complicated and negative.  Poor access indicates a delay in the diagnosis process, generates worse outcomes and lowers the service engagement as well for the Asian people. It enhances pressure for emergency facilities because of the presentation of the diseases at a later stage. Enhanced awareness regarding the barriers has encouraged targeted interventions, policy debate and research that focus on improving inclusivity and cultural competence in the care infrastructure of the UK. </w:t>
      </w:r>
    </w:p>
    <w:p w14:paraId="71B23500"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considered articles agree that there are several barriers to accessing care facilities for the ethnic minority population in the UK, which are rooted in systemic and social factors. The technological perspective has been demonstrated by Chen et al. (2023), while the epidemiology perspective or evidence has been presented by the research of Delon et al. (2022). Cultural barriers in life experiences have been indicated by the studies of Prajapati and Liebling (2022), and they collectively present the challenges faced by the Asian population significantly. It has also indicated how the modern infrastructure of healthcare facilities can reintroduce inequality if fairness is not prioritised in the healthcare centres of the country. The studies have collectively strengthened the arguments and indicated that equality in access is about fairness, trust and suitability rather than only the availability of services. </w:t>
      </w:r>
    </w:p>
    <w:p w14:paraId="5CA84446" w14:textId="77777777" w:rsidR="00D334FC" w:rsidRPr="008F39D4" w:rsidRDefault="00D334FC" w:rsidP="00D334FC">
      <w:pPr>
        <w:spacing w:line="360" w:lineRule="auto"/>
        <w:jc w:val="both"/>
        <w:rPr>
          <w:rFonts w:ascii="Arial" w:hAnsi="Arial" w:cs="Arial"/>
          <w:b/>
          <w:bCs/>
          <w:color w:val="000000" w:themeColor="text1"/>
          <w:sz w:val="22"/>
          <w:szCs w:val="22"/>
        </w:rPr>
      </w:pPr>
      <w:r w:rsidRPr="008F39D4">
        <w:rPr>
          <w:rFonts w:ascii="Arial" w:hAnsi="Arial" w:cs="Arial"/>
          <w:color w:val="000000" w:themeColor="text1"/>
          <w:sz w:val="22"/>
          <w:szCs w:val="22"/>
        </w:rPr>
        <w:lastRenderedPageBreak/>
        <w:t xml:space="preserve">It is an important theme which links the other themes of digital inequality, cultural competence and discrimination. It has indicated how the lack of access overlaps with the experience of the individuals regarding poor communication and discrimination. It has further indicated that the emerging digital tools can either worsen or reduce the barriers successfully. For this reason, theme 1 provides a fundamental understanding with support and informs the analysis of subsequent themes. </w:t>
      </w:r>
    </w:p>
    <w:p w14:paraId="3E501443"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The population of the UK has become multicultural over the decades because of extensive migration from Eastern Europe, Africa and South Asia. The diversity enriches the socio-cultural environment of the country, but it also creates significant challenges in the design of the health care infrastructure. Several care facilities operate in the UK considering the health beliefs, style of communication and family rules of the white people, which do not align with the beliefs of the minority ethnic population of the country. For this reason, the services are available, but it is not accessible appropriately by people from different cultural backgrounds.</w:t>
      </w:r>
    </w:p>
    <w:p w14:paraId="21261839"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The relevance of the theme is quite high to the research questions because it demonstrates how the language and cultural differences limit the efficiency of care facilities even when access is offered formally. Enhancing the well-being and health of the population not only depends on the availability of services, but it also relies on cultural responsiveness. When the facilities of the care infrastructure fail to consider the cultural expectations and different language needs, it is less likely for the people of ethnic minorities to engage with the healthcare professionals, which eventually initiates health inequalities.</w:t>
      </w:r>
    </w:p>
    <w:p w14:paraId="4D7BF9EE"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The recent research of Khatri and Assefa (2022) has indicated that the language and cultural differences of the population make them experience difficulties in accessing care facilities. Unfamiliarity with the service culture and lack of language proficiency create massive challenges for the ethnic minority population. Despite focusing on the population of Australia, the outcome is extremely relevant to the UK because the universal system of care facilities is followed by both countries, which indicates their dealing with a diverse population. According to the authors, inadequate interpretation of the facilities and culturally insensitive communication minimise satisfaction and enhance misunderstanding.</w:t>
      </w:r>
    </w:p>
    <w:p w14:paraId="282FF448"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Language barrier is a major problem in the primary care infrastructure. The non-English patients struggle to explain the symptoms to the care professionals </w:t>
      </w:r>
      <w:proofErr w:type="gramStart"/>
      <w:r w:rsidRPr="008F39D4">
        <w:rPr>
          <w:rFonts w:ascii="Arial" w:hAnsi="Arial" w:cs="Arial"/>
          <w:color w:val="000000" w:themeColor="text1"/>
          <w:sz w:val="22"/>
          <w:szCs w:val="22"/>
        </w:rPr>
        <w:t>and also</w:t>
      </w:r>
      <w:proofErr w:type="gramEnd"/>
      <w:r w:rsidRPr="008F39D4">
        <w:rPr>
          <w:rFonts w:ascii="Arial" w:hAnsi="Arial" w:cs="Arial"/>
          <w:color w:val="000000" w:themeColor="text1"/>
          <w:sz w:val="22"/>
          <w:szCs w:val="22"/>
        </w:rPr>
        <w:t xml:space="preserve"> face challenges in following the instructions provided by them. It can result in low levels of adherence to medication and misdiagnosis. According to the research of Dadswell and Bungay (2025), language plays an important role in prescribing the measures when individuals are referred to social activities or community-based cultural programs for promoting their well-being. The research demonstrates that a lack of consideration of culturally appropriate programs and </w:t>
      </w:r>
      <w:r w:rsidRPr="008F39D4">
        <w:rPr>
          <w:rFonts w:ascii="Arial" w:hAnsi="Arial" w:cs="Arial"/>
          <w:color w:val="000000" w:themeColor="text1"/>
          <w:sz w:val="22"/>
          <w:szCs w:val="22"/>
        </w:rPr>
        <w:lastRenderedPageBreak/>
        <w:t xml:space="preserve">inclusive communication creates risk </w:t>
      </w:r>
      <w:proofErr w:type="gramStart"/>
      <w:r w:rsidRPr="008F39D4">
        <w:rPr>
          <w:rFonts w:ascii="Arial" w:hAnsi="Arial" w:cs="Arial"/>
          <w:color w:val="000000" w:themeColor="text1"/>
          <w:sz w:val="22"/>
          <w:szCs w:val="22"/>
        </w:rPr>
        <w:t>and also</w:t>
      </w:r>
      <w:proofErr w:type="gramEnd"/>
      <w:r w:rsidRPr="008F39D4">
        <w:rPr>
          <w:rFonts w:ascii="Arial" w:hAnsi="Arial" w:cs="Arial"/>
          <w:color w:val="000000" w:themeColor="text1"/>
          <w:sz w:val="22"/>
          <w:szCs w:val="22"/>
        </w:rPr>
        <w:t xml:space="preserve"> excludes the ethnic minority population from accessing appropriate care facilities. </w:t>
      </w:r>
    </w:p>
    <w:p w14:paraId="52BB394F"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The cultural competence theory is an appropriate framework that indicates the need for care professionals to establish skills, knowledge and awareness so that they can work appropriately with people of different cultural backgrounds. Lack of cultural competence eventually influences the services and marginalises the minority population at the same time. In addition, the concept of culturally responsive care facilities indicates that the health care services should focus on adopting the cultural values of different patients rather than expecting the service users to follow dominant norms. As the theory showcases a direct alignment between the delivery of care facilities and expectations of diverse cultures, it applies to this theme, and it can improve the care facilities as well.</w:t>
      </w:r>
    </w:p>
    <w:p w14:paraId="73926CA7"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legislation and policies of the UK can also play an important role in promoting inclusion and equality in the country’s care infrastructure. Individuals are protected from discrimination based on language, race and ethnicity through the implementation of the Equality Act 2010. The policies of the National Health Service, on the other hand, prioritise inclusive and persons entered care facilities. Despite the availability of interpretation facilities, the consistency and quality of the services vary as training for the staff members is often not prioritised by the healthcare centres. </w:t>
      </w:r>
    </w:p>
    <w:p w14:paraId="535F4485"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research of </w:t>
      </w:r>
      <w:proofErr w:type="spellStart"/>
      <w:r w:rsidRPr="008F39D4">
        <w:rPr>
          <w:rFonts w:ascii="Arial" w:hAnsi="Arial" w:cs="Arial"/>
          <w:color w:val="000000" w:themeColor="text1"/>
          <w:sz w:val="22"/>
          <w:szCs w:val="22"/>
        </w:rPr>
        <w:t>Georgeou</w:t>
      </w:r>
      <w:proofErr w:type="spellEnd"/>
      <w:r w:rsidRPr="008F39D4">
        <w:rPr>
          <w:rFonts w:ascii="Arial" w:hAnsi="Arial" w:cs="Arial"/>
          <w:color w:val="000000" w:themeColor="text1"/>
          <w:sz w:val="22"/>
          <w:szCs w:val="22"/>
        </w:rPr>
        <w:t xml:space="preserve"> et al. (2023) has indicated that the linguistically and culturally diverse older population often experience poor health outcomes and social isolation as they fail to recognise community connection and cultural identity. Though the research is based on Australia, it provides a notable insight into the cultural exclusion encountered by the ageing population in different societies. The research of Dadswell and Bungay (2025) has indicated that addressing the cultural and language needs is essential for improving health outcomes of the patients. It has also indicated that culturally informed perceptions can impose the community cohesion, social inclusion and psychological well-being of the patients. The findings collectively indicate that involving community organisations is essential for increasing the effectiveness and inclusivity of the services. </w:t>
      </w:r>
    </w:p>
    <w:p w14:paraId="08D473EB"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articles agree that cultural and language factors are the main determinants that demonstrate the effectiveness of health services. The research of </w:t>
      </w:r>
      <w:proofErr w:type="spellStart"/>
      <w:r w:rsidRPr="008F39D4">
        <w:rPr>
          <w:rFonts w:ascii="Arial" w:hAnsi="Arial" w:cs="Arial"/>
          <w:color w:val="000000" w:themeColor="text1"/>
          <w:sz w:val="22"/>
          <w:szCs w:val="22"/>
        </w:rPr>
        <w:t>Georgeou</w:t>
      </w:r>
      <w:proofErr w:type="spellEnd"/>
      <w:r w:rsidRPr="008F39D4">
        <w:rPr>
          <w:rFonts w:ascii="Arial" w:hAnsi="Arial" w:cs="Arial"/>
          <w:color w:val="000000" w:themeColor="text1"/>
          <w:sz w:val="22"/>
          <w:szCs w:val="22"/>
        </w:rPr>
        <w:t xml:space="preserve"> et al. (2023) has indicated that cultural well-being and life experience of the individuals create differences in services. In addition, Dadswell and Bungay (2025) have demonstrated innovative solutions based on the community. Khatri and Assefa (2022) have indicated the focus of the research on systemic barriers in the care infrastructure. The perspective collectively friend then argues </w:t>
      </w:r>
      <w:r w:rsidRPr="008F39D4">
        <w:rPr>
          <w:rFonts w:ascii="Arial" w:hAnsi="Arial" w:cs="Arial"/>
          <w:color w:val="000000" w:themeColor="text1"/>
          <w:sz w:val="22"/>
          <w:szCs w:val="22"/>
        </w:rPr>
        <w:lastRenderedPageBreak/>
        <w:t xml:space="preserve">that arguments associated with linguistic and cultural considerations are important for enhancing the health condition of the population while minimising inequalities. </w:t>
      </w:r>
    </w:p>
    <w:p w14:paraId="596FAA6D"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This theme has a significant connection with the first theme of the study because cultural and language barriers contribute towards minimising access to care facilities. However, it overlaps with the other themes of the study that are associated with service design, inclusion and discrimination. Addressing the cultural differences not only enhance well-being of the individuals but also supports wider efforts for creating equal access to care facilities for the people in the UK. Overall, cultural, linguistic and systemic barriers are important for ensuring equal access of the Asian communities to care facilities. </w:t>
      </w:r>
    </w:p>
    <w:p w14:paraId="2BEA104F"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38" w:name="_Toc220178359"/>
      <w:bookmarkStart w:id="39" w:name="_Toc223764770"/>
      <w:bookmarkStart w:id="40" w:name="_Toc224132823"/>
      <w:bookmarkStart w:id="41" w:name="_Toc225060501"/>
      <w:r w:rsidRPr="008F39D4">
        <w:rPr>
          <w:rFonts w:ascii="Arial" w:hAnsi="Arial" w:cs="Arial"/>
          <w:b/>
          <w:bCs/>
          <w:color w:val="000000" w:themeColor="text1"/>
          <w:sz w:val="28"/>
          <w:szCs w:val="28"/>
        </w:rPr>
        <w:t xml:space="preserve">4.4 Theme 2: </w:t>
      </w:r>
      <w:bookmarkEnd w:id="38"/>
      <w:bookmarkEnd w:id="39"/>
      <w:bookmarkEnd w:id="40"/>
      <w:r w:rsidRPr="008F39D4">
        <w:rPr>
          <w:rFonts w:ascii="Arial" w:hAnsi="Arial" w:cs="Arial"/>
          <w:b/>
          <w:bCs/>
          <w:color w:val="000000" w:themeColor="text1"/>
          <w:sz w:val="28"/>
          <w:szCs w:val="28"/>
        </w:rPr>
        <w:t>Differences in culture, language perceptions, beliefs, and feelings</w:t>
      </w:r>
      <w:bookmarkEnd w:id="41"/>
    </w:p>
    <w:p w14:paraId="4D807214"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This theme focuses on how people from Asian communities understand and feel about the challenges they face when trying to access health and social care services. These perceptions are based on personal experiences, beliefs, and feelings, such as fear of stigma, satisfaction with services, and views about whether care is helpful or necessary. These subjective views strongly influence whether individuals choose to use services. Quality of life in this context includes physical health, mental well-being, independence, social relationships, and overall life satisfaction.</w:t>
      </w:r>
    </w:p>
    <w:p w14:paraId="53A538C3"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 xml:space="preserve">Many Asian communities have a long history of relying on family members and close community networks for care and support. </w:t>
      </w:r>
      <w:r w:rsidRPr="008F39D4">
        <w:rPr>
          <w:rFonts w:ascii="Arial" w:hAnsi="Arial" w:cs="Arial"/>
          <w:color w:val="000000" w:themeColor="text1"/>
          <w:sz w:val="22"/>
          <w:szCs w:val="22"/>
        </w:rPr>
        <w:t xml:space="preserve">It may reduce engagement with formal services and contribute to delayed help-seeking, thereby reinforcing access inequalities identified in the literature. </w:t>
      </w:r>
      <w:r w:rsidRPr="008F39D4">
        <w:rPr>
          <w:rFonts w:ascii="Arial" w:hAnsi="Arial" w:cs="Arial"/>
          <w:color w:val="000000" w:themeColor="text1"/>
          <w:sz w:val="22"/>
          <w:szCs w:val="22"/>
          <w:lang w:val="en-IN"/>
        </w:rPr>
        <w:t>Cultural values often stress respect for elders, family responsibility, and coping with illness privately (</w:t>
      </w:r>
      <w:proofErr w:type="spellStart"/>
      <w:r w:rsidRPr="008F39D4">
        <w:rPr>
          <w:rFonts w:ascii="Arial" w:hAnsi="Arial" w:cs="Arial"/>
          <w:color w:val="000000" w:themeColor="text1"/>
          <w:sz w:val="22"/>
          <w:szCs w:val="22"/>
        </w:rPr>
        <w:t>Velaithan</w:t>
      </w:r>
      <w:proofErr w:type="spellEnd"/>
      <w:r w:rsidRPr="008F39D4">
        <w:rPr>
          <w:rFonts w:ascii="Arial" w:hAnsi="Arial" w:cs="Arial"/>
          <w:color w:val="000000" w:themeColor="text1"/>
          <w:sz w:val="22"/>
          <w:szCs w:val="22"/>
        </w:rPr>
        <w:t xml:space="preserve"> et al., 2024</w:t>
      </w:r>
      <w:r w:rsidRPr="008F39D4">
        <w:rPr>
          <w:rFonts w:ascii="Arial" w:hAnsi="Arial" w:cs="Arial"/>
          <w:color w:val="000000" w:themeColor="text1"/>
          <w:sz w:val="22"/>
          <w:szCs w:val="22"/>
          <w:lang w:val="en-IN"/>
        </w:rPr>
        <w:t>). While these traditions can provide emotional and practical support, they may also lead individuals to believe that formal health and social care services are not suitable or needed. For some, using external services may be seen as a failure of family duty or a loss of dignity.</w:t>
      </w:r>
    </w:p>
    <w:p w14:paraId="047F8655"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This theme evaluates how differences in the belief system, cultural tradition and language barriers influence the suitability, efficiency and accessibility of social and health care facilities in the UK. In this context, language indicates both return and spoken communication between the service providers and the users. Tradition and culture reflect the shared practices, norms, beliefs and values which shape the understanding of the individuals regarding care, illness and health. The factors are essential in outlining whether the care facilities encourage the positive health outcomes of the culturally diverse patients.</w:t>
      </w:r>
    </w:p>
    <w:p w14:paraId="2B51172A"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lastRenderedPageBreak/>
        <w:t>Past experiences also shape how Asian individuals perceive care systems. Language difficulties, lack of clear information, and experiences of discrimination can reduce confidence in services (</w:t>
      </w:r>
      <w:r w:rsidRPr="008F39D4">
        <w:rPr>
          <w:rFonts w:ascii="Arial" w:hAnsi="Arial" w:cs="Arial"/>
          <w:color w:val="000000" w:themeColor="text1"/>
          <w:sz w:val="22"/>
          <w:szCs w:val="22"/>
        </w:rPr>
        <w:t>Hazzan et al., 2022</w:t>
      </w:r>
      <w:r w:rsidRPr="008F39D4">
        <w:rPr>
          <w:rFonts w:ascii="Arial" w:hAnsi="Arial" w:cs="Arial"/>
          <w:color w:val="000000" w:themeColor="text1"/>
          <w:sz w:val="22"/>
          <w:szCs w:val="22"/>
          <w:lang w:val="en-IN"/>
        </w:rPr>
        <w:t>). When people feel misunderstood or ignored by professionals, they may avoid seeking help. These negative experiences can continue over time and affect future decisions about engaging with care, even when services are available and legally accessible.</w:t>
      </w:r>
    </w:p>
    <w:p w14:paraId="60F26725"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This theme is important to the research because it shows that access to care is not only affected by physical availability or policy support, but also by how services are perceived. If individuals believe that services are culturally insensitive, difficult to navigate, or unhelpful, they may not use them. This can result in unmet health and social needs, leading to poorer physical and mental health and a reduced quality of life.</w:t>
      </w:r>
    </w:p>
    <w:p w14:paraId="4E6BDBD2"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Research supports the idea that perceptions play a major role in care use. Studies have found that older adults often fear losing independence, becoming a burden, or facing high costs if they use formal services (</w:t>
      </w:r>
      <w:r w:rsidRPr="008F39D4">
        <w:rPr>
          <w:rFonts w:ascii="Arial" w:hAnsi="Arial" w:cs="Arial"/>
          <w:color w:val="000000" w:themeColor="text1"/>
          <w:sz w:val="22"/>
          <w:szCs w:val="22"/>
        </w:rPr>
        <w:t>Mohd Rosnu et al., 2022</w:t>
      </w:r>
      <w:r w:rsidRPr="008F39D4">
        <w:rPr>
          <w:rFonts w:ascii="Arial" w:hAnsi="Arial" w:cs="Arial"/>
          <w:color w:val="000000" w:themeColor="text1"/>
          <w:sz w:val="22"/>
          <w:szCs w:val="22"/>
          <w:lang w:val="en-IN"/>
        </w:rPr>
        <w:t>). Many also rely heavily on family care and delay seeking professional help. However, when people experience respectful communication and culturally sensitive care, their confidence in services increases, making them more willing to engage and benefit from support.</w:t>
      </w:r>
    </w:p>
    <w:p w14:paraId="1ADCD7EA"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The Andersen Behavioural Model helps explain these patterns by showing how cultural beliefs, available support, and perceived need influence service use. In Asian communities, illness and ageing are sometimes viewed as natural processes that should be endured rather than treated. As a result, individuals may not see themselves as needing care, even when their health or quality of life is declining.</w:t>
      </w:r>
    </w:p>
    <w:p w14:paraId="2553F092"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In the United Kingdom, policies such as the Care Act 2014 aim to promote inclusive and person-centred care. However, these policies can only be effective if people understand the services provided. If Asian individuals feel that services do not respect their culture or values, policy goals may not lead to positive experiences or improved outcomes.</w:t>
      </w:r>
    </w:p>
    <w:p w14:paraId="2040CC3C"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The impact of these perceptions can be both negative and positive. Negative perceptions may lead to delayed help-seeking and increased pressure on family caregivers, who may experience stress and reduced well-being. On the other hand, positive perceptions of care services can improve engagement, reduce strain on families, and enhance overall quality of life. Understanding and addressing perceptions is, therefore, essential for creating services that truly meet the needs of Asian communities.</w:t>
      </w:r>
    </w:p>
    <w:p w14:paraId="70E7E04D"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42" w:name="_Toc220178360"/>
      <w:bookmarkStart w:id="43" w:name="_Toc223764771"/>
      <w:bookmarkStart w:id="44" w:name="_Toc224132824"/>
      <w:bookmarkStart w:id="45" w:name="_Toc225060502"/>
      <w:r w:rsidRPr="008F39D4">
        <w:rPr>
          <w:rFonts w:ascii="Arial" w:hAnsi="Arial" w:cs="Arial"/>
          <w:b/>
          <w:bCs/>
          <w:color w:val="000000" w:themeColor="text1"/>
          <w:sz w:val="28"/>
          <w:szCs w:val="28"/>
        </w:rPr>
        <w:lastRenderedPageBreak/>
        <w:t xml:space="preserve">4.5 Theme 3: </w:t>
      </w:r>
      <w:bookmarkEnd w:id="42"/>
      <w:bookmarkEnd w:id="43"/>
      <w:r w:rsidRPr="008F39D4">
        <w:rPr>
          <w:rFonts w:ascii="Arial" w:hAnsi="Arial" w:cs="Arial"/>
          <w:b/>
          <w:bCs/>
          <w:color w:val="000000" w:themeColor="text1"/>
          <w:sz w:val="28"/>
          <w:szCs w:val="28"/>
        </w:rPr>
        <w:t>Role of care professionals in navigating and addressing issues in care infrastructure</w:t>
      </w:r>
      <w:bookmarkEnd w:id="44"/>
      <w:bookmarkEnd w:id="45"/>
    </w:p>
    <w:p w14:paraId="0A94E742"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This theme focuses on how health and social care professionals in the United Kingdom understand and respond to the challenges faced by Asian communities when trying to access care services. Professionals play an important role because their knowledge, attitudes, and daily practices directly affect how services are experienced by patients. Recognising cultural, language, social, and structural barriers helps professionals provide care that is fairer, more respectful, and effective for Asian service users.</w:t>
      </w:r>
    </w:p>
    <w:p w14:paraId="0D787711"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In the past, health and social care services in the UK were mainly designed around standard systems that treated all service users in the same way. While this approach helped with efficiency, it did not fully consider the diverse cultural and social needs of ethnic minority groups. As a result, many Asian communities experienced difficulties in accessing appropriate care. Over time, research has shown clear health inequalities, which has encouraged greater attention to culturally sensitive care and professional training. However, improvements have been uneven across services.</w:t>
      </w:r>
    </w:p>
    <w:p w14:paraId="617C8178"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This theme is closely linked to the research question because it highlights the role of professionals as key decision makers in care delivery. Even when equality policies exist, it is the behaviour and judgement of professionals that shape service users’ real experiences. If professionals lack awareness or confidence in working with diverse communities, Asian patients may feel misunderstood or excluded from care. This can reduce trust and discourage future engagement with services.</w:t>
      </w:r>
    </w:p>
    <w:p w14:paraId="007FBE93"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Evidence suggests that professional awareness of ethnic inequalities is increasing, especially in mental health care. Studies show that many professionals understand that Asian communities are often under-referred to services and that symptoms can be misunderstood due to cultural differences (</w:t>
      </w:r>
      <w:r w:rsidRPr="008F39D4">
        <w:rPr>
          <w:rFonts w:ascii="Arial" w:hAnsi="Arial" w:cs="Arial"/>
          <w:color w:val="000000" w:themeColor="text1"/>
          <w:sz w:val="22"/>
          <w:szCs w:val="22"/>
        </w:rPr>
        <w:t>Bansal et al., 2022</w:t>
      </w:r>
      <w:r w:rsidRPr="008F39D4">
        <w:rPr>
          <w:rFonts w:ascii="Arial" w:hAnsi="Arial" w:cs="Arial"/>
          <w:color w:val="000000" w:themeColor="text1"/>
          <w:sz w:val="22"/>
          <w:szCs w:val="22"/>
          <w:lang w:val="en-IN"/>
        </w:rPr>
        <w:t>). However, awareness alone does not always lead to better care. Professionals often face challenges such as limited time, high workloads, and a lack of cultural training, which make it difficult to provide personalised and culturally appropriate support.</w:t>
      </w:r>
    </w:p>
    <w:p w14:paraId="3FBEC90C"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The use of theoretical approaches helps explain these challenges. Cultural humility theory encourages professionals to reflect on their own assumptions and to learn directly from service users. This approach supports respectful communication and shared decision-making. Intersectionality further explains how multiple factors, such as ethnicity, gender, migration status, and income, combine to affect care experiences. When professionals do not recognise these overlapping factors, care responses may fail to address real needs.</w:t>
      </w:r>
    </w:p>
    <w:p w14:paraId="15339B51"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lastRenderedPageBreak/>
        <w:t>Policies and laws in the UK aim to support inclusive professional practice. The Equality Act 2010 requires services to prevent discrimination and promote equal access to care. NHS policies also emphasise personalised care and reducing health inequalities. Professional bodies guide inclusive practice (</w:t>
      </w:r>
      <w:r w:rsidRPr="008F39D4">
        <w:rPr>
          <w:rFonts w:ascii="Arial" w:hAnsi="Arial" w:cs="Arial"/>
          <w:color w:val="000000" w:themeColor="text1"/>
          <w:sz w:val="22"/>
          <w:szCs w:val="22"/>
        </w:rPr>
        <w:t>Farooqi et al., 2022</w:t>
      </w:r>
      <w:r w:rsidRPr="008F39D4">
        <w:rPr>
          <w:rFonts w:ascii="Arial" w:hAnsi="Arial" w:cs="Arial"/>
          <w:color w:val="000000" w:themeColor="text1"/>
          <w:sz w:val="22"/>
          <w:szCs w:val="22"/>
          <w:lang w:val="en-IN"/>
        </w:rPr>
        <w:t>). Despite this, the way these policies are applied in everyday care varies. Some professionals continue to rely on standard pathways that do not fully reflect cultural or social differences.</w:t>
      </w:r>
    </w:p>
    <w:p w14:paraId="77DA3C14"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There are positive examples of professionals working to reduce inequalities (</w:t>
      </w:r>
      <w:r w:rsidRPr="008F39D4">
        <w:rPr>
          <w:rFonts w:ascii="Arial" w:hAnsi="Arial" w:cs="Arial"/>
          <w:color w:val="000000" w:themeColor="text1"/>
          <w:sz w:val="22"/>
          <w:szCs w:val="22"/>
        </w:rPr>
        <w:t>Beauregard, 2022</w:t>
      </w:r>
      <w:r w:rsidRPr="008F39D4">
        <w:rPr>
          <w:rFonts w:ascii="Arial" w:hAnsi="Arial" w:cs="Arial"/>
          <w:color w:val="000000" w:themeColor="text1"/>
          <w:sz w:val="22"/>
          <w:szCs w:val="22"/>
          <w:lang w:val="en-IN"/>
        </w:rPr>
        <w:t>). Some initiatives focus on building trust with Asian communities by working with community leaders and adapting communication methods. These approaches help services become more accessible and encourage greater participation in care and research. When professionals actively involve communities, services are more likely to meet real needs.</w:t>
      </w:r>
    </w:p>
    <w:p w14:paraId="0A3FBA50"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However, when challenges are not properly addressed, inequalities can continue. Lack of interpreter support, assumptions about family involvement, and limited understanding of cultural stigma can lead to poor communication. Professionals may unintentionally expect Asian service users to adjust to existing systems rather than adapting services to be more inclusive. This can result in frustration and disengagement from care.</w:t>
      </w:r>
    </w:p>
    <w:p w14:paraId="49DB4A08"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Overall, this theme shows that while professional awareness is improving, meaningful change requires ongoing training, reflection, and organisational support. When professionals recognise and respond to cultural and structural barriers, they can improve access, trust, and health outcomes for Asian populations.</w:t>
      </w:r>
    </w:p>
    <w:p w14:paraId="7CB3ECDE"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 xml:space="preserve">Care infrastructure includes how services are organised, how staff are trained, how care is delivered, and how policies are applied in practice. Although the UK health and social care system is based on the principle of universal access, ethnic inequalities continue to exist. This shows that equal access in theory does not always lead to equal </w:t>
      </w:r>
      <w:proofErr w:type="gramStart"/>
      <w:r w:rsidRPr="008F39D4">
        <w:rPr>
          <w:rFonts w:ascii="Arial" w:hAnsi="Arial" w:cs="Arial"/>
          <w:color w:val="000000" w:themeColor="text1"/>
          <w:sz w:val="22"/>
          <w:szCs w:val="22"/>
          <w:lang w:val="en-IN"/>
        </w:rPr>
        <w:t>outcomes in reality</w:t>
      </w:r>
      <w:proofErr w:type="gramEnd"/>
      <w:r w:rsidRPr="008F39D4">
        <w:rPr>
          <w:rFonts w:ascii="Arial" w:hAnsi="Arial" w:cs="Arial"/>
          <w:color w:val="000000" w:themeColor="text1"/>
          <w:sz w:val="22"/>
          <w:szCs w:val="22"/>
          <w:lang w:val="en-IN"/>
        </w:rPr>
        <w:t xml:space="preserve">. Previous discussions have shown that Asian populations face barriers related to language, culture, trust, and professional responses. This theme builds on those issues by focusing on solutions rather than problems. </w:t>
      </w:r>
    </w:p>
    <w:p w14:paraId="1D930A4B"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rPr>
        <w:t>Improving care infrastructure is essential for reducing barriers faced by Asian communities in accessing health and social care services in the UK, particularly those related to language, trust, and cultural responsiveness.</w:t>
      </w:r>
      <w:r w:rsidRPr="008F39D4">
        <w:rPr>
          <w:rFonts w:ascii="Arial" w:hAnsi="Arial" w:cs="Arial"/>
          <w:color w:val="000000" w:themeColor="text1"/>
          <w:sz w:val="22"/>
          <w:szCs w:val="22"/>
          <w:lang w:val="en-IN"/>
        </w:rPr>
        <w:t xml:space="preserve"> Without changes to policies, service design, and professional practice, inequalities are likely to continue. </w:t>
      </w:r>
    </w:p>
    <w:p w14:paraId="2CFEACA6"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 xml:space="preserve">Yip et al. (2024) found that ethnic inequalities in health outcomes remain widespread in the UK despite long-standing equality policies. Their review suggests that focusing only on individual behaviour is not effective. </w:t>
      </w:r>
    </w:p>
    <w:p w14:paraId="41322822"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lastRenderedPageBreak/>
        <w:t xml:space="preserve">Theoretical perspectives also support these recommendations. Structural racism theory explains how discrimination can be built into policies and institutional practices rather than being caused only by personal attitudes. This means systems must be redesigned to prevent unequal treatment. </w:t>
      </w:r>
    </w:p>
    <w:p w14:paraId="3C3A734C"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 xml:space="preserve">Policies such as the Equality Act 2010 and NHS initiatives to reduce health inequalities provide a strong legal and strategic foundation. However, research suggests that these policies are not always well enforced. </w:t>
      </w:r>
    </w:p>
    <w:p w14:paraId="2966075F"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Local-level actions also play an important role (</w:t>
      </w:r>
      <w:r w:rsidRPr="008F39D4">
        <w:rPr>
          <w:rFonts w:ascii="Arial" w:hAnsi="Arial" w:cs="Arial"/>
          <w:color w:val="000000" w:themeColor="text1"/>
          <w:sz w:val="22"/>
          <w:szCs w:val="22"/>
        </w:rPr>
        <w:t>Barnes et al., 2024</w:t>
      </w:r>
      <w:r w:rsidRPr="008F39D4">
        <w:rPr>
          <w:rFonts w:ascii="Arial" w:hAnsi="Arial" w:cs="Arial"/>
          <w:color w:val="000000" w:themeColor="text1"/>
          <w:sz w:val="22"/>
          <w:szCs w:val="22"/>
          <w:lang w:val="en-IN"/>
        </w:rPr>
        <w:t>). Research shows that many informal carers from Asian backgrounds face additional challenges. Providing culturally appropriate assessments, flexible support services, and better access to emotional and financial help can reduce stress and improve quality of life for both carers and those they support. Improving access to care is another key area for reform (</w:t>
      </w:r>
      <w:r w:rsidRPr="008F39D4">
        <w:rPr>
          <w:rFonts w:ascii="Arial" w:hAnsi="Arial" w:cs="Arial"/>
          <w:color w:val="000000" w:themeColor="text1"/>
          <w:sz w:val="22"/>
          <w:szCs w:val="22"/>
        </w:rPr>
        <w:t>Jindal et al., 2023</w:t>
      </w:r>
      <w:r w:rsidRPr="008F39D4">
        <w:rPr>
          <w:rFonts w:ascii="Arial" w:hAnsi="Arial" w:cs="Arial"/>
          <w:color w:val="000000" w:themeColor="text1"/>
          <w:sz w:val="22"/>
          <w:szCs w:val="22"/>
          <w:lang w:val="en-IN"/>
        </w:rPr>
        <w:t xml:space="preserve">). Addressing the affordability, availability, and acceptability of services can help reduce inequalities. </w:t>
      </w:r>
    </w:p>
    <w:p w14:paraId="4A359C68"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46" w:name="_Toc220178362"/>
      <w:bookmarkStart w:id="47" w:name="_Toc223764773"/>
      <w:bookmarkStart w:id="48" w:name="_Toc224132825"/>
      <w:bookmarkStart w:id="49" w:name="_Toc225060503"/>
      <w:r w:rsidRPr="008F39D4">
        <w:rPr>
          <w:rFonts w:ascii="Arial" w:hAnsi="Arial" w:cs="Arial"/>
          <w:b/>
          <w:bCs/>
          <w:color w:val="000000" w:themeColor="text1"/>
          <w:sz w:val="28"/>
          <w:szCs w:val="28"/>
        </w:rPr>
        <w:t>4.6 Conclusion</w:t>
      </w:r>
      <w:bookmarkEnd w:id="46"/>
      <w:bookmarkEnd w:id="47"/>
      <w:bookmarkEnd w:id="48"/>
      <w:bookmarkEnd w:id="49"/>
      <w:r w:rsidRPr="008F39D4">
        <w:rPr>
          <w:rFonts w:ascii="Arial" w:hAnsi="Arial" w:cs="Arial"/>
          <w:b/>
          <w:bCs/>
          <w:color w:val="000000" w:themeColor="text1"/>
          <w:sz w:val="28"/>
          <w:szCs w:val="28"/>
        </w:rPr>
        <w:t xml:space="preserve"> </w:t>
      </w:r>
    </w:p>
    <w:p w14:paraId="05BE13E8"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overall findings collected from different themes have demonstrated that health inequality is widely encountered by the Asian people of the UK. Cultural differences, language differences, and barriers to accessing care facilities have been found to be the most common challenges for the population. Inconsistent responses of the professionals and negative perceptions of the individuals limit effective care facilities for the Asian patients significantly. Evidence demonstrates that cultural responsiveness is crucial for strengthening the care infrastructure and implementing anti-discriminatory policies and practices, which can eventually enhance the health outcomes of patients from diverse cultural backgrounds. The outcomes generated from the themes collectively contribute towards developing a sustainable, equitable and inclusive care infrastructure in the UK. </w:t>
      </w:r>
      <w:r w:rsidRPr="008F39D4">
        <w:rPr>
          <w:rFonts w:ascii="Arial" w:hAnsi="Arial" w:cs="Arial"/>
          <w:color w:val="000000" w:themeColor="text1"/>
          <w:sz w:val="22"/>
          <w:szCs w:val="22"/>
        </w:rPr>
        <w:br w:type="page"/>
      </w:r>
    </w:p>
    <w:p w14:paraId="680E61C1" w14:textId="77777777" w:rsidR="00D334FC" w:rsidRPr="008F39D4" w:rsidRDefault="00D334FC" w:rsidP="00D334FC">
      <w:pPr>
        <w:pStyle w:val="Heading1"/>
        <w:spacing w:line="360" w:lineRule="auto"/>
        <w:jc w:val="both"/>
        <w:rPr>
          <w:rFonts w:ascii="Arial" w:hAnsi="Arial" w:cs="Arial"/>
          <w:b/>
          <w:bCs/>
          <w:color w:val="000000" w:themeColor="text1"/>
          <w:sz w:val="32"/>
          <w:szCs w:val="32"/>
        </w:rPr>
      </w:pPr>
      <w:bookmarkStart w:id="50" w:name="_Toc220178363"/>
      <w:bookmarkStart w:id="51" w:name="_Toc223764774"/>
      <w:bookmarkStart w:id="52" w:name="_Toc224132826"/>
      <w:bookmarkStart w:id="53" w:name="_Toc225060504"/>
      <w:r w:rsidRPr="008F39D4">
        <w:rPr>
          <w:rFonts w:ascii="Arial" w:hAnsi="Arial" w:cs="Arial"/>
          <w:b/>
          <w:bCs/>
          <w:color w:val="000000" w:themeColor="text1"/>
          <w:sz w:val="32"/>
          <w:szCs w:val="32"/>
        </w:rPr>
        <w:lastRenderedPageBreak/>
        <w:t>CHAPTER 5 – Recommendations and Conclusion</w:t>
      </w:r>
      <w:bookmarkEnd w:id="50"/>
      <w:bookmarkEnd w:id="51"/>
      <w:bookmarkEnd w:id="52"/>
      <w:bookmarkEnd w:id="53"/>
      <w:r w:rsidRPr="008F39D4">
        <w:rPr>
          <w:rFonts w:ascii="Arial" w:hAnsi="Arial" w:cs="Arial"/>
          <w:b/>
          <w:bCs/>
          <w:color w:val="000000" w:themeColor="text1"/>
          <w:sz w:val="32"/>
          <w:szCs w:val="32"/>
        </w:rPr>
        <w:t xml:space="preserve"> </w:t>
      </w:r>
    </w:p>
    <w:p w14:paraId="0AC904FB" w14:textId="77777777" w:rsidR="00D334FC" w:rsidRPr="008F39D4" w:rsidRDefault="00D334FC" w:rsidP="00D334FC">
      <w:pPr>
        <w:pStyle w:val="Heading2"/>
        <w:spacing w:line="360" w:lineRule="auto"/>
        <w:jc w:val="both"/>
        <w:rPr>
          <w:rFonts w:ascii="Arial" w:hAnsi="Arial" w:cs="Arial"/>
          <w:b/>
          <w:bCs/>
          <w:color w:val="000000" w:themeColor="text1"/>
          <w:sz w:val="28"/>
          <w:szCs w:val="28"/>
        </w:rPr>
      </w:pPr>
      <w:bookmarkStart w:id="54" w:name="_Toc220178364"/>
      <w:bookmarkStart w:id="55" w:name="_Toc223764775"/>
      <w:bookmarkStart w:id="56" w:name="_Toc224132827"/>
      <w:bookmarkStart w:id="57" w:name="_Toc225060505"/>
      <w:r w:rsidRPr="008F39D4">
        <w:rPr>
          <w:rFonts w:ascii="Arial" w:hAnsi="Arial" w:cs="Arial"/>
          <w:b/>
          <w:bCs/>
          <w:color w:val="000000" w:themeColor="text1"/>
          <w:sz w:val="28"/>
          <w:szCs w:val="28"/>
        </w:rPr>
        <w:t>5.1 Overall conclusion</w:t>
      </w:r>
      <w:bookmarkEnd w:id="54"/>
      <w:bookmarkEnd w:id="55"/>
      <w:bookmarkEnd w:id="56"/>
      <w:bookmarkEnd w:id="57"/>
      <w:r w:rsidRPr="008F39D4">
        <w:rPr>
          <w:rFonts w:ascii="Arial" w:hAnsi="Arial" w:cs="Arial"/>
          <w:b/>
          <w:bCs/>
          <w:color w:val="000000" w:themeColor="text1"/>
          <w:sz w:val="28"/>
          <w:szCs w:val="28"/>
        </w:rPr>
        <w:t xml:space="preserve"> </w:t>
      </w:r>
    </w:p>
    <w:p w14:paraId="5CD0B8D2"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dissertation analysed and explored barriers affecting the access of the Asian population to care facilities in the UK. It has put significant focus on inequality-related issues so that accessibility and inclusivity in the care infrastructure of the UK can be improved. Conducting a comprehensive review through the secondary qualitative research has enabled the study to examine professional, perceptual, cultural and structural dimensions influencing the access to care. The findings indicated that accessibility related barriers are interconnected and multifaceted. Perceived discrimination, stigma, cultural differences, and language barriers are significant limitations associated with the service design in the care infrastructure of the UK. The research has highlighted that perceptions of trust and care quality play an important role in shaping utilisation of services. In addition, when the care professionals are recognising ethnic inequalities, there remains a significant gap in the intention of structuring policies and their implementation in practices because of inconsistent implementation, lack of training and systemic constraints. The collection of the literature and the execution of thematic analysis have ensured that the objectives of the research are met successfully. The study explored accessibility barriers, evaluated the perception of the users and outlined the influence of cultural and language differences among the population. However, excessive reliance on secondary sources has ensured the conceptual accomplishment of the objectives rather than the empirical achievement, which reflects the partial limitation of the study. The dissertation concludes that improving equality in the care facilities for the Asian population requires sustained accountability of the institutions, culturally responsive practices and system-level reform. The health inequalities might persist in the country if the perceptual and structural challenges are not addressed appropriately. </w:t>
      </w:r>
    </w:p>
    <w:p w14:paraId="4E4F2D80" w14:textId="77777777" w:rsidR="00D334FC" w:rsidRPr="008F39D4" w:rsidRDefault="00D334FC" w:rsidP="00D334FC">
      <w:pPr>
        <w:spacing w:line="360" w:lineRule="auto"/>
        <w:jc w:val="both"/>
        <w:rPr>
          <w:rFonts w:ascii="Arial" w:hAnsi="Arial" w:cs="Arial"/>
          <w:color w:val="000000" w:themeColor="text1"/>
          <w:sz w:val="22"/>
          <w:szCs w:val="22"/>
          <w:lang w:val="en-IN"/>
        </w:rPr>
      </w:pPr>
      <w:r w:rsidRPr="008F39D4">
        <w:rPr>
          <w:rFonts w:ascii="Arial" w:hAnsi="Arial" w:cs="Arial"/>
          <w:color w:val="000000" w:themeColor="text1"/>
          <w:sz w:val="22"/>
          <w:szCs w:val="22"/>
          <w:lang w:val="en-IN"/>
        </w:rPr>
        <w:t>The research identified barriers that hinder equal access of the Asian community across the UK to healthcare facilities. The barriers consist of cultural limitations, linguistic constraints, limited culturally competent facilities, stigma regarding mental health and perceived discrimination. In the analysed themes, the consistent patterns have indicated structural barriers in the health care system which discourage appropriate utilisation of services. Because of such barriers, several Asian communities of the UK encounter unequal health outcomes, a lack of trust in care institutions and delayed help-seeking. Addressing the interconnected issues is crucial for improving effectiveness and inclusivity in the care facilities of the UK. The following section discusses practical recommendations that focus on strengthening culturally accessible and responsive care provisions in the UK.</w:t>
      </w:r>
    </w:p>
    <w:p w14:paraId="4E915FD7" w14:textId="77777777" w:rsidR="00D334FC" w:rsidRPr="008F39D4" w:rsidRDefault="00D334FC" w:rsidP="00D334FC">
      <w:pPr>
        <w:pStyle w:val="Heading2"/>
        <w:spacing w:line="360" w:lineRule="auto"/>
        <w:jc w:val="both"/>
        <w:rPr>
          <w:rFonts w:ascii="Arial" w:hAnsi="Arial" w:cs="Arial"/>
          <w:b/>
          <w:bCs/>
          <w:color w:val="000000" w:themeColor="text1"/>
        </w:rPr>
      </w:pPr>
      <w:bookmarkStart w:id="58" w:name="_Toc220178365"/>
      <w:bookmarkStart w:id="59" w:name="_Toc223764776"/>
      <w:bookmarkStart w:id="60" w:name="_Toc224132828"/>
      <w:bookmarkStart w:id="61" w:name="_Toc225060506"/>
      <w:r w:rsidRPr="008F39D4">
        <w:rPr>
          <w:rFonts w:ascii="Arial" w:hAnsi="Arial" w:cs="Arial"/>
          <w:b/>
          <w:bCs/>
          <w:color w:val="000000" w:themeColor="text1"/>
        </w:rPr>
        <w:lastRenderedPageBreak/>
        <w:t>5.2 Recommendations</w:t>
      </w:r>
      <w:bookmarkEnd w:id="58"/>
      <w:bookmarkEnd w:id="59"/>
      <w:bookmarkEnd w:id="60"/>
      <w:bookmarkEnd w:id="61"/>
      <w:r w:rsidRPr="008F39D4">
        <w:rPr>
          <w:rFonts w:ascii="Arial" w:hAnsi="Arial" w:cs="Arial"/>
          <w:b/>
          <w:bCs/>
          <w:color w:val="000000" w:themeColor="text1"/>
        </w:rPr>
        <w:t xml:space="preserve"> </w:t>
      </w:r>
    </w:p>
    <w:p w14:paraId="3A169ADD" w14:textId="77777777" w:rsidR="00D334FC" w:rsidRPr="008F39D4" w:rsidRDefault="00D334FC" w:rsidP="00D334FC">
      <w:pPr>
        <w:pStyle w:val="Heading3"/>
        <w:spacing w:line="360" w:lineRule="auto"/>
        <w:jc w:val="both"/>
        <w:rPr>
          <w:rFonts w:ascii="Arial" w:hAnsi="Arial" w:cs="Arial"/>
          <w:b/>
          <w:bCs/>
          <w:color w:val="000000" w:themeColor="text1"/>
        </w:rPr>
      </w:pPr>
      <w:bookmarkStart w:id="62" w:name="_Toc220178366"/>
      <w:bookmarkStart w:id="63" w:name="_Toc223764777"/>
      <w:bookmarkStart w:id="64" w:name="_Toc224132829"/>
      <w:bookmarkStart w:id="65" w:name="_Toc225060507"/>
      <w:r w:rsidRPr="008F39D4">
        <w:rPr>
          <w:rFonts w:ascii="Arial" w:hAnsi="Arial" w:cs="Arial"/>
          <w:b/>
          <w:bCs/>
          <w:color w:val="000000" w:themeColor="text1"/>
        </w:rPr>
        <w:t>5.2.1 Recommendation 1</w:t>
      </w:r>
      <w:bookmarkEnd w:id="62"/>
      <w:bookmarkEnd w:id="63"/>
      <w:bookmarkEnd w:id="64"/>
      <w:bookmarkEnd w:id="65"/>
      <w:r w:rsidRPr="008F39D4">
        <w:rPr>
          <w:rFonts w:ascii="Arial" w:hAnsi="Arial" w:cs="Arial"/>
          <w:b/>
          <w:bCs/>
          <w:color w:val="000000" w:themeColor="text1"/>
        </w:rPr>
        <w:t xml:space="preserve"> </w:t>
      </w:r>
    </w:p>
    <w:p w14:paraId="103FEF5F"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Based on Theme 1, strengthening language-accessible and culturally responsive service delivery of services is a major recommendation in this case.  The findings generated from the first and second theme has helped in establishing the recommendation which can offer the Asian population with consistent access to high-quality interpretation facilities. The recommendation indicates that cultural awareness of the frontline staff members must be improved through routine training programs. In addition, providing access to culturally adapted health information is equally essential for improving the care facilities for the Asian population. Enhancing language access is also crucial for improving the understanding of the patients, developing trust among the care service providers and ensuring treatment adherence. The recommendation strongly aligns with the commitments of the National Health Service of England (</w:t>
      </w:r>
      <w:r w:rsidRPr="008F39D4">
        <w:rPr>
          <w:rFonts w:ascii="Arial" w:hAnsi="Arial" w:cs="Arial"/>
          <w:sz w:val="22"/>
          <w:szCs w:val="22"/>
        </w:rPr>
        <w:t>Theodosopoulos et al., 2024</w:t>
      </w:r>
      <w:r w:rsidRPr="008F39D4">
        <w:rPr>
          <w:rFonts w:ascii="Arial" w:hAnsi="Arial" w:cs="Arial"/>
          <w:color w:val="000000" w:themeColor="text1"/>
          <w:sz w:val="22"/>
          <w:szCs w:val="22"/>
        </w:rPr>
        <w:t>) and equality legislation of the nation (</w:t>
      </w:r>
      <w:r w:rsidRPr="008F39D4">
        <w:rPr>
          <w:rFonts w:ascii="Arial" w:hAnsi="Arial" w:cs="Arial"/>
          <w:sz w:val="22"/>
          <w:szCs w:val="22"/>
        </w:rPr>
        <w:t>Brown et al., 2022</w:t>
      </w:r>
      <w:r w:rsidRPr="008F39D4">
        <w:rPr>
          <w:rFonts w:ascii="Arial" w:hAnsi="Arial" w:cs="Arial"/>
          <w:color w:val="000000" w:themeColor="text1"/>
          <w:sz w:val="22"/>
          <w:szCs w:val="22"/>
        </w:rPr>
        <w:t xml:space="preserve">), through which person-centred care facilities can be provided to the Asian population of the country. Funding constraints and a shortage of workforce might be significant limitations for implementing the recommendation. Resistance from healthcare managers, staff members or institutions can also be regarded as a notable barrier in this case, which can create challenges in implementing the recommended action. </w:t>
      </w:r>
      <w:proofErr w:type="gramStart"/>
      <w:r w:rsidRPr="008F39D4">
        <w:rPr>
          <w:rFonts w:ascii="Arial" w:hAnsi="Arial" w:cs="Arial"/>
          <w:color w:val="000000" w:themeColor="text1"/>
          <w:sz w:val="22"/>
          <w:szCs w:val="22"/>
        </w:rPr>
        <w:t>In order to</w:t>
      </w:r>
      <w:proofErr w:type="gramEnd"/>
      <w:r w:rsidRPr="008F39D4">
        <w:rPr>
          <w:rFonts w:ascii="Arial" w:hAnsi="Arial" w:cs="Arial"/>
          <w:color w:val="000000" w:themeColor="text1"/>
          <w:sz w:val="22"/>
          <w:szCs w:val="22"/>
        </w:rPr>
        <w:t xml:space="preserve"> overcome the limitation, impacting cultural responsiveness is essential in the service evaluation metric, professional development framework and organisational standards. Coordination with the community organisations (like local support groups for migrants, Southall black sisters and Asian Health Agency) is also essential for supporting culturally appropriate communication. The recommended action can also offer long-term benefits to the care infrastructure by reducing inequalities and improving health outcomes of the patients.</w:t>
      </w:r>
    </w:p>
    <w:p w14:paraId="7FCED63E" w14:textId="77777777" w:rsidR="00D334FC" w:rsidRPr="008F39D4" w:rsidRDefault="00D334FC" w:rsidP="00D334FC">
      <w:pPr>
        <w:pStyle w:val="Heading3"/>
        <w:spacing w:line="360" w:lineRule="auto"/>
        <w:jc w:val="both"/>
        <w:rPr>
          <w:rFonts w:ascii="Arial" w:hAnsi="Arial" w:cs="Arial"/>
          <w:b/>
          <w:bCs/>
          <w:color w:val="000000" w:themeColor="text1"/>
        </w:rPr>
      </w:pPr>
      <w:bookmarkStart w:id="66" w:name="_Toc220178367"/>
      <w:bookmarkStart w:id="67" w:name="_Toc223764778"/>
      <w:bookmarkStart w:id="68" w:name="_Toc224132830"/>
      <w:bookmarkStart w:id="69" w:name="_Toc225060508"/>
      <w:r w:rsidRPr="008F39D4">
        <w:rPr>
          <w:rFonts w:ascii="Arial" w:hAnsi="Arial" w:cs="Arial"/>
          <w:b/>
          <w:bCs/>
          <w:color w:val="000000" w:themeColor="text1"/>
        </w:rPr>
        <w:t>5.2.2 Recommendation 2</w:t>
      </w:r>
      <w:bookmarkEnd w:id="66"/>
      <w:bookmarkEnd w:id="67"/>
      <w:bookmarkEnd w:id="68"/>
      <w:bookmarkEnd w:id="69"/>
      <w:r w:rsidRPr="008F39D4">
        <w:rPr>
          <w:rFonts w:ascii="Arial" w:hAnsi="Arial" w:cs="Arial"/>
          <w:b/>
          <w:bCs/>
          <w:color w:val="000000" w:themeColor="text1"/>
        </w:rPr>
        <w:t xml:space="preserve"> </w:t>
      </w:r>
    </w:p>
    <w:p w14:paraId="3CFDF459"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 xml:space="preserve">The second theme of the study has indicated that perceptions of previous experiences, trust and care strongly influence the engagement of the service users belonging to the Asian population. For this reason, it is recommended that care service providers strengthen the engagement of the community and implement trust-building measures accordingly. Community-based engagement can improve the quality of services by understanding the life experiences of Asian people and addressing the stigma. It can also support the cultural expectations by offering extensive facilities to the concerned population. Minimising reliance on crisis-based care and providing early intervention are the benefits that can be offered by the recommended action. It is essential for improving the long term psychological and Physical </w:t>
      </w:r>
      <w:r w:rsidRPr="008F39D4">
        <w:rPr>
          <w:rFonts w:ascii="Arial" w:hAnsi="Arial" w:cs="Arial"/>
          <w:color w:val="000000" w:themeColor="text1"/>
          <w:sz w:val="22"/>
          <w:szCs w:val="22"/>
        </w:rPr>
        <w:lastRenderedPageBreak/>
        <w:t>health condition of Asian people. Despite the advantages, the recommendation encounters practical issues. Developing trust requires consistent presence, sustained engagement and time, which can be difficult in the pressure-filled healthcare infrastructure (</w:t>
      </w:r>
      <w:r w:rsidRPr="008F39D4">
        <w:rPr>
          <w:rFonts w:ascii="Arial" w:hAnsi="Arial" w:cs="Arial"/>
          <w:sz w:val="22"/>
          <w:szCs w:val="22"/>
        </w:rPr>
        <w:t>Koponen et al., 2026</w:t>
      </w:r>
      <w:r w:rsidRPr="008F39D4">
        <w:rPr>
          <w:rFonts w:ascii="Arial" w:hAnsi="Arial" w:cs="Arial"/>
          <w:color w:val="000000" w:themeColor="text1"/>
          <w:sz w:val="22"/>
          <w:szCs w:val="22"/>
        </w:rPr>
        <w:t>). The risk of maintaining excessive reliance on the community organisations can also be a risk factor in this case. Lack of availability of required resources might shift the responsibility from statutory services. Community engagement must be supported appropriately for addressing the limitations through integration with the local healthcare institutions, maintaining clear accountability and ensuring adequate funding. Maintaining inclusivity in engagement is also essential for preventing the Asian people from feeling homogeneous group. Effective implementation of the recommended action can ensure the establishment of a trust-based partnership, which can improve the quality of life of the population while enhancing their satisfaction and access to care services.</w:t>
      </w:r>
    </w:p>
    <w:p w14:paraId="7593BC7E" w14:textId="77777777" w:rsidR="00D334FC" w:rsidRPr="008F39D4" w:rsidRDefault="00D334FC" w:rsidP="00D334FC">
      <w:pPr>
        <w:pStyle w:val="Heading3"/>
        <w:spacing w:line="360" w:lineRule="auto"/>
        <w:jc w:val="both"/>
        <w:rPr>
          <w:rFonts w:ascii="Arial" w:hAnsi="Arial" w:cs="Arial"/>
          <w:b/>
          <w:bCs/>
          <w:color w:val="000000" w:themeColor="text1"/>
        </w:rPr>
      </w:pPr>
      <w:bookmarkStart w:id="70" w:name="_Toc220178368"/>
      <w:bookmarkStart w:id="71" w:name="_Toc223764779"/>
      <w:bookmarkStart w:id="72" w:name="_Toc224132831"/>
      <w:bookmarkStart w:id="73" w:name="_Toc225060509"/>
      <w:r w:rsidRPr="008F39D4">
        <w:rPr>
          <w:rFonts w:ascii="Arial" w:hAnsi="Arial" w:cs="Arial"/>
          <w:b/>
          <w:bCs/>
          <w:color w:val="000000" w:themeColor="text1"/>
        </w:rPr>
        <w:t>5.2.3 Recommendation 3</w:t>
      </w:r>
      <w:bookmarkEnd w:id="70"/>
      <w:bookmarkEnd w:id="71"/>
      <w:bookmarkEnd w:id="72"/>
      <w:bookmarkEnd w:id="73"/>
      <w:r w:rsidRPr="008F39D4">
        <w:rPr>
          <w:rFonts w:ascii="Arial" w:hAnsi="Arial" w:cs="Arial"/>
          <w:b/>
          <w:bCs/>
          <w:color w:val="000000" w:themeColor="text1"/>
        </w:rPr>
        <w:t xml:space="preserve"> </w:t>
      </w:r>
    </w:p>
    <w:p w14:paraId="3FB31686" w14:textId="77777777" w:rsidR="00D334FC" w:rsidRPr="008F39D4" w:rsidRDefault="00D334FC" w:rsidP="00D334FC">
      <w:pPr>
        <w:spacing w:line="360" w:lineRule="auto"/>
        <w:jc w:val="both"/>
        <w:rPr>
          <w:rFonts w:ascii="Arial" w:hAnsi="Arial" w:cs="Arial"/>
          <w:color w:val="000000" w:themeColor="text1"/>
          <w:sz w:val="22"/>
          <w:szCs w:val="22"/>
        </w:rPr>
      </w:pPr>
      <w:r w:rsidRPr="008F39D4">
        <w:rPr>
          <w:rFonts w:ascii="Arial" w:hAnsi="Arial" w:cs="Arial"/>
          <w:color w:val="000000" w:themeColor="text1"/>
          <w:sz w:val="22"/>
          <w:szCs w:val="22"/>
        </w:rPr>
        <w:t>Implementation of anti-discriminatory measures is another recommendation which is drawn from theme 3 of the findings. This recommended action focuses on strengthening the system-level accountability mechanism of the care infrastructure of the UK so that ethnic inequalities can be minimised substantially. It includes embedding anti racist infrastructure into performance monitoring, workforce policies, leadership accountability and organisational governance. The findings demonstrate that awareness regarding inequality among professionals does not always convert into action because of the weak enforcement of the policies and structural constraints. Strengthening accountability is essential for ensuring the commitment under different legislations, like the Equality Act 2010, is operationalised into the care practices. Transparent reporting, regular audit of equity and measurable outcomes can ensure sustained improvement of the care infrastructure. However, the process of implementation might encounter significant challenges because of the lack of efficiency of the organisations. The anti-discrimination initiative can be politically sensitive as well, which is why it can be regarded as a risk factor in this case. Integration of equality outcomes, leadership training programs and national guidance can be used effectively for addressing the challenges and risks. The systematic changes are complicated, and it indicates the significance of strengthening accountability for long term minimisation of health inequalities. The recommendation assists sustainable improvement by addressing the major reasons rather than the symptoms of discrimination.</w:t>
      </w:r>
    </w:p>
    <w:p w14:paraId="5473EA1F" w14:textId="77777777" w:rsidR="00D334FC" w:rsidRPr="008F39D4" w:rsidRDefault="00D334FC" w:rsidP="00D334FC">
      <w:pPr>
        <w:spacing w:line="360" w:lineRule="auto"/>
        <w:jc w:val="both"/>
        <w:rPr>
          <w:rFonts w:ascii="Arial" w:hAnsi="Arial" w:cs="Arial"/>
          <w:sz w:val="22"/>
          <w:szCs w:val="22"/>
        </w:rPr>
      </w:pPr>
      <w:r w:rsidRPr="008F39D4">
        <w:rPr>
          <w:rFonts w:ascii="Arial" w:hAnsi="Arial" w:cs="Arial"/>
          <w:color w:val="000000" w:themeColor="text1"/>
          <w:sz w:val="22"/>
          <w:szCs w:val="22"/>
        </w:rPr>
        <w:t xml:space="preserve">The dissertation highlights that inequalities in the social and healthcare access for the Asian population are the result of perceptual, cultural and structural issues. The policy frameworks focus on promoting equality, and the meaningful changes rely on how the services are </w:t>
      </w:r>
      <w:r w:rsidRPr="008F39D4">
        <w:rPr>
          <w:rFonts w:ascii="Arial" w:hAnsi="Arial" w:cs="Arial"/>
          <w:color w:val="000000" w:themeColor="text1"/>
          <w:sz w:val="22"/>
          <w:szCs w:val="22"/>
        </w:rPr>
        <w:lastRenderedPageBreak/>
        <w:t xml:space="preserve">experienced, delivered and designed in the practices. The integration of culturally responsive care facilities, system-level accountability and community engagement in the UK can improve the care infrastructure successfully. It can improve the well-being of the population of the country and can ensure equitable access of different ethnic </w:t>
      </w:r>
      <w:r w:rsidRPr="008F39D4">
        <w:rPr>
          <w:rFonts w:ascii="Arial" w:hAnsi="Arial" w:cs="Arial"/>
          <w:sz w:val="22"/>
          <w:szCs w:val="22"/>
        </w:rPr>
        <w:t>communities to the care facilities.</w:t>
      </w:r>
    </w:p>
    <w:p w14:paraId="5E75A179" w14:textId="77777777" w:rsidR="00CD2A9F" w:rsidRPr="008F39D4" w:rsidRDefault="00CD2A9F" w:rsidP="00D334FC">
      <w:pPr>
        <w:spacing w:line="360" w:lineRule="auto"/>
        <w:jc w:val="both"/>
        <w:rPr>
          <w:rFonts w:ascii="Arial" w:hAnsi="Arial" w:cs="Arial"/>
          <w:sz w:val="22"/>
          <w:szCs w:val="22"/>
        </w:rPr>
      </w:pPr>
    </w:p>
    <w:p w14:paraId="0BA0CD63" w14:textId="77777777" w:rsidR="00D334FC" w:rsidRPr="008F39D4" w:rsidRDefault="00D334FC" w:rsidP="00D334FC">
      <w:pPr>
        <w:spacing w:line="360" w:lineRule="auto"/>
        <w:jc w:val="both"/>
        <w:rPr>
          <w:rFonts w:ascii="Arial" w:hAnsi="Arial" w:cs="Arial"/>
          <w:sz w:val="22"/>
          <w:szCs w:val="22"/>
        </w:rPr>
      </w:pPr>
    </w:p>
    <w:p w14:paraId="57676B34" w14:textId="77777777" w:rsidR="00D334FC" w:rsidRPr="008F39D4" w:rsidRDefault="00D334FC" w:rsidP="00D334FC">
      <w:pPr>
        <w:spacing w:line="360" w:lineRule="auto"/>
        <w:jc w:val="both"/>
        <w:rPr>
          <w:rFonts w:ascii="Arial" w:hAnsi="Arial" w:cs="Arial"/>
          <w:sz w:val="22"/>
          <w:szCs w:val="22"/>
        </w:rPr>
      </w:pPr>
    </w:p>
    <w:p w14:paraId="51C22823" w14:textId="77777777" w:rsidR="00D334FC" w:rsidRPr="008F39D4" w:rsidRDefault="00D334FC" w:rsidP="00D334FC">
      <w:pPr>
        <w:spacing w:line="360" w:lineRule="auto"/>
        <w:jc w:val="both"/>
        <w:rPr>
          <w:rFonts w:ascii="Arial" w:hAnsi="Arial" w:cs="Arial"/>
          <w:sz w:val="22"/>
          <w:szCs w:val="22"/>
        </w:rPr>
      </w:pPr>
    </w:p>
    <w:p w14:paraId="04CA9065" w14:textId="77777777" w:rsidR="00D334FC" w:rsidRPr="008F39D4" w:rsidRDefault="00D334FC" w:rsidP="00D334FC">
      <w:pPr>
        <w:spacing w:line="360" w:lineRule="auto"/>
        <w:jc w:val="both"/>
        <w:rPr>
          <w:rFonts w:ascii="Arial" w:hAnsi="Arial" w:cs="Arial"/>
          <w:sz w:val="22"/>
          <w:szCs w:val="22"/>
        </w:rPr>
      </w:pPr>
    </w:p>
    <w:p w14:paraId="2EA59B4D" w14:textId="77777777" w:rsidR="00D334FC" w:rsidRPr="008F39D4" w:rsidRDefault="00D334FC" w:rsidP="00D334FC">
      <w:pPr>
        <w:spacing w:line="360" w:lineRule="auto"/>
        <w:jc w:val="both"/>
        <w:rPr>
          <w:rFonts w:ascii="Arial" w:hAnsi="Arial" w:cs="Arial"/>
          <w:sz w:val="22"/>
          <w:szCs w:val="22"/>
        </w:rPr>
      </w:pPr>
    </w:p>
    <w:p w14:paraId="0D2827BF" w14:textId="77777777" w:rsidR="002164E4" w:rsidRPr="008F39D4" w:rsidRDefault="002164E4" w:rsidP="00D334FC">
      <w:pPr>
        <w:spacing w:line="360" w:lineRule="auto"/>
        <w:jc w:val="both"/>
        <w:rPr>
          <w:rFonts w:ascii="Arial" w:hAnsi="Arial" w:cs="Arial"/>
          <w:sz w:val="22"/>
          <w:szCs w:val="22"/>
        </w:rPr>
      </w:pPr>
    </w:p>
    <w:p w14:paraId="2DD97705" w14:textId="77777777" w:rsidR="002164E4" w:rsidRPr="008F39D4" w:rsidRDefault="002164E4" w:rsidP="00D334FC">
      <w:pPr>
        <w:spacing w:line="360" w:lineRule="auto"/>
        <w:jc w:val="both"/>
        <w:rPr>
          <w:rFonts w:ascii="Arial" w:hAnsi="Arial" w:cs="Arial"/>
          <w:sz w:val="22"/>
          <w:szCs w:val="22"/>
        </w:rPr>
      </w:pPr>
    </w:p>
    <w:p w14:paraId="2C684CEC" w14:textId="77777777" w:rsidR="002164E4" w:rsidRPr="008F39D4" w:rsidRDefault="002164E4" w:rsidP="00D334FC">
      <w:pPr>
        <w:spacing w:line="360" w:lineRule="auto"/>
        <w:jc w:val="both"/>
        <w:rPr>
          <w:rFonts w:ascii="Arial" w:hAnsi="Arial" w:cs="Arial"/>
          <w:sz w:val="22"/>
          <w:szCs w:val="22"/>
        </w:rPr>
      </w:pPr>
    </w:p>
    <w:p w14:paraId="68574575" w14:textId="77777777" w:rsidR="002164E4" w:rsidRPr="008F39D4" w:rsidRDefault="002164E4" w:rsidP="00D334FC">
      <w:pPr>
        <w:spacing w:line="360" w:lineRule="auto"/>
        <w:jc w:val="both"/>
        <w:rPr>
          <w:rFonts w:ascii="Arial" w:hAnsi="Arial" w:cs="Arial"/>
          <w:sz w:val="22"/>
          <w:szCs w:val="22"/>
        </w:rPr>
      </w:pPr>
    </w:p>
    <w:p w14:paraId="76D84035" w14:textId="77777777" w:rsidR="002164E4" w:rsidRPr="008F39D4" w:rsidRDefault="002164E4" w:rsidP="00D334FC">
      <w:pPr>
        <w:spacing w:line="360" w:lineRule="auto"/>
        <w:jc w:val="both"/>
        <w:rPr>
          <w:rFonts w:ascii="Arial" w:hAnsi="Arial" w:cs="Arial"/>
          <w:sz w:val="22"/>
          <w:szCs w:val="22"/>
        </w:rPr>
      </w:pPr>
    </w:p>
    <w:p w14:paraId="1C27EFC4" w14:textId="77777777" w:rsidR="002164E4" w:rsidRPr="008F39D4" w:rsidRDefault="002164E4" w:rsidP="00D334FC">
      <w:pPr>
        <w:spacing w:line="360" w:lineRule="auto"/>
        <w:jc w:val="both"/>
        <w:rPr>
          <w:rFonts w:ascii="Arial" w:hAnsi="Arial" w:cs="Arial"/>
          <w:sz w:val="22"/>
          <w:szCs w:val="22"/>
        </w:rPr>
      </w:pPr>
    </w:p>
    <w:p w14:paraId="26465CD9" w14:textId="77777777" w:rsidR="002164E4" w:rsidRPr="008F39D4" w:rsidRDefault="002164E4" w:rsidP="00D334FC">
      <w:pPr>
        <w:spacing w:line="360" w:lineRule="auto"/>
        <w:jc w:val="both"/>
        <w:rPr>
          <w:rFonts w:ascii="Arial" w:hAnsi="Arial" w:cs="Arial"/>
          <w:sz w:val="22"/>
          <w:szCs w:val="22"/>
        </w:rPr>
      </w:pPr>
    </w:p>
    <w:p w14:paraId="67B9B3F7" w14:textId="77777777" w:rsidR="002164E4" w:rsidRPr="008F39D4" w:rsidRDefault="002164E4" w:rsidP="00D334FC">
      <w:pPr>
        <w:spacing w:line="360" w:lineRule="auto"/>
        <w:jc w:val="both"/>
        <w:rPr>
          <w:rFonts w:ascii="Arial" w:hAnsi="Arial" w:cs="Arial"/>
          <w:sz w:val="22"/>
          <w:szCs w:val="22"/>
        </w:rPr>
      </w:pPr>
    </w:p>
    <w:p w14:paraId="2BD15979" w14:textId="77777777" w:rsidR="002164E4" w:rsidRPr="008F39D4" w:rsidRDefault="002164E4" w:rsidP="00D334FC">
      <w:pPr>
        <w:spacing w:line="360" w:lineRule="auto"/>
        <w:jc w:val="both"/>
        <w:rPr>
          <w:rFonts w:ascii="Arial" w:hAnsi="Arial" w:cs="Arial"/>
          <w:sz w:val="22"/>
          <w:szCs w:val="22"/>
        </w:rPr>
      </w:pPr>
    </w:p>
    <w:p w14:paraId="59A61498" w14:textId="77777777" w:rsidR="002164E4" w:rsidRPr="008F39D4" w:rsidRDefault="002164E4" w:rsidP="00D334FC">
      <w:pPr>
        <w:spacing w:line="360" w:lineRule="auto"/>
        <w:jc w:val="both"/>
        <w:rPr>
          <w:rFonts w:ascii="Arial" w:hAnsi="Arial" w:cs="Arial"/>
          <w:sz w:val="22"/>
          <w:szCs w:val="22"/>
        </w:rPr>
      </w:pPr>
    </w:p>
    <w:p w14:paraId="6919C355" w14:textId="77777777" w:rsidR="002164E4" w:rsidRPr="008F39D4" w:rsidRDefault="002164E4" w:rsidP="00D334FC">
      <w:pPr>
        <w:spacing w:line="360" w:lineRule="auto"/>
        <w:jc w:val="both"/>
        <w:rPr>
          <w:rFonts w:ascii="Arial" w:hAnsi="Arial" w:cs="Arial"/>
          <w:sz w:val="22"/>
          <w:szCs w:val="22"/>
        </w:rPr>
      </w:pPr>
    </w:p>
    <w:p w14:paraId="7B67B445" w14:textId="77777777" w:rsidR="002164E4" w:rsidRPr="008F39D4" w:rsidRDefault="002164E4" w:rsidP="00D334FC">
      <w:pPr>
        <w:spacing w:line="360" w:lineRule="auto"/>
        <w:jc w:val="both"/>
        <w:rPr>
          <w:rFonts w:ascii="Arial" w:hAnsi="Arial" w:cs="Arial"/>
          <w:sz w:val="22"/>
          <w:szCs w:val="22"/>
        </w:rPr>
      </w:pPr>
    </w:p>
    <w:p w14:paraId="003F2519" w14:textId="77777777" w:rsidR="002164E4" w:rsidRPr="008F39D4" w:rsidRDefault="002164E4" w:rsidP="00D334FC">
      <w:pPr>
        <w:spacing w:line="360" w:lineRule="auto"/>
        <w:jc w:val="both"/>
        <w:rPr>
          <w:rFonts w:ascii="Arial" w:hAnsi="Arial" w:cs="Arial"/>
          <w:sz w:val="22"/>
          <w:szCs w:val="22"/>
        </w:rPr>
      </w:pPr>
    </w:p>
    <w:p w14:paraId="13AB7623" w14:textId="77777777" w:rsidR="002164E4" w:rsidRPr="008F39D4" w:rsidRDefault="002164E4" w:rsidP="00D334FC">
      <w:pPr>
        <w:spacing w:line="360" w:lineRule="auto"/>
        <w:jc w:val="both"/>
        <w:rPr>
          <w:rFonts w:ascii="Arial" w:hAnsi="Arial" w:cs="Arial"/>
          <w:sz w:val="22"/>
          <w:szCs w:val="22"/>
        </w:rPr>
      </w:pPr>
    </w:p>
    <w:p w14:paraId="60414A55" w14:textId="77777777" w:rsidR="002164E4" w:rsidRPr="008F39D4" w:rsidRDefault="002164E4" w:rsidP="00D334FC">
      <w:pPr>
        <w:spacing w:line="360" w:lineRule="auto"/>
        <w:jc w:val="both"/>
        <w:rPr>
          <w:rFonts w:ascii="Arial" w:hAnsi="Arial" w:cs="Arial"/>
          <w:sz w:val="22"/>
          <w:szCs w:val="22"/>
        </w:rPr>
      </w:pPr>
    </w:p>
    <w:p w14:paraId="39A990E2" w14:textId="77777777" w:rsidR="00D334FC" w:rsidRPr="008F39D4" w:rsidRDefault="00D334FC" w:rsidP="008F39D4">
      <w:pPr>
        <w:pStyle w:val="Heading1"/>
        <w:spacing w:line="360" w:lineRule="auto"/>
        <w:jc w:val="center"/>
        <w:rPr>
          <w:rFonts w:ascii="Arial" w:hAnsi="Arial" w:cs="Arial"/>
          <w:b/>
          <w:bCs/>
          <w:color w:val="auto"/>
          <w:sz w:val="32"/>
          <w:szCs w:val="32"/>
        </w:rPr>
      </w:pPr>
      <w:bookmarkStart w:id="74" w:name="_Toc225060510"/>
      <w:r w:rsidRPr="008F39D4">
        <w:rPr>
          <w:rFonts w:ascii="Arial" w:hAnsi="Arial" w:cs="Arial"/>
          <w:b/>
          <w:bCs/>
          <w:color w:val="auto"/>
          <w:sz w:val="32"/>
          <w:szCs w:val="32"/>
        </w:rPr>
        <w:lastRenderedPageBreak/>
        <w:t>Reference list</w:t>
      </w:r>
      <w:bookmarkEnd w:id="74"/>
    </w:p>
    <w:p w14:paraId="3928095D" w14:textId="230551F9"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Abbas, J., Wang, D., Su, Z. and </w:t>
      </w:r>
      <w:proofErr w:type="spellStart"/>
      <w:r w:rsidRPr="008F39D4">
        <w:rPr>
          <w:rFonts w:ascii="Arial" w:hAnsi="Arial" w:cs="Arial"/>
          <w:sz w:val="22"/>
          <w:szCs w:val="22"/>
        </w:rPr>
        <w:t>Ziapour</w:t>
      </w:r>
      <w:proofErr w:type="spellEnd"/>
      <w:r w:rsidRPr="008F39D4">
        <w:rPr>
          <w:rFonts w:ascii="Arial" w:hAnsi="Arial" w:cs="Arial"/>
          <w:sz w:val="22"/>
          <w:szCs w:val="22"/>
        </w:rPr>
        <w:t>, A. (2021) ‘The role of social media in the advent of COVID-19 pandemic: crisis management, mental health challenges and implications’, </w:t>
      </w:r>
      <w:r w:rsidRPr="008F39D4">
        <w:rPr>
          <w:rFonts w:ascii="Arial" w:hAnsi="Arial" w:cs="Arial"/>
          <w:i/>
          <w:iCs/>
          <w:sz w:val="22"/>
          <w:szCs w:val="22"/>
        </w:rPr>
        <w:t>Risk management and healthcare policy</w:t>
      </w:r>
      <w:r w:rsidRPr="008F39D4">
        <w:rPr>
          <w:rFonts w:ascii="Arial" w:hAnsi="Arial" w:cs="Arial"/>
          <w:sz w:val="22"/>
          <w:szCs w:val="22"/>
        </w:rPr>
        <w:t>, pp.1917-1932. Available at: https://www.tandfonline.com/doi/pdf/10.2147/RMHP.S284313 (Accessed: 24 January 2026).</w:t>
      </w:r>
    </w:p>
    <w:p w14:paraId="4FFC17C4" w14:textId="45905DEF"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Albakri, M. and Wood</w:t>
      </w:r>
      <w:r w:rsidRPr="008F39D4">
        <w:rPr>
          <w:rFonts w:ascii="Cambria Math" w:hAnsi="Cambria Math" w:cs="Cambria Math"/>
          <w:sz w:val="22"/>
          <w:szCs w:val="22"/>
        </w:rPr>
        <w:t>‐</w:t>
      </w:r>
      <w:r w:rsidRPr="008F39D4">
        <w:rPr>
          <w:rFonts w:ascii="Arial" w:hAnsi="Arial" w:cs="Arial"/>
          <w:sz w:val="22"/>
          <w:szCs w:val="22"/>
        </w:rPr>
        <w:t>Harper, T. (2025) ‘Revisiting Critical Systems Thinking: Enhancing the Gaps Through Sustainability and Action Methodologies’, </w:t>
      </w:r>
      <w:r w:rsidRPr="008F39D4">
        <w:rPr>
          <w:rFonts w:ascii="Arial" w:hAnsi="Arial" w:cs="Arial"/>
          <w:i/>
          <w:iCs/>
          <w:sz w:val="22"/>
          <w:szCs w:val="22"/>
        </w:rPr>
        <w:t xml:space="preserve">Systems Research and </w:t>
      </w:r>
      <w:proofErr w:type="spellStart"/>
      <w:r w:rsidRPr="008F39D4">
        <w:rPr>
          <w:rFonts w:ascii="Arial" w:hAnsi="Arial" w:cs="Arial"/>
          <w:i/>
          <w:iCs/>
          <w:sz w:val="22"/>
          <w:szCs w:val="22"/>
        </w:rPr>
        <w:t>Behavioral</w:t>
      </w:r>
      <w:proofErr w:type="spellEnd"/>
      <w:r w:rsidRPr="008F39D4">
        <w:rPr>
          <w:rFonts w:ascii="Arial" w:hAnsi="Arial" w:cs="Arial"/>
          <w:i/>
          <w:iCs/>
          <w:sz w:val="22"/>
          <w:szCs w:val="22"/>
        </w:rPr>
        <w:t xml:space="preserve"> Science</w:t>
      </w:r>
      <w:r w:rsidRPr="008F39D4">
        <w:rPr>
          <w:rFonts w:ascii="Arial" w:hAnsi="Arial" w:cs="Arial"/>
          <w:sz w:val="22"/>
          <w:szCs w:val="22"/>
        </w:rPr>
        <w:t>, </w:t>
      </w:r>
      <w:r w:rsidRPr="008F39D4">
        <w:rPr>
          <w:rFonts w:ascii="Arial" w:hAnsi="Arial" w:cs="Arial"/>
          <w:i/>
          <w:iCs/>
          <w:sz w:val="22"/>
          <w:szCs w:val="22"/>
        </w:rPr>
        <w:t>42</w:t>
      </w:r>
      <w:r w:rsidRPr="008F39D4">
        <w:rPr>
          <w:rFonts w:ascii="Arial" w:hAnsi="Arial" w:cs="Arial"/>
          <w:sz w:val="22"/>
          <w:szCs w:val="22"/>
        </w:rPr>
        <w:t>(1), pp.157-170. Available at: https://onlinelibrary.wiley.com/doi/pdf/10.1002/sres.3107 (Accessed: 24 January 2026).</w:t>
      </w:r>
    </w:p>
    <w:p w14:paraId="15289206" w14:textId="4A8AF882"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Alkhawaldeh, A., </w:t>
      </w:r>
      <w:proofErr w:type="spellStart"/>
      <w:r w:rsidRPr="008F39D4">
        <w:rPr>
          <w:rFonts w:ascii="Arial" w:hAnsi="Arial" w:cs="Arial"/>
          <w:sz w:val="22"/>
          <w:szCs w:val="22"/>
        </w:rPr>
        <w:t>ALBashtawy</w:t>
      </w:r>
      <w:proofErr w:type="spellEnd"/>
      <w:r w:rsidRPr="008F39D4">
        <w:rPr>
          <w:rFonts w:ascii="Arial" w:hAnsi="Arial" w:cs="Arial"/>
          <w:sz w:val="22"/>
          <w:szCs w:val="22"/>
        </w:rPr>
        <w:t xml:space="preserve">, M., Rayan, A., Abdalrahim, A., Musa, A., Eshah, N., Khait, A.A., Qaddumi, J., </w:t>
      </w:r>
      <w:proofErr w:type="spellStart"/>
      <w:r w:rsidRPr="008F39D4">
        <w:rPr>
          <w:rFonts w:ascii="Arial" w:hAnsi="Arial" w:cs="Arial"/>
          <w:sz w:val="22"/>
          <w:szCs w:val="22"/>
        </w:rPr>
        <w:t>Khraisat</w:t>
      </w:r>
      <w:proofErr w:type="spellEnd"/>
      <w:r w:rsidRPr="008F39D4">
        <w:rPr>
          <w:rFonts w:ascii="Arial" w:hAnsi="Arial" w:cs="Arial"/>
          <w:sz w:val="22"/>
          <w:szCs w:val="22"/>
        </w:rPr>
        <w:t xml:space="preserve">, O. and </w:t>
      </w:r>
      <w:proofErr w:type="spellStart"/>
      <w:r w:rsidRPr="008F39D4">
        <w:rPr>
          <w:rFonts w:ascii="Arial" w:hAnsi="Arial" w:cs="Arial"/>
          <w:sz w:val="22"/>
          <w:szCs w:val="22"/>
        </w:rPr>
        <w:t>ALBashtawy</w:t>
      </w:r>
      <w:proofErr w:type="spellEnd"/>
      <w:r w:rsidRPr="008F39D4">
        <w:rPr>
          <w:rFonts w:ascii="Arial" w:hAnsi="Arial" w:cs="Arial"/>
          <w:sz w:val="22"/>
          <w:szCs w:val="22"/>
        </w:rPr>
        <w:t xml:space="preserve">, S.D. (2023) ‘Application and use of Andersen’s </w:t>
      </w:r>
      <w:proofErr w:type="spellStart"/>
      <w:r w:rsidRPr="008F39D4">
        <w:rPr>
          <w:rFonts w:ascii="Arial" w:hAnsi="Arial" w:cs="Arial"/>
          <w:sz w:val="22"/>
          <w:szCs w:val="22"/>
        </w:rPr>
        <w:t>behavioral</w:t>
      </w:r>
      <w:proofErr w:type="spellEnd"/>
      <w:r w:rsidRPr="008F39D4">
        <w:rPr>
          <w:rFonts w:ascii="Arial" w:hAnsi="Arial" w:cs="Arial"/>
          <w:sz w:val="22"/>
          <w:szCs w:val="22"/>
        </w:rPr>
        <w:t xml:space="preserve"> model as theoretical framework: a systematic literature review from 2012–2021’, </w:t>
      </w:r>
      <w:r w:rsidRPr="008F39D4">
        <w:rPr>
          <w:rFonts w:ascii="Arial" w:hAnsi="Arial" w:cs="Arial"/>
          <w:i/>
          <w:iCs/>
          <w:sz w:val="22"/>
          <w:szCs w:val="22"/>
        </w:rPr>
        <w:t>Iranian journal of public health</w:t>
      </w:r>
      <w:r w:rsidRPr="008F39D4">
        <w:rPr>
          <w:rFonts w:ascii="Arial" w:hAnsi="Arial" w:cs="Arial"/>
          <w:sz w:val="22"/>
          <w:szCs w:val="22"/>
        </w:rPr>
        <w:t>, </w:t>
      </w:r>
      <w:r w:rsidRPr="008F39D4">
        <w:rPr>
          <w:rFonts w:ascii="Arial" w:hAnsi="Arial" w:cs="Arial"/>
          <w:i/>
          <w:iCs/>
          <w:sz w:val="22"/>
          <w:szCs w:val="22"/>
        </w:rPr>
        <w:t>52</w:t>
      </w:r>
      <w:r w:rsidRPr="008F39D4">
        <w:rPr>
          <w:rFonts w:ascii="Arial" w:hAnsi="Arial" w:cs="Arial"/>
          <w:sz w:val="22"/>
          <w:szCs w:val="22"/>
        </w:rPr>
        <w:t>(7), pp.1346-1354. Available at:  https://pmc.ncbi.nlm.nih.gov/articles/PMC10430393/pdf/IJPH-52-1346.pdf (Accessed: 24 January 2026).</w:t>
      </w:r>
    </w:p>
    <w:p w14:paraId="50769F29" w14:textId="6AD79463"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Alshareef, N., Fletcher, I. and Giga, S. (2024) ‘The role of emotions in academic performance of undergraduate medical students: a narrative review’, </w:t>
      </w:r>
      <w:r w:rsidRPr="008F39D4">
        <w:rPr>
          <w:rFonts w:ascii="Arial" w:hAnsi="Arial" w:cs="Arial"/>
          <w:i/>
          <w:iCs/>
          <w:sz w:val="22"/>
          <w:szCs w:val="22"/>
        </w:rPr>
        <w:t>BMC Medical Education</w:t>
      </w:r>
      <w:r w:rsidRPr="008F39D4">
        <w:rPr>
          <w:rFonts w:ascii="Arial" w:hAnsi="Arial" w:cs="Arial"/>
          <w:sz w:val="22"/>
          <w:szCs w:val="22"/>
        </w:rPr>
        <w:t>, </w:t>
      </w:r>
      <w:r w:rsidRPr="008F39D4">
        <w:rPr>
          <w:rFonts w:ascii="Arial" w:hAnsi="Arial" w:cs="Arial"/>
          <w:i/>
          <w:iCs/>
          <w:sz w:val="22"/>
          <w:szCs w:val="22"/>
        </w:rPr>
        <w:t>24</w:t>
      </w:r>
      <w:r w:rsidRPr="008F39D4">
        <w:rPr>
          <w:rFonts w:ascii="Arial" w:hAnsi="Arial" w:cs="Arial"/>
          <w:sz w:val="22"/>
          <w:szCs w:val="22"/>
        </w:rPr>
        <w:t>(1), pp.1-17. Available at: https://link.springer.com/content/pdf/10.1186/s12909-024-05894-1.pdf (Accessed: 24 January 2026).</w:t>
      </w:r>
    </w:p>
    <w:p w14:paraId="71C4BD76" w14:textId="0D2D98CA"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Bansal, N., Karlsen, S., Sashidharan, S.P., Cohen, R., Chew-Graham, C.A. and Malpass, A. (2022) ‘Understanding ethnic inequalities in mental healthcare in the UK: A meta-ethnography’, </w:t>
      </w:r>
      <w:proofErr w:type="spellStart"/>
      <w:r w:rsidRPr="008F39D4">
        <w:rPr>
          <w:rFonts w:ascii="Arial" w:hAnsi="Arial" w:cs="Arial"/>
          <w:i/>
          <w:iCs/>
          <w:sz w:val="22"/>
          <w:szCs w:val="22"/>
        </w:rPr>
        <w:t>PLoS</w:t>
      </w:r>
      <w:proofErr w:type="spellEnd"/>
      <w:r w:rsidRPr="008F39D4">
        <w:rPr>
          <w:rFonts w:ascii="Arial" w:hAnsi="Arial" w:cs="Arial"/>
          <w:i/>
          <w:iCs/>
          <w:sz w:val="22"/>
          <w:szCs w:val="22"/>
        </w:rPr>
        <w:t xml:space="preserve"> Medicine</w:t>
      </w:r>
      <w:r w:rsidRPr="008F39D4">
        <w:rPr>
          <w:rFonts w:ascii="Arial" w:hAnsi="Arial" w:cs="Arial"/>
          <w:sz w:val="22"/>
          <w:szCs w:val="22"/>
        </w:rPr>
        <w:t>, </w:t>
      </w:r>
      <w:r w:rsidRPr="008F39D4">
        <w:rPr>
          <w:rFonts w:ascii="Arial" w:hAnsi="Arial" w:cs="Arial"/>
          <w:i/>
          <w:iCs/>
          <w:sz w:val="22"/>
          <w:szCs w:val="22"/>
        </w:rPr>
        <w:t>19</w:t>
      </w:r>
      <w:r w:rsidRPr="008F39D4">
        <w:rPr>
          <w:rFonts w:ascii="Arial" w:hAnsi="Arial" w:cs="Arial"/>
          <w:sz w:val="22"/>
          <w:szCs w:val="22"/>
        </w:rPr>
        <w:t>(12), pp.1-36. Available at: https://doi.org/10.1371/journal.pmed.1004139 (Accessed: 24 January 2026).</w:t>
      </w:r>
    </w:p>
    <w:p w14:paraId="23A54258" w14:textId="43FD40D6"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Barnes, A., Phillips, F., Pickett, K., Haider, A.J., Robinson-Joyce, J. and Ahmed, S. (2024) ‘Rapid review: Ten ways to improve support for minoritised informal adult carers at local government policy level to redress inequality’, </w:t>
      </w:r>
      <w:r w:rsidRPr="008F39D4">
        <w:rPr>
          <w:rFonts w:ascii="Arial" w:hAnsi="Arial" w:cs="Arial"/>
          <w:i/>
          <w:iCs/>
          <w:sz w:val="22"/>
          <w:szCs w:val="22"/>
        </w:rPr>
        <w:t>Public Health in Practice</w:t>
      </w:r>
      <w:r w:rsidRPr="008F39D4">
        <w:rPr>
          <w:rFonts w:ascii="Arial" w:hAnsi="Arial" w:cs="Arial"/>
          <w:sz w:val="22"/>
          <w:szCs w:val="22"/>
        </w:rPr>
        <w:t>, </w:t>
      </w:r>
      <w:r w:rsidRPr="008F39D4">
        <w:rPr>
          <w:rFonts w:ascii="Arial" w:hAnsi="Arial" w:cs="Arial"/>
          <w:i/>
          <w:iCs/>
          <w:sz w:val="22"/>
          <w:szCs w:val="22"/>
        </w:rPr>
        <w:t>8</w:t>
      </w:r>
      <w:r w:rsidRPr="008F39D4">
        <w:rPr>
          <w:rFonts w:ascii="Arial" w:hAnsi="Arial" w:cs="Arial"/>
          <w:sz w:val="22"/>
          <w:szCs w:val="22"/>
        </w:rPr>
        <w:t>, pp.1-8. Available at: https://doi.org/10.1016/j.puhip.2024.100543 (Accessed: 24 January 2026).</w:t>
      </w:r>
    </w:p>
    <w:p w14:paraId="7DE7D59D" w14:textId="748F2E2E" w:rsidR="002164E4" w:rsidRPr="008F39D4" w:rsidRDefault="00D334FC" w:rsidP="00D334FC">
      <w:pPr>
        <w:spacing w:line="360" w:lineRule="auto"/>
        <w:rPr>
          <w:rFonts w:ascii="Arial" w:hAnsi="Arial" w:cs="Arial"/>
          <w:sz w:val="22"/>
          <w:szCs w:val="22"/>
        </w:rPr>
      </w:pPr>
      <w:r w:rsidRPr="008F39D4">
        <w:rPr>
          <w:rFonts w:ascii="Arial" w:hAnsi="Arial" w:cs="Arial"/>
          <w:sz w:val="22"/>
          <w:szCs w:val="22"/>
        </w:rPr>
        <w:t>Braun, V. and Clarke, V. (2024) ‘Supporting best practice in reflexive thematic analysis reporting in Palliative Medicine: A review of published research and introduction to the Reflexive Thematic Analysis Reporting Guidelines (RTARG)’, </w:t>
      </w:r>
      <w:r w:rsidRPr="008F39D4">
        <w:rPr>
          <w:rFonts w:ascii="Arial" w:hAnsi="Arial" w:cs="Arial"/>
          <w:i/>
          <w:iCs/>
          <w:sz w:val="22"/>
          <w:szCs w:val="22"/>
        </w:rPr>
        <w:t>Palliative medicine</w:t>
      </w:r>
      <w:r w:rsidRPr="008F39D4">
        <w:rPr>
          <w:rFonts w:ascii="Arial" w:hAnsi="Arial" w:cs="Arial"/>
          <w:sz w:val="22"/>
          <w:szCs w:val="22"/>
        </w:rPr>
        <w:t>, </w:t>
      </w:r>
      <w:r w:rsidRPr="008F39D4">
        <w:rPr>
          <w:rFonts w:ascii="Arial" w:hAnsi="Arial" w:cs="Arial"/>
          <w:i/>
          <w:iCs/>
          <w:sz w:val="22"/>
          <w:szCs w:val="22"/>
        </w:rPr>
        <w:t>38</w:t>
      </w:r>
      <w:r w:rsidRPr="008F39D4">
        <w:rPr>
          <w:rFonts w:ascii="Arial" w:hAnsi="Arial" w:cs="Arial"/>
          <w:sz w:val="22"/>
          <w:szCs w:val="22"/>
        </w:rPr>
        <w:t>(6), pp.608-616. Available at: https://journals.sagepub.com/doi/pdf/10.1177/02692163241234800 (Accessed: 24 January 2026).</w:t>
      </w:r>
    </w:p>
    <w:p w14:paraId="0858E897" w14:textId="5B4F72FA"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lastRenderedPageBreak/>
        <w:t xml:space="preserve">Brown, J., Acey, C.S., </w:t>
      </w:r>
      <w:proofErr w:type="spellStart"/>
      <w:r w:rsidRPr="008F39D4">
        <w:rPr>
          <w:rFonts w:ascii="Arial" w:hAnsi="Arial" w:cs="Arial"/>
          <w:sz w:val="22"/>
          <w:szCs w:val="22"/>
        </w:rPr>
        <w:t>Anthonj</w:t>
      </w:r>
      <w:proofErr w:type="spellEnd"/>
      <w:r w:rsidRPr="008F39D4">
        <w:rPr>
          <w:rFonts w:ascii="Arial" w:hAnsi="Arial" w:cs="Arial"/>
          <w:sz w:val="22"/>
          <w:szCs w:val="22"/>
        </w:rPr>
        <w:t xml:space="preserve">, C., Barrington, D.J., Beal, C.D., Capone, D., Cumming, O., </w:t>
      </w:r>
      <w:proofErr w:type="spellStart"/>
      <w:r w:rsidRPr="008F39D4">
        <w:rPr>
          <w:rFonts w:ascii="Arial" w:hAnsi="Arial" w:cs="Arial"/>
          <w:sz w:val="22"/>
          <w:szCs w:val="22"/>
        </w:rPr>
        <w:t>Fedinick</w:t>
      </w:r>
      <w:proofErr w:type="spellEnd"/>
      <w:r w:rsidRPr="008F39D4">
        <w:rPr>
          <w:rFonts w:ascii="Arial" w:hAnsi="Arial" w:cs="Arial"/>
          <w:sz w:val="22"/>
          <w:szCs w:val="22"/>
        </w:rPr>
        <w:t xml:space="preserve">, K.P., Gibson, J.M., Hicks, B. and </w:t>
      </w:r>
      <w:proofErr w:type="spellStart"/>
      <w:r w:rsidRPr="008F39D4">
        <w:rPr>
          <w:rFonts w:ascii="Arial" w:hAnsi="Arial" w:cs="Arial"/>
          <w:sz w:val="22"/>
          <w:szCs w:val="22"/>
        </w:rPr>
        <w:t>Kozubik</w:t>
      </w:r>
      <w:proofErr w:type="spellEnd"/>
      <w:r w:rsidRPr="008F39D4">
        <w:rPr>
          <w:rFonts w:ascii="Arial" w:hAnsi="Arial" w:cs="Arial"/>
          <w:sz w:val="22"/>
          <w:szCs w:val="22"/>
        </w:rPr>
        <w:t>, M. (2023) ‘The effects of racism, social exclusion, and discrimination on achieving universal safe water and sanitation in high-income countries’, </w:t>
      </w:r>
      <w:r w:rsidRPr="008F39D4">
        <w:rPr>
          <w:rFonts w:ascii="Arial" w:hAnsi="Arial" w:cs="Arial"/>
          <w:i/>
          <w:iCs/>
          <w:sz w:val="22"/>
          <w:szCs w:val="22"/>
        </w:rPr>
        <w:t>The Lancet Global Health</w:t>
      </w:r>
      <w:r w:rsidRPr="008F39D4">
        <w:rPr>
          <w:rFonts w:ascii="Arial" w:hAnsi="Arial" w:cs="Arial"/>
          <w:sz w:val="22"/>
          <w:szCs w:val="22"/>
        </w:rPr>
        <w:t>, </w:t>
      </w:r>
      <w:r w:rsidRPr="008F39D4">
        <w:rPr>
          <w:rFonts w:ascii="Arial" w:hAnsi="Arial" w:cs="Arial"/>
          <w:i/>
          <w:iCs/>
          <w:sz w:val="22"/>
          <w:szCs w:val="22"/>
        </w:rPr>
        <w:t>11</w:t>
      </w:r>
      <w:r w:rsidRPr="008F39D4">
        <w:rPr>
          <w:rFonts w:ascii="Arial" w:hAnsi="Arial" w:cs="Arial"/>
          <w:sz w:val="22"/>
          <w:szCs w:val="22"/>
        </w:rPr>
        <w:t>(4), pp.e606-e614. Available at: https://www.thelancet.com/pdfs/journals/langlo/PIIS2214-109X(23)00006-2.pdf (Accessed: 24 January 2026).</w:t>
      </w:r>
    </w:p>
    <w:p w14:paraId="215A7E96" w14:textId="719CE993" w:rsidR="002164E4" w:rsidRPr="008F39D4" w:rsidRDefault="002164E4" w:rsidP="002164E4">
      <w:pPr>
        <w:spacing w:line="360" w:lineRule="auto"/>
        <w:jc w:val="both"/>
        <w:rPr>
          <w:rFonts w:ascii="Arial" w:hAnsi="Arial" w:cs="Arial"/>
          <w:sz w:val="22"/>
          <w:szCs w:val="22"/>
        </w:rPr>
      </w:pPr>
      <w:r w:rsidRPr="008F39D4">
        <w:rPr>
          <w:rFonts w:ascii="Arial" w:hAnsi="Arial" w:cs="Arial"/>
          <w:sz w:val="22"/>
          <w:szCs w:val="22"/>
        </w:rPr>
        <w:t>Brown, M., Altrichter, H., Shiyan, I., Rodríguez Conde, M.J., McNamara, G., Herzog-</w:t>
      </w:r>
      <w:proofErr w:type="spellStart"/>
      <w:r w:rsidRPr="008F39D4">
        <w:rPr>
          <w:rFonts w:ascii="Arial" w:hAnsi="Arial" w:cs="Arial"/>
          <w:sz w:val="22"/>
          <w:szCs w:val="22"/>
        </w:rPr>
        <w:t>Punzenberger</w:t>
      </w:r>
      <w:proofErr w:type="spellEnd"/>
      <w:r w:rsidRPr="008F39D4">
        <w:rPr>
          <w:rFonts w:ascii="Arial" w:hAnsi="Arial" w:cs="Arial"/>
          <w:sz w:val="22"/>
          <w:szCs w:val="22"/>
        </w:rPr>
        <w:t xml:space="preserve">, B., </w:t>
      </w:r>
      <w:proofErr w:type="spellStart"/>
      <w:r w:rsidRPr="008F39D4">
        <w:rPr>
          <w:rFonts w:ascii="Arial" w:hAnsi="Arial" w:cs="Arial"/>
          <w:sz w:val="22"/>
          <w:szCs w:val="22"/>
        </w:rPr>
        <w:t>Vorobyeva</w:t>
      </w:r>
      <w:proofErr w:type="spellEnd"/>
      <w:r w:rsidRPr="008F39D4">
        <w:rPr>
          <w:rFonts w:ascii="Arial" w:hAnsi="Arial" w:cs="Arial"/>
          <w:sz w:val="22"/>
          <w:szCs w:val="22"/>
        </w:rPr>
        <w:t xml:space="preserve">, I., </w:t>
      </w:r>
      <w:proofErr w:type="spellStart"/>
      <w:r w:rsidRPr="008F39D4">
        <w:rPr>
          <w:rFonts w:ascii="Arial" w:hAnsi="Arial" w:cs="Arial"/>
          <w:sz w:val="22"/>
          <w:szCs w:val="22"/>
        </w:rPr>
        <w:t>Vangrando</w:t>
      </w:r>
      <w:proofErr w:type="spellEnd"/>
      <w:r w:rsidRPr="008F39D4">
        <w:rPr>
          <w:rFonts w:ascii="Arial" w:hAnsi="Arial" w:cs="Arial"/>
          <w:sz w:val="22"/>
          <w:szCs w:val="22"/>
        </w:rPr>
        <w:t xml:space="preserve">, V., Gardezi, S., O’Hara, J. and </w:t>
      </w:r>
      <w:proofErr w:type="spellStart"/>
      <w:r w:rsidRPr="008F39D4">
        <w:rPr>
          <w:rFonts w:ascii="Arial" w:hAnsi="Arial" w:cs="Arial"/>
          <w:sz w:val="22"/>
          <w:szCs w:val="22"/>
        </w:rPr>
        <w:t>Postlbauer</w:t>
      </w:r>
      <w:proofErr w:type="spellEnd"/>
      <w:r w:rsidRPr="008F39D4">
        <w:rPr>
          <w:rFonts w:ascii="Arial" w:hAnsi="Arial" w:cs="Arial"/>
          <w:sz w:val="22"/>
          <w:szCs w:val="22"/>
        </w:rPr>
        <w:t>, A. (2022) ‘Challenges and opportunities for culturally responsive leadership in schools: Evidence from four European countries’, </w:t>
      </w:r>
      <w:r w:rsidRPr="008F39D4">
        <w:rPr>
          <w:rFonts w:ascii="Arial" w:hAnsi="Arial" w:cs="Arial"/>
          <w:i/>
          <w:iCs/>
          <w:sz w:val="22"/>
          <w:szCs w:val="22"/>
        </w:rPr>
        <w:t>Policy Futures in Education</w:t>
      </w:r>
      <w:r w:rsidRPr="008F39D4">
        <w:rPr>
          <w:rFonts w:ascii="Arial" w:hAnsi="Arial" w:cs="Arial"/>
          <w:sz w:val="22"/>
          <w:szCs w:val="22"/>
        </w:rPr>
        <w:t>, </w:t>
      </w:r>
      <w:r w:rsidRPr="008F39D4">
        <w:rPr>
          <w:rFonts w:ascii="Arial" w:hAnsi="Arial" w:cs="Arial"/>
          <w:i/>
          <w:iCs/>
          <w:sz w:val="22"/>
          <w:szCs w:val="22"/>
        </w:rPr>
        <w:t>20</w:t>
      </w:r>
      <w:r w:rsidRPr="008F39D4">
        <w:rPr>
          <w:rFonts w:ascii="Arial" w:hAnsi="Arial" w:cs="Arial"/>
          <w:sz w:val="22"/>
          <w:szCs w:val="22"/>
        </w:rPr>
        <w:t xml:space="preserve">(5), pp.580-607. https://journals.sagepub.com/doi/pdf/10.1177/14782103211040909 </w:t>
      </w:r>
    </w:p>
    <w:p w14:paraId="55DF930A" w14:textId="1E5A0186" w:rsidR="00D334FC" w:rsidRPr="008F39D4" w:rsidRDefault="00D334FC" w:rsidP="00D334FC">
      <w:pPr>
        <w:spacing w:line="360" w:lineRule="auto"/>
        <w:rPr>
          <w:rFonts w:ascii="Arial" w:hAnsi="Arial" w:cs="Arial"/>
          <w:sz w:val="22"/>
          <w:szCs w:val="22"/>
        </w:rPr>
      </w:pPr>
      <w:proofErr w:type="spellStart"/>
      <w:r w:rsidRPr="008F39D4">
        <w:rPr>
          <w:rFonts w:ascii="Arial" w:hAnsi="Arial" w:cs="Arial"/>
          <w:sz w:val="22"/>
          <w:szCs w:val="22"/>
        </w:rPr>
        <w:t>Carcassi</w:t>
      </w:r>
      <w:proofErr w:type="spellEnd"/>
      <w:r w:rsidRPr="008F39D4">
        <w:rPr>
          <w:rFonts w:ascii="Arial" w:hAnsi="Arial" w:cs="Arial"/>
          <w:sz w:val="22"/>
          <w:szCs w:val="22"/>
        </w:rPr>
        <w:t xml:space="preserve">, F. and </w:t>
      </w:r>
      <w:proofErr w:type="spellStart"/>
      <w:r w:rsidRPr="008F39D4">
        <w:rPr>
          <w:rFonts w:ascii="Arial" w:hAnsi="Arial" w:cs="Arial"/>
          <w:sz w:val="22"/>
          <w:szCs w:val="22"/>
        </w:rPr>
        <w:t>Sbardolini</w:t>
      </w:r>
      <w:proofErr w:type="spellEnd"/>
      <w:r w:rsidRPr="008F39D4">
        <w:rPr>
          <w:rFonts w:ascii="Arial" w:hAnsi="Arial" w:cs="Arial"/>
          <w:sz w:val="22"/>
          <w:szCs w:val="22"/>
        </w:rPr>
        <w:t>, G. (2023) ‘Assertion, denial, and the evolution of Boolean operators’, </w:t>
      </w:r>
      <w:r w:rsidRPr="008F39D4">
        <w:rPr>
          <w:rFonts w:ascii="Arial" w:hAnsi="Arial" w:cs="Arial"/>
          <w:i/>
          <w:iCs/>
          <w:sz w:val="22"/>
          <w:szCs w:val="22"/>
        </w:rPr>
        <w:t>Mind &amp; Language</w:t>
      </w:r>
      <w:r w:rsidRPr="008F39D4">
        <w:rPr>
          <w:rFonts w:ascii="Arial" w:hAnsi="Arial" w:cs="Arial"/>
          <w:sz w:val="22"/>
          <w:szCs w:val="22"/>
        </w:rPr>
        <w:t>, </w:t>
      </w:r>
      <w:r w:rsidRPr="008F39D4">
        <w:rPr>
          <w:rFonts w:ascii="Arial" w:hAnsi="Arial" w:cs="Arial"/>
          <w:i/>
          <w:iCs/>
          <w:sz w:val="22"/>
          <w:szCs w:val="22"/>
        </w:rPr>
        <w:t>38</w:t>
      </w:r>
      <w:r w:rsidRPr="008F39D4">
        <w:rPr>
          <w:rFonts w:ascii="Arial" w:hAnsi="Arial" w:cs="Arial"/>
          <w:sz w:val="22"/>
          <w:szCs w:val="22"/>
        </w:rPr>
        <w:t>(5), pp.1187-1207. Available at: https://onlinelibrary.wiley.com/doi/pdf/10.1111/mila.12448 (Accessed: 24 January 2026).</w:t>
      </w:r>
    </w:p>
    <w:p w14:paraId="7D18CA95" w14:textId="296BAD62"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Chen, R.J., Wang, J.J., Williamson, D.F., Chen, T.Y., </w:t>
      </w:r>
      <w:proofErr w:type="spellStart"/>
      <w:r w:rsidRPr="008F39D4">
        <w:rPr>
          <w:rFonts w:ascii="Arial" w:hAnsi="Arial" w:cs="Arial"/>
          <w:sz w:val="22"/>
          <w:szCs w:val="22"/>
        </w:rPr>
        <w:t>Lipkova</w:t>
      </w:r>
      <w:proofErr w:type="spellEnd"/>
      <w:r w:rsidRPr="008F39D4">
        <w:rPr>
          <w:rFonts w:ascii="Arial" w:hAnsi="Arial" w:cs="Arial"/>
          <w:sz w:val="22"/>
          <w:szCs w:val="22"/>
        </w:rPr>
        <w:t>, J., Lu, M.Y., Sahai, S. and Mahmood, F. (2023) ‘Algorithmic fairness in artificial intelligence for medicine and healthcare’, </w:t>
      </w:r>
      <w:r w:rsidRPr="008F39D4">
        <w:rPr>
          <w:rFonts w:ascii="Arial" w:hAnsi="Arial" w:cs="Arial"/>
          <w:i/>
          <w:iCs/>
          <w:sz w:val="22"/>
          <w:szCs w:val="22"/>
        </w:rPr>
        <w:t>Nature biomedical engineering</w:t>
      </w:r>
      <w:r w:rsidRPr="008F39D4">
        <w:rPr>
          <w:rFonts w:ascii="Arial" w:hAnsi="Arial" w:cs="Arial"/>
          <w:sz w:val="22"/>
          <w:szCs w:val="22"/>
        </w:rPr>
        <w:t>, </w:t>
      </w:r>
      <w:r w:rsidRPr="008F39D4">
        <w:rPr>
          <w:rFonts w:ascii="Arial" w:hAnsi="Arial" w:cs="Arial"/>
          <w:i/>
          <w:iCs/>
          <w:sz w:val="22"/>
          <w:szCs w:val="22"/>
        </w:rPr>
        <w:t>7</w:t>
      </w:r>
      <w:r w:rsidRPr="008F39D4">
        <w:rPr>
          <w:rFonts w:ascii="Arial" w:hAnsi="Arial" w:cs="Arial"/>
          <w:sz w:val="22"/>
          <w:szCs w:val="22"/>
        </w:rPr>
        <w:t>(6), pp.719-742. Available at: https://pmc.ncbi.nlm.nih.gov/articles/PMC10632090/pdf/nihms-1940941.pdf (Accessed: 24 January 2026).</w:t>
      </w:r>
    </w:p>
    <w:p w14:paraId="3B20C22C" w14:textId="5F371579"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Clement, S., Schauman, O., Graham, T., Maggioni, F., Evans-Lacko, S., </w:t>
      </w:r>
      <w:proofErr w:type="spellStart"/>
      <w:r w:rsidRPr="008F39D4">
        <w:rPr>
          <w:rFonts w:ascii="Arial" w:hAnsi="Arial" w:cs="Arial"/>
          <w:sz w:val="22"/>
          <w:szCs w:val="22"/>
        </w:rPr>
        <w:t>Bezborodovs</w:t>
      </w:r>
      <w:proofErr w:type="spellEnd"/>
      <w:r w:rsidRPr="008F39D4">
        <w:rPr>
          <w:rFonts w:ascii="Arial" w:hAnsi="Arial" w:cs="Arial"/>
          <w:sz w:val="22"/>
          <w:szCs w:val="22"/>
        </w:rPr>
        <w:t xml:space="preserve">, N., Morgan, C., </w:t>
      </w:r>
      <w:proofErr w:type="spellStart"/>
      <w:r w:rsidRPr="008F39D4">
        <w:rPr>
          <w:rFonts w:ascii="Arial" w:hAnsi="Arial" w:cs="Arial"/>
          <w:sz w:val="22"/>
          <w:szCs w:val="22"/>
        </w:rPr>
        <w:t>Rüsch</w:t>
      </w:r>
      <w:proofErr w:type="spellEnd"/>
      <w:r w:rsidRPr="008F39D4">
        <w:rPr>
          <w:rFonts w:ascii="Arial" w:hAnsi="Arial" w:cs="Arial"/>
          <w:sz w:val="22"/>
          <w:szCs w:val="22"/>
        </w:rPr>
        <w:t>, N., Brown, J.S. and Thornicroft, G. (2015) ‘What is the impact of mental health-related stigma on help-seeking? A systematic review of quantitative and qualitative studies’, </w:t>
      </w:r>
      <w:proofErr w:type="gramStart"/>
      <w:r w:rsidRPr="008F39D4">
        <w:rPr>
          <w:rFonts w:ascii="Arial" w:hAnsi="Arial" w:cs="Arial"/>
          <w:i/>
          <w:iCs/>
          <w:sz w:val="22"/>
          <w:szCs w:val="22"/>
        </w:rPr>
        <w:t>Psychological</w:t>
      </w:r>
      <w:proofErr w:type="gramEnd"/>
      <w:r w:rsidRPr="008F39D4">
        <w:rPr>
          <w:rFonts w:ascii="Arial" w:hAnsi="Arial" w:cs="Arial"/>
          <w:i/>
          <w:iCs/>
          <w:sz w:val="22"/>
          <w:szCs w:val="22"/>
        </w:rPr>
        <w:t xml:space="preserve"> medicine</w:t>
      </w:r>
      <w:r w:rsidRPr="008F39D4">
        <w:rPr>
          <w:rFonts w:ascii="Arial" w:hAnsi="Arial" w:cs="Arial"/>
          <w:sz w:val="22"/>
          <w:szCs w:val="22"/>
        </w:rPr>
        <w:t>, </w:t>
      </w:r>
      <w:r w:rsidRPr="008F39D4">
        <w:rPr>
          <w:rFonts w:ascii="Arial" w:hAnsi="Arial" w:cs="Arial"/>
          <w:i/>
          <w:iCs/>
          <w:sz w:val="22"/>
          <w:szCs w:val="22"/>
        </w:rPr>
        <w:t>45</w:t>
      </w:r>
      <w:r w:rsidRPr="008F39D4">
        <w:rPr>
          <w:rFonts w:ascii="Arial" w:hAnsi="Arial" w:cs="Arial"/>
          <w:sz w:val="22"/>
          <w:szCs w:val="22"/>
        </w:rPr>
        <w:t>(1), pp.11-27. Available at: https://www.researchgate.net/profile/Sarah-Clement-6/publication/260380678_What_is_the_impact_of_mental_health-related_stigma_on_help-seeking_A_systematic_review_of_quantitative_and_qualitative_studies/links/02e7e531a0ddc01982000000/What-is-the-impact-of-mental-health-related-stigma-on-help-seeking-A-systematic-review-of-quantitative-and-qualitative-studies.pdf (Accessed: 26 February 2026).</w:t>
      </w:r>
    </w:p>
    <w:p w14:paraId="72C5D830" w14:textId="2FC13FC3"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Costello, C. and Foster, M. (2022) ‘(Some) refugees welcome: When is differentiating between </w:t>
      </w:r>
      <w:proofErr w:type="gramStart"/>
      <w:r w:rsidRPr="008F39D4">
        <w:rPr>
          <w:rFonts w:ascii="Arial" w:hAnsi="Arial" w:cs="Arial"/>
          <w:sz w:val="22"/>
          <w:szCs w:val="22"/>
        </w:rPr>
        <w:t>refugees</w:t>
      </w:r>
      <w:proofErr w:type="gramEnd"/>
      <w:r w:rsidRPr="008F39D4">
        <w:rPr>
          <w:rFonts w:ascii="Arial" w:hAnsi="Arial" w:cs="Arial"/>
          <w:sz w:val="22"/>
          <w:szCs w:val="22"/>
        </w:rPr>
        <w:t xml:space="preserve"> unlawful discrimination?’, </w:t>
      </w:r>
      <w:r w:rsidRPr="008F39D4">
        <w:rPr>
          <w:rFonts w:ascii="Arial" w:hAnsi="Arial" w:cs="Arial"/>
          <w:i/>
          <w:iCs/>
          <w:sz w:val="22"/>
          <w:szCs w:val="22"/>
        </w:rPr>
        <w:t>International Journal of Discrimination and the Law</w:t>
      </w:r>
      <w:r w:rsidRPr="008F39D4">
        <w:rPr>
          <w:rFonts w:ascii="Arial" w:hAnsi="Arial" w:cs="Arial"/>
          <w:sz w:val="22"/>
          <w:szCs w:val="22"/>
        </w:rPr>
        <w:t>, </w:t>
      </w:r>
      <w:r w:rsidRPr="008F39D4">
        <w:rPr>
          <w:rFonts w:ascii="Arial" w:hAnsi="Arial" w:cs="Arial"/>
          <w:i/>
          <w:iCs/>
          <w:sz w:val="22"/>
          <w:szCs w:val="22"/>
        </w:rPr>
        <w:t>22</w:t>
      </w:r>
      <w:r w:rsidRPr="008F39D4">
        <w:rPr>
          <w:rFonts w:ascii="Arial" w:hAnsi="Arial" w:cs="Arial"/>
          <w:sz w:val="22"/>
          <w:szCs w:val="22"/>
        </w:rPr>
        <w:t>(3), pp.244-280. Available at: https://journals.sagepub.com/doi/pdf/10.1177/13582291221116476 (Accessed: 24 January 2026).</w:t>
      </w:r>
    </w:p>
    <w:p w14:paraId="2B03B136" w14:textId="0B031DEB"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lastRenderedPageBreak/>
        <w:t>Dadswell, A. and Bungay, H. (2025) ‘Social prescribing of cultural opportunities to support health and wellbeing: the importance of language, community engagement, and inclusion in developing local approaches’, </w:t>
      </w:r>
      <w:r w:rsidRPr="008F39D4">
        <w:rPr>
          <w:rFonts w:ascii="Arial" w:hAnsi="Arial" w:cs="Arial"/>
          <w:i/>
          <w:iCs/>
          <w:sz w:val="22"/>
          <w:szCs w:val="22"/>
        </w:rPr>
        <w:t>BMC Primary Care</w:t>
      </w:r>
      <w:r w:rsidRPr="008F39D4">
        <w:rPr>
          <w:rFonts w:ascii="Arial" w:hAnsi="Arial" w:cs="Arial"/>
          <w:sz w:val="22"/>
          <w:szCs w:val="22"/>
        </w:rPr>
        <w:t>, </w:t>
      </w:r>
      <w:r w:rsidRPr="008F39D4">
        <w:rPr>
          <w:rFonts w:ascii="Arial" w:hAnsi="Arial" w:cs="Arial"/>
          <w:i/>
          <w:iCs/>
          <w:sz w:val="22"/>
          <w:szCs w:val="22"/>
        </w:rPr>
        <w:t>26</w:t>
      </w:r>
      <w:r w:rsidRPr="008F39D4">
        <w:rPr>
          <w:rFonts w:ascii="Arial" w:hAnsi="Arial" w:cs="Arial"/>
          <w:sz w:val="22"/>
          <w:szCs w:val="22"/>
        </w:rPr>
        <w:t xml:space="preserve">(1), pp.1-12. https://doi.org/10.1186/s12875-025-02835-9 </w:t>
      </w:r>
    </w:p>
    <w:p w14:paraId="47B21D30" w14:textId="5BD4ABAF"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Daragmeh, A., Sági, J. and Zéman, Z. (2021) ‘Continuous intention to use e-wallet in the context of the covid-19 pandemic: Integrating the health belief model (</w:t>
      </w:r>
      <w:proofErr w:type="spellStart"/>
      <w:r w:rsidRPr="008F39D4">
        <w:rPr>
          <w:rFonts w:ascii="Arial" w:hAnsi="Arial" w:cs="Arial"/>
          <w:sz w:val="22"/>
          <w:szCs w:val="22"/>
        </w:rPr>
        <w:t>hbm</w:t>
      </w:r>
      <w:proofErr w:type="spellEnd"/>
      <w:r w:rsidRPr="008F39D4">
        <w:rPr>
          <w:rFonts w:ascii="Arial" w:hAnsi="Arial" w:cs="Arial"/>
          <w:sz w:val="22"/>
          <w:szCs w:val="22"/>
        </w:rPr>
        <w:t>) and technology continuous theory (</w:t>
      </w:r>
      <w:proofErr w:type="spellStart"/>
      <w:r w:rsidRPr="008F39D4">
        <w:rPr>
          <w:rFonts w:ascii="Arial" w:hAnsi="Arial" w:cs="Arial"/>
          <w:sz w:val="22"/>
          <w:szCs w:val="22"/>
        </w:rPr>
        <w:t>tct</w:t>
      </w:r>
      <w:proofErr w:type="spellEnd"/>
      <w:r w:rsidRPr="008F39D4">
        <w:rPr>
          <w:rFonts w:ascii="Arial" w:hAnsi="Arial" w:cs="Arial"/>
          <w:sz w:val="22"/>
          <w:szCs w:val="22"/>
        </w:rPr>
        <w:t>)’, </w:t>
      </w:r>
      <w:r w:rsidRPr="008F39D4">
        <w:rPr>
          <w:rFonts w:ascii="Arial" w:hAnsi="Arial" w:cs="Arial"/>
          <w:i/>
          <w:iCs/>
          <w:sz w:val="22"/>
          <w:szCs w:val="22"/>
        </w:rPr>
        <w:t>Journal of open innovation: technology, market, and complexity</w:t>
      </w:r>
      <w:r w:rsidRPr="008F39D4">
        <w:rPr>
          <w:rFonts w:ascii="Arial" w:hAnsi="Arial" w:cs="Arial"/>
          <w:sz w:val="22"/>
          <w:szCs w:val="22"/>
        </w:rPr>
        <w:t>, </w:t>
      </w:r>
      <w:r w:rsidRPr="008F39D4">
        <w:rPr>
          <w:rFonts w:ascii="Arial" w:hAnsi="Arial" w:cs="Arial"/>
          <w:i/>
          <w:iCs/>
          <w:sz w:val="22"/>
          <w:szCs w:val="22"/>
        </w:rPr>
        <w:t>7</w:t>
      </w:r>
      <w:r w:rsidRPr="008F39D4">
        <w:rPr>
          <w:rFonts w:ascii="Arial" w:hAnsi="Arial" w:cs="Arial"/>
          <w:sz w:val="22"/>
          <w:szCs w:val="22"/>
        </w:rPr>
        <w:t>(2), pp.1-23. Available at: https://www.sciencedirect.com/science/article/pii/S2199853122009015 (Accessed: 24 January 2026).</w:t>
      </w:r>
    </w:p>
    <w:p w14:paraId="17169999" w14:textId="796D7ABE"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Delon, C., Brown, K.F., Payne, N.W., </w:t>
      </w:r>
      <w:proofErr w:type="spellStart"/>
      <w:r w:rsidRPr="008F39D4">
        <w:rPr>
          <w:rFonts w:ascii="Arial" w:hAnsi="Arial" w:cs="Arial"/>
          <w:sz w:val="22"/>
          <w:szCs w:val="22"/>
        </w:rPr>
        <w:t>Kotrotsios</w:t>
      </w:r>
      <w:proofErr w:type="spellEnd"/>
      <w:r w:rsidRPr="008F39D4">
        <w:rPr>
          <w:rFonts w:ascii="Arial" w:hAnsi="Arial" w:cs="Arial"/>
          <w:sz w:val="22"/>
          <w:szCs w:val="22"/>
        </w:rPr>
        <w:t>, Y., Vernon, S. and Shelton, J. (2022) ‘Differences in cancer incidence by broad ethnic group in England, 2013–2017’, </w:t>
      </w:r>
      <w:r w:rsidRPr="008F39D4">
        <w:rPr>
          <w:rFonts w:ascii="Arial" w:hAnsi="Arial" w:cs="Arial"/>
          <w:i/>
          <w:iCs/>
          <w:sz w:val="22"/>
          <w:szCs w:val="22"/>
        </w:rPr>
        <w:t>British Journal of Cancer</w:t>
      </w:r>
      <w:r w:rsidRPr="008F39D4">
        <w:rPr>
          <w:rFonts w:ascii="Arial" w:hAnsi="Arial" w:cs="Arial"/>
          <w:sz w:val="22"/>
          <w:szCs w:val="22"/>
        </w:rPr>
        <w:t>, </w:t>
      </w:r>
      <w:r w:rsidRPr="008F39D4">
        <w:rPr>
          <w:rFonts w:ascii="Arial" w:hAnsi="Arial" w:cs="Arial"/>
          <w:i/>
          <w:iCs/>
          <w:sz w:val="22"/>
          <w:szCs w:val="22"/>
        </w:rPr>
        <w:t>126</w:t>
      </w:r>
      <w:r w:rsidRPr="008F39D4">
        <w:rPr>
          <w:rFonts w:ascii="Arial" w:hAnsi="Arial" w:cs="Arial"/>
          <w:sz w:val="22"/>
          <w:szCs w:val="22"/>
        </w:rPr>
        <w:t>(12), pp.1765-1773. Available at: https://www.nature.com/articles/s41416-022-01718-5.pdf (Accessed: 24 January 2026).</w:t>
      </w:r>
    </w:p>
    <w:p w14:paraId="590F5048" w14:textId="4E93DF4E"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Desai, M., Mehta, R. and Rana, D. (2023) ‘</w:t>
      </w:r>
      <w:proofErr w:type="spellStart"/>
      <w:r w:rsidRPr="008F39D4">
        <w:rPr>
          <w:rFonts w:ascii="Arial" w:hAnsi="Arial" w:cs="Arial"/>
          <w:sz w:val="22"/>
          <w:szCs w:val="22"/>
        </w:rPr>
        <w:t>Analyzing</w:t>
      </w:r>
      <w:proofErr w:type="spellEnd"/>
      <w:r w:rsidRPr="008F39D4">
        <w:rPr>
          <w:rFonts w:ascii="Arial" w:hAnsi="Arial" w:cs="Arial"/>
          <w:sz w:val="22"/>
          <w:szCs w:val="22"/>
        </w:rPr>
        <w:t xml:space="preserve"> the Impact of Social Collaborations on Influence Identification in Scientific Literature Analytic: An Analysis on ResearchGate and Academia’, </w:t>
      </w:r>
      <w:r w:rsidRPr="008F39D4">
        <w:rPr>
          <w:rFonts w:ascii="Arial" w:hAnsi="Arial" w:cs="Arial"/>
          <w:i/>
          <w:iCs/>
          <w:sz w:val="22"/>
          <w:szCs w:val="22"/>
        </w:rPr>
        <w:t>International Journal of Information Science and Management (IJISM)</w:t>
      </w:r>
      <w:r w:rsidRPr="008F39D4">
        <w:rPr>
          <w:rFonts w:ascii="Arial" w:hAnsi="Arial" w:cs="Arial"/>
          <w:sz w:val="22"/>
          <w:szCs w:val="22"/>
        </w:rPr>
        <w:t>, </w:t>
      </w:r>
      <w:r w:rsidRPr="008F39D4">
        <w:rPr>
          <w:rFonts w:ascii="Arial" w:hAnsi="Arial" w:cs="Arial"/>
          <w:i/>
          <w:iCs/>
          <w:sz w:val="22"/>
          <w:szCs w:val="22"/>
        </w:rPr>
        <w:t>21</w:t>
      </w:r>
      <w:r w:rsidRPr="008F39D4">
        <w:rPr>
          <w:rFonts w:ascii="Arial" w:hAnsi="Arial" w:cs="Arial"/>
          <w:sz w:val="22"/>
          <w:szCs w:val="22"/>
        </w:rPr>
        <w:t>(4), pp.23-38. Available at: https://www.researchgate.net/profile/Mitali-Desai/publication/378213308_Analyzing_the_Impact_of_Social_Collaborations_on_Influence_Identification_in_Scientific_Literature_Analytic_An_Analysis_on_ResearchGate_and_Academia/links/68a7ec4ed9261f6f51ae147a/Analyzing-the-Impact-of-Social-Collaborations-on-Influence-Identification-in-Scientific-Literature-Analytic-An-Analysis-on-ResearchGate-and-Academia.pdf (Accessed: 24 January 2026).</w:t>
      </w:r>
    </w:p>
    <w:p w14:paraId="3B87C1DC" w14:textId="38B67653"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Drakeford, O.M. and </w:t>
      </w:r>
      <w:proofErr w:type="spellStart"/>
      <w:r w:rsidRPr="008F39D4">
        <w:rPr>
          <w:rFonts w:ascii="Arial" w:hAnsi="Arial" w:cs="Arial"/>
          <w:sz w:val="22"/>
          <w:szCs w:val="22"/>
        </w:rPr>
        <w:t>Majebi</w:t>
      </w:r>
      <w:proofErr w:type="spellEnd"/>
      <w:r w:rsidRPr="008F39D4">
        <w:rPr>
          <w:rFonts w:ascii="Arial" w:hAnsi="Arial" w:cs="Arial"/>
          <w:sz w:val="22"/>
          <w:szCs w:val="22"/>
        </w:rPr>
        <w:t>, N.L. (2024) ‘Social work, analytics, and public health in autism: A conceptual approach to enhancing community health outcomes in US underserved areas’, </w:t>
      </w:r>
      <w:r w:rsidRPr="008F39D4">
        <w:rPr>
          <w:rFonts w:ascii="Arial" w:hAnsi="Arial" w:cs="Arial"/>
          <w:i/>
          <w:iCs/>
          <w:sz w:val="22"/>
          <w:szCs w:val="22"/>
        </w:rPr>
        <w:t>International Journal of Frontiers in Science and Technology Research</w:t>
      </w:r>
      <w:r w:rsidRPr="008F39D4">
        <w:rPr>
          <w:rFonts w:ascii="Arial" w:hAnsi="Arial" w:cs="Arial"/>
          <w:sz w:val="22"/>
          <w:szCs w:val="22"/>
        </w:rPr>
        <w:t>, </w:t>
      </w:r>
      <w:r w:rsidRPr="008F39D4">
        <w:rPr>
          <w:rFonts w:ascii="Arial" w:hAnsi="Arial" w:cs="Arial"/>
          <w:i/>
          <w:iCs/>
          <w:sz w:val="22"/>
          <w:szCs w:val="22"/>
        </w:rPr>
        <w:t>7</w:t>
      </w:r>
      <w:r w:rsidRPr="008F39D4">
        <w:rPr>
          <w:rFonts w:ascii="Arial" w:hAnsi="Arial" w:cs="Arial"/>
          <w:sz w:val="22"/>
          <w:szCs w:val="22"/>
        </w:rPr>
        <w:t>(2), pp.100-108. Available at: https://www.theparallellives.net/wp-content/uploads/2025/02/Social-work-analytics-and-public-health-in-autism-A-conceptual-approach-to-enhancing-community-health-outcomes-in-US-underserved-areas.pdf (Accessed: 24 January 2026).</w:t>
      </w:r>
    </w:p>
    <w:p w14:paraId="6224D762" w14:textId="797999E0"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Farooqi, A., </w:t>
      </w:r>
      <w:proofErr w:type="spellStart"/>
      <w:r w:rsidRPr="008F39D4">
        <w:rPr>
          <w:rFonts w:ascii="Arial" w:hAnsi="Arial" w:cs="Arial"/>
          <w:sz w:val="22"/>
          <w:szCs w:val="22"/>
        </w:rPr>
        <w:t>Jutlla</w:t>
      </w:r>
      <w:proofErr w:type="spellEnd"/>
      <w:r w:rsidRPr="008F39D4">
        <w:rPr>
          <w:rFonts w:ascii="Arial" w:hAnsi="Arial" w:cs="Arial"/>
          <w:sz w:val="22"/>
          <w:szCs w:val="22"/>
        </w:rPr>
        <w:t>, K., Raghavan, R., Wilson, A., Uddin, M.S., Akroyd, C., Patel, N., Campbell-Morris, P.P. and Farooqi, A.T. (2022) ‘Developing a toolkit for increasing the participation of black, Asian and minority ethnic communities in health and social care research’, </w:t>
      </w:r>
      <w:r w:rsidRPr="008F39D4">
        <w:rPr>
          <w:rFonts w:ascii="Arial" w:hAnsi="Arial" w:cs="Arial"/>
          <w:i/>
          <w:iCs/>
          <w:sz w:val="22"/>
          <w:szCs w:val="22"/>
        </w:rPr>
        <w:t>BMC medical research methodology</w:t>
      </w:r>
      <w:r w:rsidRPr="008F39D4">
        <w:rPr>
          <w:rFonts w:ascii="Arial" w:hAnsi="Arial" w:cs="Arial"/>
          <w:sz w:val="22"/>
          <w:szCs w:val="22"/>
        </w:rPr>
        <w:t>, </w:t>
      </w:r>
      <w:r w:rsidRPr="008F39D4">
        <w:rPr>
          <w:rFonts w:ascii="Arial" w:hAnsi="Arial" w:cs="Arial"/>
          <w:i/>
          <w:iCs/>
          <w:sz w:val="22"/>
          <w:szCs w:val="22"/>
        </w:rPr>
        <w:t>22</w:t>
      </w:r>
      <w:r w:rsidRPr="008F39D4">
        <w:rPr>
          <w:rFonts w:ascii="Arial" w:hAnsi="Arial" w:cs="Arial"/>
          <w:sz w:val="22"/>
          <w:szCs w:val="22"/>
        </w:rPr>
        <w:t>(1), pp.1-16. Available at: https://link.springer.com/content/pdf/10.1186/s12874-021-01489-2.pdf (Accessed: 24 January 2026).</w:t>
      </w:r>
    </w:p>
    <w:p w14:paraId="3A67A8DD" w14:textId="25E18C51"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lastRenderedPageBreak/>
        <w:t>Fu, J. and Wen, L. (2023) ‘Impacts of Quaternary glaciation, geological history and geography on animal species history in continental East Asia: A phylogeographic review’, </w:t>
      </w:r>
      <w:r w:rsidRPr="008F39D4">
        <w:rPr>
          <w:rFonts w:ascii="Arial" w:hAnsi="Arial" w:cs="Arial"/>
          <w:i/>
          <w:iCs/>
          <w:sz w:val="22"/>
          <w:szCs w:val="22"/>
        </w:rPr>
        <w:t>Molecular Ecology</w:t>
      </w:r>
      <w:r w:rsidRPr="008F39D4">
        <w:rPr>
          <w:rFonts w:ascii="Arial" w:hAnsi="Arial" w:cs="Arial"/>
          <w:sz w:val="22"/>
          <w:szCs w:val="22"/>
        </w:rPr>
        <w:t>, </w:t>
      </w:r>
      <w:r w:rsidRPr="008F39D4">
        <w:rPr>
          <w:rFonts w:ascii="Arial" w:hAnsi="Arial" w:cs="Arial"/>
          <w:i/>
          <w:iCs/>
          <w:sz w:val="22"/>
          <w:szCs w:val="22"/>
        </w:rPr>
        <w:t>32</w:t>
      </w:r>
      <w:r w:rsidRPr="008F39D4">
        <w:rPr>
          <w:rFonts w:ascii="Arial" w:hAnsi="Arial" w:cs="Arial"/>
          <w:sz w:val="22"/>
          <w:szCs w:val="22"/>
        </w:rPr>
        <w:t>(16), pp.4497-4514. Available at: https://onlinelibrary.wiley.com/doi/pdfdirect/10.1111/mec.17053 (Accessed: 24 January 2026).</w:t>
      </w:r>
    </w:p>
    <w:p w14:paraId="35C5ED18" w14:textId="54485F43"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Georgeou, N., </w:t>
      </w:r>
      <w:proofErr w:type="spellStart"/>
      <w:r w:rsidRPr="008F39D4">
        <w:rPr>
          <w:rFonts w:ascii="Arial" w:hAnsi="Arial" w:cs="Arial"/>
          <w:sz w:val="22"/>
          <w:szCs w:val="22"/>
        </w:rPr>
        <w:t>Schismenos</w:t>
      </w:r>
      <w:proofErr w:type="spellEnd"/>
      <w:r w:rsidRPr="008F39D4">
        <w:rPr>
          <w:rFonts w:ascii="Arial" w:hAnsi="Arial" w:cs="Arial"/>
          <w:sz w:val="22"/>
          <w:szCs w:val="22"/>
        </w:rPr>
        <w:t xml:space="preserve">, S., Wali, N., Mackay, K. and </w:t>
      </w:r>
      <w:proofErr w:type="spellStart"/>
      <w:r w:rsidRPr="008F39D4">
        <w:rPr>
          <w:rFonts w:ascii="Arial" w:hAnsi="Arial" w:cs="Arial"/>
          <w:sz w:val="22"/>
          <w:szCs w:val="22"/>
        </w:rPr>
        <w:t>Moraitakis</w:t>
      </w:r>
      <w:proofErr w:type="spellEnd"/>
      <w:r w:rsidRPr="008F39D4">
        <w:rPr>
          <w:rFonts w:ascii="Arial" w:hAnsi="Arial" w:cs="Arial"/>
          <w:sz w:val="22"/>
          <w:szCs w:val="22"/>
        </w:rPr>
        <w:t>, E. (2023) ‘A scoping review of ageing experiences among culturally and linguistically diverse people in Australia: toward better ageing policy and cultural well-being for migrant and refugee adults’, </w:t>
      </w:r>
      <w:r w:rsidRPr="008F39D4">
        <w:rPr>
          <w:rFonts w:ascii="Arial" w:hAnsi="Arial" w:cs="Arial"/>
          <w:i/>
          <w:iCs/>
          <w:sz w:val="22"/>
          <w:szCs w:val="22"/>
        </w:rPr>
        <w:t>The Gerontologist</w:t>
      </w:r>
      <w:r w:rsidRPr="008F39D4">
        <w:rPr>
          <w:rFonts w:ascii="Arial" w:hAnsi="Arial" w:cs="Arial"/>
          <w:sz w:val="22"/>
          <w:szCs w:val="22"/>
        </w:rPr>
        <w:t>, </w:t>
      </w:r>
      <w:r w:rsidRPr="008F39D4">
        <w:rPr>
          <w:rFonts w:ascii="Arial" w:hAnsi="Arial" w:cs="Arial"/>
          <w:i/>
          <w:iCs/>
          <w:sz w:val="22"/>
          <w:szCs w:val="22"/>
        </w:rPr>
        <w:t>63</w:t>
      </w:r>
      <w:r w:rsidRPr="008F39D4">
        <w:rPr>
          <w:rFonts w:ascii="Arial" w:hAnsi="Arial" w:cs="Arial"/>
          <w:sz w:val="22"/>
          <w:szCs w:val="22"/>
        </w:rPr>
        <w:t>(1), pp.182-199. Available at: https://academic.oup.com/gerontologist/article-pdf/63/1/182/48845712/gnab191.pdf (Accessed: 24 January 2026).</w:t>
      </w:r>
    </w:p>
    <w:p w14:paraId="05257E26" w14:textId="56DE429A" w:rsidR="00D334FC" w:rsidRPr="008F39D4" w:rsidRDefault="00D334FC" w:rsidP="00D334FC">
      <w:pPr>
        <w:spacing w:line="360" w:lineRule="auto"/>
        <w:rPr>
          <w:rFonts w:ascii="Arial" w:hAnsi="Arial" w:cs="Arial"/>
          <w:sz w:val="22"/>
          <w:szCs w:val="22"/>
        </w:rPr>
      </w:pPr>
      <w:proofErr w:type="spellStart"/>
      <w:r w:rsidRPr="008F39D4">
        <w:rPr>
          <w:rFonts w:ascii="Arial" w:hAnsi="Arial" w:cs="Arial"/>
          <w:sz w:val="22"/>
          <w:szCs w:val="22"/>
        </w:rPr>
        <w:t>Gopichandran</w:t>
      </w:r>
      <w:proofErr w:type="spellEnd"/>
      <w:r w:rsidRPr="008F39D4">
        <w:rPr>
          <w:rFonts w:ascii="Arial" w:hAnsi="Arial" w:cs="Arial"/>
          <w:sz w:val="22"/>
          <w:szCs w:val="22"/>
        </w:rPr>
        <w:t>, V. and Subramaniam, S. (2021) ‘A qualitative inquiry into stigma among patients with Covid-19 in Chennai, India’, </w:t>
      </w:r>
      <w:r w:rsidRPr="008F39D4">
        <w:rPr>
          <w:rFonts w:ascii="Arial" w:hAnsi="Arial" w:cs="Arial"/>
          <w:i/>
          <w:iCs/>
          <w:sz w:val="22"/>
          <w:szCs w:val="22"/>
        </w:rPr>
        <w:t>Indian J Med Ethics</w:t>
      </w:r>
      <w:r w:rsidRPr="008F39D4">
        <w:rPr>
          <w:rFonts w:ascii="Arial" w:hAnsi="Arial" w:cs="Arial"/>
          <w:sz w:val="22"/>
          <w:szCs w:val="22"/>
        </w:rPr>
        <w:t>, </w:t>
      </w:r>
      <w:r w:rsidRPr="008F39D4">
        <w:rPr>
          <w:rFonts w:ascii="Arial" w:hAnsi="Arial" w:cs="Arial"/>
          <w:i/>
          <w:iCs/>
          <w:sz w:val="22"/>
          <w:szCs w:val="22"/>
        </w:rPr>
        <w:t>6</w:t>
      </w:r>
      <w:r w:rsidRPr="008F39D4">
        <w:rPr>
          <w:rFonts w:ascii="Arial" w:hAnsi="Arial" w:cs="Arial"/>
          <w:sz w:val="22"/>
          <w:szCs w:val="22"/>
        </w:rPr>
        <w:t>(3), pp.1-21. Available at: https://www.researchgate.net/profile/Sudharshini-Subramaniam-2/publication/349746307_A_qualitative_inquiry_into_stigma_among_patients_with_Covid-19_in_Chennai_India/links/63503b6a96e83c26eb37c438/A-qualitative-inquiry-into-stigma-among-patients-with-Covid-19-in-Chennai-India.pdf (Accessed: 24 January 2026).</w:t>
      </w:r>
    </w:p>
    <w:p w14:paraId="0A6535C6" w14:textId="580EBFC1"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Granjeiro, J.M., Cury, A.A.D.B., Cury, J.A., Bueno, M., Sousa-Neto, M.D. and Estrela, C. (2025) ‘The future of scientific writing: AI tools, benefits, and ethical implications’, </w:t>
      </w:r>
      <w:r w:rsidRPr="008F39D4">
        <w:rPr>
          <w:rFonts w:ascii="Arial" w:hAnsi="Arial" w:cs="Arial"/>
          <w:i/>
          <w:iCs/>
          <w:sz w:val="22"/>
          <w:szCs w:val="22"/>
        </w:rPr>
        <w:t>Brazilian Dental Journal</w:t>
      </w:r>
      <w:r w:rsidRPr="008F39D4">
        <w:rPr>
          <w:rFonts w:ascii="Arial" w:hAnsi="Arial" w:cs="Arial"/>
          <w:sz w:val="22"/>
          <w:szCs w:val="22"/>
        </w:rPr>
        <w:t>, </w:t>
      </w:r>
      <w:r w:rsidRPr="008F39D4">
        <w:rPr>
          <w:rFonts w:ascii="Arial" w:hAnsi="Arial" w:cs="Arial"/>
          <w:i/>
          <w:iCs/>
          <w:sz w:val="22"/>
          <w:szCs w:val="22"/>
        </w:rPr>
        <w:t>36</w:t>
      </w:r>
      <w:r w:rsidRPr="008F39D4">
        <w:rPr>
          <w:rFonts w:ascii="Arial" w:hAnsi="Arial" w:cs="Arial"/>
          <w:sz w:val="22"/>
          <w:szCs w:val="22"/>
        </w:rPr>
        <w:t>, pp.1-7. Available at: https://www.scielo.br/j/bdj/a/dHPhjdcScbMst6mNCvWt9sf/?format=pdf&amp;lang=en (Accessed: 24 January 2026).</w:t>
      </w:r>
    </w:p>
    <w:p w14:paraId="67CCA8B8" w14:textId="30751F5C"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Hazzan, A.A., Dauenhauer, J., Follansbee, P., Hazzan, J.O., Allen, K. and </w:t>
      </w:r>
      <w:proofErr w:type="spellStart"/>
      <w:r w:rsidRPr="008F39D4">
        <w:rPr>
          <w:rFonts w:ascii="Arial" w:hAnsi="Arial" w:cs="Arial"/>
          <w:sz w:val="22"/>
          <w:szCs w:val="22"/>
        </w:rPr>
        <w:t>Omobepade</w:t>
      </w:r>
      <w:proofErr w:type="spellEnd"/>
      <w:r w:rsidRPr="008F39D4">
        <w:rPr>
          <w:rFonts w:ascii="Arial" w:hAnsi="Arial" w:cs="Arial"/>
          <w:sz w:val="22"/>
          <w:szCs w:val="22"/>
        </w:rPr>
        <w:t>, I. (2022) ‘Family caregiver quality of life and the care provided to older people living with dementia: qualitative analyses of caregiver interviews’, </w:t>
      </w:r>
      <w:r w:rsidRPr="008F39D4">
        <w:rPr>
          <w:rFonts w:ascii="Arial" w:hAnsi="Arial" w:cs="Arial"/>
          <w:i/>
          <w:iCs/>
          <w:sz w:val="22"/>
          <w:szCs w:val="22"/>
        </w:rPr>
        <w:t>BMC geriatrics</w:t>
      </w:r>
      <w:r w:rsidRPr="008F39D4">
        <w:rPr>
          <w:rFonts w:ascii="Arial" w:hAnsi="Arial" w:cs="Arial"/>
          <w:sz w:val="22"/>
          <w:szCs w:val="22"/>
        </w:rPr>
        <w:t>, </w:t>
      </w:r>
      <w:r w:rsidRPr="008F39D4">
        <w:rPr>
          <w:rFonts w:ascii="Arial" w:hAnsi="Arial" w:cs="Arial"/>
          <w:i/>
          <w:iCs/>
          <w:sz w:val="22"/>
          <w:szCs w:val="22"/>
        </w:rPr>
        <w:t>22</w:t>
      </w:r>
      <w:r w:rsidRPr="008F39D4">
        <w:rPr>
          <w:rFonts w:ascii="Arial" w:hAnsi="Arial" w:cs="Arial"/>
          <w:sz w:val="22"/>
          <w:szCs w:val="22"/>
        </w:rPr>
        <w:t>(1), pp.1-11. https://doi.org/10.1186/s12877-022-02787-0</w:t>
      </w:r>
    </w:p>
    <w:p w14:paraId="31719919" w14:textId="0CC5CA67"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He, A.J. and Tang, V.F. (2021) ‘Integration of health services for the elderly in Asia: A scoping review of Hong Kong, Singapore, Malaysia, Indonesia’, </w:t>
      </w:r>
      <w:r w:rsidRPr="008F39D4">
        <w:rPr>
          <w:rFonts w:ascii="Arial" w:hAnsi="Arial" w:cs="Arial"/>
          <w:i/>
          <w:iCs/>
          <w:sz w:val="22"/>
          <w:szCs w:val="22"/>
        </w:rPr>
        <w:t>Health Policy</w:t>
      </w:r>
      <w:r w:rsidRPr="008F39D4">
        <w:rPr>
          <w:rFonts w:ascii="Arial" w:hAnsi="Arial" w:cs="Arial"/>
          <w:sz w:val="22"/>
          <w:szCs w:val="22"/>
        </w:rPr>
        <w:t>, </w:t>
      </w:r>
      <w:r w:rsidRPr="008F39D4">
        <w:rPr>
          <w:rFonts w:ascii="Arial" w:hAnsi="Arial" w:cs="Arial"/>
          <w:i/>
          <w:iCs/>
          <w:sz w:val="22"/>
          <w:szCs w:val="22"/>
        </w:rPr>
        <w:t>125</w:t>
      </w:r>
      <w:r w:rsidRPr="008F39D4">
        <w:rPr>
          <w:rFonts w:ascii="Arial" w:hAnsi="Arial" w:cs="Arial"/>
          <w:sz w:val="22"/>
          <w:szCs w:val="22"/>
        </w:rPr>
        <w:t>(3), pp.351-362. Available at: https://www.sciencedirect.com/science/article/pii/S0168851021000075 (Accessed: 24 January 2026).</w:t>
      </w:r>
    </w:p>
    <w:p w14:paraId="6E0B3064" w14:textId="66AA224C"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Holden, K.B., McGregor, B.S., Blanks, S.H. and Mahaffey, C. (2012) ‘Psychosocial, socio-cultural, and environmental influences on mental health help-seeking among </w:t>
      </w:r>
      <w:proofErr w:type="gramStart"/>
      <w:r w:rsidRPr="008F39D4">
        <w:rPr>
          <w:rFonts w:ascii="Arial" w:hAnsi="Arial" w:cs="Arial"/>
          <w:sz w:val="22"/>
          <w:szCs w:val="22"/>
        </w:rPr>
        <w:t>African-American</w:t>
      </w:r>
      <w:proofErr w:type="gramEnd"/>
      <w:r w:rsidRPr="008F39D4">
        <w:rPr>
          <w:rFonts w:ascii="Arial" w:hAnsi="Arial" w:cs="Arial"/>
          <w:sz w:val="22"/>
          <w:szCs w:val="22"/>
        </w:rPr>
        <w:t xml:space="preserve"> men’, </w:t>
      </w:r>
      <w:r w:rsidRPr="008F39D4">
        <w:rPr>
          <w:rFonts w:ascii="Arial" w:hAnsi="Arial" w:cs="Arial"/>
          <w:i/>
          <w:iCs/>
          <w:sz w:val="22"/>
          <w:szCs w:val="22"/>
        </w:rPr>
        <w:t>Journal of men's health</w:t>
      </w:r>
      <w:r w:rsidRPr="008F39D4">
        <w:rPr>
          <w:rFonts w:ascii="Arial" w:hAnsi="Arial" w:cs="Arial"/>
          <w:sz w:val="22"/>
          <w:szCs w:val="22"/>
        </w:rPr>
        <w:t>, </w:t>
      </w:r>
      <w:r w:rsidRPr="008F39D4">
        <w:rPr>
          <w:rFonts w:ascii="Arial" w:hAnsi="Arial" w:cs="Arial"/>
          <w:i/>
          <w:iCs/>
          <w:sz w:val="22"/>
          <w:szCs w:val="22"/>
        </w:rPr>
        <w:t>9</w:t>
      </w:r>
      <w:r w:rsidRPr="008F39D4">
        <w:rPr>
          <w:rFonts w:ascii="Arial" w:hAnsi="Arial" w:cs="Arial"/>
          <w:sz w:val="22"/>
          <w:szCs w:val="22"/>
        </w:rPr>
        <w:t xml:space="preserve">(2), pp.63-69. Available at: </w:t>
      </w:r>
      <w:r w:rsidRPr="008F39D4">
        <w:rPr>
          <w:rFonts w:ascii="Arial" w:hAnsi="Arial" w:cs="Arial"/>
          <w:sz w:val="22"/>
          <w:szCs w:val="22"/>
        </w:rPr>
        <w:lastRenderedPageBreak/>
        <w:t>https://journals.sagepub.com/doi/pdf/10.1016/j.jomh.2012.03.002 (Accessed: 26 February 2026).</w:t>
      </w:r>
    </w:p>
    <w:p w14:paraId="3E4C6424" w14:textId="59A2B722"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Holt-</w:t>
      </w:r>
      <w:proofErr w:type="spellStart"/>
      <w:r w:rsidRPr="008F39D4">
        <w:rPr>
          <w:rFonts w:ascii="Arial" w:hAnsi="Arial" w:cs="Arial"/>
          <w:sz w:val="22"/>
          <w:szCs w:val="22"/>
        </w:rPr>
        <w:t>Lunstad</w:t>
      </w:r>
      <w:proofErr w:type="spellEnd"/>
      <w:r w:rsidRPr="008F39D4">
        <w:rPr>
          <w:rFonts w:ascii="Arial" w:hAnsi="Arial" w:cs="Arial"/>
          <w:sz w:val="22"/>
          <w:szCs w:val="22"/>
        </w:rPr>
        <w:t>, J. (2022) ‘Social connection as a public health issue: The evidence and a systemic framework for prioritizing the “social” in social determinants of health’, </w:t>
      </w:r>
      <w:r w:rsidRPr="008F39D4">
        <w:rPr>
          <w:rFonts w:ascii="Arial" w:hAnsi="Arial" w:cs="Arial"/>
          <w:i/>
          <w:iCs/>
          <w:sz w:val="22"/>
          <w:szCs w:val="22"/>
        </w:rPr>
        <w:t>Annual Review of Public Health</w:t>
      </w:r>
      <w:r w:rsidRPr="008F39D4">
        <w:rPr>
          <w:rFonts w:ascii="Arial" w:hAnsi="Arial" w:cs="Arial"/>
          <w:sz w:val="22"/>
          <w:szCs w:val="22"/>
        </w:rPr>
        <w:t>, </w:t>
      </w:r>
      <w:r w:rsidRPr="008F39D4">
        <w:rPr>
          <w:rFonts w:ascii="Arial" w:hAnsi="Arial" w:cs="Arial"/>
          <w:i/>
          <w:iCs/>
          <w:sz w:val="22"/>
          <w:szCs w:val="22"/>
        </w:rPr>
        <w:t>43</w:t>
      </w:r>
      <w:r w:rsidRPr="008F39D4">
        <w:rPr>
          <w:rFonts w:ascii="Arial" w:hAnsi="Arial" w:cs="Arial"/>
          <w:sz w:val="22"/>
          <w:szCs w:val="22"/>
        </w:rPr>
        <w:t>(1), pp.193-213. Available at: https://www.annualreviews.org/content/journals/10.1146/annurev-publhealth-052020-110732?crawler=true&amp;mimetype=application/pdf (Accessed: 24 January 2026).</w:t>
      </w:r>
    </w:p>
    <w:p w14:paraId="13AA7DA4" w14:textId="251425F7"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Hwang, S. and Beauregard, T.A. (2022) ‘Contextualising intersectionality: A qualitative study of East Asian female migrant workers in the UK’, </w:t>
      </w:r>
      <w:r w:rsidRPr="008F39D4">
        <w:rPr>
          <w:rFonts w:ascii="Arial" w:hAnsi="Arial" w:cs="Arial"/>
          <w:i/>
          <w:iCs/>
          <w:sz w:val="22"/>
          <w:szCs w:val="22"/>
        </w:rPr>
        <w:t>Human Relations</w:t>
      </w:r>
      <w:r w:rsidRPr="008F39D4">
        <w:rPr>
          <w:rFonts w:ascii="Arial" w:hAnsi="Arial" w:cs="Arial"/>
          <w:sz w:val="22"/>
          <w:szCs w:val="22"/>
        </w:rPr>
        <w:t>, </w:t>
      </w:r>
      <w:r w:rsidRPr="008F39D4">
        <w:rPr>
          <w:rFonts w:ascii="Arial" w:hAnsi="Arial" w:cs="Arial"/>
          <w:i/>
          <w:iCs/>
          <w:sz w:val="22"/>
          <w:szCs w:val="22"/>
        </w:rPr>
        <w:t>75</w:t>
      </w:r>
      <w:r w:rsidRPr="008F39D4">
        <w:rPr>
          <w:rFonts w:ascii="Arial" w:hAnsi="Arial" w:cs="Arial"/>
          <w:sz w:val="22"/>
          <w:szCs w:val="22"/>
        </w:rPr>
        <w:t>(4), pp.609-634. Available at: https://journals.sagepub.com/doi/pdf/10.1177/0018726721989790 (Accessed: 24 January 2026).</w:t>
      </w:r>
    </w:p>
    <w:p w14:paraId="0EA2B7C6" w14:textId="798C3014"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Jindal, M., </w:t>
      </w:r>
      <w:proofErr w:type="spellStart"/>
      <w:r w:rsidRPr="008F39D4">
        <w:rPr>
          <w:rFonts w:ascii="Arial" w:hAnsi="Arial" w:cs="Arial"/>
          <w:sz w:val="22"/>
          <w:szCs w:val="22"/>
        </w:rPr>
        <w:t>Chaiyachati</w:t>
      </w:r>
      <w:proofErr w:type="spellEnd"/>
      <w:r w:rsidRPr="008F39D4">
        <w:rPr>
          <w:rFonts w:ascii="Arial" w:hAnsi="Arial" w:cs="Arial"/>
          <w:sz w:val="22"/>
          <w:szCs w:val="22"/>
        </w:rPr>
        <w:t>, K.H., Fung, V., Manson, S.M. and Mortensen, K. (2023) ‘Eliminating health care inequities through strengthening access to care’, </w:t>
      </w:r>
      <w:r w:rsidRPr="008F39D4">
        <w:rPr>
          <w:rFonts w:ascii="Arial" w:hAnsi="Arial" w:cs="Arial"/>
          <w:i/>
          <w:iCs/>
          <w:sz w:val="22"/>
          <w:szCs w:val="22"/>
        </w:rPr>
        <w:t>Health services research</w:t>
      </w:r>
      <w:r w:rsidRPr="008F39D4">
        <w:rPr>
          <w:rFonts w:ascii="Arial" w:hAnsi="Arial" w:cs="Arial"/>
          <w:sz w:val="22"/>
          <w:szCs w:val="22"/>
        </w:rPr>
        <w:t>, </w:t>
      </w:r>
      <w:r w:rsidRPr="008F39D4">
        <w:rPr>
          <w:rFonts w:ascii="Arial" w:hAnsi="Arial" w:cs="Arial"/>
          <w:i/>
          <w:iCs/>
          <w:sz w:val="22"/>
          <w:szCs w:val="22"/>
        </w:rPr>
        <w:t>58</w:t>
      </w:r>
      <w:r w:rsidRPr="008F39D4">
        <w:rPr>
          <w:rFonts w:ascii="Arial" w:hAnsi="Arial" w:cs="Arial"/>
          <w:sz w:val="22"/>
          <w:szCs w:val="22"/>
        </w:rPr>
        <w:t>, pp.300-310. Available at: https://onlinelibrary.wiley.com/doi/pdfdirect/10.1111/1475-6773.14202 (Accessed: 24 January 2026).</w:t>
      </w:r>
    </w:p>
    <w:p w14:paraId="1571CC1C" w14:textId="77777777" w:rsidR="002164E4" w:rsidRPr="008F39D4" w:rsidRDefault="002164E4" w:rsidP="00D334FC">
      <w:pPr>
        <w:spacing w:line="360" w:lineRule="auto"/>
        <w:rPr>
          <w:rFonts w:ascii="Arial" w:hAnsi="Arial" w:cs="Arial"/>
          <w:sz w:val="22"/>
          <w:szCs w:val="22"/>
        </w:rPr>
      </w:pPr>
    </w:p>
    <w:p w14:paraId="1370ED71" w14:textId="0EEDF8E6"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Kangasniemi, M., Karki, S., Voutilainen, A., </w:t>
      </w:r>
      <w:proofErr w:type="spellStart"/>
      <w:r w:rsidRPr="008F39D4">
        <w:rPr>
          <w:rFonts w:ascii="Arial" w:hAnsi="Arial" w:cs="Arial"/>
          <w:sz w:val="22"/>
          <w:szCs w:val="22"/>
        </w:rPr>
        <w:t>Saarnio</w:t>
      </w:r>
      <w:proofErr w:type="spellEnd"/>
      <w:r w:rsidRPr="008F39D4">
        <w:rPr>
          <w:rFonts w:ascii="Arial" w:hAnsi="Arial" w:cs="Arial"/>
          <w:sz w:val="22"/>
          <w:szCs w:val="22"/>
        </w:rPr>
        <w:t xml:space="preserve">, R., </w:t>
      </w:r>
      <w:proofErr w:type="spellStart"/>
      <w:r w:rsidRPr="008F39D4">
        <w:rPr>
          <w:rFonts w:ascii="Arial" w:hAnsi="Arial" w:cs="Arial"/>
          <w:sz w:val="22"/>
          <w:szCs w:val="22"/>
        </w:rPr>
        <w:t>Viinamäki</w:t>
      </w:r>
      <w:proofErr w:type="spellEnd"/>
      <w:r w:rsidRPr="008F39D4">
        <w:rPr>
          <w:rFonts w:ascii="Arial" w:hAnsi="Arial" w:cs="Arial"/>
          <w:sz w:val="22"/>
          <w:szCs w:val="22"/>
        </w:rPr>
        <w:t>, L. and Häggman</w:t>
      </w:r>
      <w:r w:rsidRPr="008F39D4">
        <w:rPr>
          <w:rFonts w:ascii="Cambria Math" w:hAnsi="Cambria Math" w:cs="Cambria Math"/>
          <w:sz w:val="22"/>
          <w:szCs w:val="22"/>
        </w:rPr>
        <w:t>‐</w:t>
      </w:r>
      <w:r w:rsidRPr="008F39D4">
        <w:rPr>
          <w:rFonts w:ascii="Arial" w:hAnsi="Arial" w:cs="Arial"/>
          <w:sz w:val="22"/>
          <w:szCs w:val="22"/>
        </w:rPr>
        <w:t>Laitila, A. (2022) ‘The value that social workers’ competencies add to health care: An integrative review’, </w:t>
      </w:r>
      <w:r w:rsidRPr="008F39D4">
        <w:rPr>
          <w:rFonts w:ascii="Arial" w:hAnsi="Arial" w:cs="Arial"/>
          <w:i/>
          <w:iCs/>
          <w:sz w:val="22"/>
          <w:szCs w:val="22"/>
        </w:rPr>
        <w:t>Health &amp; Social Care in the Community</w:t>
      </w:r>
      <w:r w:rsidRPr="008F39D4">
        <w:rPr>
          <w:rFonts w:ascii="Arial" w:hAnsi="Arial" w:cs="Arial"/>
          <w:sz w:val="22"/>
          <w:szCs w:val="22"/>
        </w:rPr>
        <w:t>, </w:t>
      </w:r>
      <w:r w:rsidRPr="008F39D4">
        <w:rPr>
          <w:rFonts w:ascii="Arial" w:hAnsi="Arial" w:cs="Arial"/>
          <w:i/>
          <w:iCs/>
          <w:sz w:val="22"/>
          <w:szCs w:val="22"/>
        </w:rPr>
        <w:t>30</w:t>
      </w:r>
      <w:r w:rsidRPr="008F39D4">
        <w:rPr>
          <w:rFonts w:ascii="Arial" w:hAnsi="Arial" w:cs="Arial"/>
          <w:sz w:val="22"/>
          <w:szCs w:val="22"/>
        </w:rPr>
        <w:t>(2), pp.403-414. Available at: https://onlinelibrary.wiley.com/doi/pdfdirect/10.1111/hsc.13266 (Accessed: 24 January 2026).</w:t>
      </w:r>
    </w:p>
    <w:p w14:paraId="6E51B89A" w14:textId="18C5895F"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Katoue, M.G., Cerda, A.A., García, L.Y. and Jakovljevic, M. (2022) ‘Healthcare system development in the Middle East and North Africa region: challenges, </w:t>
      </w:r>
      <w:proofErr w:type="spellStart"/>
      <w:r w:rsidRPr="008F39D4">
        <w:rPr>
          <w:rFonts w:ascii="Arial" w:hAnsi="Arial" w:cs="Arial"/>
          <w:sz w:val="22"/>
          <w:szCs w:val="22"/>
        </w:rPr>
        <w:t>endeavors</w:t>
      </w:r>
      <w:proofErr w:type="spellEnd"/>
      <w:r w:rsidRPr="008F39D4">
        <w:rPr>
          <w:rFonts w:ascii="Arial" w:hAnsi="Arial" w:cs="Arial"/>
          <w:sz w:val="22"/>
          <w:szCs w:val="22"/>
        </w:rPr>
        <w:t xml:space="preserve"> and prospective opportunities’, </w:t>
      </w:r>
      <w:r w:rsidRPr="008F39D4">
        <w:rPr>
          <w:rFonts w:ascii="Arial" w:hAnsi="Arial" w:cs="Arial"/>
          <w:i/>
          <w:iCs/>
          <w:sz w:val="22"/>
          <w:szCs w:val="22"/>
        </w:rPr>
        <w:t>Frontiers in public health</w:t>
      </w:r>
      <w:r w:rsidRPr="008F39D4">
        <w:rPr>
          <w:rFonts w:ascii="Arial" w:hAnsi="Arial" w:cs="Arial"/>
          <w:sz w:val="22"/>
          <w:szCs w:val="22"/>
        </w:rPr>
        <w:t>, </w:t>
      </w:r>
      <w:r w:rsidRPr="008F39D4">
        <w:rPr>
          <w:rFonts w:ascii="Arial" w:hAnsi="Arial" w:cs="Arial"/>
          <w:i/>
          <w:iCs/>
          <w:sz w:val="22"/>
          <w:szCs w:val="22"/>
        </w:rPr>
        <w:t>10</w:t>
      </w:r>
      <w:r w:rsidRPr="008F39D4">
        <w:rPr>
          <w:rFonts w:ascii="Arial" w:hAnsi="Arial" w:cs="Arial"/>
          <w:sz w:val="22"/>
          <w:szCs w:val="22"/>
        </w:rPr>
        <w:t>, pp.1-18. Available at: https://www.frontiersin.org/journals/public-health/articles/10.3389/fpubh.2022.1045739/pdf (Accessed: 24 January 2026).</w:t>
      </w:r>
    </w:p>
    <w:p w14:paraId="5023E0C2" w14:textId="74CFB2C7"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Khatri, R.B. and Assefa, Y. (2022) ‘Access to health services among culturally and linguistically diverse populations in the Australian universal health care system: issues and challenges’, </w:t>
      </w:r>
      <w:r w:rsidRPr="008F39D4">
        <w:rPr>
          <w:rFonts w:ascii="Arial" w:hAnsi="Arial" w:cs="Arial"/>
          <w:i/>
          <w:iCs/>
          <w:sz w:val="22"/>
          <w:szCs w:val="22"/>
        </w:rPr>
        <w:t>BMC Public Health</w:t>
      </w:r>
      <w:r w:rsidRPr="008F39D4">
        <w:rPr>
          <w:rFonts w:ascii="Arial" w:hAnsi="Arial" w:cs="Arial"/>
          <w:sz w:val="22"/>
          <w:szCs w:val="22"/>
        </w:rPr>
        <w:t>, </w:t>
      </w:r>
      <w:r w:rsidRPr="008F39D4">
        <w:rPr>
          <w:rFonts w:ascii="Arial" w:hAnsi="Arial" w:cs="Arial"/>
          <w:i/>
          <w:iCs/>
          <w:sz w:val="22"/>
          <w:szCs w:val="22"/>
        </w:rPr>
        <w:t>22</w:t>
      </w:r>
      <w:r w:rsidRPr="008F39D4">
        <w:rPr>
          <w:rFonts w:ascii="Arial" w:hAnsi="Arial" w:cs="Arial"/>
          <w:sz w:val="22"/>
          <w:szCs w:val="22"/>
        </w:rPr>
        <w:t>(1), pp.1-14. https://doi.org/10.1186/s12889-022-13256-z</w:t>
      </w:r>
    </w:p>
    <w:p w14:paraId="0B725336" w14:textId="2CA25090"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Kirkbride, J.B., Anglin, D.M., Colman, I., </w:t>
      </w:r>
      <w:proofErr w:type="spellStart"/>
      <w:r w:rsidRPr="008F39D4">
        <w:rPr>
          <w:rFonts w:ascii="Arial" w:hAnsi="Arial" w:cs="Arial"/>
          <w:sz w:val="22"/>
          <w:szCs w:val="22"/>
        </w:rPr>
        <w:t>Dykxhoorn</w:t>
      </w:r>
      <w:proofErr w:type="spellEnd"/>
      <w:r w:rsidRPr="008F39D4">
        <w:rPr>
          <w:rFonts w:ascii="Arial" w:hAnsi="Arial" w:cs="Arial"/>
          <w:sz w:val="22"/>
          <w:szCs w:val="22"/>
        </w:rPr>
        <w:t xml:space="preserve">, J., Jones, P.B., </w:t>
      </w:r>
      <w:proofErr w:type="spellStart"/>
      <w:r w:rsidRPr="008F39D4">
        <w:rPr>
          <w:rFonts w:ascii="Arial" w:hAnsi="Arial" w:cs="Arial"/>
          <w:sz w:val="22"/>
          <w:szCs w:val="22"/>
        </w:rPr>
        <w:t>Patalay</w:t>
      </w:r>
      <w:proofErr w:type="spellEnd"/>
      <w:r w:rsidRPr="008F39D4">
        <w:rPr>
          <w:rFonts w:ascii="Arial" w:hAnsi="Arial" w:cs="Arial"/>
          <w:sz w:val="22"/>
          <w:szCs w:val="22"/>
        </w:rPr>
        <w:t xml:space="preserve">, P., Pitman, A., Soneson, E., </w:t>
      </w:r>
      <w:proofErr w:type="spellStart"/>
      <w:r w:rsidRPr="008F39D4">
        <w:rPr>
          <w:rFonts w:ascii="Arial" w:hAnsi="Arial" w:cs="Arial"/>
          <w:sz w:val="22"/>
          <w:szCs w:val="22"/>
        </w:rPr>
        <w:t>Steare</w:t>
      </w:r>
      <w:proofErr w:type="spellEnd"/>
      <w:r w:rsidRPr="008F39D4">
        <w:rPr>
          <w:rFonts w:ascii="Arial" w:hAnsi="Arial" w:cs="Arial"/>
          <w:sz w:val="22"/>
          <w:szCs w:val="22"/>
        </w:rPr>
        <w:t>, T., Wright, T. and Griffiths, S.L. (2024) ‘The social determinants of mental health and disorder: evidence, prevention and recommendations’, </w:t>
      </w:r>
      <w:r w:rsidRPr="008F39D4">
        <w:rPr>
          <w:rFonts w:ascii="Arial" w:hAnsi="Arial" w:cs="Arial"/>
          <w:i/>
          <w:iCs/>
          <w:sz w:val="22"/>
          <w:szCs w:val="22"/>
        </w:rPr>
        <w:t>World psychiatry</w:t>
      </w:r>
      <w:r w:rsidRPr="008F39D4">
        <w:rPr>
          <w:rFonts w:ascii="Arial" w:hAnsi="Arial" w:cs="Arial"/>
          <w:sz w:val="22"/>
          <w:szCs w:val="22"/>
        </w:rPr>
        <w:t>, </w:t>
      </w:r>
      <w:r w:rsidRPr="008F39D4">
        <w:rPr>
          <w:rFonts w:ascii="Arial" w:hAnsi="Arial" w:cs="Arial"/>
          <w:i/>
          <w:iCs/>
          <w:sz w:val="22"/>
          <w:szCs w:val="22"/>
        </w:rPr>
        <w:t>23</w:t>
      </w:r>
      <w:r w:rsidRPr="008F39D4">
        <w:rPr>
          <w:rFonts w:ascii="Arial" w:hAnsi="Arial" w:cs="Arial"/>
          <w:sz w:val="22"/>
          <w:szCs w:val="22"/>
        </w:rPr>
        <w:t>(1), pp.58-90. Available at: https://onlinelibrary.wiley.com/doi/pdf/10.1002/wps.21160 (Accessed: 24 January 2026).</w:t>
      </w:r>
    </w:p>
    <w:p w14:paraId="3BEF0533" w14:textId="2138E910"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lastRenderedPageBreak/>
        <w:t>Kitayama, S. and Salvador, C.E. (2024) ‘Cultural psychology: Beyond east and west’, </w:t>
      </w:r>
      <w:r w:rsidRPr="008F39D4">
        <w:rPr>
          <w:rFonts w:ascii="Arial" w:hAnsi="Arial" w:cs="Arial"/>
          <w:i/>
          <w:iCs/>
          <w:sz w:val="22"/>
          <w:szCs w:val="22"/>
        </w:rPr>
        <w:t>Annual Review of Psychology</w:t>
      </w:r>
      <w:r w:rsidRPr="008F39D4">
        <w:rPr>
          <w:rFonts w:ascii="Arial" w:hAnsi="Arial" w:cs="Arial"/>
          <w:sz w:val="22"/>
          <w:szCs w:val="22"/>
        </w:rPr>
        <w:t>, </w:t>
      </w:r>
      <w:r w:rsidRPr="008F39D4">
        <w:rPr>
          <w:rFonts w:ascii="Arial" w:hAnsi="Arial" w:cs="Arial"/>
          <w:i/>
          <w:iCs/>
          <w:sz w:val="22"/>
          <w:szCs w:val="22"/>
        </w:rPr>
        <w:t>75</w:t>
      </w:r>
      <w:r w:rsidRPr="008F39D4">
        <w:rPr>
          <w:rFonts w:ascii="Arial" w:hAnsi="Arial" w:cs="Arial"/>
          <w:sz w:val="22"/>
          <w:szCs w:val="22"/>
        </w:rPr>
        <w:t>(1), pp.495-526. Available at: https://www.annualreviews.org/content/journals/10.1146/annurev-psych-021723-063333;?crawler=true&amp;mimetype=application/pdf (Accessed: 24 January 2026).</w:t>
      </w:r>
    </w:p>
    <w:p w14:paraId="6ECCD148" w14:textId="77777777" w:rsidR="002164E4" w:rsidRPr="008F39D4" w:rsidRDefault="002164E4" w:rsidP="002164E4">
      <w:pPr>
        <w:spacing w:line="360" w:lineRule="auto"/>
        <w:rPr>
          <w:rFonts w:ascii="Arial" w:hAnsi="Arial" w:cs="Arial"/>
          <w:sz w:val="22"/>
          <w:szCs w:val="22"/>
        </w:rPr>
      </w:pPr>
      <w:r w:rsidRPr="008F39D4">
        <w:rPr>
          <w:rFonts w:ascii="Arial" w:hAnsi="Arial" w:cs="Arial"/>
          <w:sz w:val="22"/>
          <w:szCs w:val="22"/>
        </w:rPr>
        <w:t xml:space="preserve">Koponen, J., Salin, L. and </w:t>
      </w:r>
      <w:proofErr w:type="spellStart"/>
      <w:r w:rsidRPr="008F39D4">
        <w:rPr>
          <w:rFonts w:ascii="Arial" w:hAnsi="Arial" w:cs="Arial"/>
          <w:sz w:val="22"/>
          <w:szCs w:val="22"/>
        </w:rPr>
        <w:t>Cortellazzo</w:t>
      </w:r>
      <w:proofErr w:type="spellEnd"/>
      <w:r w:rsidRPr="008F39D4">
        <w:rPr>
          <w:rFonts w:ascii="Arial" w:hAnsi="Arial" w:cs="Arial"/>
          <w:sz w:val="22"/>
          <w:szCs w:val="22"/>
        </w:rPr>
        <w:t>, L. (2026) ‘Dual edge: exploring technological affordances and constraints of video technology in e-leadership’, </w:t>
      </w:r>
      <w:r w:rsidRPr="008F39D4">
        <w:rPr>
          <w:rFonts w:ascii="Arial" w:hAnsi="Arial" w:cs="Arial"/>
          <w:i/>
          <w:iCs/>
          <w:sz w:val="22"/>
          <w:szCs w:val="22"/>
        </w:rPr>
        <w:t>Information Technology &amp; People</w:t>
      </w:r>
      <w:r w:rsidRPr="008F39D4">
        <w:rPr>
          <w:rFonts w:ascii="Arial" w:hAnsi="Arial" w:cs="Arial"/>
          <w:sz w:val="22"/>
          <w:szCs w:val="22"/>
        </w:rPr>
        <w:t>, </w:t>
      </w:r>
      <w:r w:rsidRPr="008F39D4">
        <w:rPr>
          <w:rFonts w:ascii="Arial" w:hAnsi="Arial" w:cs="Arial"/>
          <w:i/>
          <w:iCs/>
          <w:sz w:val="22"/>
          <w:szCs w:val="22"/>
        </w:rPr>
        <w:t>39</w:t>
      </w:r>
      <w:r w:rsidRPr="008F39D4">
        <w:rPr>
          <w:rFonts w:ascii="Arial" w:hAnsi="Arial" w:cs="Arial"/>
          <w:sz w:val="22"/>
          <w:szCs w:val="22"/>
        </w:rPr>
        <w:t xml:space="preserve">(8), pp.1-31. https://www.emerald.com/itp/article-pdf/39/8/1/11289067/itp-09-2024-1157en.pdf </w:t>
      </w:r>
    </w:p>
    <w:p w14:paraId="5BA75369" w14:textId="51F28B1F"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Maddux, W.W., Lu, J.G., Affinito, S.J. and Galinsky, A.D. (2021) ‘Multicultural experiences: A systematic review and new theoretical framework’, </w:t>
      </w:r>
      <w:r w:rsidRPr="008F39D4">
        <w:rPr>
          <w:rFonts w:ascii="Arial" w:hAnsi="Arial" w:cs="Arial"/>
          <w:i/>
          <w:iCs/>
          <w:sz w:val="22"/>
          <w:szCs w:val="22"/>
        </w:rPr>
        <w:t>Academy of Management Annals</w:t>
      </w:r>
      <w:r w:rsidRPr="008F39D4">
        <w:rPr>
          <w:rFonts w:ascii="Arial" w:hAnsi="Arial" w:cs="Arial"/>
          <w:sz w:val="22"/>
          <w:szCs w:val="22"/>
        </w:rPr>
        <w:t>, </w:t>
      </w:r>
      <w:r w:rsidRPr="008F39D4">
        <w:rPr>
          <w:rFonts w:ascii="Arial" w:hAnsi="Arial" w:cs="Arial"/>
          <w:i/>
          <w:iCs/>
          <w:sz w:val="22"/>
          <w:szCs w:val="22"/>
        </w:rPr>
        <w:t>15</w:t>
      </w:r>
      <w:r w:rsidRPr="008F39D4">
        <w:rPr>
          <w:rFonts w:ascii="Arial" w:hAnsi="Arial" w:cs="Arial"/>
          <w:sz w:val="22"/>
          <w:szCs w:val="22"/>
        </w:rPr>
        <w:t>(2), pp.345-376. Available at: https://www.researchgate.net/profile/Jackson-Lu-2/publication/353943212_Multicultural_experiences_A_systematic_review_and_new_theoretical_framework/links/611b333b0c2bfa282a4d9639/Multicultural-experiences-A-systematic-review-and-new-theoretical-framework.pdf?trk=public_post_comment-text (Accessed: 24 January 2026).</w:t>
      </w:r>
    </w:p>
    <w:p w14:paraId="3D37D3D6" w14:textId="1ACD2CC5"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Marcus, K., Balasubramanian, M., Short, S. and Sohn, W. (2022) ‘Culturally and linguistically diverse (CALD): terminology and standards in reducing healthcare inequalities’, </w:t>
      </w:r>
      <w:r w:rsidRPr="008F39D4">
        <w:rPr>
          <w:rFonts w:ascii="Arial" w:hAnsi="Arial" w:cs="Arial"/>
          <w:i/>
          <w:iCs/>
          <w:sz w:val="22"/>
          <w:szCs w:val="22"/>
        </w:rPr>
        <w:t>Australian and New Zealand Journal of Public Health</w:t>
      </w:r>
      <w:r w:rsidRPr="008F39D4">
        <w:rPr>
          <w:rFonts w:ascii="Arial" w:hAnsi="Arial" w:cs="Arial"/>
          <w:sz w:val="22"/>
          <w:szCs w:val="22"/>
        </w:rPr>
        <w:t>, </w:t>
      </w:r>
      <w:r w:rsidRPr="008F39D4">
        <w:rPr>
          <w:rFonts w:ascii="Arial" w:hAnsi="Arial" w:cs="Arial"/>
          <w:i/>
          <w:iCs/>
          <w:sz w:val="22"/>
          <w:szCs w:val="22"/>
        </w:rPr>
        <w:t>46</w:t>
      </w:r>
      <w:r w:rsidRPr="008F39D4">
        <w:rPr>
          <w:rFonts w:ascii="Arial" w:hAnsi="Arial" w:cs="Arial"/>
          <w:sz w:val="22"/>
          <w:szCs w:val="22"/>
        </w:rPr>
        <w:t>(1), pp.7-9. Available at: https://www.sciencedirect.com/science/article/pii/S1326020023003539 (Accessed: 24 January 2026).</w:t>
      </w:r>
    </w:p>
    <w:p w14:paraId="21C699C7" w14:textId="163DDADF"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Mistry, S.K., Harris, E. and Harris, M.F. (2022) ‘Scoping the needs, roles and implementation of bilingual community navigators in general practice settings’, </w:t>
      </w:r>
      <w:r w:rsidRPr="008F39D4">
        <w:rPr>
          <w:rFonts w:ascii="Arial" w:hAnsi="Arial" w:cs="Arial"/>
          <w:i/>
          <w:iCs/>
          <w:sz w:val="22"/>
          <w:szCs w:val="22"/>
        </w:rPr>
        <w:t>Health &amp; Social Care in the Community</w:t>
      </w:r>
      <w:r w:rsidRPr="008F39D4">
        <w:rPr>
          <w:rFonts w:ascii="Arial" w:hAnsi="Arial" w:cs="Arial"/>
          <w:sz w:val="22"/>
          <w:szCs w:val="22"/>
        </w:rPr>
        <w:t>, </w:t>
      </w:r>
      <w:r w:rsidRPr="008F39D4">
        <w:rPr>
          <w:rFonts w:ascii="Arial" w:hAnsi="Arial" w:cs="Arial"/>
          <w:i/>
          <w:iCs/>
          <w:sz w:val="22"/>
          <w:szCs w:val="22"/>
        </w:rPr>
        <w:t>30</w:t>
      </w:r>
      <w:r w:rsidRPr="008F39D4">
        <w:rPr>
          <w:rFonts w:ascii="Arial" w:hAnsi="Arial" w:cs="Arial"/>
          <w:sz w:val="22"/>
          <w:szCs w:val="22"/>
        </w:rPr>
        <w:t>(6), pp.1-11. Available at: https://www.researchgate.net/profile/Sabuj-Kanti-Mistry/publication/362931162_Scoping_the_needs_roles_and_implementation_of_bilingual_community_navigators_in_general_practice_settings/links/6312a161acd814437ffbe4b1/Scoping-the-needs-roles-and-implementation-of-bilingual-community-navigators-in-general-practice-settings.pdf (Accessed: 24 January 2026).</w:t>
      </w:r>
    </w:p>
    <w:p w14:paraId="5B062362" w14:textId="1D9F12D3"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Mohd Rosnu, N.S., Singh, D.K.A., Mat Ludin, A.F., Ishak, W.S., Abd Rahman, M.H. and Shahar, S. (2022) ‘Enablers and barriers of accessing health care services among older adults in South-East Asia: a scoping review’, </w:t>
      </w:r>
      <w:r w:rsidRPr="008F39D4">
        <w:rPr>
          <w:rFonts w:ascii="Arial" w:hAnsi="Arial" w:cs="Arial"/>
          <w:i/>
          <w:iCs/>
          <w:sz w:val="22"/>
          <w:szCs w:val="22"/>
        </w:rPr>
        <w:t>International journal of environmental research and public health</w:t>
      </w:r>
      <w:r w:rsidRPr="008F39D4">
        <w:rPr>
          <w:rFonts w:ascii="Arial" w:hAnsi="Arial" w:cs="Arial"/>
          <w:sz w:val="22"/>
          <w:szCs w:val="22"/>
        </w:rPr>
        <w:t>, </w:t>
      </w:r>
      <w:r w:rsidRPr="008F39D4">
        <w:rPr>
          <w:rFonts w:ascii="Arial" w:hAnsi="Arial" w:cs="Arial"/>
          <w:i/>
          <w:iCs/>
          <w:sz w:val="22"/>
          <w:szCs w:val="22"/>
        </w:rPr>
        <w:t>19</w:t>
      </w:r>
      <w:r w:rsidRPr="008F39D4">
        <w:rPr>
          <w:rFonts w:ascii="Arial" w:hAnsi="Arial" w:cs="Arial"/>
          <w:sz w:val="22"/>
          <w:szCs w:val="22"/>
        </w:rPr>
        <w:t>(12), pp.1-15. https://doi.org/10.3390/ijerph19127351</w:t>
      </w:r>
    </w:p>
    <w:p w14:paraId="15885A5E" w14:textId="31976C5B"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Muis, K.R., Denton, C. and Dubé, A. (2022) ‘Identifying CRAAP on the internet: A source evaluation intervention’, </w:t>
      </w:r>
      <w:r w:rsidRPr="008F39D4">
        <w:rPr>
          <w:rFonts w:ascii="Arial" w:hAnsi="Arial" w:cs="Arial"/>
          <w:i/>
          <w:iCs/>
          <w:sz w:val="22"/>
          <w:szCs w:val="22"/>
        </w:rPr>
        <w:t>Advances in Social Sciences Research Journal</w:t>
      </w:r>
      <w:r w:rsidRPr="008F39D4">
        <w:rPr>
          <w:rFonts w:ascii="Arial" w:hAnsi="Arial" w:cs="Arial"/>
          <w:sz w:val="22"/>
          <w:szCs w:val="22"/>
        </w:rPr>
        <w:t>, </w:t>
      </w:r>
      <w:r w:rsidRPr="008F39D4">
        <w:rPr>
          <w:rFonts w:ascii="Arial" w:hAnsi="Arial" w:cs="Arial"/>
          <w:i/>
          <w:iCs/>
          <w:sz w:val="22"/>
          <w:szCs w:val="22"/>
        </w:rPr>
        <w:t>9</w:t>
      </w:r>
      <w:r w:rsidRPr="008F39D4">
        <w:rPr>
          <w:rFonts w:ascii="Arial" w:hAnsi="Arial" w:cs="Arial"/>
          <w:sz w:val="22"/>
          <w:szCs w:val="22"/>
        </w:rPr>
        <w:t>(7), pp.239-265. Available at: https://www.researchgate.net/profile/Adam-</w:t>
      </w:r>
      <w:r w:rsidRPr="008F39D4">
        <w:rPr>
          <w:rFonts w:ascii="Arial" w:hAnsi="Arial" w:cs="Arial"/>
          <w:sz w:val="22"/>
          <w:szCs w:val="22"/>
        </w:rPr>
        <w:lastRenderedPageBreak/>
        <w:t>Dube/publication/362327098_Identifying_CRAAP_on_the_Internet_A_Source_Evaluation_Intervention/links/62fea0dfceb9764f7206d5a7/Identifying-CRAAP-on-the-Internet-A-Source-Evaluation-Intervention.pdf (Accessed: 24 January 2026).</w:t>
      </w:r>
    </w:p>
    <w:p w14:paraId="2AFF93FA" w14:textId="2EE7B779" w:rsidR="00D334FC" w:rsidRPr="008F39D4" w:rsidRDefault="00D334FC" w:rsidP="00D334FC">
      <w:pPr>
        <w:spacing w:line="360" w:lineRule="auto"/>
        <w:rPr>
          <w:rFonts w:ascii="Arial" w:hAnsi="Arial" w:cs="Arial"/>
          <w:sz w:val="22"/>
          <w:szCs w:val="22"/>
        </w:rPr>
      </w:pPr>
      <w:proofErr w:type="spellStart"/>
      <w:r w:rsidRPr="008F39D4">
        <w:rPr>
          <w:rFonts w:ascii="Arial" w:hAnsi="Arial" w:cs="Arial"/>
          <w:sz w:val="22"/>
          <w:szCs w:val="22"/>
        </w:rPr>
        <w:t>Ocloo</w:t>
      </w:r>
      <w:proofErr w:type="spellEnd"/>
      <w:r w:rsidRPr="008F39D4">
        <w:rPr>
          <w:rFonts w:ascii="Arial" w:hAnsi="Arial" w:cs="Arial"/>
          <w:sz w:val="22"/>
          <w:szCs w:val="22"/>
        </w:rPr>
        <w:t>, J., Garfield, S., Franklin, B.D. and Dawson, S. (2021) ‘Exploring the theory, barriers and enablers for patient and public involvement across health, social care and patient safety: a systematic review of reviews’, </w:t>
      </w:r>
      <w:r w:rsidRPr="008F39D4">
        <w:rPr>
          <w:rFonts w:ascii="Arial" w:hAnsi="Arial" w:cs="Arial"/>
          <w:i/>
          <w:iCs/>
          <w:sz w:val="22"/>
          <w:szCs w:val="22"/>
        </w:rPr>
        <w:t>Health research policy and systems</w:t>
      </w:r>
      <w:r w:rsidRPr="008F39D4">
        <w:rPr>
          <w:rFonts w:ascii="Arial" w:hAnsi="Arial" w:cs="Arial"/>
          <w:sz w:val="22"/>
          <w:szCs w:val="22"/>
        </w:rPr>
        <w:t>, </w:t>
      </w:r>
      <w:r w:rsidRPr="008F39D4">
        <w:rPr>
          <w:rFonts w:ascii="Arial" w:hAnsi="Arial" w:cs="Arial"/>
          <w:i/>
          <w:iCs/>
          <w:sz w:val="22"/>
          <w:szCs w:val="22"/>
        </w:rPr>
        <w:t>19</w:t>
      </w:r>
      <w:r w:rsidRPr="008F39D4">
        <w:rPr>
          <w:rFonts w:ascii="Arial" w:hAnsi="Arial" w:cs="Arial"/>
          <w:sz w:val="22"/>
          <w:szCs w:val="22"/>
        </w:rPr>
        <w:t>(1), pp.1-21. Available at: https://link.springer.com/content/pdf/10.1186/s12961-020-00644-3.pdf (Accessed: 24 January 2026).</w:t>
      </w:r>
    </w:p>
    <w:p w14:paraId="29DCB0C5" w14:textId="7AA4A537"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Percival, V., Thoms, O.T., Oppenheim, B., Rowlands, D., </w:t>
      </w:r>
      <w:proofErr w:type="spellStart"/>
      <w:r w:rsidRPr="008F39D4">
        <w:rPr>
          <w:rFonts w:ascii="Arial" w:hAnsi="Arial" w:cs="Arial"/>
          <w:sz w:val="22"/>
          <w:szCs w:val="22"/>
        </w:rPr>
        <w:t>Chisadza</w:t>
      </w:r>
      <w:proofErr w:type="spellEnd"/>
      <w:r w:rsidRPr="008F39D4">
        <w:rPr>
          <w:rFonts w:ascii="Arial" w:hAnsi="Arial" w:cs="Arial"/>
          <w:sz w:val="22"/>
          <w:szCs w:val="22"/>
        </w:rPr>
        <w:t xml:space="preserve">, C., Fewer, S., </w:t>
      </w:r>
      <w:proofErr w:type="spellStart"/>
      <w:r w:rsidRPr="008F39D4">
        <w:rPr>
          <w:rFonts w:ascii="Arial" w:hAnsi="Arial" w:cs="Arial"/>
          <w:sz w:val="22"/>
          <w:szCs w:val="22"/>
        </w:rPr>
        <w:t>Yamey</w:t>
      </w:r>
      <w:proofErr w:type="spellEnd"/>
      <w:r w:rsidRPr="008F39D4">
        <w:rPr>
          <w:rFonts w:ascii="Arial" w:hAnsi="Arial" w:cs="Arial"/>
          <w:sz w:val="22"/>
          <w:szCs w:val="22"/>
        </w:rPr>
        <w:t>, G., Alexander, A.C., Allaham, C.L., Causevic, S. and Daudelin, F. (2023) ‘The Lancet Commission on peaceful societies through health equity and gender equality’, </w:t>
      </w:r>
      <w:r w:rsidRPr="008F39D4">
        <w:rPr>
          <w:rFonts w:ascii="Arial" w:hAnsi="Arial" w:cs="Arial"/>
          <w:i/>
          <w:iCs/>
          <w:sz w:val="22"/>
          <w:szCs w:val="22"/>
        </w:rPr>
        <w:t>The Lancet</w:t>
      </w:r>
      <w:r w:rsidRPr="008F39D4">
        <w:rPr>
          <w:rFonts w:ascii="Arial" w:hAnsi="Arial" w:cs="Arial"/>
          <w:sz w:val="22"/>
          <w:szCs w:val="22"/>
        </w:rPr>
        <w:t>, </w:t>
      </w:r>
      <w:r w:rsidRPr="008F39D4">
        <w:rPr>
          <w:rFonts w:ascii="Arial" w:hAnsi="Arial" w:cs="Arial"/>
          <w:i/>
          <w:iCs/>
          <w:sz w:val="22"/>
          <w:szCs w:val="22"/>
        </w:rPr>
        <w:t>402</w:t>
      </w:r>
      <w:r w:rsidRPr="008F39D4">
        <w:rPr>
          <w:rFonts w:ascii="Arial" w:hAnsi="Arial" w:cs="Arial"/>
          <w:sz w:val="22"/>
          <w:szCs w:val="22"/>
        </w:rPr>
        <w:t>(10413), pp.1661-1722. Available at: https://repository.up.ac.za/bitstream/handle/2263/95041/Percival_LancetSupplAppen_2023.pdf?sequence=2 (Accessed: 24 January 2026).</w:t>
      </w:r>
    </w:p>
    <w:p w14:paraId="12762BF8" w14:textId="09C3161B"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Prajapati, R. and Liebling, H. (2022) ‘Accessing mental health services: A systematic review and meta-ethnography of the experiences of South Asian service users in the UK’, </w:t>
      </w:r>
      <w:r w:rsidRPr="008F39D4">
        <w:rPr>
          <w:rFonts w:ascii="Arial" w:hAnsi="Arial" w:cs="Arial"/>
          <w:i/>
          <w:iCs/>
          <w:sz w:val="22"/>
          <w:szCs w:val="22"/>
        </w:rPr>
        <w:t>Journal of racial and ethnic health disparities</w:t>
      </w:r>
      <w:r w:rsidRPr="008F39D4">
        <w:rPr>
          <w:rFonts w:ascii="Arial" w:hAnsi="Arial" w:cs="Arial"/>
          <w:sz w:val="22"/>
          <w:szCs w:val="22"/>
        </w:rPr>
        <w:t>, </w:t>
      </w:r>
      <w:r w:rsidRPr="008F39D4">
        <w:rPr>
          <w:rFonts w:ascii="Arial" w:hAnsi="Arial" w:cs="Arial"/>
          <w:i/>
          <w:iCs/>
          <w:sz w:val="22"/>
          <w:szCs w:val="22"/>
        </w:rPr>
        <w:t>9</w:t>
      </w:r>
      <w:r w:rsidRPr="008F39D4">
        <w:rPr>
          <w:rFonts w:ascii="Arial" w:hAnsi="Arial" w:cs="Arial"/>
          <w:sz w:val="22"/>
          <w:szCs w:val="22"/>
        </w:rPr>
        <w:t>(2), pp.598-619. Available at: https://link.springer.com/content/pdf/10.1007/s40615-021-00993-x.pdf (Accessed: 24 January 2026).</w:t>
      </w:r>
    </w:p>
    <w:p w14:paraId="5A81779F" w14:textId="07C08D65"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Pronk, N., Kleinman, D.V., Goekler, S.F., Ochiai, E., Blakey, C. and Brewer, K.H. (2021) ‘Promoting health and well-being in healthy people 2030’, </w:t>
      </w:r>
      <w:r w:rsidRPr="008F39D4">
        <w:rPr>
          <w:rFonts w:ascii="Arial" w:hAnsi="Arial" w:cs="Arial"/>
          <w:i/>
          <w:iCs/>
          <w:sz w:val="22"/>
          <w:szCs w:val="22"/>
        </w:rPr>
        <w:t>Journal of Public Health Management and Practice</w:t>
      </w:r>
      <w:r w:rsidRPr="008F39D4">
        <w:rPr>
          <w:rFonts w:ascii="Arial" w:hAnsi="Arial" w:cs="Arial"/>
          <w:sz w:val="22"/>
          <w:szCs w:val="22"/>
        </w:rPr>
        <w:t>, </w:t>
      </w:r>
      <w:r w:rsidRPr="008F39D4">
        <w:rPr>
          <w:rFonts w:ascii="Arial" w:hAnsi="Arial" w:cs="Arial"/>
          <w:i/>
          <w:iCs/>
          <w:sz w:val="22"/>
          <w:szCs w:val="22"/>
        </w:rPr>
        <w:t>27</w:t>
      </w:r>
      <w:r w:rsidRPr="008F39D4">
        <w:rPr>
          <w:rFonts w:ascii="Arial" w:hAnsi="Arial" w:cs="Arial"/>
          <w:sz w:val="22"/>
          <w:szCs w:val="22"/>
        </w:rPr>
        <w:t xml:space="preserve">(Supplement 6), </w:t>
      </w:r>
      <w:proofErr w:type="gramStart"/>
      <w:r w:rsidRPr="008F39D4">
        <w:rPr>
          <w:rFonts w:ascii="Arial" w:hAnsi="Arial" w:cs="Arial"/>
          <w:sz w:val="22"/>
          <w:szCs w:val="22"/>
        </w:rPr>
        <w:t>pp.S</w:t>
      </w:r>
      <w:proofErr w:type="gramEnd"/>
      <w:r w:rsidRPr="008F39D4">
        <w:rPr>
          <w:rFonts w:ascii="Arial" w:hAnsi="Arial" w:cs="Arial"/>
          <w:sz w:val="22"/>
          <w:szCs w:val="22"/>
        </w:rPr>
        <w:t>242-S248. Available at: https://journals.lww.com/jphmp/_layouts/15/oaks.journals/downloadpdf.aspx?an=00124784-202111001-00008 (Accessed: 24 January 2026).</w:t>
      </w:r>
    </w:p>
    <w:p w14:paraId="33D7073F" w14:textId="062AA295"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Riazi, A.M., </w:t>
      </w:r>
      <w:proofErr w:type="spellStart"/>
      <w:r w:rsidRPr="008F39D4">
        <w:rPr>
          <w:rFonts w:ascii="Arial" w:hAnsi="Arial" w:cs="Arial"/>
          <w:sz w:val="22"/>
          <w:szCs w:val="22"/>
        </w:rPr>
        <w:t>Ghanbar</w:t>
      </w:r>
      <w:proofErr w:type="spellEnd"/>
      <w:r w:rsidRPr="008F39D4">
        <w:rPr>
          <w:rFonts w:ascii="Arial" w:hAnsi="Arial" w:cs="Arial"/>
          <w:sz w:val="22"/>
          <w:szCs w:val="22"/>
        </w:rPr>
        <w:t>, H. and Rezvani, R. (2023) ‘Qualitative Data Coding and Analysis: A Systematic Review of the Papers Published in the" Journal of Second Language Writing"’, </w:t>
      </w:r>
      <w:r w:rsidRPr="008F39D4">
        <w:rPr>
          <w:rFonts w:ascii="Arial" w:hAnsi="Arial" w:cs="Arial"/>
          <w:i/>
          <w:iCs/>
          <w:sz w:val="22"/>
          <w:szCs w:val="22"/>
        </w:rPr>
        <w:t>Iranian Journal of Language Teaching Research</w:t>
      </w:r>
      <w:r w:rsidRPr="008F39D4">
        <w:rPr>
          <w:rFonts w:ascii="Arial" w:hAnsi="Arial" w:cs="Arial"/>
          <w:sz w:val="22"/>
          <w:szCs w:val="22"/>
        </w:rPr>
        <w:t>, </w:t>
      </w:r>
      <w:r w:rsidRPr="008F39D4">
        <w:rPr>
          <w:rFonts w:ascii="Arial" w:hAnsi="Arial" w:cs="Arial"/>
          <w:i/>
          <w:iCs/>
          <w:sz w:val="22"/>
          <w:szCs w:val="22"/>
        </w:rPr>
        <w:t>11</w:t>
      </w:r>
      <w:r w:rsidRPr="008F39D4">
        <w:rPr>
          <w:rFonts w:ascii="Arial" w:hAnsi="Arial" w:cs="Arial"/>
          <w:sz w:val="22"/>
          <w:szCs w:val="22"/>
        </w:rPr>
        <w:t>(1), pp.25-47. Available at: https://files.eric.ed.gov/fulltext/EJ1373276.pdf (Accessed: 24 January 2026).</w:t>
      </w:r>
    </w:p>
    <w:p w14:paraId="5B3DD8B9" w14:textId="6838D4BC"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Robinson, A., Sile, L., Govind, T., </w:t>
      </w:r>
      <w:proofErr w:type="spellStart"/>
      <w:r w:rsidRPr="008F39D4">
        <w:rPr>
          <w:rFonts w:ascii="Arial" w:hAnsi="Arial" w:cs="Arial"/>
          <w:sz w:val="22"/>
          <w:szCs w:val="22"/>
        </w:rPr>
        <w:t>Guraya</w:t>
      </w:r>
      <w:proofErr w:type="spellEnd"/>
      <w:r w:rsidRPr="008F39D4">
        <w:rPr>
          <w:rFonts w:ascii="Arial" w:hAnsi="Arial" w:cs="Arial"/>
          <w:sz w:val="22"/>
          <w:szCs w:val="22"/>
        </w:rPr>
        <w:t>, H.K., O'Brien, N., Harris, V., Pilkington, G., Todd, A. and Husband, A. (2022) ‘‘He or she maybe doesn't know there is such a thing as a review’: A qualitative investigation exploring barriers and facilitators to accessing medication reviews from the perspective of people from ethnic minority communities’, </w:t>
      </w:r>
      <w:r w:rsidRPr="008F39D4">
        <w:rPr>
          <w:rFonts w:ascii="Arial" w:hAnsi="Arial" w:cs="Arial"/>
          <w:i/>
          <w:iCs/>
          <w:sz w:val="22"/>
          <w:szCs w:val="22"/>
        </w:rPr>
        <w:t>Health Expectations</w:t>
      </w:r>
      <w:r w:rsidRPr="008F39D4">
        <w:rPr>
          <w:rFonts w:ascii="Arial" w:hAnsi="Arial" w:cs="Arial"/>
          <w:sz w:val="22"/>
          <w:szCs w:val="22"/>
        </w:rPr>
        <w:t>, </w:t>
      </w:r>
      <w:r w:rsidRPr="008F39D4">
        <w:rPr>
          <w:rFonts w:ascii="Arial" w:hAnsi="Arial" w:cs="Arial"/>
          <w:i/>
          <w:iCs/>
          <w:sz w:val="22"/>
          <w:szCs w:val="22"/>
        </w:rPr>
        <w:t>25</w:t>
      </w:r>
      <w:r w:rsidRPr="008F39D4">
        <w:rPr>
          <w:rFonts w:ascii="Arial" w:hAnsi="Arial" w:cs="Arial"/>
          <w:sz w:val="22"/>
          <w:szCs w:val="22"/>
        </w:rPr>
        <w:t>(4), pp.1432-1443. Available at: https://onlinelibrary.wiley.com/doi/pdf/10.1111/hex.13482 (Accessed: 24 January 2026).</w:t>
      </w:r>
    </w:p>
    <w:p w14:paraId="6EB00D11" w14:textId="0A9A11DB"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lastRenderedPageBreak/>
        <w:t>Saini, M., Sengupta, E., Singh, M., Singh, H. and Singh, J. (2023) ‘Sustainable Development Goal for Quality Education (SDG 4): A study on SDG 4 to extract the pattern of association among the indicators of SDG 4 employing a genetic algorithm’, </w:t>
      </w:r>
      <w:r w:rsidRPr="008F39D4">
        <w:rPr>
          <w:rFonts w:ascii="Arial" w:hAnsi="Arial" w:cs="Arial"/>
          <w:i/>
          <w:iCs/>
          <w:sz w:val="22"/>
          <w:szCs w:val="22"/>
        </w:rPr>
        <w:t>Education and Information Technologies</w:t>
      </w:r>
      <w:r w:rsidRPr="008F39D4">
        <w:rPr>
          <w:rFonts w:ascii="Arial" w:hAnsi="Arial" w:cs="Arial"/>
          <w:sz w:val="22"/>
          <w:szCs w:val="22"/>
        </w:rPr>
        <w:t>, </w:t>
      </w:r>
      <w:r w:rsidRPr="008F39D4">
        <w:rPr>
          <w:rFonts w:ascii="Arial" w:hAnsi="Arial" w:cs="Arial"/>
          <w:i/>
          <w:iCs/>
          <w:sz w:val="22"/>
          <w:szCs w:val="22"/>
        </w:rPr>
        <w:t>28</w:t>
      </w:r>
      <w:r w:rsidRPr="008F39D4">
        <w:rPr>
          <w:rFonts w:ascii="Arial" w:hAnsi="Arial" w:cs="Arial"/>
          <w:sz w:val="22"/>
          <w:szCs w:val="22"/>
        </w:rPr>
        <w:t>(2), pp.2031-2069. Available at: https://link.springer.com/content/pdf/10.1007/s10639-022-11265-4.pdf (Accessed: 24 January 2026).</w:t>
      </w:r>
    </w:p>
    <w:p w14:paraId="72F23989" w14:textId="5A1767AC"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Sangar, M. and Howe, J. (2021) ‘How discourses of </w:t>
      </w:r>
      <w:proofErr w:type="spellStart"/>
      <w:r w:rsidRPr="008F39D4">
        <w:rPr>
          <w:rFonts w:ascii="Arial" w:hAnsi="Arial" w:cs="Arial"/>
          <w:sz w:val="22"/>
          <w:szCs w:val="22"/>
        </w:rPr>
        <w:t>sharam</w:t>
      </w:r>
      <w:proofErr w:type="spellEnd"/>
      <w:r w:rsidRPr="008F39D4">
        <w:rPr>
          <w:rFonts w:ascii="Arial" w:hAnsi="Arial" w:cs="Arial"/>
          <w:sz w:val="22"/>
          <w:szCs w:val="22"/>
        </w:rPr>
        <w:t xml:space="preserve"> (shame) and mental health influence the help-seeking behaviours of British born girls of South Asian heritage’, </w:t>
      </w:r>
      <w:r w:rsidRPr="008F39D4">
        <w:rPr>
          <w:rFonts w:ascii="Arial" w:hAnsi="Arial" w:cs="Arial"/>
          <w:i/>
          <w:iCs/>
          <w:sz w:val="22"/>
          <w:szCs w:val="22"/>
        </w:rPr>
        <w:t>Educational Psychology in Practice</w:t>
      </w:r>
      <w:r w:rsidRPr="008F39D4">
        <w:rPr>
          <w:rFonts w:ascii="Arial" w:hAnsi="Arial" w:cs="Arial"/>
          <w:sz w:val="22"/>
          <w:szCs w:val="22"/>
        </w:rPr>
        <w:t>, </w:t>
      </w:r>
      <w:r w:rsidRPr="008F39D4">
        <w:rPr>
          <w:rFonts w:ascii="Arial" w:hAnsi="Arial" w:cs="Arial"/>
          <w:i/>
          <w:iCs/>
          <w:sz w:val="22"/>
          <w:szCs w:val="22"/>
        </w:rPr>
        <w:t>37</w:t>
      </w:r>
      <w:r w:rsidRPr="008F39D4">
        <w:rPr>
          <w:rFonts w:ascii="Arial" w:hAnsi="Arial" w:cs="Arial"/>
          <w:sz w:val="22"/>
          <w:szCs w:val="22"/>
        </w:rPr>
        <w:t>(4), pp.343-361. Available at: https://research.birmingham.ac.uk/files/132145776/Howe_Sangar.pdf (Accessed: 24 January 2026).</w:t>
      </w:r>
    </w:p>
    <w:p w14:paraId="5196406B" w14:textId="13614D4A"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Slaven, M. (2022) ‘The Windrush Scandal and the individualization of postcolonial immigration control in Britain’, </w:t>
      </w:r>
      <w:r w:rsidRPr="008F39D4">
        <w:rPr>
          <w:rFonts w:ascii="Arial" w:hAnsi="Arial" w:cs="Arial"/>
          <w:i/>
          <w:iCs/>
          <w:sz w:val="22"/>
          <w:szCs w:val="22"/>
        </w:rPr>
        <w:t>Ethnic and Racial Studies</w:t>
      </w:r>
      <w:r w:rsidRPr="008F39D4">
        <w:rPr>
          <w:rFonts w:ascii="Arial" w:hAnsi="Arial" w:cs="Arial"/>
          <w:sz w:val="22"/>
          <w:szCs w:val="22"/>
        </w:rPr>
        <w:t>, </w:t>
      </w:r>
      <w:r w:rsidRPr="008F39D4">
        <w:rPr>
          <w:rFonts w:ascii="Arial" w:hAnsi="Arial" w:cs="Arial"/>
          <w:i/>
          <w:iCs/>
          <w:sz w:val="22"/>
          <w:szCs w:val="22"/>
        </w:rPr>
        <w:t>45</w:t>
      </w:r>
      <w:r w:rsidRPr="008F39D4">
        <w:rPr>
          <w:rFonts w:ascii="Arial" w:hAnsi="Arial" w:cs="Arial"/>
          <w:sz w:val="22"/>
          <w:szCs w:val="22"/>
        </w:rPr>
        <w:t>(16), pp.49-71. Available at: https://www.tandfonline.com/doi/pdf/10.1080/01419870.2021.2001555 (Accessed: 24 January 2026).</w:t>
      </w:r>
    </w:p>
    <w:p w14:paraId="0C322842" w14:textId="7D5516EF"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Snyder, H. (2024) ‘Designing the literature review for a strong contribution’, </w:t>
      </w:r>
      <w:r w:rsidRPr="008F39D4">
        <w:rPr>
          <w:rFonts w:ascii="Arial" w:hAnsi="Arial" w:cs="Arial"/>
          <w:i/>
          <w:iCs/>
          <w:sz w:val="22"/>
          <w:szCs w:val="22"/>
        </w:rPr>
        <w:t>Journal of Decision Systems</w:t>
      </w:r>
      <w:r w:rsidRPr="008F39D4">
        <w:rPr>
          <w:rFonts w:ascii="Arial" w:hAnsi="Arial" w:cs="Arial"/>
          <w:sz w:val="22"/>
          <w:szCs w:val="22"/>
        </w:rPr>
        <w:t>, </w:t>
      </w:r>
      <w:r w:rsidRPr="008F39D4">
        <w:rPr>
          <w:rFonts w:ascii="Arial" w:hAnsi="Arial" w:cs="Arial"/>
          <w:i/>
          <w:iCs/>
          <w:sz w:val="22"/>
          <w:szCs w:val="22"/>
        </w:rPr>
        <w:t>33</w:t>
      </w:r>
      <w:r w:rsidRPr="008F39D4">
        <w:rPr>
          <w:rFonts w:ascii="Arial" w:hAnsi="Arial" w:cs="Arial"/>
          <w:sz w:val="22"/>
          <w:szCs w:val="22"/>
        </w:rPr>
        <w:t>(4), pp.551-558. Available at: https://www.tandfonline.com/doi/pdf/10.1080/12460125.2023.2197704 (Accessed: 24 January 2026).</w:t>
      </w:r>
    </w:p>
    <w:p w14:paraId="37A11DA1" w14:textId="77777777" w:rsidR="002164E4" w:rsidRPr="008F39D4" w:rsidRDefault="002164E4" w:rsidP="002164E4">
      <w:pPr>
        <w:spacing w:line="360" w:lineRule="auto"/>
        <w:rPr>
          <w:rFonts w:ascii="Arial" w:hAnsi="Arial" w:cs="Arial"/>
          <w:sz w:val="22"/>
          <w:szCs w:val="22"/>
        </w:rPr>
      </w:pPr>
      <w:r w:rsidRPr="008F39D4">
        <w:rPr>
          <w:rFonts w:ascii="Arial" w:hAnsi="Arial" w:cs="Arial"/>
          <w:sz w:val="22"/>
          <w:szCs w:val="22"/>
        </w:rPr>
        <w:t xml:space="preserve">Theodosopoulos, L., </w:t>
      </w:r>
      <w:proofErr w:type="spellStart"/>
      <w:r w:rsidRPr="008F39D4">
        <w:rPr>
          <w:rFonts w:ascii="Arial" w:hAnsi="Arial" w:cs="Arial"/>
          <w:sz w:val="22"/>
          <w:szCs w:val="22"/>
        </w:rPr>
        <w:t>Fradelos</w:t>
      </w:r>
      <w:proofErr w:type="spellEnd"/>
      <w:r w:rsidRPr="008F39D4">
        <w:rPr>
          <w:rFonts w:ascii="Arial" w:hAnsi="Arial" w:cs="Arial"/>
          <w:sz w:val="22"/>
          <w:szCs w:val="22"/>
        </w:rPr>
        <w:t xml:space="preserve">, E.C., Panagiotou, A., </w:t>
      </w:r>
      <w:proofErr w:type="spellStart"/>
      <w:r w:rsidRPr="008F39D4">
        <w:rPr>
          <w:rFonts w:ascii="Arial" w:hAnsi="Arial" w:cs="Arial"/>
          <w:sz w:val="22"/>
          <w:szCs w:val="22"/>
        </w:rPr>
        <w:t>Dreliozi</w:t>
      </w:r>
      <w:proofErr w:type="spellEnd"/>
      <w:r w:rsidRPr="008F39D4">
        <w:rPr>
          <w:rFonts w:ascii="Arial" w:hAnsi="Arial" w:cs="Arial"/>
          <w:sz w:val="22"/>
          <w:szCs w:val="22"/>
        </w:rPr>
        <w:t>, A. and Tzavella, F. (2024) ‘Delivering culturally competent care to migrants by healthcare personnel: A crucial aspect of delivering culturally sensitive care’, </w:t>
      </w:r>
      <w:r w:rsidRPr="008F39D4">
        <w:rPr>
          <w:rFonts w:ascii="Arial" w:hAnsi="Arial" w:cs="Arial"/>
          <w:i/>
          <w:iCs/>
          <w:sz w:val="22"/>
          <w:szCs w:val="22"/>
        </w:rPr>
        <w:t>Social Sciences</w:t>
      </w:r>
      <w:r w:rsidRPr="008F39D4">
        <w:rPr>
          <w:rFonts w:ascii="Arial" w:hAnsi="Arial" w:cs="Arial"/>
          <w:sz w:val="22"/>
          <w:szCs w:val="22"/>
        </w:rPr>
        <w:t>, </w:t>
      </w:r>
      <w:r w:rsidRPr="008F39D4">
        <w:rPr>
          <w:rFonts w:ascii="Arial" w:hAnsi="Arial" w:cs="Arial"/>
          <w:i/>
          <w:iCs/>
          <w:sz w:val="22"/>
          <w:szCs w:val="22"/>
        </w:rPr>
        <w:t>13</w:t>
      </w:r>
      <w:r w:rsidRPr="008F39D4">
        <w:rPr>
          <w:rFonts w:ascii="Arial" w:hAnsi="Arial" w:cs="Arial"/>
          <w:sz w:val="22"/>
          <w:szCs w:val="22"/>
        </w:rPr>
        <w:t xml:space="preserve">(10), pp.1-23. https://www.mdpi.com/2076-0760/13/10/530?utm </w:t>
      </w:r>
    </w:p>
    <w:p w14:paraId="7B3F2837" w14:textId="5A94B70D"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Ullah, A.A. and Ming Yit Ho, H. (2021) ‘Globalisation and cultures in Southeast Asia: Demise, fragmentation, transformation’, </w:t>
      </w:r>
      <w:r w:rsidRPr="008F39D4">
        <w:rPr>
          <w:rFonts w:ascii="Arial" w:hAnsi="Arial" w:cs="Arial"/>
          <w:i/>
          <w:iCs/>
          <w:sz w:val="22"/>
          <w:szCs w:val="22"/>
        </w:rPr>
        <w:t>Global Society</w:t>
      </w:r>
      <w:r w:rsidRPr="008F39D4">
        <w:rPr>
          <w:rFonts w:ascii="Arial" w:hAnsi="Arial" w:cs="Arial"/>
          <w:sz w:val="22"/>
          <w:szCs w:val="22"/>
        </w:rPr>
        <w:t>, </w:t>
      </w:r>
      <w:r w:rsidRPr="008F39D4">
        <w:rPr>
          <w:rFonts w:ascii="Arial" w:hAnsi="Arial" w:cs="Arial"/>
          <w:i/>
          <w:iCs/>
          <w:sz w:val="22"/>
          <w:szCs w:val="22"/>
        </w:rPr>
        <w:t>35</w:t>
      </w:r>
      <w:r w:rsidRPr="008F39D4">
        <w:rPr>
          <w:rFonts w:ascii="Arial" w:hAnsi="Arial" w:cs="Arial"/>
          <w:sz w:val="22"/>
          <w:szCs w:val="22"/>
        </w:rPr>
        <w:t>(2), pp.191-206. Available at: https://www.academia.edu/download/76729093/Globalisation_20and_20Cultures_20in_20Southeast_20Asia_20Demise_20Fragmentation_20Transformation.pdf (Accessed: 24 January 2026).</w:t>
      </w:r>
    </w:p>
    <w:p w14:paraId="40F6C7AE" w14:textId="17BFAD6C"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Vakil, K., Desse, T.A., Manias, E., Alzubaidi, H., Rasmussen, B., Holton, S. and Mc Namara, K.P. (2023) ‘Patient-</w:t>
      </w:r>
      <w:proofErr w:type="spellStart"/>
      <w:r w:rsidRPr="008F39D4">
        <w:rPr>
          <w:rFonts w:ascii="Arial" w:hAnsi="Arial" w:cs="Arial"/>
          <w:sz w:val="22"/>
          <w:szCs w:val="22"/>
        </w:rPr>
        <w:t>centered</w:t>
      </w:r>
      <w:proofErr w:type="spellEnd"/>
      <w:r w:rsidRPr="008F39D4">
        <w:rPr>
          <w:rFonts w:ascii="Arial" w:hAnsi="Arial" w:cs="Arial"/>
          <w:sz w:val="22"/>
          <w:szCs w:val="22"/>
        </w:rPr>
        <w:t xml:space="preserve"> care experiences of first-generation, South Asian migrants with chronic diseases living in high-income, western countries: systematic review’, </w:t>
      </w:r>
      <w:r w:rsidRPr="008F39D4">
        <w:rPr>
          <w:rFonts w:ascii="Arial" w:hAnsi="Arial" w:cs="Arial"/>
          <w:i/>
          <w:iCs/>
          <w:sz w:val="22"/>
          <w:szCs w:val="22"/>
        </w:rPr>
        <w:t>Patient preference and adherence</w:t>
      </w:r>
      <w:r w:rsidRPr="008F39D4">
        <w:rPr>
          <w:rFonts w:ascii="Arial" w:hAnsi="Arial" w:cs="Arial"/>
          <w:sz w:val="22"/>
          <w:szCs w:val="22"/>
        </w:rPr>
        <w:t>, pp.281-298. Available at: https://www.tandfonline.com/doi/pdf/10.2147/ppa.s391340 (Accessed: 24 January 2026).</w:t>
      </w:r>
    </w:p>
    <w:p w14:paraId="5657483C" w14:textId="7BFC492C"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lastRenderedPageBreak/>
        <w:t xml:space="preserve">Van Druten, V.P., Bartels, E.A., Van de </w:t>
      </w:r>
      <w:proofErr w:type="spellStart"/>
      <w:r w:rsidRPr="008F39D4">
        <w:rPr>
          <w:rFonts w:ascii="Arial" w:hAnsi="Arial" w:cs="Arial"/>
          <w:sz w:val="22"/>
          <w:szCs w:val="22"/>
        </w:rPr>
        <w:t>Mheen</w:t>
      </w:r>
      <w:proofErr w:type="spellEnd"/>
      <w:r w:rsidRPr="008F39D4">
        <w:rPr>
          <w:rFonts w:ascii="Arial" w:hAnsi="Arial" w:cs="Arial"/>
          <w:sz w:val="22"/>
          <w:szCs w:val="22"/>
        </w:rPr>
        <w:t xml:space="preserve">, D., De Vries, E., </w:t>
      </w:r>
      <w:proofErr w:type="spellStart"/>
      <w:r w:rsidRPr="008F39D4">
        <w:rPr>
          <w:rFonts w:ascii="Arial" w:hAnsi="Arial" w:cs="Arial"/>
          <w:sz w:val="22"/>
          <w:szCs w:val="22"/>
        </w:rPr>
        <w:t>Kerckhoffs</w:t>
      </w:r>
      <w:proofErr w:type="spellEnd"/>
      <w:r w:rsidRPr="008F39D4">
        <w:rPr>
          <w:rFonts w:ascii="Arial" w:hAnsi="Arial" w:cs="Arial"/>
          <w:sz w:val="22"/>
          <w:szCs w:val="22"/>
        </w:rPr>
        <w:t xml:space="preserve">, A.P.M. and Nahar-van </w:t>
      </w:r>
      <w:proofErr w:type="spellStart"/>
      <w:r w:rsidRPr="008F39D4">
        <w:rPr>
          <w:rFonts w:ascii="Arial" w:hAnsi="Arial" w:cs="Arial"/>
          <w:sz w:val="22"/>
          <w:szCs w:val="22"/>
        </w:rPr>
        <w:t>Venrooij</w:t>
      </w:r>
      <w:proofErr w:type="spellEnd"/>
      <w:r w:rsidRPr="008F39D4">
        <w:rPr>
          <w:rFonts w:ascii="Arial" w:hAnsi="Arial" w:cs="Arial"/>
          <w:sz w:val="22"/>
          <w:szCs w:val="22"/>
        </w:rPr>
        <w:t>, L.M.W. (2022) ‘Concepts of health in different contexts: a scoping review’, </w:t>
      </w:r>
      <w:r w:rsidRPr="008F39D4">
        <w:rPr>
          <w:rFonts w:ascii="Arial" w:hAnsi="Arial" w:cs="Arial"/>
          <w:i/>
          <w:iCs/>
          <w:sz w:val="22"/>
          <w:szCs w:val="22"/>
        </w:rPr>
        <w:t>BMC health services research</w:t>
      </w:r>
      <w:r w:rsidRPr="008F39D4">
        <w:rPr>
          <w:rFonts w:ascii="Arial" w:hAnsi="Arial" w:cs="Arial"/>
          <w:sz w:val="22"/>
          <w:szCs w:val="22"/>
        </w:rPr>
        <w:t>, </w:t>
      </w:r>
      <w:r w:rsidRPr="008F39D4">
        <w:rPr>
          <w:rFonts w:ascii="Arial" w:hAnsi="Arial" w:cs="Arial"/>
          <w:i/>
          <w:iCs/>
          <w:sz w:val="22"/>
          <w:szCs w:val="22"/>
        </w:rPr>
        <w:t>22</w:t>
      </w:r>
      <w:r w:rsidRPr="008F39D4">
        <w:rPr>
          <w:rFonts w:ascii="Arial" w:hAnsi="Arial" w:cs="Arial"/>
          <w:sz w:val="22"/>
          <w:szCs w:val="22"/>
        </w:rPr>
        <w:t>(1), pp.1-21. Available at: https://link.springer.com/content/pdf/10.1186/s12913-022-07702-2.pdf (Accessed: 24 January 2026).</w:t>
      </w:r>
    </w:p>
    <w:p w14:paraId="6D7B0075" w14:textId="7F101B76" w:rsidR="00D334FC" w:rsidRPr="008F39D4" w:rsidRDefault="00D334FC" w:rsidP="00D334FC">
      <w:pPr>
        <w:spacing w:line="360" w:lineRule="auto"/>
        <w:rPr>
          <w:rFonts w:ascii="Arial" w:hAnsi="Arial" w:cs="Arial"/>
          <w:sz w:val="22"/>
          <w:szCs w:val="22"/>
        </w:rPr>
      </w:pPr>
      <w:proofErr w:type="spellStart"/>
      <w:r w:rsidRPr="008F39D4">
        <w:rPr>
          <w:rFonts w:ascii="Arial" w:hAnsi="Arial" w:cs="Arial"/>
          <w:sz w:val="22"/>
          <w:szCs w:val="22"/>
        </w:rPr>
        <w:t>Velaithan</w:t>
      </w:r>
      <w:proofErr w:type="spellEnd"/>
      <w:r w:rsidRPr="008F39D4">
        <w:rPr>
          <w:rFonts w:ascii="Arial" w:hAnsi="Arial" w:cs="Arial"/>
          <w:sz w:val="22"/>
          <w:szCs w:val="22"/>
        </w:rPr>
        <w:t>, V., Tan, M.M., Yu, T.F., Liem, A., Teh, P.L. and Su, T.T. (2024) ‘The association of self-perception of ageing and quality of life in older adults: a systematic review’, </w:t>
      </w:r>
      <w:r w:rsidRPr="008F39D4">
        <w:rPr>
          <w:rFonts w:ascii="Arial" w:hAnsi="Arial" w:cs="Arial"/>
          <w:i/>
          <w:iCs/>
          <w:sz w:val="22"/>
          <w:szCs w:val="22"/>
        </w:rPr>
        <w:t>The Gerontologist</w:t>
      </w:r>
      <w:r w:rsidRPr="008F39D4">
        <w:rPr>
          <w:rFonts w:ascii="Arial" w:hAnsi="Arial" w:cs="Arial"/>
          <w:sz w:val="22"/>
          <w:szCs w:val="22"/>
        </w:rPr>
        <w:t>, </w:t>
      </w:r>
      <w:r w:rsidRPr="008F39D4">
        <w:rPr>
          <w:rFonts w:ascii="Arial" w:hAnsi="Arial" w:cs="Arial"/>
          <w:i/>
          <w:iCs/>
          <w:sz w:val="22"/>
          <w:szCs w:val="22"/>
        </w:rPr>
        <w:t>64</w:t>
      </w:r>
      <w:r w:rsidRPr="008F39D4">
        <w:rPr>
          <w:rFonts w:ascii="Arial" w:hAnsi="Arial" w:cs="Arial"/>
          <w:sz w:val="22"/>
          <w:szCs w:val="22"/>
        </w:rPr>
        <w:t xml:space="preserve">(4), pp.1-15. https://doi.org/10.1093/geront/gnad041 </w:t>
      </w:r>
    </w:p>
    <w:p w14:paraId="22CD8077" w14:textId="4EC375DF"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Velázquez, T.I. (2024) ‘The Integration of Pre-Service Training and In-Service Support Models in Canada and Their Impact on Multicultural Education’, </w:t>
      </w:r>
      <w:r w:rsidRPr="008F39D4">
        <w:rPr>
          <w:rFonts w:ascii="Arial" w:hAnsi="Arial" w:cs="Arial"/>
          <w:i/>
          <w:iCs/>
          <w:sz w:val="22"/>
          <w:szCs w:val="22"/>
        </w:rPr>
        <w:t>Research and Advances in Education</w:t>
      </w:r>
      <w:r w:rsidRPr="008F39D4">
        <w:rPr>
          <w:rFonts w:ascii="Arial" w:hAnsi="Arial" w:cs="Arial"/>
          <w:sz w:val="22"/>
          <w:szCs w:val="22"/>
        </w:rPr>
        <w:t>, </w:t>
      </w:r>
      <w:r w:rsidRPr="008F39D4">
        <w:rPr>
          <w:rFonts w:ascii="Arial" w:hAnsi="Arial" w:cs="Arial"/>
          <w:i/>
          <w:iCs/>
          <w:sz w:val="22"/>
          <w:szCs w:val="22"/>
        </w:rPr>
        <w:t>3</w:t>
      </w:r>
      <w:r w:rsidRPr="008F39D4">
        <w:rPr>
          <w:rFonts w:ascii="Arial" w:hAnsi="Arial" w:cs="Arial"/>
          <w:sz w:val="22"/>
          <w:szCs w:val="22"/>
        </w:rPr>
        <w:t>(10), pp.41-48. Available at: https://www.paradigmpress.org/rae/article/download/1375/1210 (Accessed: 24 January 2026).</w:t>
      </w:r>
    </w:p>
    <w:p w14:paraId="40C627BA" w14:textId="486AB3B0"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t xml:space="preserve">Yip, J.L., </w:t>
      </w:r>
      <w:proofErr w:type="spellStart"/>
      <w:r w:rsidRPr="008F39D4">
        <w:rPr>
          <w:rFonts w:ascii="Arial" w:hAnsi="Arial" w:cs="Arial"/>
          <w:sz w:val="22"/>
          <w:szCs w:val="22"/>
        </w:rPr>
        <w:t>Poduval</w:t>
      </w:r>
      <w:proofErr w:type="spellEnd"/>
      <w:r w:rsidRPr="008F39D4">
        <w:rPr>
          <w:rFonts w:ascii="Arial" w:hAnsi="Arial" w:cs="Arial"/>
          <w:sz w:val="22"/>
          <w:szCs w:val="22"/>
        </w:rPr>
        <w:t>, S., de Souza-Thomas, L., Carter, S. and Fenton, K. (2024) ‘Anti-racist interventions to reduce ethnic disparities in healthcare in the UK: an umbrella review and findings from healthcare, education and criminal justice’, </w:t>
      </w:r>
      <w:r w:rsidRPr="008F39D4">
        <w:rPr>
          <w:rFonts w:ascii="Arial" w:hAnsi="Arial" w:cs="Arial"/>
          <w:i/>
          <w:iCs/>
          <w:sz w:val="22"/>
          <w:szCs w:val="22"/>
        </w:rPr>
        <w:t>BMJ open</w:t>
      </w:r>
      <w:r w:rsidRPr="008F39D4">
        <w:rPr>
          <w:rFonts w:ascii="Arial" w:hAnsi="Arial" w:cs="Arial"/>
          <w:sz w:val="22"/>
          <w:szCs w:val="22"/>
        </w:rPr>
        <w:t>, </w:t>
      </w:r>
      <w:r w:rsidRPr="008F39D4">
        <w:rPr>
          <w:rFonts w:ascii="Arial" w:hAnsi="Arial" w:cs="Arial"/>
          <w:i/>
          <w:iCs/>
          <w:sz w:val="22"/>
          <w:szCs w:val="22"/>
        </w:rPr>
        <w:t>14</w:t>
      </w:r>
      <w:r w:rsidRPr="008F39D4">
        <w:rPr>
          <w:rFonts w:ascii="Arial" w:hAnsi="Arial" w:cs="Arial"/>
          <w:sz w:val="22"/>
          <w:szCs w:val="22"/>
        </w:rPr>
        <w:t xml:space="preserve">(2), pp.1-16. https://doi.org/10.1136/bmjopen-2023-075711 </w:t>
      </w:r>
    </w:p>
    <w:p w14:paraId="0CEEE3E3" w14:textId="77777777"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br w:type="page"/>
      </w:r>
    </w:p>
    <w:p w14:paraId="43A942B9" w14:textId="77777777" w:rsidR="00D334FC" w:rsidRPr="00A6192F" w:rsidRDefault="00D334FC" w:rsidP="00A6192F">
      <w:pPr>
        <w:pStyle w:val="Heading1"/>
        <w:spacing w:line="360" w:lineRule="auto"/>
        <w:jc w:val="center"/>
        <w:rPr>
          <w:rFonts w:ascii="Arial" w:hAnsi="Arial" w:cs="Arial"/>
          <w:b/>
          <w:bCs/>
          <w:color w:val="auto"/>
          <w:sz w:val="32"/>
          <w:szCs w:val="32"/>
        </w:rPr>
      </w:pPr>
      <w:bookmarkStart w:id="75" w:name="_Toc225060511"/>
      <w:r w:rsidRPr="00A6192F">
        <w:rPr>
          <w:rFonts w:ascii="Arial" w:hAnsi="Arial" w:cs="Arial"/>
          <w:b/>
          <w:bCs/>
          <w:color w:val="auto"/>
          <w:sz w:val="32"/>
          <w:szCs w:val="32"/>
        </w:rPr>
        <w:lastRenderedPageBreak/>
        <w:t>Appendices</w:t>
      </w:r>
      <w:bookmarkEnd w:id="75"/>
    </w:p>
    <w:p w14:paraId="4F718314" w14:textId="77777777" w:rsidR="00D334FC" w:rsidRPr="00A6192F" w:rsidRDefault="00D334FC" w:rsidP="00D334FC">
      <w:pPr>
        <w:pStyle w:val="Heading2"/>
        <w:spacing w:line="360" w:lineRule="auto"/>
        <w:rPr>
          <w:rFonts w:ascii="Arial" w:hAnsi="Arial" w:cs="Arial"/>
          <w:b/>
          <w:bCs/>
          <w:color w:val="auto"/>
          <w:sz w:val="28"/>
          <w:szCs w:val="28"/>
        </w:rPr>
      </w:pPr>
      <w:bookmarkStart w:id="76" w:name="_Toc225060512"/>
      <w:r w:rsidRPr="00A6192F">
        <w:rPr>
          <w:rFonts w:ascii="Arial" w:hAnsi="Arial" w:cs="Arial"/>
          <w:b/>
          <w:bCs/>
          <w:color w:val="auto"/>
          <w:sz w:val="28"/>
          <w:szCs w:val="28"/>
        </w:rPr>
        <w:t>Appendix 1: Source Tracking Table</w:t>
      </w:r>
      <w:bookmarkEnd w:id="76"/>
    </w:p>
    <w:tbl>
      <w:tblPr>
        <w:tblStyle w:val="TableGrid"/>
        <w:tblW w:w="9323" w:type="dxa"/>
        <w:tblLook w:val="04A0" w:firstRow="1" w:lastRow="0" w:firstColumn="1" w:lastColumn="0" w:noHBand="0" w:noVBand="1"/>
      </w:tblPr>
      <w:tblGrid>
        <w:gridCol w:w="1412"/>
        <w:gridCol w:w="730"/>
        <w:gridCol w:w="1766"/>
        <w:gridCol w:w="2261"/>
        <w:gridCol w:w="1918"/>
        <w:gridCol w:w="1236"/>
      </w:tblGrid>
      <w:tr w:rsidR="00D334FC" w:rsidRPr="008F39D4" w14:paraId="5BA2B39E" w14:textId="77777777" w:rsidTr="00A6192F">
        <w:trPr>
          <w:trHeight w:val="708"/>
        </w:trPr>
        <w:tc>
          <w:tcPr>
            <w:tcW w:w="1412" w:type="dxa"/>
          </w:tcPr>
          <w:p w14:paraId="50BE883B" w14:textId="77777777" w:rsidR="00D334FC" w:rsidRPr="008F39D4" w:rsidRDefault="00D334FC" w:rsidP="00D334FC">
            <w:pPr>
              <w:spacing w:line="360" w:lineRule="auto"/>
              <w:rPr>
                <w:rFonts w:ascii="Arial" w:hAnsi="Arial" w:cs="Arial"/>
                <w:b/>
                <w:bCs/>
                <w:color w:val="000000" w:themeColor="text1"/>
                <w:sz w:val="22"/>
                <w:szCs w:val="22"/>
              </w:rPr>
            </w:pPr>
            <w:r w:rsidRPr="008F39D4">
              <w:rPr>
                <w:rFonts w:ascii="Arial" w:hAnsi="Arial" w:cs="Arial"/>
                <w:b/>
                <w:bCs/>
                <w:color w:val="000000" w:themeColor="text1"/>
                <w:sz w:val="22"/>
                <w:szCs w:val="22"/>
              </w:rPr>
              <w:t>Author</w:t>
            </w:r>
          </w:p>
        </w:tc>
        <w:tc>
          <w:tcPr>
            <w:tcW w:w="730" w:type="dxa"/>
          </w:tcPr>
          <w:p w14:paraId="387D23D7" w14:textId="77777777" w:rsidR="00D334FC" w:rsidRPr="008F39D4" w:rsidRDefault="00D334FC" w:rsidP="00D334FC">
            <w:pPr>
              <w:spacing w:line="360" w:lineRule="auto"/>
              <w:rPr>
                <w:rFonts w:ascii="Arial" w:hAnsi="Arial" w:cs="Arial"/>
                <w:b/>
                <w:bCs/>
                <w:color w:val="000000" w:themeColor="text1"/>
                <w:sz w:val="22"/>
                <w:szCs w:val="22"/>
              </w:rPr>
            </w:pPr>
            <w:r w:rsidRPr="008F39D4">
              <w:rPr>
                <w:rFonts w:ascii="Arial" w:hAnsi="Arial" w:cs="Arial"/>
                <w:b/>
                <w:bCs/>
                <w:color w:val="000000" w:themeColor="text1"/>
                <w:sz w:val="22"/>
                <w:szCs w:val="22"/>
              </w:rPr>
              <w:t>Year</w:t>
            </w:r>
          </w:p>
        </w:tc>
        <w:tc>
          <w:tcPr>
            <w:tcW w:w="1766" w:type="dxa"/>
          </w:tcPr>
          <w:p w14:paraId="33D4B1DE" w14:textId="77777777" w:rsidR="00D334FC" w:rsidRPr="008F39D4" w:rsidRDefault="00D334FC" w:rsidP="00D334FC">
            <w:pPr>
              <w:spacing w:line="360" w:lineRule="auto"/>
              <w:rPr>
                <w:rFonts w:ascii="Arial" w:hAnsi="Arial" w:cs="Arial"/>
                <w:b/>
                <w:bCs/>
                <w:color w:val="000000" w:themeColor="text1"/>
                <w:sz w:val="22"/>
                <w:szCs w:val="22"/>
              </w:rPr>
            </w:pPr>
            <w:r w:rsidRPr="008F39D4">
              <w:rPr>
                <w:rFonts w:ascii="Arial" w:hAnsi="Arial" w:cs="Arial"/>
                <w:b/>
                <w:bCs/>
                <w:color w:val="000000" w:themeColor="text1"/>
                <w:sz w:val="22"/>
                <w:szCs w:val="22"/>
              </w:rPr>
              <w:t>Study focus</w:t>
            </w:r>
          </w:p>
        </w:tc>
        <w:tc>
          <w:tcPr>
            <w:tcW w:w="2261" w:type="dxa"/>
          </w:tcPr>
          <w:p w14:paraId="01B8656C" w14:textId="77777777" w:rsidR="00D334FC" w:rsidRPr="008F39D4" w:rsidRDefault="00D334FC" w:rsidP="00D334FC">
            <w:pPr>
              <w:spacing w:line="360" w:lineRule="auto"/>
              <w:rPr>
                <w:rFonts w:ascii="Arial" w:hAnsi="Arial" w:cs="Arial"/>
                <w:b/>
                <w:bCs/>
                <w:color w:val="000000" w:themeColor="text1"/>
                <w:sz w:val="22"/>
                <w:szCs w:val="22"/>
              </w:rPr>
            </w:pPr>
            <w:r w:rsidRPr="008F39D4">
              <w:rPr>
                <w:rFonts w:ascii="Arial" w:hAnsi="Arial" w:cs="Arial"/>
                <w:b/>
                <w:bCs/>
                <w:color w:val="000000" w:themeColor="text1"/>
                <w:sz w:val="22"/>
                <w:szCs w:val="22"/>
              </w:rPr>
              <w:t>Key findings</w:t>
            </w:r>
          </w:p>
        </w:tc>
        <w:tc>
          <w:tcPr>
            <w:tcW w:w="1918" w:type="dxa"/>
          </w:tcPr>
          <w:p w14:paraId="1A17968F" w14:textId="77777777" w:rsidR="00D334FC" w:rsidRPr="008F39D4" w:rsidRDefault="00D334FC" w:rsidP="00D334FC">
            <w:pPr>
              <w:spacing w:line="360" w:lineRule="auto"/>
              <w:rPr>
                <w:rFonts w:ascii="Arial" w:hAnsi="Arial" w:cs="Arial"/>
                <w:b/>
                <w:bCs/>
                <w:color w:val="000000" w:themeColor="text1"/>
                <w:sz w:val="22"/>
                <w:szCs w:val="22"/>
              </w:rPr>
            </w:pPr>
            <w:r w:rsidRPr="008F39D4">
              <w:rPr>
                <w:rFonts w:ascii="Arial" w:hAnsi="Arial" w:cs="Arial"/>
                <w:b/>
                <w:bCs/>
                <w:color w:val="000000" w:themeColor="text1"/>
                <w:sz w:val="22"/>
                <w:szCs w:val="22"/>
              </w:rPr>
              <w:t>CRAAP Evaluation</w:t>
            </w:r>
          </w:p>
        </w:tc>
        <w:tc>
          <w:tcPr>
            <w:tcW w:w="1236" w:type="dxa"/>
          </w:tcPr>
          <w:p w14:paraId="15F7B9E1" w14:textId="77777777" w:rsidR="00D334FC" w:rsidRPr="008F39D4" w:rsidRDefault="00D334FC" w:rsidP="00D334FC">
            <w:pPr>
              <w:spacing w:line="360" w:lineRule="auto"/>
              <w:rPr>
                <w:rFonts w:ascii="Arial" w:hAnsi="Arial" w:cs="Arial"/>
                <w:b/>
                <w:bCs/>
                <w:color w:val="000000" w:themeColor="text1"/>
                <w:sz w:val="22"/>
                <w:szCs w:val="22"/>
              </w:rPr>
            </w:pPr>
            <w:r w:rsidRPr="008F39D4">
              <w:rPr>
                <w:rFonts w:ascii="Arial" w:hAnsi="Arial" w:cs="Arial"/>
                <w:b/>
                <w:bCs/>
                <w:color w:val="000000" w:themeColor="text1"/>
                <w:sz w:val="22"/>
                <w:szCs w:val="22"/>
              </w:rPr>
              <w:t>Decision</w:t>
            </w:r>
          </w:p>
        </w:tc>
      </w:tr>
      <w:tr w:rsidR="00D334FC" w:rsidRPr="008F39D4" w14:paraId="69143E00" w14:textId="77777777" w:rsidTr="00A6192F">
        <w:trPr>
          <w:trHeight w:val="3900"/>
        </w:trPr>
        <w:tc>
          <w:tcPr>
            <w:tcW w:w="1412" w:type="dxa"/>
          </w:tcPr>
          <w:p w14:paraId="0BD1AE29"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Prajapati and Liebling </w:t>
            </w:r>
          </w:p>
        </w:tc>
        <w:tc>
          <w:tcPr>
            <w:tcW w:w="730" w:type="dxa"/>
          </w:tcPr>
          <w:p w14:paraId="061314BE"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2022</w:t>
            </w:r>
          </w:p>
        </w:tc>
        <w:tc>
          <w:tcPr>
            <w:tcW w:w="1766" w:type="dxa"/>
          </w:tcPr>
          <w:p w14:paraId="250F7931"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Mental health access among ethnic minority communities in the UK</w:t>
            </w:r>
          </w:p>
        </w:tc>
        <w:tc>
          <w:tcPr>
            <w:tcW w:w="2261" w:type="dxa"/>
          </w:tcPr>
          <w:p w14:paraId="5DA9212B"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Cultural stigma and fear of judgment discourage individuals from seeking professional mental health support, leading to delayed help-seeking and mistrust of services.</w:t>
            </w:r>
          </w:p>
        </w:tc>
        <w:tc>
          <w:tcPr>
            <w:tcW w:w="1918" w:type="dxa"/>
          </w:tcPr>
          <w:p w14:paraId="3C6A5CB1"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It is relevant and authoritative as it examines cultural stigma and mistrust affecting mental health service access among ethnic minority communities in the UK.</w:t>
            </w:r>
          </w:p>
        </w:tc>
        <w:tc>
          <w:tcPr>
            <w:tcW w:w="1236" w:type="dxa"/>
          </w:tcPr>
          <w:p w14:paraId="5772C59F"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Included</w:t>
            </w:r>
          </w:p>
        </w:tc>
      </w:tr>
      <w:tr w:rsidR="00D334FC" w:rsidRPr="008F39D4" w14:paraId="44B3D88B" w14:textId="77777777" w:rsidTr="00A6192F">
        <w:trPr>
          <w:trHeight w:val="5691"/>
        </w:trPr>
        <w:tc>
          <w:tcPr>
            <w:tcW w:w="1412" w:type="dxa"/>
          </w:tcPr>
          <w:p w14:paraId="489B6CA7"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sz w:val="22"/>
                <w:szCs w:val="22"/>
              </w:rPr>
              <w:t>Holden et al.</w:t>
            </w:r>
          </w:p>
        </w:tc>
        <w:tc>
          <w:tcPr>
            <w:tcW w:w="730" w:type="dxa"/>
          </w:tcPr>
          <w:p w14:paraId="0DA416AA"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2012</w:t>
            </w:r>
          </w:p>
        </w:tc>
        <w:tc>
          <w:tcPr>
            <w:tcW w:w="1766" w:type="dxa"/>
          </w:tcPr>
          <w:p w14:paraId="6B0642FC"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Examines psychosocial, socio-cultural, and environmental factors that influence mental health help-seeking behaviour among </w:t>
            </w:r>
            <w:proofErr w:type="gramStart"/>
            <w:r w:rsidRPr="008F39D4">
              <w:rPr>
                <w:rFonts w:ascii="Arial" w:hAnsi="Arial" w:cs="Arial"/>
                <w:color w:val="000000" w:themeColor="text1"/>
                <w:sz w:val="22"/>
                <w:szCs w:val="22"/>
              </w:rPr>
              <w:t>African-American</w:t>
            </w:r>
            <w:proofErr w:type="gramEnd"/>
            <w:r w:rsidRPr="008F39D4">
              <w:rPr>
                <w:rFonts w:ascii="Arial" w:hAnsi="Arial" w:cs="Arial"/>
                <w:color w:val="000000" w:themeColor="text1"/>
                <w:sz w:val="22"/>
                <w:szCs w:val="22"/>
              </w:rPr>
              <w:t xml:space="preserve"> men.</w:t>
            </w:r>
          </w:p>
        </w:tc>
        <w:tc>
          <w:tcPr>
            <w:tcW w:w="2261" w:type="dxa"/>
          </w:tcPr>
          <w:p w14:paraId="6A44A578"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Stigma, cultural expectations of masculinity, mistrust of healthcare systems, and limited awareness of services significantly reduce mental health help-seeking among </w:t>
            </w:r>
            <w:proofErr w:type="gramStart"/>
            <w:r w:rsidRPr="008F39D4">
              <w:rPr>
                <w:rFonts w:ascii="Arial" w:hAnsi="Arial" w:cs="Arial"/>
                <w:color w:val="000000" w:themeColor="text1"/>
                <w:sz w:val="22"/>
                <w:szCs w:val="22"/>
              </w:rPr>
              <w:t>African-American</w:t>
            </w:r>
            <w:proofErr w:type="gramEnd"/>
            <w:r w:rsidRPr="008F39D4">
              <w:rPr>
                <w:rFonts w:ascii="Arial" w:hAnsi="Arial" w:cs="Arial"/>
                <w:color w:val="000000" w:themeColor="text1"/>
                <w:sz w:val="22"/>
                <w:szCs w:val="22"/>
              </w:rPr>
              <w:t xml:space="preserve"> men.</w:t>
            </w:r>
          </w:p>
        </w:tc>
        <w:tc>
          <w:tcPr>
            <w:tcW w:w="1918" w:type="dxa"/>
          </w:tcPr>
          <w:p w14:paraId="668CEA65"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The article is relevant and credible due to its peer-reviewed source, qualified authors, and evidence-based discussion, although its publication date (2012) slightly limits its currency for recent policy changes.</w:t>
            </w:r>
          </w:p>
        </w:tc>
        <w:tc>
          <w:tcPr>
            <w:tcW w:w="1236" w:type="dxa"/>
          </w:tcPr>
          <w:p w14:paraId="470923EB"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Excluded</w:t>
            </w:r>
          </w:p>
        </w:tc>
      </w:tr>
      <w:tr w:rsidR="00D334FC" w:rsidRPr="008F39D4" w14:paraId="1217EEF7" w14:textId="77777777" w:rsidTr="00A6192F">
        <w:trPr>
          <w:trHeight w:val="1415"/>
        </w:trPr>
        <w:tc>
          <w:tcPr>
            <w:tcW w:w="1412" w:type="dxa"/>
          </w:tcPr>
          <w:p w14:paraId="42873519"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Delon et al. </w:t>
            </w:r>
          </w:p>
        </w:tc>
        <w:tc>
          <w:tcPr>
            <w:tcW w:w="730" w:type="dxa"/>
          </w:tcPr>
          <w:p w14:paraId="580CC970"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2022</w:t>
            </w:r>
          </w:p>
        </w:tc>
        <w:tc>
          <w:tcPr>
            <w:tcW w:w="1766" w:type="dxa"/>
          </w:tcPr>
          <w:p w14:paraId="7D98A0DB"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Cancer inequalities among ethnic minorities</w:t>
            </w:r>
          </w:p>
        </w:tc>
        <w:tc>
          <w:tcPr>
            <w:tcW w:w="2261" w:type="dxa"/>
          </w:tcPr>
          <w:p w14:paraId="635FE339"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Ethnic minorities experience lower screening participation and late-stage diagnosis </w:t>
            </w:r>
            <w:r w:rsidRPr="008F39D4">
              <w:rPr>
                <w:rFonts w:ascii="Arial" w:hAnsi="Arial" w:cs="Arial"/>
                <w:color w:val="000000" w:themeColor="text1"/>
                <w:sz w:val="22"/>
                <w:szCs w:val="22"/>
              </w:rPr>
              <w:lastRenderedPageBreak/>
              <w:t>due to systemic inequalities and limited awareness of preventive services.</w:t>
            </w:r>
          </w:p>
        </w:tc>
        <w:tc>
          <w:tcPr>
            <w:tcW w:w="1918" w:type="dxa"/>
          </w:tcPr>
          <w:p w14:paraId="709CF0AC"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lastRenderedPageBreak/>
              <w:t xml:space="preserve">It is directly relevant to ethnic health inequalities (Relevance), </w:t>
            </w:r>
            <w:r w:rsidRPr="008F39D4">
              <w:rPr>
                <w:rFonts w:ascii="Arial" w:hAnsi="Arial" w:cs="Arial"/>
                <w:color w:val="000000" w:themeColor="text1"/>
                <w:sz w:val="22"/>
                <w:szCs w:val="22"/>
              </w:rPr>
              <w:lastRenderedPageBreak/>
              <w:t>published by credible researchers (Authority), supported by evidence (Accuracy), and aims to inform healthcare equity discussions (Purpose).</w:t>
            </w:r>
          </w:p>
        </w:tc>
        <w:tc>
          <w:tcPr>
            <w:tcW w:w="1236" w:type="dxa"/>
          </w:tcPr>
          <w:p w14:paraId="4FC9F710"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lastRenderedPageBreak/>
              <w:t>Included</w:t>
            </w:r>
          </w:p>
        </w:tc>
      </w:tr>
      <w:tr w:rsidR="00D334FC" w:rsidRPr="008F39D4" w14:paraId="1133E61B" w14:textId="77777777" w:rsidTr="00A6192F">
        <w:trPr>
          <w:trHeight w:val="134"/>
        </w:trPr>
        <w:tc>
          <w:tcPr>
            <w:tcW w:w="1412" w:type="dxa"/>
          </w:tcPr>
          <w:p w14:paraId="3B373E84"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Chen et al. </w:t>
            </w:r>
          </w:p>
        </w:tc>
        <w:tc>
          <w:tcPr>
            <w:tcW w:w="730" w:type="dxa"/>
          </w:tcPr>
          <w:p w14:paraId="51661E0D"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2023</w:t>
            </w:r>
          </w:p>
        </w:tc>
        <w:tc>
          <w:tcPr>
            <w:tcW w:w="1766" w:type="dxa"/>
          </w:tcPr>
          <w:p w14:paraId="559BB93B"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Digital technologies and AI in healthcare decision-making</w:t>
            </w:r>
          </w:p>
        </w:tc>
        <w:tc>
          <w:tcPr>
            <w:tcW w:w="2261" w:type="dxa"/>
          </w:tcPr>
          <w:p w14:paraId="521DE479"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Algorithmic bias and underrepresentation of minority data may lead to unequal treatment recommendations and digital exclusion in healthcare systems.</w:t>
            </w:r>
          </w:p>
        </w:tc>
        <w:tc>
          <w:tcPr>
            <w:tcW w:w="1918" w:type="dxa"/>
          </w:tcPr>
          <w:p w14:paraId="5FD2E034"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It is current and relevant, published recently in a credible academic context, and provides authoritative and accurate insights into how algorithmic bias in AI healthcare systems may disadvantage minority populations.</w:t>
            </w:r>
          </w:p>
        </w:tc>
        <w:tc>
          <w:tcPr>
            <w:tcW w:w="1236" w:type="dxa"/>
          </w:tcPr>
          <w:p w14:paraId="37F01A76"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Included</w:t>
            </w:r>
          </w:p>
        </w:tc>
      </w:tr>
      <w:tr w:rsidR="00D334FC" w:rsidRPr="008F39D4" w14:paraId="033AD767" w14:textId="77777777" w:rsidTr="00A6192F">
        <w:trPr>
          <w:trHeight w:val="2124"/>
        </w:trPr>
        <w:tc>
          <w:tcPr>
            <w:tcW w:w="1412" w:type="dxa"/>
          </w:tcPr>
          <w:p w14:paraId="0F0F46FE" w14:textId="77777777" w:rsidR="00D334FC" w:rsidRPr="008F39D4" w:rsidRDefault="00D334FC" w:rsidP="00D334FC">
            <w:pPr>
              <w:spacing w:line="360" w:lineRule="auto"/>
              <w:rPr>
                <w:rFonts w:ascii="Arial" w:hAnsi="Arial" w:cs="Arial"/>
                <w:color w:val="000000" w:themeColor="text1"/>
                <w:sz w:val="22"/>
                <w:szCs w:val="22"/>
              </w:rPr>
            </w:pPr>
            <w:proofErr w:type="spellStart"/>
            <w:r w:rsidRPr="008F39D4">
              <w:rPr>
                <w:rFonts w:ascii="Arial" w:hAnsi="Arial" w:cs="Arial"/>
                <w:color w:val="000000" w:themeColor="text1"/>
                <w:sz w:val="22"/>
                <w:szCs w:val="22"/>
              </w:rPr>
              <w:t>Georgeou</w:t>
            </w:r>
            <w:proofErr w:type="spellEnd"/>
            <w:r w:rsidRPr="008F39D4">
              <w:rPr>
                <w:rFonts w:ascii="Arial" w:hAnsi="Arial" w:cs="Arial"/>
                <w:color w:val="000000" w:themeColor="text1"/>
                <w:sz w:val="22"/>
                <w:szCs w:val="22"/>
              </w:rPr>
              <w:t xml:space="preserve"> et al. </w:t>
            </w:r>
          </w:p>
        </w:tc>
        <w:tc>
          <w:tcPr>
            <w:tcW w:w="730" w:type="dxa"/>
          </w:tcPr>
          <w:p w14:paraId="5823460E"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2023</w:t>
            </w:r>
          </w:p>
        </w:tc>
        <w:tc>
          <w:tcPr>
            <w:tcW w:w="1766" w:type="dxa"/>
          </w:tcPr>
          <w:p w14:paraId="5C436160"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Migrant ageing and health service experiences</w:t>
            </w:r>
          </w:p>
        </w:tc>
        <w:tc>
          <w:tcPr>
            <w:tcW w:w="2261" w:type="dxa"/>
          </w:tcPr>
          <w:p w14:paraId="1FFB74FF"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Migrants often face language isolation, cultural disconnect and identity loss, which can reduce their engagement with healthcare services.</w:t>
            </w:r>
          </w:p>
        </w:tc>
        <w:tc>
          <w:tcPr>
            <w:tcW w:w="1918" w:type="dxa"/>
          </w:tcPr>
          <w:p w14:paraId="0CC41B4E"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It is considered relevant and current as it provides credible evidence on migrant ageing and healthcare barriers such as </w:t>
            </w:r>
            <w:r w:rsidRPr="008F39D4">
              <w:rPr>
                <w:rFonts w:ascii="Arial" w:hAnsi="Arial" w:cs="Arial"/>
                <w:color w:val="000000" w:themeColor="text1"/>
                <w:sz w:val="22"/>
                <w:szCs w:val="22"/>
              </w:rPr>
              <w:lastRenderedPageBreak/>
              <w:t>language isolation, cultural disconnection and identity loss affecting service engagement.</w:t>
            </w:r>
          </w:p>
        </w:tc>
        <w:tc>
          <w:tcPr>
            <w:tcW w:w="1236" w:type="dxa"/>
          </w:tcPr>
          <w:p w14:paraId="5A582972"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lastRenderedPageBreak/>
              <w:t>Included</w:t>
            </w:r>
          </w:p>
        </w:tc>
      </w:tr>
      <w:tr w:rsidR="00D334FC" w:rsidRPr="008F39D4" w14:paraId="3F2CFD1B" w14:textId="77777777" w:rsidTr="00A6192F">
        <w:trPr>
          <w:trHeight w:val="134"/>
        </w:trPr>
        <w:tc>
          <w:tcPr>
            <w:tcW w:w="1412" w:type="dxa"/>
          </w:tcPr>
          <w:p w14:paraId="03664DDC"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Dadswell and Bungay </w:t>
            </w:r>
          </w:p>
        </w:tc>
        <w:tc>
          <w:tcPr>
            <w:tcW w:w="730" w:type="dxa"/>
          </w:tcPr>
          <w:p w14:paraId="06C59053"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2025</w:t>
            </w:r>
          </w:p>
        </w:tc>
        <w:tc>
          <w:tcPr>
            <w:tcW w:w="1766" w:type="dxa"/>
          </w:tcPr>
          <w:p w14:paraId="643E6861"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Social prescribing and inclusive health services</w:t>
            </w:r>
          </w:p>
        </w:tc>
        <w:tc>
          <w:tcPr>
            <w:tcW w:w="2261" w:type="dxa"/>
          </w:tcPr>
          <w:p w14:paraId="49373093"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Community participation and culturally sensitive programmes improve access to services and strengthen engagement with minority communities.</w:t>
            </w:r>
          </w:p>
        </w:tc>
        <w:tc>
          <w:tcPr>
            <w:tcW w:w="1918" w:type="dxa"/>
          </w:tcPr>
          <w:p w14:paraId="654F5A75"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It is current, relevant to minority health access, published by credible researchers, presents accurate evidence on social prescribing, and aims to inform inclusive health policy and community engagement.</w:t>
            </w:r>
          </w:p>
        </w:tc>
        <w:tc>
          <w:tcPr>
            <w:tcW w:w="1236" w:type="dxa"/>
          </w:tcPr>
          <w:p w14:paraId="304E194A"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Included</w:t>
            </w:r>
          </w:p>
        </w:tc>
      </w:tr>
      <w:tr w:rsidR="00D334FC" w:rsidRPr="008F39D4" w14:paraId="32DB0E6D" w14:textId="77777777" w:rsidTr="00A6192F">
        <w:trPr>
          <w:trHeight w:val="3552"/>
        </w:trPr>
        <w:tc>
          <w:tcPr>
            <w:tcW w:w="1412" w:type="dxa"/>
          </w:tcPr>
          <w:p w14:paraId="3BF6CAC0"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Khatri and Assefa </w:t>
            </w:r>
          </w:p>
        </w:tc>
        <w:tc>
          <w:tcPr>
            <w:tcW w:w="730" w:type="dxa"/>
          </w:tcPr>
          <w:p w14:paraId="05CD0EB5"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2022</w:t>
            </w:r>
          </w:p>
        </w:tc>
        <w:tc>
          <w:tcPr>
            <w:tcW w:w="1766" w:type="dxa"/>
          </w:tcPr>
          <w:p w14:paraId="26B9D8E6"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Barriers to healthcare system navigation</w:t>
            </w:r>
          </w:p>
        </w:tc>
        <w:tc>
          <w:tcPr>
            <w:tcW w:w="2261" w:type="dxa"/>
          </w:tcPr>
          <w:p w14:paraId="42C2AA4C"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Minority groups experience difficulties navigating health systems due to language barriers, lack of interpreters and cultural misunderstanding.</w:t>
            </w:r>
          </w:p>
        </w:tc>
        <w:tc>
          <w:tcPr>
            <w:tcW w:w="1918" w:type="dxa"/>
          </w:tcPr>
          <w:p w14:paraId="410C0F09"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It is considered relevant and credible because it provides recent, authoritative evidence on language and cultural barriers affecting healthcare system navigation </w:t>
            </w:r>
            <w:r w:rsidRPr="008F39D4">
              <w:rPr>
                <w:rFonts w:ascii="Arial" w:hAnsi="Arial" w:cs="Arial"/>
                <w:color w:val="000000" w:themeColor="text1"/>
                <w:sz w:val="22"/>
                <w:szCs w:val="22"/>
              </w:rPr>
              <w:lastRenderedPageBreak/>
              <w:t>among minority communities.</w:t>
            </w:r>
          </w:p>
        </w:tc>
        <w:tc>
          <w:tcPr>
            <w:tcW w:w="1236" w:type="dxa"/>
          </w:tcPr>
          <w:p w14:paraId="06A9958E"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lastRenderedPageBreak/>
              <w:t>Included</w:t>
            </w:r>
          </w:p>
        </w:tc>
      </w:tr>
      <w:tr w:rsidR="00D334FC" w:rsidRPr="008F39D4" w14:paraId="5E6D7AB6" w14:textId="77777777" w:rsidTr="00A6192F">
        <w:trPr>
          <w:trHeight w:val="134"/>
        </w:trPr>
        <w:tc>
          <w:tcPr>
            <w:tcW w:w="1412" w:type="dxa"/>
          </w:tcPr>
          <w:p w14:paraId="18C53B06"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Mohd Rosnu et al. </w:t>
            </w:r>
          </w:p>
        </w:tc>
        <w:tc>
          <w:tcPr>
            <w:tcW w:w="730" w:type="dxa"/>
          </w:tcPr>
          <w:p w14:paraId="61761D55"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2022</w:t>
            </w:r>
          </w:p>
        </w:tc>
        <w:tc>
          <w:tcPr>
            <w:tcW w:w="1766" w:type="dxa"/>
          </w:tcPr>
          <w:p w14:paraId="0B504303"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Socioeconomic barriers to healthcare access</w:t>
            </w:r>
          </w:p>
        </w:tc>
        <w:tc>
          <w:tcPr>
            <w:tcW w:w="2261" w:type="dxa"/>
          </w:tcPr>
          <w:p w14:paraId="21278A9B"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Financial limitations, transportation issues and low health awareness reduce the ability of minority populations to utilise healthcare services.</w:t>
            </w:r>
          </w:p>
        </w:tc>
        <w:tc>
          <w:tcPr>
            <w:tcW w:w="1918" w:type="dxa"/>
          </w:tcPr>
          <w:p w14:paraId="04FD1ED9"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It is considered relevant and credible as it provides recent, evidence-based insights into socioeconomic barriers such as financial constraints and transport limitations affecting healthcare access among minority populations.</w:t>
            </w:r>
          </w:p>
        </w:tc>
        <w:tc>
          <w:tcPr>
            <w:tcW w:w="1236" w:type="dxa"/>
          </w:tcPr>
          <w:p w14:paraId="7D9529B2"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Included</w:t>
            </w:r>
          </w:p>
        </w:tc>
      </w:tr>
      <w:tr w:rsidR="00D334FC" w:rsidRPr="008F39D4" w14:paraId="457ABDF7" w14:textId="77777777" w:rsidTr="00A6192F">
        <w:trPr>
          <w:trHeight w:val="4969"/>
        </w:trPr>
        <w:tc>
          <w:tcPr>
            <w:tcW w:w="1412" w:type="dxa"/>
          </w:tcPr>
          <w:p w14:paraId="29098B6F"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sz w:val="22"/>
                <w:szCs w:val="22"/>
              </w:rPr>
              <w:lastRenderedPageBreak/>
              <w:t>Clement et al.</w:t>
            </w:r>
          </w:p>
        </w:tc>
        <w:tc>
          <w:tcPr>
            <w:tcW w:w="730" w:type="dxa"/>
          </w:tcPr>
          <w:p w14:paraId="6E36E9B4"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2015</w:t>
            </w:r>
          </w:p>
        </w:tc>
        <w:tc>
          <w:tcPr>
            <w:tcW w:w="1766" w:type="dxa"/>
          </w:tcPr>
          <w:p w14:paraId="4BB08A10"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Examines how mental health–related stigma influences individuals’ willingness to seek professional psychological help through a systematic review of quantitative and qualitative studies.</w:t>
            </w:r>
          </w:p>
        </w:tc>
        <w:tc>
          <w:tcPr>
            <w:tcW w:w="2261" w:type="dxa"/>
          </w:tcPr>
          <w:p w14:paraId="4EAD6266"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The study finds that stigma significantly discourages help-seeking behaviour, as fear of discrimination, shame, and negative social judgement prevent many individuals from accessing mental health services.</w:t>
            </w:r>
          </w:p>
        </w:tc>
        <w:tc>
          <w:tcPr>
            <w:tcW w:w="1918" w:type="dxa"/>
          </w:tcPr>
          <w:p w14:paraId="6CA4D40B"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The study is credible as it is published in the peer-reviewed journal </w:t>
            </w:r>
            <w:r w:rsidRPr="008F39D4">
              <w:rPr>
                <w:rFonts w:ascii="Arial" w:hAnsi="Arial" w:cs="Arial"/>
                <w:i/>
                <w:iCs/>
                <w:color w:val="000000" w:themeColor="text1"/>
                <w:sz w:val="22"/>
                <w:szCs w:val="22"/>
              </w:rPr>
              <w:t>Psychological Medicine</w:t>
            </w:r>
            <w:r w:rsidRPr="008F39D4">
              <w:rPr>
                <w:rFonts w:ascii="Arial" w:hAnsi="Arial" w:cs="Arial"/>
                <w:color w:val="000000" w:themeColor="text1"/>
                <w:sz w:val="22"/>
                <w:szCs w:val="22"/>
              </w:rPr>
              <w:t>, written by recognised researchers, uses systematic review methods, and provides relevant and accurate evidence on stigma and help-seeking behaviour.</w:t>
            </w:r>
          </w:p>
        </w:tc>
        <w:tc>
          <w:tcPr>
            <w:tcW w:w="1236" w:type="dxa"/>
          </w:tcPr>
          <w:p w14:paraId="0A67A6E8"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Excluded</w:t>
            </w:r>
          </w:p>
        </w:tc>
      </w:tr>
      <w:tr w:rsidR="00D334FC" w:rsidRPr="008F39D4" w14:paraId="64AB0451" w14:textId="77777777" w:rsidTr="00A6192F">
        <w:trPr>
          <w:trHeight w:val="134"/>
        </w:trPr>
        <w:tc>
          <w:tcPr>
            <w:tcW w:w="1412" w:type="dxa"/>
          </w:tcPr>
          <w:p w14:paraId="10D6829A" w14:textId="77777777" w:rsidR="00D334FC" w:rsidRPr="008F39D4" w:rsidRDefault="00D334FC" w:rsidP="00D334FC">
            <w:pPr>
              <w:spacing w:line="360" w:lineRule="auto"/>
              <w:rPr>
                <w:rFonts w:ascii="Arial" w:hAnsi="Arial" w:cs="Arial"/>
                <w:color w:val="000000" w:themeColor="text1"/>
                <w:sz w:val="22"/>
                <w:szCs w:val="22"/>
              </w:rPr>
            </w:pPr>
            <w:proofErr w:type="spellStart"/>
            <w:r w:rsidRPr="008F39D4">
              <w:rPr>
                <w:rFonts w:ascii="Arial" w:hAnsi="Arial" w:cs="Arial"/>
                <w:color w:val="000000" w:themeColor="text1"/>
                <w:sz w:val="22"/>
                <w:szCs w:val="22"/>
              </w:rPr>
              <w:t>Velaithan</w:t>
            </w:r>
            <w:proofErr w:type="spellEnd"/>
            <w:r w:rsidRPr="008F39D4">
              <w:rPr>
                <w:rFonts w:ascii="Arial" w:hAnsi="Arial" w:cs="Arial"/>
                <w:color w:val="000000" w:themeColor="text1"/>
                <w:sz w:val="22"/>
                <w:szCs w:val="22"/>
              </w:rPr>
              <w:t xml:space="preserve"> et al. </w:t>
            </w:r>
          </w:p>
        </w:tc>
        <w:tc>
          <w:tcPr>
            <w:tcW w:w="730" w:type="dxa"/>
          </w:tcPr>
          <w:p w14:paraId="105D0792"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2024</w:t>
            </w:r>
          </w:p>
        </w:tc>
        <w:tc>
          <w:tcPr>
            <w:tcW w:w="1766" w:type="dxa"/>
          </w:tcPr>
          <w:p w14:paraId="5BF8134D"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Psychological wellbeing among ageing minority populations</w:t>
            </w:r>
          </w:p>
        </w:tc>
        <w:tc>
          <w:tcPr>
            <w:tcW w:w="2261" w:type="dxa"/>
          </w:tcPr>
          <w:p w14:paraId="570951B4"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Negative perceptions of ageing and psychological vulnerability contribute to reduced life satisfaction and lower healthcare engagement.</w:t>
            </w:r>
          </w:p>
        </w:tc>
        <w:tc>
          <w:tcPr>
            <w:tcW w:w="1918" w:type="dxa"/>
          </w:tcPr>
          <w:p w14:paraId="1B905357"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It is current, relevant to ageing minority health issues, published by credible authors, methodologically accurate, and purposive in analysing how negative ageing perceptions reduce wellbeing and healthcare engagement.</w:t>
            </w:r>
          </w:p>
        </w:tc>
        <w:tc>
          <w:tcPr>
            <w:tcW w:w="1236" w:type="dxa"/>
          </w:tcPr>
          <w:p w14:paraId="0AD9E822"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Included</w:t>
            </w:r>
          </w:p>
        </w:tc>
      </w:tr>
      <w:tr w:rsidR="00D334FC" w:rsidRPr="008F39D4" w14:paraId="16B6B6FF" w14:textId="77777777" w:rsidTr="00A6192F">
        <w:trPr>
          <w:trHeight w:val="5330"/>
        </w:trPr>
        <w:tc>
          <w:tcPr>
            <w:tcW w:w="1412" w:type="dxa"/>
          </w:tcPr>
          <w:p w14:paraId="0FD17876"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lastRenderedPageBreak/>
              <w:t xml:space="preserve">Hazzan et al. </w:t>
            </w:r>
          </w:p>
        </w:tc>
        <w:tc>
          <w:tcPr>
            <w:tcW w:w="730" w:type="dxa"/>
          </w:tcPr>
          <w:p w14:paraId="720702F5"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2022</w:t>
            </w:r>
          </w:p>
        </w:tc>
        <w:tc>
          <w:tcPr>
            <w:tcW w:w="1766" w:type="dxa"/>
          </w:tcPr>
          <w:p w14:paraId="120964C5"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Experiences of informal caregivers</w:t>
            </w:r>
          </w:p>
        </w:tc>
        <w:tc>
          <w:tcPr>
            <w:tcW w:w="2261" w:type="dxa"/>
          </w:tcPr>
          <w:p w14:paraId="0D6BA579"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Caregivers often experience emotional strain and role overload due to limited support networks and resources.</w:t>
            </w:r>
          </w:p>
        </w:tc>
        <w:tc>
          <w:tcPr>
            <w:tcW w:w="1918" w:type="dxa"/>
          </w:tcPr>
          <w:p w14:paraId="75B7C681"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It is relevant to the study as it highlights emotional strain and role overload among informal caregivers, directly supporting discussion on caregiving challenges and limited support systems.</w:t>
            </w:r>
          </w:p>
        </w:tc>
        <w:tc>
          <w:tcPr>
            <w:tcW w:w="1236" w:type="dxa"/>
          </w:tcPr>
          <w:p w14:paraId="264741DE"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Included</w:t>
            </w:r>
          </w:p>
        </w:tc>
      </w:tr>
      <w:tr w:rsidR="00D334FC" w:rsidRPr="008F39D4" w14:paraId="4D3D71A4" w14:textId="77777777" w:rsidTr="00A6192F">
        <w:trPr>
          <w:trHeight w:val="6398"/>
        </w:trPr>
        <w:tc>
          <w:tcPr>
            <w:tcW w:w="1412" w:type="dxa"/>
          </w:tcPr>
          <w:p w14:paraId="7A9703D7"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Farooqi et al. </w:t>
            </w:r>
          </w:p>
        </w:tc>
        <w:tc>
          <w:tcPr>
            <w:tcW w:w="730" w:type="dxa"/>
          </w:tcPr>
          <w:p w14:paraId="0E7B3995"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2022</w:t>
            </w:r>
          </w:p>
        </w:tc>
        <w:tc>
          <w:tcPr>
            <w:tcW w:w="1766" w:type="dxa"/>
          </w:tcPr>
          <w:p w14:paraId="285CC0F4"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Community engagement in healthcare research</w:t>
            </w:r>
          </w:p>
        </w:tc>
        <w:tc>
          <w:tcPr>
            <w:tcW w:w="2261" w:type="dxa"/>
          </w:tcPr>
          <w:p w14:paraId="0963107C"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Community-based engagement and trust-building strategies improve participation of minority groups in healthcare initiatives.</w:t>
            </w:r>
          </w:p>
        </w:tc>
        <w:tc>
          <w:tcPr>
            <w:tcW w:w="1918" w:type="dxa"/>
          </w:tcPr>
          <w:p w14:paraId="387C0F3B"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It is evaluated as current, relevant to minority healthcare participation, written by credible researchers, supported by evidence-based findings, and published to inform community healthcare engagement practices.</w:t>
            </w:r>
          </w:p>
        </w:tc>
        <w:tc>
          <w:tcPr>
            <w:tcW w:w="1236" w:type="dxa"/>
          </w:tcPr>
          <w:p w14:paraId="0A612E64"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Included</w:t>
            </w:r>
          </w:p>
        </w:tc>
      </w:tr>
      <w:tr w:rsidR="00D334FC" w:rsidRPr="008F39D4" w14:paraId="5B10D327" w14:textId="77777777" w:rsidTr="00A6192F">
        <w:trPr>
          <w:trHeight w:val="6385"/>
        </w:trPr>
        <w:tc>
          <w:tcPr>
            <w:tcW w:w="1412" w:type="dxa"/>
          </w:tcPr>
          <w:p w14:paraId="493D8D13"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lastRenderedPageBreak/>
              <w:t xml:space="preserve">Bansal et al. </w:t>
            </w:r>
          </w:p>
        </w:tc>
        <w:tc>
          <w:tcPr>
            <w:tcW w:w="730" w:type="dxa"/>
          </w:tcPr>
          <w:p w14:paraId="5959EC57"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2022</w:t>
            </w:r>
          </w:p>
        </w:tc>
        <w:tc>
          <w:tcPr>
            <w:tcW w:w="1766" w:type="dxa"/>
          </w:tcPr>
          <w:p w14:paraId="69CCA8A9"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Institutional racism in healthcare systems</w:t>
            </w:r>
          </w:p>
        </w:tc>
        <w:tc>
          <w:tcPr>
            <w:tcW w:w="2261" w:type="dxa"/>
          </w:tcPr>
          <w:p w14:paraId="6B6F3A2D"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Structural racism contributes to unequal treatment pathways and increases the risk of misdiagnosis among ethnic minorities.</w:t>
            </w:r>
          </w:p>
        </w:tc>
        <w:tc>
          <w:tcPr>
            <w:tcW w:w="1918" w:type="dxa"/>
          </w:tcPr>
          <w:p w14:paraId="2517C7EF"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It is relevant and authoritative, as it examines institutional racism in healthcare systems and provides credible evidence on how structural racism can lead to unequal treatment pathways and misdiagnosis among ethnic minorities.</w:t>
            </w:r>
          </w:p>
        </w:tc>
        <w:tc>
          <w:tcPr>
            <w:tcW w:w="1236" w:type="dxa"/>
          </w:tcPr>
          <w:p w14:paraId="1C5DF1C5"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Included</w:t>
            </w:r>
          </w:p>
        </w:tc>
      </w:tr>
      <w:tr w:rsidR="00D334FC" w:rsidRPr="008F39D4" w14:paraId="17A506DB" w14:textId="77777777" w:rsidTr="00A6192F">
        <w:trPr>
          <w:trHeight w:val="5330"/>
        </w:trPr>
        <w:tc>
          <w:tcPr>
            <w:tcW w:w="1412" w:type="dxa"/>
          </w:tcPr>
          <w:p w14:paraId="2F816F0A"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Hwang and Beauregard </w:t>
            </w:r>
          </w:p>
        </w:tc>
        <w:tc>
          <w:tcPr>
            <w:tcW w:w="730" w:type="dxa"/>
          </w:tcPr>
          <w:p w14:paraId="138D8D61"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2022</w:t>
            </w:r>
          </w:p>
        </w:tc>
        <w:tc>
          <w:tcPr>
            <w:tcW w:w="1766" w:type="dxa"/>
          </w:tcPr>
          <w:p w14:paraId="3875854D"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Intersectional inequality among migrant workers</w:t>
            </w:r>
          </w:p>
        </w:tc>
        <w:tc>
          <w:tcPr>
            <w:tcW w:w="2261" w:type="dxa"/>
          </w:tcPr>
          <w:p w14:paraId="0F87A441"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Gender, migration status and economic vulnerability intersect to create additional barriers in accessing health and social care.</w:t>
            </w:r>
          </w:p>
        </w:tc>
        <w:tc>
          <w:tcPr>
            <w:tcW w:w="1918" w:type="dxa"/>
          </w:tcPr>
          <w:p w14:paraId="61B51DD0"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It is current, relevant to migrant health inequalities, written by credible scholars, based on reliable research evidence, and aims to highlight structural barriers affecting vulnerable groups.</w:t>
            </w:r>
          </w:p>
        </w:tc>
        <w:tc>
          <w:tcPr>
            <w:tcW w:w="1236" w:type="dxa"/>
          </w:tcPr>
          <w:p w14:paraId="7C45AA59"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Included</w:t>
            </w:r>
          </w:p>
        </w:tc>
      </w:tr>
      <w:tr w:rsidR="00D334FC" w:rsidRPr="008F39D4" w14:paraId="3B31ADD1" w14:textId="77777777" w:rsidTr="00A6192F">
        <w:trPr>
          <w:trHeight w:val="5330"/>
        </w:trPr>
        <w:tc>
          <w:tcPr>
            <w:tcW w:w="1412" w:type="dxa"/>
          </w:tcPr>
          <w:p w14:paraId="3104B00A"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lastRenderedPageBreak/>
              <w:t xml:space="preserve">Yip et al. </w:t>
            </w:r>
          </w:p>
        </w:tc>
        <w:tc>
          <w:tcPr>
            <w:tcW w:w="730" w:type="dxa"/>
          </w:tcPr>
          <w:p w14:paraId="1BE2371E"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2024</w:t>
            </w:r>
          </w:p>
        </w:tc>
        <w:tc>
          <w:tcPr>
            <w:tcW w:w="1766" w:type="dxa"/>
          </w:tcPr>
          <w:p w14:paraId="50693850"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Anti-racist healthcare policy initiatives</w:t>
            </w:r>
          </w:p>
        </w:tc>
        <w:tc>
          <w:tcPr>
            <w:tcW w:w="2261" w:type="dxa"/>
          </w:tcPr>
          <w:p w14:paraId="6FA23AAA"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Training programmes and equity-focused policies can improve fairness and accountability in healthcare systems.</w:t>
            </w:r>
          </w:p>
        </w:tc>
        <w:tc>
          <w:tcPr>
            <w:tcW w:w="1918" w:type="dxa"/>
          </w:tcPr>
          <w:p w14:paraId="3DB17149"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It is current, relevant to healthcare inequality, written by credible researchers, supported by evidence, and aims to promote fair and accountable anti-racist healthcare policies.</w:t>
            </w:r>
          </w:p>
        </w:tc>
        <w:tc>
          <w:tcPr>
            <w:tcW w:w="1236" w:type="dxa"/>
          </w:tcPr>
          <w:p w14:paraId="5B53DC27"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Included</w:t>
            </w:r>
          </w:p>
        </w:tc>
      </w:tr>
      <w:tr w:rsidR="00D334FC" w:rsidRPr="008F39D4" w14:paraId="35B04858" w14:textId="77777777" w:rsidTr="00A6192F">
        <w:trPr>
          <w:trHeight w:val="2124"/>
        </w:trPr>
        <w:tc>
          <w:tcPr>
            <w:tcW w:w="1412" w:type="dxa"/>
          </w:tcPr>
          <w:p w14:paraId="7BE6091B"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Barnes et al. </w:t>
            </w:r>
          </w:p>
        </w:tc>
        <w:tc>
          <w:tcPr>
            <w:tcW w:w="730" w:type="dxa"/>
          </w:tcPr>
          <w:p w14:paraId="42F85D60"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2024</w:t>
            </w:r>
          </w:p>
        </w:tc>
        <w:tc>
          <w:tcPr>
            <w:tcW w:w="1766" w:type="dxa"/>
          </w:tcPr>
          <w:p w14:paraId="4D22FC6C"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Support for informal carers</w:t>
            </w:r>
          </w:p>
        </w:tc>
        <w:tc>
          <w:tcPr>
            <w:tcW w:w="2261" w:type="dxa"/>
          </w:tcPr>
          <w:p w14:paraId="523A9F30"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Recognition of carers and financial support from local authorities can improve care outcomes and reduce pressure on families.</w:t>
            </w:r>
          </w:p>
        </w:tc>
        <w:tc>
          <w:tcPr>
            <w:tcW w:w="1918" w:type="dxa"/>
          </w:tcPr>
          <w:p w14:paraId="2DF9DA1E"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It is current, relevant to social care policy, published by credible researchers, evidence-based in analysing support for informal carers, and aims to inform policy improvement rather than promote bias.</w:t>
            </w:r>
          </w:p>
        </w:tc>
        <w:tc>
          <w:tcPr>
            <w:tcW w:w="1236" w:type="dxa"/>
          </w:tcPr>
          <w:p w14:paraId="65317708"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Included</w:t>
            </w:r>
          </w:p>
        </w:tc>
      </w:tr>
      <w:tr w:rsidR="00D334FC" w:rsidRPr="008F39D4" w14:paraId="76876875" w14:textId="77777777" w:rsidTr="00A6192F">
        <w:trPr>
          <w:trHeight w:val="5676"/>
        </w:trPr>
        <w:tc>
          <w:tcPr>
            <w:tcW w:w="1412" w:type="dxa"/>
          </w:tcPr>
          <w:p w14:paraId="46D43B06"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lastRenderedPageBreak/>
              <w:t xml:space="preserve">Jindal et al. </w:t>
            </w:r>
          </w:p>
        </w:tc>
        <w:tc>
          <w:tcPr>
            <w:tcW w:w="730" w:type="dxa"/>
          </w:tcPr>
          <w:p w14:paraId="56E933F7"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2023</w:t>
            </w:r>
          </w:p>
        </w:tc>
        <w:tc>
          <w:tcPr>
            <w:tcW w:w="1766" w:type="dxa"/>
          </w:tcPr>
          <w:p w14:paraId="4B7B5BF4"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Strategies for improving healthcare access</w:t>
            </w:r>
          </w:p>
        </w:tc>
        <w:tc>
          <w:tcPr>
            <w:tcW w:w="2261" w:type="dxa"/>
          </w:tcPr>
          <w:p w14:paraId="56837595"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Integrated healthcare services and equity-focused policies strengthen access to care and improve service delivery for diverse populations.</w:t>
            </w:r>
          </w:p>
        </w:tc>
        <w:tc>
          <w:tcPr>
            <w:tcW w:w="1918" w:type="dxa"/>
          </w:tcPr>
          <w:p w14:paraId="0C42BC15"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It is relevant to healthcare access research, written by credible authors, provides accurate evidence on integrated services, and its purpose is to inform equitable healthcare policy and practice.</w:t>
            </w:r>
          </w:p>
        </w:tc>
        <w:tc>
          <w:tcPr>
            <w:tcW w:w="1236" w:type="dxa"/>
          </w:tcPr>
          <w:p w14:paraId="77363B21"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Included</w:t>
            </w:r>
          </w:p>
        </w:tc>
      </w:tr>
    </w:tbl>
    <w:p w14:paraId="43BF39EE" w14:textId="77777777" w:rsidR="00D334FC" w:rsidRPr="008F39D4" w:rsidRDefault="00D334FC" w:rsidP="00D334FC">
      <w:pPr>
        <w:spacing w:line="360" w:lineRule="auto"/>
        <w:rPr>
          <w:rFonts w:ascii="Arial" w:hAnsi="Arial" w:cs="Arial"/>
          <w:sz w:val="22"/>
          <w:szCs w:val="22"/>
        </w:rPr>
      </w:pPr>
      <w:r w:rsidRPr="008F39D4">
        <w:rPr>
          <w:rFonts w:ascii="Arial" w:hAnsi="Arial" w:cs="Arial"/>
          <w:sz w:val="22"/>
          <w:szCs w:val="22"/>
        </w:rPr>
        <w:br w:type="page"/>
      </w:r>
    </w:p>
    <w:p w14:paraId="1A1E28D2" w14:textId="77777777" w:rsidR="00D334FC" w:rsidRPr="00A6192F" w:rsidRDefault="00D334FC" w:rsidP="00D334FC">
      <w:pPr>
        <w:pStyle w:val="Heading2"/>
        <w:spacing w:line="360" w:lineRule="auto"/>
        <w:rPr>
          <w:rFonts w:ascii="Arial" w:hAnsi="Arial" w:cs="Arial"/>
          <w:b/>
          <w:bCs/>
          <w:color w:val="auto"/>
          <w:sz w:val="28"/>
          <w:szCs w:val="28"/>
        </w:rPr>
      </w:pPr>
      <w:bookmarkStart w:id="77" w:name="_Toc225060513"/>
      <w:r w:rsidRPr="00A6192F">
        <w:rPr>
          <w:rFonts w:ascii="Arial" w:hAnsi="Arial" w:cs="Arial"/>
          <w:b/>
          <w:bCs/>
          <w:color w:val="auto"/>
          <w:sz w:val="28"/>
          <w:szCs w:val="28"/>
        </w:rPr>
        <w:lastRenderedPageBreak/>
        <w:t>Appendix 2: Results summary sheet</w:t>
      </w:r>
      <w:bookmarkEnd w:id="77"/>
    </w:p>
    <w:tbl>
      <w:tblPr>
        <w:tblStyle w:val="TableGrid"/>
        <w:tblW w:w="9634" w:type="dxa"/>
        <w:tblLook w:val="04A0" w:firstRow="1" w:lastRow="0" w:firstColumn="1" w:lastColumn="0" w:noHBand="0" w:noVBand="1"/>
      </w:tblPr>
      <w:tblGrid>
        <w:gridCol w:w="1366"/>
        <w:gridCol w:w="3299"/>
        <w:gridCol w:w="2942"/>
        <w:gridCol w:w="2027"/>
      </w:tblGrid>
      <w:tr w:rsidR="00D334FC" w:rsidRPr="008F39D4" w14:paraId="04E00DF4" w14:textId="77777777" w:rsidTr="00D334FC">
        <w:tc>
          <w:tcPr>
            <w:tcW w:w="1366" w:type="dxa"/>
          </w:tcPr>
          <w:p w14:paraId="1210AD19" w14:textId="77777777" w:rsidR="00D334FC" w:rsidRPr="008F39D4" w:rsidRDefault="00D334FC" w:rsidP="00D334FC">
            <w:pPr>
              <w:spacing w:line="360" w:lineRule="auto"/>
              <w:rPr>
                <w:rFonts w:ascii="Arial" w:hAnsi="Arial" w:cs="Arial"/>
                <w:b/>
                <w:bCs/>
                <w:color w:val="000000" w:themeColor="text1"/>
                <w:sz w:val="22"/>
                <w:szCs w:val="22"/>
              </w:rPr>
            </w:pPr>
            <w:r w:rsidRPr="008F39D4">
              <w:rPr>
                <w:rFonts w:ascii="Arial" w:hAnsi="Arial" w:cs="Arial"/>
                <w:b/>
                <w:bCs/>
                <w:color w:val="000000" w:themeColor="text1"/>
                <w:sz w:val="22"/>
                <w:szCs w:val="22"/>
              </w:rPr>
              <w:t>Study</w:t>
            </w:r>
          </w:p>
        </w:tc>
        <w:tc>
          <w:tcPr>
            <w:tcW w:w="3591" w:type="dxa"/>
          </w:tcPr>
          <w:p w14:paraId="24CD6363" w14:textId="77777777" w:rsidR="00D334FC" w:rsidRPr="008F39D4" w:rsidRDefault="00D334FC" w:rsidP="00D334FC">
            <w:pPr>
              <w:spacing w:line="360" w:lineRule="auto"/>
              <w:rPr>
                <w:rFonts w:ascii="Arial" w:hAnsi="Arial" w:cs="Arial"/>
                <w:b/>
                <w:bCs/>
                <w:color w:val="000000" w:themeColor="text1"/>
                <w:sz w:val="22"/>
                <w:szCs w:val="22"/>
              </w:rPr>
            </w:pPr>
            <w:r w:rsidRPr="008F39D4">
              <w:rPr>
                <w:rFonts w:ascii="Arial" w:hAnsi="Arial" w:cs="Arial"/>
                <w:b/>
                <w:bCs/>
                <w:color w:val="000000" w:themeColor="text1"/>
                <w:sz w:val="22"/>
                <w:szCs w:val="22"/>
              </w:rPr>
              <w:t>Key Findings</w:t>
            </w:r>
          </w:p>
        </w:tc>
        <w:tc>
          <w:tcPr>
            <w:tcW w:w="2516" w:type="dxa"/>
          </w:tcPr>
          <w:p w14:paraId="766A957E" w14:textId="77777777" w:rsidR="00D334FC" w:rsidRPr="008F39D4" w:rsidRDefault="00D334FC" w:rsidP="00D334FC">
            <w:pPr>
              <w:spacing w:line="360" w:lineRule="auto"/>
              <w:rPr>
                <w:rFonts w:ascii="Arial" w:hAnsi="Arial" w:cs="Arial"/>
                <w:b/>
                <w:bCs/>
                <w:color w:val="000000" w:themeColor="text1"/>
                <w:sz w:val="22"/>
                <w:szCs w:val="22"/>
              </w:rPr>
            </w:pPr>
            <w:r w:rsidRPr="008F39D4">
              <w:rPr>
                <w:rFonts w:ascii="Arial" w:hAnsi="Arial" w:cs="Arial"/>
                <w:b/>
                <w:bCs/>
                <w:color w:val="000000" w:themeColor="text1"/>
                <w:sz w:val="22"/>
                <w:szCs w:val="22"/>
              </w:rPr>
              <w:t>Codes Identified</w:t>
            </w:r>
          </w:p>
        </w:tc>
        <w:tc>
          <w:tcPr>
            <w:tcW w:w="2161" w:type="dxa"/>
          </w:tcPr>
          <w:p w14:paraId="71F5FC61" w14:textId="77777777" w:rsidR="00D334FC" w:rsidRPr="008F39D4" w:rsidRDefault="00D334FC" w:rsidP="00D334FC">
            <w:pPr>
              <w:spacing w:line="360" w:lineRule="auto"/>
              <w:rPr>
                <w:rFonts w:ascii="Arial" w:hAnsi="Arial" w:cs="Arial"/>
                <w:b/>
                <w:bCs/>
                <w:color w:val="000000" w:themeColor="text1"/>
                <w:sz w:val="22"/>
                <w:szCs w:val="22"/>
              </w:rPr>
            </w:pPr>
            <w:r w:rsidRPr="008F39D4">
              <w:rPr>
                <w:rFonts w:ascii="Arial" w:hAnsi="Arial" w:cs="Arial"/>
                <w:b/>
                <w:bCs/>
                <w:color w:val="000000" w:themeColor="text1"/>
                <w:sz w:val="22"/>
                <w:szCs w:val="22"/>
              </w:rPr>
              <w:t>Themes</w:t>
            </w:r>
          </w:p>
        </w:tc>
      </w:tr>
      <w:tr w:rsidR="00D334FC" w:rsidRPr="008F39D4" w14:paraId="38ECBEE4" w14:textId="77777777" w:rsidTr="00D334FC">
        <w:tc>
          <w:tcPr>
            <w:tcW w:w="1366" w:type="dxa"/>
          </w:tcPr>
          <w:p w14:paraId="2283EEBB"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Prajapati and Liebling (2022, p. 604)</w:t>
            </w:r>
          </w:p>
        </w:tc>
        <w:tc>
          <w:tcPr>
            <w:tcW w:w="3591" w:type="dxa"/>
          </w:tcPr>
          <w:p w14:paraId="3A6A5267"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Cultural stigma and fear of judgment discourage individuals from seeking professional mental health support, leading to delayed help-seeking and mistrust of services.</w:t>
            </w:r>
          </w:p>
        </w:tc>
        <w:tc>
          <w:tcPr>
            <w:tcW w:w="2516" w:type="dxa"/>
          </w:tcPr>
          <w:p w14:paraId="1BE8046C" w14:textId="77777777" w:rsidR="00D334FC" w:rsidRPr="008F39D4" w:rsidRDefault="00D334FC" w:rsidP="00D334FC">
            <w:pPr>
              <w:pStyle w:val="ListParagraph"/>
              <w:numPr>
                <w:ilvl w:val="0"/>
                <w:numId w:val="2"/>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Mental Health Stigma</w:t>
            </w:r>
          </w:p>
          <w:p w14:paraId="2EFE7642" w14:textId="77777777" w:rsidR="00D334FC" w:rsidRPr="008F39D4" w:rsidRDefault="00D334FC" w:rsidP="00D334FC">
            <w:pPr>
              <w:pStyle w:val="ListParagraph"/>
              <w:numPr>
                <w:ilvl w:val="0"/>
                <w:numId w:val="2"/>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Fear of Judgment</w:t>
            </w:r>
          </w:p>
          <w:p w14:paraId="730B7F57" w14:textId="77777777" w:rsidR="00D334FC" w:rsidRPr="008F39D4" w:rsidRDefault="00D334FC" w:rsidP="00D334FC">
            <w:pPr>
              <w:pStyle w:val="ListParagraph"/>
              <w:numPr>
                <w:ilvl w:val="0"/>
                <w:numId w:val="2"/>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Lack of Culturally Appropriate Services</w:t>
            </w:r>
          </w:p>
          <w:p w14:paraId="1B2123BE" w14:textId="77777777" w:rsidR="00D334FC" w:rsidRPr="008F39D4" w:rsidRDefault="00D334FC" w:rsidP="00D334FC">
            <w:pPr>
              <w:pStyle w:val="ListParagraph"/>
              <w:numPr>
                <w:ilvl w:val="0"/>
                <w:numId w:val="2"/>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Service Mistrust</w:t>
            </w:r>
          </w:p>
          <w:p w14:paraId="616502AB"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Delayed Help-Seeking</w:t>
            </w:r>
          </w:p>
        </w:tc>
        <w:tc>
          <w:tcPr>
            <w:tcW w:w="2161" w:type="dxa"/>
            <w:vMerge w:val="restart"/>
          </w:tcPr>
          <w:p w14:paraId="7B24415E"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Factors minimising access to care facilities</w:t>
            </w:r>
          </w:p>
        </w:tc>
      </w:tr>
      <w:tr w:rsidR="00D334FC" w:rsidRPr="008F39D4" w14:paraId="257769D1" w14:textId="77777777" w:rsidTr="00D334FC">
        <w:tc>
          <w:tcPr>
            <w:tcW w:w="1366" w:type="dxa"/>
          </w:tcPr>
          <w:p w14:paraId="6D640186"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Delon et al. (2022, p. 1769)</w:t>
            </w:r>
          </w:p>
        </w:tc>
        <w:tc>
          <w:tcPr>
            <w:tcW w:w="3591" w:type="dxa"/>
          </w:tcPr>
          <w:p w14:paraId="309B6392"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Ethnic minorities experience lower screening participation and late-stage diagnosis due to systemic inequalities and limited awareness of preventive services.</w:t>
            </w:r>
          </w:p>
        </w:tc>
        <w:tc>
          <w:tcPr>
            <w:tcW w:w="2516" w:type="dxa"/>
          </w:tcPr>
          <w:p w14:paraId="5447B579" w14:textId="77777777" w:rsidR="00D334FC" w:rsidRPr="008F39D4" w:rsidRDefault="00D334FC" w:rsidP="00D334FC">
            <w:pPr>
              <w:pStyle w:val="ListParagraph"/>
              <w:numPr>
                <w:ilvl w:val="0"/>
                <w:numId w:val="3"/>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Unequal Cancer Incidence</w:t>
            </w:r>
          </w:p>
          <w:p w14:paraId="5E09D033" w14:textId="77777777" w:rsidR="00D334FC" w:rsidRPr="008F39D4" w:rsidRDefault="00D334FC" w:rsidP="00D334FC">
            <w:pPr>
              <w:pStyle w:val="ListParagraph"/>
              <w:numPr>
                <w:ilvl w:val="0"/>
                <w:numId w:val="3"/>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Late-Stage Diagnosis</w:t>
            </w:r>
          </w:p>
          <w:p w14:paraId="39852E49" w14:textId="77777777" w:rsidR="00D334FC" w:rsidRPr="008F39D4" w:rsidRDefault="00D334FC" w:rsidP="00D334FC">
            <w:pPr>
              <w:pStyle w:val="ListParagraph"/>
              <w:numPr>
                <w:ilvl w:val="0"/>
                <w:numId w:val="3"/>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Screening Underutilisation</w:t>
            </w:r>
          </w:p>
          <w:p w14:paraId="454D86BA"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Ethnic Health Disparities</w:t>
            </w:r>
          </w:p>
        </w:tc>
        <w:tc>
          <w:tcPr>
            <w:tcW w:w="2161" w:type="dxa"/>
            <w:vMerge/>
          </w:tcPr>
          <w:p w14:paraId="4A36701A" w14:textId="77777777" w:rsidR="00D334FC" w:rsidRPr="008F39D4" w:rsidRDefault="00D334FC" w:rsidP="00D334FC">
            <w:pPr>
              <w:spacing w:line="360" w:lineRule="auto"/>
              <w:rPr>
                <w:rFonts w:ascii="Arial" w:hAnsi="Arial" w:cs="Arial"/>
                <w:color w:val="000000" w:themeColor="text1"/>
                <w:sz w:val="22"/>
                <w:szCs w:val="22"/>
              </w:rPr>
            </w:pPr>
          </w:p>
        </w:tc>
      </w:tr>
      <w:tr w:rsidR="00D334FC" w:rsidRPr="008F39D4" w14:paraId="5F91A976" w14:textId="77777777" w:rsidTr="00D334FC">
        <w:tc>
          <w:tcPr>
            <w:tcW w:w="1366" w:type="dxa"/>
          </w:tcPr>
          <w:p w14:paraId="71233EA1"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Chen et al. (2023, p. 722)</w:t>
            </w:r>
          </w:p>
        </w:tc>
        <w:tc>
          <w:tcPr>
            <w:tcW w:w="3591" w:type="dxa"/>
          </w:tcPr>
          <w:p w14:paraId="7026A02B"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Algorithmic bias and underrepresentation of minority data may lead to unequal treatment recommendations and digital exclusion in healthcare systems.</w:t>
            </w:r>
          </w:p>
        </w:tc>
        <w:tc>
          <w:tcPr>
            <w:tcW w:w="2516" w:type="dxa"/>
          </w:tcPr>
          <w:p w14:paraId="14DB913A" w14:textId="77777777" w:rsidR="00D334FC" w:rsidRPr="008F39D4" w:rsidRDefault="00D334FC" w:rsidP="00D334FC">
            <w:pPr>
              <w:pStyle w:val="ListParagraph"/>
              <w:numPr>
                <w:ilvl w:val="0"/>
                <w:numId w:val="4"/>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Algorithmic Bias</w:t>
            </w:r>
          </w:p>
          <w:p w14:paraId="465F1E6F" w14:textId="77777777" w:rsidR="00D334FC" w:rsidRPr="008F39D4" w:rsidRDefault="00D334FC" w:rsidP="00D334FC">
            <w:pPr>
              <w:pStyle w:val="ListParagraph"/>
              <w:numPr>
                <w:ilvl w:val="0"/>
                <w:numId w:val="4"/>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Data Underrepresentation</w:t>
            </w:r>
          </w:p>
          <w:p w14:paraId="4A1F6349" w14:textId="77777777" w:rsidR="00D334FC" w:rsidRPr="008F39D4" w:rsidRDefault="00D334FC" w:rsidP="00D334FC">
            <w:pPr>
              <w:pStyle w:val="ListParagraph"/>
              <w:numPr>
                <w:ilvl w:val="0"/>
                <w:numId w:val="4"/>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Digital Inequality</w:t>
            </w:r>
          </w:p>
          <w:p w14:paraId="3130D4FE"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AI-Driven Exclusion</w:t>
            </w:r>
          </w:p>
        </w:tc>
        <w:tc>
          <w:tcPr>
            <w:tcW w:w="2161" w:type="dxa"/>
            <w:vMerge/>
          </w:tcPr>
          <w:p w14:paraId="3967D636" w14:textId="77777777" w:rsidR="00D334FC" w:rsidRPr="008F39D4" w:rsidRDefault="00D334FC" w:rsidP="00D334FC">
            <w:pPr>
              <w:spacing w:line="360" w:lineRule="auto"/>
              <w:rPr>
                <w:rFonts w:ascii="Arial" w:hAnsi="Arial" w:cs="Arial"/>
                <w:color w:val="000000" w:themeColor="text1"/>
                <w:sz w:val="22"/>
                <w:szCs w:val="22"/>
              </w:rPr>
            </w:pPr>
          </w:p>
        </w:tc>
      </w:tr>
      <w:tr w:rsidR="00D334FC" w:rsidRPr="008F39D4" w14:paraId="4D9A52ED" w14:textId="77777777" w:rsidTr="00D334FC">
        <w:tc>
          <w:tcPr>
            <w:tcW w:w="1366" w:type="dxa"/>
          </w:tcPr>
          <w:p w14:paraId="721EF785" w14:textId="77777777" w:rsidR="00D334FC" w:rsidRPr="008F39D4" w:rsidRDefault="00D334FC" w:rsidP="00D334FC">
            <w:pPr>
              <w:spacing w:line="360" w:lineRule="auto"/>
              <w:rPr>
                <w:rFonts w:ascii="Arial" w:hAnsi="Arial" w:cs="Arial"/>
                <w:color w:val="000000" w:themeColor="text1"/>
                <w:sz w:val="22"/>
                <w:szCs w:val="22"/>
              </w:rPr>
            </w:pPr>
            <w:proofErr w:type="spellStart"/>
            <w:r w:rsidRPr="008F39D4">
              <w:rPr>
                <w:rFonts w:ascii="Arial" w:hAnsi="Arial" w:cs="Arial"/>
                <w:color w:val="000000" w:themeColor="text1"/>
                <w:sz w:val="22"/>
                <w:szCs w:val="22"/>
              </w:rPr>
              <w:t>Georgeou</w:t>
            </w:r>
            <w:proofErr w:type="spellEnd"/>
            <w:r w:rsidRPr="008F39D4">
              <w:rPr>
                <w:rFonts w:ascii="Arial" w:hAnsi="Arial" w:cs="Arial"/>
                <w:color w:val="000000" w:themeColor="text1"/>
                <w:sz w:val="22"/>
                <w:szCs w:val="22"/>
              </w:rPr>
              <w:t xml:space="preserve"> et al. (2023, p. 187)</w:t>
            </w:r>
          </w:p>
        </w:tc>
        <w:tc>
          <w:tcPr>
            <w:tcW w:w="3591" w:type="dxa"/>
          </w:tcPr>
          <w:p w14:paraId="290A997C"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Migrants often face language isolation, cultural disconnect and identity loss, which can reduce their engagement with healthcare services.</w:t>
            </w:r>
          </w:p>
        </w:tc>
        <w:tc>
          <w:tcPr>
            <w:tcW w:w="2516" w:type="dxa"/>
          </w:tcPr>
          <w:p w14:paraId="16AF00BE" w14:textId="77777777" w:rsidR="00D334FC" w:rsidRPr="008F39D4" w:rsidRDefault="00D334FC" w:rsidP="00D334FC">
            <w:pPr>
              <w:pStyle w:val="ListParagraph"/>
              <w:numPr>
                <w:ilvl w:val="0"/>
                <w:numId w:val="5"/>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Language Isolation</w:t>
            </w:r>
          </w:p>
          <w:p w14:paraId="52BC3291" w14:textId="77777777" w:rsidR="00D334FC" w:rsidRPr="008F39D4" w:rsidRDefault="00D334FC" w:rsidP="00D334FC">
            <w:pPr>
              <w:pStyle w:val="ListParagraph"/>
              <w:numPr>
                <w:ilvl w:val="0"/>
                <w:numId w:val="5"/>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Cultural Disconnect</w:t>
            </w:r>
          </w:p>
          <w:p w14:paraId="18ECD1B3" w14:textId="77777777" w:rsidR="00D334FC" w:rsidRPr="008F39D4" w:rsidRDefault="00D334FC" w:rsidP="00D334FC">
            <w:pPr>
              <w:pStyle w:val="ListParagraph"/>
              <w:numPr>
                <w:ilvl w:val="0"/>
                <w:numId w:val="5"/>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Migration Stress</w:t>
            </w:r>
          </w:p>
          <w:p w14:paraId="50357E84"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Ageing Identity Loss</w:t>
            </w:r>
          </w:p>
        </w:tc>
        <w:tc>
          <w:tcPr>
            <w:tcW w:w="2161" w:type="dxa"/>
            <w:vMerge w:val="restart"/>
          </w:tcPr>
          <w:p w14:paraId="2F437A87"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Influence of the differences in services</w:t>
            </w:r>
          </w:p>
          <w:p w14:paraId="4AC04816" w14:textId="77777777" w:rsidR="00D334FC" w:rsidRPr="008F39D4" w:rsidRDefault="00D334FC" w:rsidP="00D334FC">
            <w:pPr>
              <w:spacing w:line="360" w:lineRule="auto"/>
              <w:rPr>
                <w:rFonts w:ascii="Arial" w:hAnsi="Arial" w:cs="Arial"/>
                <w:color w:val="000000" w:themeColor="text1"/>
                <w:sz w:val="22"/>
                <w:szCs w:val="22"/>
              </w:rPr>
            </w:pPr>
          </w:p>
        </w:tc>
      </w:tr>
      <w:tr w:rsidR="00D334FC" w:rsidRPr="008F39D4" w14:paraId="1D084D91" w14:textId="77777777" w:rsidTr="00D334FC">
        <w:tc>
          <w:tcPr>
            <w:tcW w:w="1366" w:type="dxa"/>
          </w:tcPr>
          <w:p w14:paraId="346C2D42"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Dadswell and Bungay (2025, p. 6)</w:t>
            </w:r>
          </w:p>
        </w:tc>
        <w:tc>
          <w:tcPr>
            <w:tcW w:w="3591" w:type="dxa"/>
          </w:tcPr>
          <w:p w14:paraId="35110AAE"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Community participation and culturally sensitive programmes improve access to services and strengthen engagement with minority communities.</w:t>
            </w:r>
          </w:p>
        </w:tc>
        <w:tc>
          <w:tcPr>
            <w:tcW w:w="2516" w:type="dxa"/>
          </w:tcPr>
          <w:p w14:paraId="69D3768C" w14:textId="77777777" w:rsidR="00D334FC" w:rsidRPr="008F39D4" w:rsidRDefault="00D334FC" w:rsidP="00D334FC">
            <w:pPr>
              <w:pStyle w:val="ListParagraph"/>
              <w:numPr>
                <w:ilvl w:val="0"/>
                <w:numId w:val="6"/>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Language-Inclusive Social Prescribing</w:t>
            </w:r>
          </w:p>
          <w:p w14:paraId="7077C1AE" w14:textId="77777777" w:rsidR="00D334FC" w:rsidRPr="008F39D4" w:rsidRDefault="00D334FC" w:rsidP="00D334FC">
            <w:pPr>
              <w:pStyle w:val="ListParagraph"/>
              <w:numPr>
                <w:ilvl w:val="0"/>
                <w:numId w:val="6"/>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Community Co-Production</w:t>
            </w:r>
          </w:p>
          <w:p w14:paraId="3D4E34D6" w14:textId="77777777" w:rsidR="00D334FC" w:rsidRPr="008F39D4" w:rsidRDefault="00D334FC" w:rsidP="00D334FC">
            <w:pPr>
              <w:pStyle w:val="ListParagraph"/>
              <w:numPr>
                <w:ilvl w:val="0"/>
                <w:numId w:val="6"/>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Cultural Participation</w:t>
            </w:r>
          </w:p>
          <w:p w14:paraId="7C4DBCB2"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Service Accessibility</w:t>
            </w:r>
          </w:p>
        </w:tc>
        <w:tc>
          <w:tcPr>
            <w:tcW w:w="2161" w:type="dxa"/>
            <w:vMerge/>
          </w:tcPr>
          <w:p w14:paraId="4D4CF964" w14:textId="77777777" w:rsidR="00D334FC" w:rsidRPr="008F39D4" w:rsidRDefault="00D334FC" w:rsidP="00D334FC">
            <w:pPr>
              <w:spacing w:line="360" w:lineRule="auto"/>
              <w:rPr>
                <w:rFonts w:ascii="Arial" w:hAnsi="Arial" w:cs="Arial"/>
                <w:color w:val="000000" w:themeColor="text1"/>
                <w:sz w:val="22"/>
                <w:szCs w:val="22"/>
              </w:rPr>
            </w:pPr>
          </w:p>
        </w:tc>
      </w:tr>
      <w:tr w:rsidR="00D334FC" w:rsidRPr="008F39D4" w14:paraId="254645F0" w14:textId="77777777" w:rsidTr="00D334FC">
        <w:tc>
          <w:tcPr>
            <w:tcW w:w="1366" w:type="dxa"/>
          </w:tcPr>
          <w:p w14:paraId="62947E27"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lastRenderedPageBreak/>
              <w:t>Khatri and Assefa (2022, p. 3)</w:t>
            </w:r>
          </w:p>
        </w:tc>
        <w:tc>
          <w:tcPr>
            <w:tcW w:w="3591" w:type="dxa"/>
          </w:tcPr>
          <w:p w14:paraId="75B88D22"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Minority groups experience difficulties navigating health systems due to language barriers, lack of interpreters and cultural misunderstanding.</w:t>
            </w:r>
          </w:p>
        </w:tc>
        <w:tc>
          <w:tcPr>
            <w:tcW w:w="2516" w:type="dxa"/>
          </w:tcPr>
          <w:p w14:paraId="440B51EE" w14:textId="77777777" w:rsidR="00D334FC" w:rsidRPr="008F39D4" w:rsidRDefault="00D334FC" w:rsidP="00D334FC">
            <w:pPr>
              <w:pStyle w:val="ListParagraph"/>
              <w:numPr>
                <w:ilvl w:val="0"/>
                <w:numId w:val="7"/>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Health System Navigation Barriers</w:t>
            </w:r>
          </w:p>
          <w:p w14:paraId="0152E59E" w14:textId="77777777" w:rsidR="00D334FC" w:rsidRPr="008F39D4" w:rsidRDefault="00D334FC" w:rsidP="00D334FC">
            <w:pPr>
              <w:pStyle w:val="ListParagraph"/>
              <w:numPr>
                <w:ilvl w:val="0"/>
                <w:numId w:val="7"/>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Limited Interpreter Services</w:t>
            </w:r>
          </w:p>
          <w:p w14:paraId="643F7CD1"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Cultural Misunderstanding</w:t>
            </w:r>
          </w:p>
        </w:tc>
        <w:tc>
          <w:tcPr>
            <w:tcW w:w="2161" w:type="dxa"/>
            <w:vMerge/>
          </w:tcPr>
          <w:p w14:paraId="72A45463" w14:textId="77777777" w:rsidR="00D334FC" w:rsidRPr="008F39D4" w:rsidRDefault="00D334FC" w:rsidP="00D334FC">
            <w:pPr>
              <w:spacing w:line="360" w:lineRule="auto"/>
              <w:rPr>
                <w:rFonts w:ascii="Arial" w:hAnsi="Arial" w:cs="Arial"/>
                <w:color w:val="000000" w:themeColor="text1"/>
                <w:sz w:val="22"/>
                <w:szCs w:val="22"/>
              </w:rPr>
            </w:pPr>
          </w:p>
        </w:tc>
      </w:tr>
      <w:tr w:rsidR="00D334FC" w:rsidRPr="008F39D4" w14:paraId="00A6211D" w14:textId="77777777" w:rsidTr="00D334FC">
        <w:tc>
          <w:tcPr>
            <w:tcW w:w="1366" w:type="dxa"/>
          </w:tcPr>
          <w:p w14:paraId="13F5D84A"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Mohd Rosnu et al. (2022, p. 7)</w:t>
            </w:r>
          </w:p>
        </w:tc>
        <w:tc>
          <w:tcPr>
            <w:tcW w:w="3591" w:type="dxa"/>
          </w:tcPr>
          <w:p w14:paraId="59774907"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Financial limitations, transportation issues and low health awareness reduce the ability of minority populations to utilise healthcare services.</w:t>
            </w:r>
          </w:p>
        </w:tc>
        <w:tc>
          <w:tcPr>
            <w:tcW w:w="2516" w:type="dxa"/>
          </w:tcPr>
          <w:p w14:paraId="50396995" w14:textId="77777777" w:rsidR="00D334FC" w:rsidRPr="008F39D4" w:rsidRDefault="00D334FC" w:rsidP="00D334FC">
            <w:pPr>
              <w:pStyle w:val="ListParagraph"/>
              <w:numPr>
                <w:ilvl w:val="0"/>
                <w:numId w:val="8"/>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Financial Barriers</w:t>
            </w:r>
          </w:p>
          <w:p w14:paraId="45946361" w14:textId="77777777" w:rsidR="00D334FC" w:rsidRPr="008F39D4" w:rsidRDefault="00D334FC" w:rsidP="00D334FC">
            <w:pPr>
              <w:pStyle w:val="ListParagraph"/>
              <w:numPr>
                <w:ilvl w:val="0"/>
                <w:numId w:val="8"/>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Transport Limitations</w:t>
            </w:r>
          </w:p>
          <w:p w14:paraId="68B54971" w14:textId="77777777" w:rsidR="00D334FC" w:rsidRPr="008F39D4" w:rsidRDefault="00D334FC" w:rsidP="00D334FC">
            <w:pPr>
              <w:pStyle w:val="ListParagraph"/>
              <w:numPr>
                <w:ilvl w:val="0"/>
                <w:numId w:val="8"/>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Family Dependence</w:t>
            </w:r>
          </w:p>
          <w:p w14:paraId="0DCF5FA7"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Health Awareness Gaps</w:t>
            </w:r>
          </w:p>
        </w:tc>
        <w:tc>
          <w:tcPr>
            <w:tcW w:w="2161" w:type="dxa"/>
            <w:vMerge w:val="restart"/>
          </w:tcPr>
          <w:p w14:paraId="679536D9"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Challenges encountered by the Asian population</w:t>
            </w:r>
          </w:p>
          <w:p w14:paraId="626610FA" w14:textId="77777777" w:rsidR="00D334FC" w:rsidRPr="008F39D4" w:rsidRDefault="00D334FC" w:rsidP="00D334FC">
            <w:pPr>
              <w:spacing w:line="360" w:lineRule="auto"/>
              <w:rPr>
                <w:rFonts w:ascii="Arial" w:hAnsi="Arial" w:cs="Arial"/>
                <w:color w:val="000000" w:themeColor="text1"/>
                <w:sz w:val="22"/>
                <w:szCs w:val="22"/>
              </w:rPr>
            </w:pPr>
          </w:p>
        </w:tc>
      </w:tr>
      <w:tr w:rsidR="00D334FC" w:rsidRPr="008F39D4" w14:paraId="176A1482" w14:textId="77777777" w:rsidTr="00D334FC">
        <w:tc>
          <w:tcPr>
            <w:tcW w:w="1366" w:type="dxa"/>
          </w:tcPr>
          <w:p w14:paraId="0051044B" w14:textId="77777777" w:rsidR="00D334FC" w:rsidRPr="008F39D4" w:rsidRDefault="00D334FC" w:rsidP="00D334FC">
            <w:pPr>
              <w:spacing w:line="360" w:lineRule="auto"/>
              <w:rPr>
                <w:rFonts w:ascii="Arial" w:hAnsi="Arial" w:cs="Arial"/>
                <w:color w:val="000000" w:themeColor="text1"/>
                <w:sz w:val="22"/>
                <w:szCs w:val="22"/>
              </w:rPr>
            </w:pPr>
            <w:proofErr w:type="spellStart"/>
            <w:r w:rsidRPr="008F39D4">
              <w:rPr>
                <w:rFonts w:ascii="Arial" w:hAnsi="Arial" w:cs="Arial"/>
                <w:color w:val="000000" w:themeColor="text1"/>
                <w:sz w:val="22"/>
                <w:szCs w:val="22"/>
              </w:rPr>
              <w:t>Velaithan</w:t>
            </w:r>
            <w:proofErr w:type="spellEnd"/>
            <w:r w:rsidRPr="008F39D4">
              <w:rPr>
                <w:rFonts w:ascii="Arial" w:hAnsi="Arial" w:cs="Arial"/>
                <w:color w:val="000000" w:themeColor="text1"/>
                <w:sz w:val="22"/>
                <w:szCs w:val="22"/>
              </w:rPr>
              <w:t xml:space="preserve"> et al. (2024, p. 11)</w:t>
            </w:r>
          </w:p>
        </w:tc>
        <w:tc>
          <w:tcPr>
            <w:tcW w:w="3591" w:type="dxa"/>
          </w:tcPr>
          <w:p w14:paraId="3F1E71E9"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Negative perceptions of ageing and psychological vulnerability contribute to reduced life satisfaction and lower healthcare engagement.</w:t>
            </w:r>
          </w:p>
        </w:tc>
        <w:tc>
          <w:tcPr>
            <w:tcW w:w="2516" w:type="dxa"/>
          </w:tcPr>
          <w:p w14:paraId="0E04D39F" w14:textId="77777777" w:rsidR="00D334FC" w:rsidRPr="008F39D4" w:rsidRDefault="00D334FC" w:rsidP="00D334FC">
            <w:pPr>
              <w:pStyle w:val="ListParagraph"/>
              <w:numPr>
                <w:ilvl w:val="0"/>
                <w:numId w:val="9"/>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 xml:space="preserve">Negative Self-Perception </w:t>
            </w:r>
            <w:proofErr w:type="gramStart"/>
            <w:r w:rsidRPr="008F39D4">
              <w:rPr>
                <w:rFonts w:ascii="Arial" w:hAnsi="Arial" w:cs="Arial"/>
                <w:color w:val="000000" w:themeColor="text1"/>
                <w:sz w:val="22"/>
                <w:szCs w:val="22"/>
              </w:rPr>
              <w:t>Of</w:t>
            </w:r>
            <w:proofErr w:type="gramEnd"/>
            <w:r w:rsidRPr="008F39D4">
              <w:rPr>
                <w:rFonts w:ascii="Arial" w:hAnsi="Arial" w:cs="Arial"/>
                <w:color w:val="000000" w:themeColor="text1"/>
                <w:sz w:val="22"/>
                <w:szCs w:val="22"/>
              </w:rPr>
              <w:t xml:space="preserve"> Ageing</w:t>
            </w:r>
          </w:p>
          <w:p w14:paraId="6A372BEA" w14:textId="77777777" w:rsidR="00D334FC" w:rsidRPr="008F39D4" w:rsidRDefault="00D334FC" w:rsidP="00D334FC">
            <w:pPr>
              <w:pStyle w:val="ListParagraph"/>
              <w:numPr>
                <w:ilvl w:val="0"/>
                <w:numId w:val="9"/>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Psychological Vulnerability</w:t>
            </w:r>
          </w:p>
          <w:p w14:paraId="619C8FD7"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Reduced Life Satisfaction</w:t>
            </w:r>
          </w:p>
        </w:tc>
        <w:tc>
          <w:tcPr>
            <w:tcW w:w="2161" w:type="dxa"/>
            <w:vMerge/>
          </w:tcPr>
          <w:p w14:paraId="4E471128" w14:textId="77777777" w:rsidR="00D334FC" w:rsidRPr="008F39D4" w:rsidRDefault="00D334FC" w:rsidP="00D334FC">
            <w:pPr>
              <w:spacing w:line="360" w:lineRule="auto"/>
              <w:rPr>
                <w:rFonts w:ascii="Arial" w:hAnsi="Arial" w:cs="Arial"/>
                <w:color w:val="000000" w:themeColor="text1"/>
                <w:sz w:val="22"/>
                <w:szCs w:val="22"/>
              </w:rPr>
            </w:pPr>
          </w:p>
        </w:tc>
      </w:tr>
      <w:tr w:rsidR="00D334FC" w:rsidRPr="008F39D4" w14:paraId="1E2961AB" w14:textId="77777777" w:rsidTr="00D334FC">
        <w:tc>
          <w:tcPr>
            <w:tcW w:w="1366" w:type="dxa"/>
          </w:tcPr>
          <w:p w14:paraId="5BA1850F"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Hazzan et al. (2022, p. 6)</w:t>
            </w:r>
          </w:p>
        </w:tc>
        <w:tc>
          <w:tcPr>
            <w:tcW w:w="3591" w:type="dxa"/>
          </w:tcPr>
          <w:p w14:paraId="5E7A7560"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Caregivers often experience emotional strain and role overload due to limited support networks and resources.</w:t>
            </w:r>
          </w:p>
        </w:tc>
        <w:tc>
          <w:tcPr>
            <w:tcW w:w="2516" w:type="dxa"/>
          </w:tcPr>
          <w:p w14:paraId="1AF5D76B" w14:textId="77777777" w:rsidR="00D334FC" w:rsidRPr="008F39D4" w:rsidRDefault="00D334FC" w:rsidP="00D334FC">
            <w:pPr>
              <w:pStyle w:val="ListParagraph"/>
              <w:numPr>
                <w:ilvl w:val="0"/>
                <w:numId w:val="10"/>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Caregiver Emotional Strain</w:t>
            </w:r>
          </w:p>
          <w:p w14:paraId="6455DACB" w14:textId="77777777" w:rsidR="00D334FC" w:rsidRPr="008F39D4" w:rsidRDefault="00D334FC" w:rsidP="00D334FC">
            <w:pPr>
              <w:pStyle w:val="ListParagraph"/>
              <w:numPr>
                <w:ilvl w:val="0"/>
                <w:numId w:val="10"/>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Role Overload</w:t>
            </w:r>
          </w:p>
          <w:p w14:paraId="4CB77D0E"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Lack Of Support Networks</w:t>
            </w:r>
          </w:p>
        </w:tc>
        <w:tc>
          <w:tcPr>
            <w:tcW w:w="2161" w:type="dxa"/>
            <w:vMerge/>
          </w:tcPr>
          <w:p w14:paraId="36455DB9" w14:textId="77777777" w:rsidR="00D334FC" w:rsidRPr="008F39D4" w:rsidRDefault="00D334FC" w:rsidP="00D334FC">
            <w:pPr>
              <w:spacing w:line="360" w:lineRule="auto"/>
              <w:rPr>
                <w:rFonts w:ascii="Arial" w:hAnsi="Arial" w:cs="Arial"/>
                <w:color w:val="000000" w:themeColor="text1"/>
                <w:sz w:val="22"/>
                <w:szCs w:val="22"/>
              </w:rPr>
            </w:pPr>
          </w:p>
        </w:tc>
      </w:tr>
      <w:tr w:rsidR="00D334FC" w:rsidRPr="008F39D4" w14:paraId="51646492" w14:textId="77777777" w:rsidTr="00D334FC">
        <w:tc>
          <w:tcPr>
            <w:tcW w:w="1366" w:type="dxa"/>
          </w:tcPr>
          <w:p w14:paraId="3494A055"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Farooqi et al. (2022, p. 9)</w:t>
            </w:r>
          </w:p>
        </w:tc>
        <w:tc>
          <w:tcPr>
            <w:tcW w:w="3591" w:type="dxa"/>
          </w:tcPr>
          <w:p w14:paraId="44D7B418"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Community-based engagement and trust-building strategies improve participation of minority groups in healthcare initiatives.</w:t>
            </w:r>
          </w:p>
        </w:tc>
        <w:tc>
          <w:tcPr>
            <w:tcW w:w="2516" w:type="dxa"/>
          </w:tcPr>
          <w:p w14:paraId="2224E70B" w14:textId="77777777" w:rsidR="00D334FC" w:rsidRPr="008F39D4" w:rsidRDefault="00D334FC" w:rsidP="00D334FC">
            <w:pPr>
              <w:pStyle w:val="ListParagraph"/>
              <w:numPr>
                <w:ilvl w:val="0"/>
                <w:numId w:val="11"/>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Community Engagement Tools</w:t>
            </w:r>
          </w:p>
          <w:p w14:paraId="7CC0612A" w14:textId="77777777" w:rsidR="00D334FC" w:rsidRPr="008F39D4" w:rsidRDefault="00D334FC" w:rsidP="00D334FC">
            <w:pPr>
              <w:pStyle w:val="ListParagraph"/>
              <w:numPr>
                <w:ilvl w:val="0"/>
                <w:numId w:val="11"/>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Inclusive Research Participation</w:t>
            </w:r>
          </w:p>
          <w:p w14:paraId="7B5C9618"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Trust-Building Strategies</w:t>
            </w:r>
          </w:p>
        </w:tc>
        <w:tc>
          <w:tcPr>
            <w:tcW w:w="2161" w:type="dxa"/>
            <w:vMerge w:val="restart"/>
          </w:tcPr>
          <w:p w14:paraId="29F71114"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Role of care professionals in navigating and addressing issues</w:t>
            </w:r>
          </w:p>
          <w:p w14:paraId="0656F793" w14:textId="77777777" w:rsidR="00D334FC" w:rsidRPr="008F39D4" w:rsidRDefault="00D334FC" w:rsidP="00D334FC">
            <w:pPr>
              <w:spacing w:line="360" w:lineRule="auto"/>
              <w:rPr>
                <w:rFonts w:ascii="Arial" w:hAnsi="Arial" w:cs="Arial"/>
                <w:color w:val="000000" w:themeColor="text1"/>
                <w:sz w:val="22"/>
                <w:szCs w:val="22"/>
              </w:rPr>
            </w:pPr>
          </w:p>
        </w:tc>
      </w:tr>
      <w:tr w:rsidR="00D334FC" w:rsidRPr="008F39D4" w14:paraId="45E93EA0" w14:textId="77777777" w:rsidTr="00D334FC">
        <w:tc>
          <w:tcPr>
            <w:tcW w:w="1366" w:type="dxa"/>
          </w:tcPr>
          <w:p w14:paraId="1373084A"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Bansal et al. (2022, p. 17)</w:t>
            </w:r>
          </w:p>
        </w:tc>
        <w:tc>
          <w:tcPr>
            <w:tcW w:w="3591" w:type="dxa"/>
          </w:tcPr>
          <w:p w14:paraId="3F11AACB"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Structural racism contributes to unequal treatment pathways and increases the risk of misdiagnosis among ethnic minorities.</w:t>
            </w:r>
          </w:p>
        </w:tc>
        <w:tc>
          <w:tcPr>
            <w:tcW w:w="2516" w:type="dxa"/>
          </w:tcPr>
          <w:p w14:paraId="23D1F228" w14:textId="77777777" w:rsidR="00D334FC" w:rsidRPr="008F39D4" w:rsidRDefault="00D334FC" w:rsidP="00D334FC">
            <w:pPr>
              <w:pStyle w:val="ListParagraph"/>
              <w:numPr>
                <w:ilvl w:val="0"/>
                <w:numId w:val="12"/>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Institutional Racism</w:t>
            </w:r>
          </w:p>
          <w:p w14:paraId="4843BC27" w14:textId="77777777" w:rsidR="00D334FC" w:rsidRPr="008F39D4" w:rsidRDefault="00D334FC" w:rsidP="00D334FC">
            <w:pPr>
              <w:pStyle w:val="ListParagraph"/>
              <w:numPr>
                <w:ilvl w:val="0"/>
                <w:numId w:val="12"/>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Unequal Treatment Pathways</w:t>
            </w:r>
          </w:p>
          <w:p w14:paraId="6995F2EA"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Misdiagnosis Risk</w:t>
            </w:r>
          </w:p>
        </w:tc>
        <w:tc>
          <w:tcPr>
            <w:tcW w:w="2161" w:type="dxa"/>
            <w:vMerge/>
          </w:tcPr>
          <w:p w14:paraId="3894F78A" w14:textId="77777777" w:rsidR="00D334FC" w:rsidRPr="008F39D4" w:rsidRDefault="00D334FC" w:rsidP="00D334FC">
            <w:pPr>
              <w:spacing w:line="360" w:lineRule="auto"/>
              <w:rPr>
                <w:rFonts w:ascii="Arial" w:hAnsi="Arial" w:cs="Arial"/>
                <w:color w:val="000000" w:themeColor="text1"/>
                <w:sz w:val="22"/>
                <w:szCs w:val="22"/>
              </w:rPr>
            </w:pPr>
          </w:p>
        </w:tc>
      </w:tr>
      <w:tr w:rsidR="00D334FC" w:rsidRPr="008F39D4" w14:paraId="6DB0554A" w14:textId="77777777" w:rsidTr="00D334FC">
        <w:tc>
          <w:tcPr>
            <w:tcW w:w="1366" w:type="dxa"/>
          </w:tcPr>
          <w:p w14:paraId="201463A2"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Hwang and Beauregard (2022, p. 613)</w:t>
            </w:r>
          </w:p>
        </w:tc>
        <w:tc>
          <w:tcPr>
            <w:tcW w:w="3591" w:type="dxa"/>
          </w:tcPr>
          <w:p w14:paraId="493EF9B8"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Gender, migration status and economic vulnerability intersect to create additional barriers in accessing health and social care.</w:t>
            </w:r>
          </w:p>
        </w:tc>
        <w:tc>
          <w:tcPr>
            <w:tcW w:w="2516" w:type="dxa"/>
          </w:tcPr>
          <w:p w14:paraId="0FFEE6B5" w14:textId="77777777" w:rsidR="00D334FC" w:rsidRPr="008F39D4" w:rsidRDefault="00D334FC" w:rsidP="00D334FC">
            <w:pPr>
              <w:pStyle w:val="ListParagraph"/>
              <w:numPr>
                <w:ilvl w:val="0"/>
                <w:numId w:val="13"/>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Intersectional Disadvantage</w:t>
            </w:r>
          </w:p>
          <w:p w14:paraId="40E55F95" w14:textId="77777777" w:rsidR="00D334FC" w:rsidRPr="008F39D4" w:rsidRDefault="00D334FC" w:rsidP="00D334FC">
            <w:pPr>
              <w:pStyle w:val="ListParagraph"/>
              <w:numPr>
                <w:ilvl w:val="0"/>
                <w:numId w:val="13"/>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Gendered Exploitation</w:t>
            </w:r>
          </w:p>
          <w:p w14:paraId="3A90A8F4"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Migrant Vulnerability</w:t>
            </w:r>
          </w:p>
        </w:tc>
        <w:tc>
          <w:tcPr>
            <w:tcW w:w="2161" w:type="dxa"/>
            <w:vMerge/>
          </w:tcPr>
          <w:p w14:paraId="5AAE599A" w14:textId="77777777" w:rsidR="00D334FC" w:rsidRPr="008F39D4" w:rsidRDefault="00D334FC" w:rsidP="00D334FC">
            <w:pPr>
              <w:spacing w:line="360" w:lineRule="auto"/>
              <w:rPr>
                <w:rFonts w:ascii="Arial" w:hAnsi="Arial" w:cs="Arial"/>
                <w:color w:val="000000" w:themeColor="text1"/>
                <w:sz w:val="22"/>
                <w:szCs w:val="22"/>
              </w:rPr>
            </w:pPr>
          </w:p>
        </w:tc>
      </w:tr>
      <w:tr w:rsidR="00D334FC" w:rsidRPr="008F39D4" w14:paraId="0807D550" w14:textId="77777777" w:rsidTr="00D334FC">
        <w:tc>
          <w:tcPr>
            <w:tcW w:w="1366" w:type="dxa"/>
          </w:tcPr>
          <w:p w14:paraId="20C4EAC0"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lastRenderedPageBreak/>
              <w:t>Yip et al. (2024, p. 7)</w:t>
            </w:r>
          </w:p>
        </w:tc>
        <w:tc>
          <w:tcPr>
            <w:tcW w:w="3591" w:type="dxa"/>
          </w:tcPr>
          <w:p w14:paraId="3D6E8CC2"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Training programmes and equity-focused policies can improve fairness and accountability in healthcare systems.</w:t>
            </w:r>
          </w:p>
        </w:tc>
        <w:tc>
          <w:tcPr>
            <w:tcW w:w="2516" w:type="dxa"/>
          </w:tcPr>
          <w:p w14:paraId="551AD37B" w14:textId="77777777" w:rsidR="00D334FC" w:rsidRPr="008F39D4" w:rsidRDefault="00D334FC" w:rsidP="00D334FC">
            <w:pPr>
              <w:pStyle w:val="ListParagraph"/>
              <w:numPr>
                <w:ilvl w:val="0"/>
                <w:numId w:val="14"/>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Anti-Racist Healthcare Training</w:t>
            </w:r>
          </w:p>
          <w:p w14:paraId="012FE9D5" w14:textId="77777777" w:rsidR="00D334FC" w:rsidRPr="008F39D4" w:rsidRDefault="00D334FC" w:rsidP="00D334FC">
            <w:pPr>
              <w:pStyle w:val="ListParagraph"/>
              <w:numPr>
                <w:ilvl w:val="0"/>
                <w:numId w:val="14"/>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System Accountability</w:t>
            </w:r>
          </w:p>
          <w:p w14:paraId="262A432F"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Equity-Focused Policy</w:t>
            </w:r>
          </w:p>
        </w:tc>
        <w:tc>
          <w:tcPr>
            <w:tcW w:w="2161" w:type="dxa"/>
            <w:vMerge w:val="restart"/>
          </w:tcPr>
          <w:p w14:paraId="3E601B65"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Factors that can improve care infrastructure</w:t>
            </w:r>
          </w:p>
        </w:tc>
      </w:tr>
      <w:tr w:rsidR="00D334FC" w:rsidRPr="008F39D4" w14:paraId="2A9C87D8" w14:textId="77777777" w:rsidTr="00D334FC">
        <w:tc>
          <w:tcPr>
            <w:tcW w:w="1366" w:type="dxa"/>
          </w:tcPr>
          <w:p w14:paraId="2F8F112A"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Barnes et al. (2024, p. 3)</w:t>
            </w:r>
          </w:p>
        </w:tc>
        <w:tc>
          <w:tcPr>
            <w:tcW w:w="3591" w:type="dxa"/>
          </w:tcPr>
          <w:p w14:paraId="1E924D74"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Recognition of carers and financial support from local authorities can improve care outcomes and reduce pressure on families.</w:t>
            </w:r>
          </w:p>
        </w:tc>
        <w:tc>
          <w:tcPr>
            <w:tcW w:w="2516" w:type="dxa"/>
          </w:tcPr>
          <w:p w14:paraId="6DB222C5" w14:textId="77777777" w:rsidR="00D334FC" w:rsidRPr="008F39D4" w:rsidRDefault="00D334FC" w:rsidP="00D334FC">
            <w:pPr>
              <w:pStyle w:val="ListParagraph"/>
              <w:numPr>
                <w:ilvl w:val="0"/>
                <w:numId w:val="15"/>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Informal Carer Recognition</w:t>
            </w:r>
          </w:p>
          <w:p w14:paraId="65ECD248" w14:textId="77777777" w:rsidR="00D334FC" w:rsidRPr="008F39D4" w:rsidRDefault="00D334FC" w:rsidP="00D334FC">
            <w:pPr>
              <w:pStyle w:val="ListParagraph"/>
              <w:numPr>
                <w:ilvl w:val="0"/>
                <w:numId w:val="15"/>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Local Authority Support</w:t>
            </w:r>
          </w:p>
          <w:p w14:paraId="494BF197"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Financial Assistance</w:t>
            </w:r>
          </w:p>
        </w:tc>
        <w:tc>
          <w:tcPr>
            <w:tcW w:w="2161" w:type="dxa"/>
            <w:vMerge/>
          </w:tcPr>
          <w:p w14:paraId="01801B1B" w14:textId="77777777" w:rsidR="00D334FC" w:rsidRPr="008F39D4" w:rsidRDefault="00D334FC" w:rsidP="00D334FC">
            <w:pPr>
              <w:spacing w:line="360" w:lineRule="auto"/>
              <w:rPr>
                <w:rFonts w:ascii="Arial" w:hAnsi="Arial" w:cs="Arial"/>
                <w:color w:val="000000" w:themeColor="text1"/>
                <w:sz w:val="22"/>
                <w:szCs w:val="22"/>
              </w:rPr>
            </w:pPr>
          </w:p>
        </w:tc>
      </w:tr>
      <w:tr w:rsidR="00D334FC" w:rsidRPr="008F39D4" w14:paraId="338DD2D5" w14:textId="77777777" w:rsidTr="00D334FC">
        <w:tc>
          <w:tcPr>
            <w:tcW w:w="1366" w:type="dxa"/>
          </w:tcPr>
          <w:p w14:paraId="52142350"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Jindal et al. (2023, p. 302)</w:t>
            </w:r>
          </w:p>
        </w:tc>
        <w:tc>
          <w:tcPr>
            <w:tcW w:w="3591" w:type="dxa"/>
          </w:tcPr>
          <w:p w14:paraId="699BA218"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Integrated healthcare services and equity-focused policies strengthen access to care and improve service delivery for diverse populations.</w:t>
            </w:r>
          </w:p>
        </w:tc>
        <w:tc>
          <w:tcPr>
            <w:tcW w:w="2516" w:type="dxa"/>
          </w:tcPr>
          <w:p w14:paraId="12A655C7" w14:textId="77777777" w:rsidR="00D334FC" w:rsidRPr="008F39D4" w:rsidRDefault="00D334FC" w:rsidP="00D334FC">
            <w:pPr>
              <w:pStyle w:val="ListParagraph"/>
              <w:numPr>
                <w:ilvl w:val="0"/>
                <w:numId w:val="16"/>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Access Strengthening</w:t>
            </w:r>
          </w:p>
          <w:p w14:paraId="12356BB8" w14:textId="77777777" w:rsidR="00D334FC" w:rsidRPr="008F39D4" w:rsidRDefault="00D334FC" w:rsidP="00D334FC">
            <w:pPr>
              <w:pStyle w:val="ListParagraph"/>
              <w:numPr>
                <w:ilvl w:val="0"/>
                <w:numId w:val="16"/>
              </w:num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Service Integration</w:t>
            </w:r>
          </w:p>
          <w:p w14:paraId="26721CB4" w14:textId="77777777" w:rsidR="00D334FC" w:rsidRPr="008F39D4" w:rsidRDefault="00D334FC" w:rsidP="00D334FC">
            <w:pPr>
              <w:spacing w:line="360" w:lineRule="auto"/>
              <w:rPr>
                <w:rFonts w:ascii="Arial" w:hAnsi="Arial" w:cs="Arial"/>
                <w:color w:val="000000" w:themeColor="text1"/>
                <w:sz w:val="22"/>
                <w:szCs w:val="22"/>
              </w:rPr>
            </w:pPr>
            <w:r w:rsidRPr="008F39D4">
              <w:rPr>
                <w:rFonts w:ascii="Arial" w:hAnsi="Arial" w:cs="Arial"/>
                <w:color w:val="000000" w:themeColor="text1"/>
                <w:sz w:val="22"/>
                <w:szCs w:val="22"/>
              </w:rPr>
              <w:t>Equitable Care Delivery</w:t>
            </w:r>
          </w:p>
        </w:tc>
        <w:tc>
          <w:tcPr>
            <w:tcW w:w="2161" w:type="dxa"/>
            <w:vMerge/>
          </w:tcPr>
          <w:p w14:paraId="02C3FB56" w14:textId="77777777" w:rsidR="00D334FC" w:rsidRPr="008F39D4" w:rsidRDefault="00D334FC" w:rsidP="00D334FC">
            <w:pPr>
              <w:spacing w:line="360" w:lineRule="auto"/>
              <w:rPr>
                <w:rFonts w:ascii="Arial" w:hAnsi="Arial" w:cs="Arial"/>
                <w:color w:val="000000" w:themeColor="text1"/>
                <w:sz w:val="22"/>
                <w:szCs w:val="22"/>
              </w:rPr>
            </w:pPr>
          </w:p>
        </w:tc>
      </w:tr>
    </w:tbl>
    <w:p w14:paraId="62DDFEE2" w14:textId="77777777" w:rsidR="00D334FC" w:rsidRPr="008F39D4" w:rsidRDefault="00D334FC" w:rsidP="00D334FC">
      <w:pPr>
        <w:spacing w:line="360" w:lineRule="auto"/>
        <w:rPr>
          <w:rFonts w:ascii="Arial" w:hAnsi="Arial" w:cs="Arial"/>
          <w:sz w:val="22"/>
          <w:szCs w:val="22"/>
        </w:rPr>
      </w:pPr>
    </w:p>
    <w:p w14:paraId="19D0CB81" w14:textId="77777777" w:rsidR="00D334FC" w:rsidRPr="008F39D4" w:rsidRDefault="00D334FC" w:rsidP="00D334FC">
      <w:pPr>
        <w:spacing w:line="360" w:lineRule="auto"/>
        <w:rPr>
          <w:rFonts w:ascii="Arial" w:hAnsi="Arial" w:cs="Arial"/>
          <w:sz w:val="22"/>
          <w:szCs w:val="22"/>
        </w:rPr>
      </w:pPr>
    </w:p>
    <w:sectPr w:rsidR="00D334FC" w:rsidRPr="008F39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7350"/>
    <w:multiLevelType w:val="hybridMultilevel"/>
    <w:tmpl w:val="31F4D8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94E2E92"/>
    <w:multiLevelType w:val="hybridMultilevel"/>
    <w:tmpl w:val="942E2C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F94647"/>
    <w:multiLevelType w:val="hybridMultilevel"/>
    <w:tmpl w:val="B434A6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DAB6981"/>
    <w:multiLevelType w:val="hybridMultilevel"/>
    <w:tmpl w:val="769A8B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1377D09"/>
    <w:multiLevelType w:val="hybridMultilevel"/>
    <w:tmpl w:val="06C616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BBF044E"/>
    <w:multiLevelType w:val="hybridMultilevel"/>
    <w:tmpl w:val="B6F693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F1C124C"/>
    <w:multiLevelType w:val="hybridMultilevel"/>
    <w:tmpl w:val="20E08C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8C65467"/>
    <w:multiLevelType w:val="hybridMultilevel"/>
    <w:tmpl w:val="7EE495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EF342DF"/>
    <w:multiLevelType w:val="hybridMultilevel"/>
    <w:tmpl w:val="2D9ADF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3257A88"/>
    <w:multiLevelType w:val="hybridMultilevel"/>
    <w:tmpl w:val="1AC0A2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56E2AEF"/>
    <w:multiLevelType w:val="hybridMultilevel"/>
    <w:tmpl w:val="B23082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CAA26DE"/>
    <w:multiLevelType w:val="hybridMultilevel"/>
    <w:tmpl w:val="844013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0F32680"/>
    <w:multiLevelType w:val="multilevel"/>
    <w:tmpl w:val="781C6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FA5AEC"/>
    <w:multiLevelType w:val="hybridMultilevel"/>
    <w:tmpl w:val="C06A253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0DE4395"/>
    <w:multiLevelType w:val="hybridMultilevel"/>
    <w:tmpl w:val="DDE2EB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75D113B4"/>
    <w:multiLevelType w:val="hybridMultilevel"/>
    <w:tmpl w:val="42E247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9E35DBF"/>
    <w:multiLevelType w:val="hybridMultilevel"/>
    <w:tmpl w:val="84AC2D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FAC448E"/>
    <w:multiLevelType w:val="hybridMultilevel"/>
    <w:tmpl w:val="5F7230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98295658">
    <w:abstractNumId w:val="7"/>
  </w:num>
  <w:num w:numId="2" w16cid:durableId="1388719065">
    <w:abstractNumId w:val="10"/>
  </w:num>
  <w:num w:numId="3" w16cid:durableId="804129109">
    <w:abstractNumId w:val="6"/>
  </w:num>
  <w:num w:numId="4" w16cid:durableId="748968221">
    <w:abstractNumId w:val="15"/>
  </w:num>
  <w:num w:numId="5" w16cid:durableId="1253005270">
    <w:abstractNumId w:val="14"/>
  </w:num>
  <w:num w:numId="6" w16cid:durableId="1996764192">
    <w:abstractNumId w:val="17"/>
  </w:num>
  <w:num w:numId="7" w16cid:durableId="414858803">
    <w:abstractNumId w:val="16"/>
  </w:num>
  <w:num w:numId="8" w16cid:durableId="1194421048">
    <w:abstractNumId w:val="2"/>
  </w:num>
  <w:num w:numId="9" w16cid:durableId="588734227">
    <w:abstractNumId w:val="5"/>
  </w:num>
  <w:num w:numId="10" w16cid:durableId="1383628036">
    <w:abstractNumId w:val="11"/>
  </w:num>
  <w:num w:numId="11" w16cid:durableId="157623351">
    <w:abstractNumId w:val="1"/>
  </w:num>
  <w:num w:numId="12" w16cid:durableId="180897046">
    <w:abstractNumId w:val="4"/>
  </w:num>
  <w:num w:numId="13" w16cid:durableId="1276979896">
    <w:abstractNumId w:val="0"/>
  </w:num>
  <w:num w:numId="14" w16cid:durableId="665790366">
    <w:abstractNumId w:val="3"/>
  </w:num>
  <w:num w:numId="15" w16cid:durableId="724259857">
    <w:abstractNumId w:val="9"/>
  </w:num>
  <w:num w:numId="16" w16cid:durableId="2032607525">
    <w:abstractNumId w:val="8"/>
  </w:num>
  <w:num w:numId="17" w16cid:durableId="837577624">
    <w:abstractNumId w:val="12"/>
  </w:num>
  <w:num w:numId="18" w16cid:durableId="14150823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4FC"/>
    <w:rsid w:val="000247C7"/>
    <w:rsid w:val="002164E4"/>
    <w:rsid w:val="0025489E"/>
    <w:rsid w:val="00285B06"/>
    <w:rsid w:val="00302848"/>
    <w:rsid w:val="00380747"/>
    <w:rsid w:val="008F39D4"/>
    <w:rsid w:val="00A60C50"/>
    <w:rsid w:val="00A6192F"/>
    <w:rsid w:val="00C25655"/>
    <w:rsid w:val="00CD2A9F"/>
    <w:rsid w:val="00D334FC"/>
    <w:rsid w:val="00F47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30A38"/>
  <w15:chartTrackingRefBased/>
  <w15:docId w15:val="{2C940D28-E58D-4C84-85B4-3ADAED9F3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4FC"/>
    <w:pPr>
      <w:spacing w:line="278" w:lineRule="auto"/>
    </w:pPr>
    <w:rPr>
      <w:sz w:val="24"/>
      <w:szCs w:val="24"/>
    </w:rPr>
  </w:style>
  <w:style w:type="paragraph" w:styleId="Heading1">
    <w:name w:val="heading 1"/>
    <w:basedOn w:val="Normal"/>
    <w:next w:val="Normal"/>
    <w:link w:val="Heading1Char"/>
    <w:uiPriority w:val="9"/>
    <w:qFormat/>
    <w:rsid w:val="00D334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334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334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34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34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3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3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3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3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34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334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334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34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34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3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3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3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34FC"/>
    <w:rPr>
      <w:rFonts w:eastAsiaTheme="majorEastAsia" w:cstheme="majorBidi"/>
      <w:color w:val="272727" w:themeColor="text1" w:themeTint="D8"/>
    </w:rPr>
  </w:style>
  <w:style w:type="paragraph" w:styleId="Title">
    <w:name w:val="Title"/>
    <w:basedOn w:val="Normal"/>
    <w:next w:val="Normal"/>
    <w:link w:val="TitleChar"/>
    <w:uiPriority w:val="10"/>
    <w:qFormat/>
    <w:rsid w:val="00D33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3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3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3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34FC"/>
    <w:pPr>
      <w:spacing w:before="160"/>
      <w:jc w:val="center"/>
    </w:pPr>
    <w:rPr>
      <w:i/>
      <w:iCs/>
      <w:color w:val="404040" w:themeColor="text1" w:themeTint="BF"/>
    </w:rPr>
  </w:style>
  <w:style w:type="character" w:customStyle="1" w:styleId="QuoteChar">
    <w:name w:val="Quote Char"/>
    <w:basedOn w:val="DefaultParagraphFont"/>
    <w:link w:val="Quote"/>
    <w:uiPriority w:val="29"/>
    <w:rsid w:val="00D334FC"/>
    <w:rPr>
      <w:i/>
      <w:iCs/>
      <w:color w:val="404040" w:themeColor="text1" w:themeTint="BF"/>
    </w:rPr>
  </w:style>
  <w:style w:type="paragraph" w:styleId="ListParagraph">
    <w:name w:val="List Paragraph"/>
    <w:basedOn w:val="Normal"/>
    <w:uiPriority w:val="34"/>
    <w:qFormat/>
    <w:rsid w:val="00D334FC"/>
    <w:pPr>
      <w:ind w:left="720"/>
      <w:contextualSpacing/>
    </w:pPr>
  </w:style>
  <w:style w:type="character" w:styleId="IntenseEmphasis">
    <w:name w:val="Intense Emphasis"/>
    <w:basedOn w:val="DefaultParagraphFont"/>
    <w:uiPriority w:val="21"/>
    <w:qFormat/>
    <w:rsid w:val="00D334FC"/>
    <w:rPr>
      <w:i/>
      <w:iCs/>
      <w:color w:val="2F5496" w:themeColor="accent1" w:themeShade="BF"/>
    </w:rPr>
  </w:style>
  <w:style w:type="paragraph" w:styleId="IntenseQuote">
    <w:name w:val="Intense Quote"/>
    <w:basedOn w:val="Normal"/>
    <w:next w:val="Normal"/>
    <w:link w:val="IntenseQuoteChar"/>
    <w:uiPriority w:val="30"/>
    <w:qFormat/>
    <w:rsid w:val="00D334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34FC"/>
    <w:rPr>
      <w:i/>
      <w:iCs/>
      <w:color w:val="2F5496" w:themeColor="accent1" w:themeShade="BF"/>
    </w:rPr>
  </w:style>
  <w:style w:type="character" w:styleId="IntenseReference">
    <w:name w:val="Intense Reference"/>
    <w:basedOn w:val="DefaultParagraphFont"/>
    <w:uiPriority w:val="32"/>
    <w:qFormat/>
    <w:rsid w:val="00D334FC"/>
    <w:rPr>
      <w:b/>
      <w:bCs/>
      <w:smallCaps/>
      <w:color w:val="2F5496" w:themeColor="accent1" w:themeShade="BF"/>
      <w:spacing w:val="5"/>
    </w:rPr>
  </w:style>
  <w:style w:type="character" w:styleId="Hyperlink">
    <w:name w:val="Hyperlink"/>
    <w:basedOn w:val="DefaultParagraphFont"/>
    <w:uiPriority w:val="99"/>
    <w:unhideWhenUsed/>
    <w:rsid w:val="00D334FC"/>
    <w:rPr>
      <w:color w:val="0563C1" w:themeColor="hyperlink"/>
      <w:u w:val="single"/>
    </w:rPr>
  </w:style>
  <w:style w:type="paragraph" w:styleId="TOCHeading">
    <w:name w:val="TOC Heading"/>
    <w:basedOn w:val="Heading1"/>
    <w:next w:val="Normal"/>
    <w:uiPriority w:val="39"/>
    <w:unhideWhenUsed/>
    <w:qFormat/>
    <w:rsid w:val="00D334F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334FC"/>
    <w:pPr>
      <w:spacing w:after="100"/>
    </w:pPr>
  </w:style>
  <w:style w:type="paragraph" w:styleId="TOC2">
    <w:name w:val="toc 2"/>
    <w:basedOn w:val="Normal"/>
    <w:next w:val="Normal"/>
    <w:autoRedefine/>
    <w:uiPriority w:val="39"/>
    <w:unhideWhenUsed/>
    <w:rsid w:val="00D334FC"/>
    <w:pPr>
      <w:spacing w:after="100"/>
      <w:ind w:left="240"/>
    </w:pPr>
  </w:style>
  <w:style w:type="paragraph" w:styleId="TOC3">
    <w:name w:val="toc 3"/>
    <w:basedOn w:val="Normal"/>
    <w:next w:val="Normal"/>
    <w:autoRedefine/>
    <w:uiPriority w:val="39"/>
    <w:unhideWhenUsed/>
    <w:rsid w:val="00D334FC"/>
    <w:pPr>
      <w:spacing w:after="100"/>
      <w:ind w:left="480"/>
    </w:pPr>
  </w:style>
  <w:style w:type="table" w:styleId="TableGrid">
    <w:name w:val="Table Grid"/>
    <w:basedOn w:val="TableNormal"/>
    <w:uiPriority w:val="39"/>
    <w:rsid w:val="00D334FC"/>
    <w:pPr>
      <w:spacing w:after="0" w:line="240" w:lineRule="auto"/>
    </w:pPr>
    <w:rPr>
      <w:sz w:val="24"/>
      <w:szCs w:val="24"/>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34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4FC"/>
    <w:rPr>
      <w:sz w:val="24"/>
      <w:szCs w:val="24"/>
    </w:rPr>
  </w:style>
  <w:style w:type="paragraph" w:styleId="Footer">
    <w:name w:val="footer"/>
    <w:basedOn w:val="Normal"/>
    <w:link w:val="FooterChar"/>
    <w:uiPriority w:val="99"/>
    <w:unhideWhenUsed/>
    <w:rsid w:val="00D334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4FC"/>
    <w:rPr>
      <w:sz w:val="24"/>
      <w:szCs w:val="24"/>
    </w:rPr>
  </w:style>
  <w:style w:type="character" w:styleId="FollowedHyperlink">
    <w:name w:val="FollowedHyperlink"/>
    <w:basedOn w:val="DefaultParagraphFont"/>
    <w:uiPriority w:val="99"/>
    <w:semiHidden/>
    <w:unhideWhenUsed/>
    <w:rsid w:val="00D334FC"/>
    <w:rPr>
      <w:color w:val="954F72" w:themeColor="followedHyperlink"/>
      <w:u w:val="single"/>
    </w:rPr>
  </w:style>
  <w:style w:type="paragraph" w:styleId="NormalWeb">
    <w:name w:val="Normal (Web)"/>
    <w:basedOn w:val="Normal"/>
    <w:uiPriority w:val="99"/>
    <w:semiHidden/>
    <w:unhideWhenUsed/>
    <w:rsid w:val="00D334FC"/>
    <w:rPr>
      <w:rFonts w:ascii="Times New Roman" w:hAnsi="Times New Roman" w:cs="Times New Roman"/>
    </w:rPr>
  </w:style>
  <w:style w:type="character" w:styleId="UnresolvedMention">
    <w:name w:val="Unresolved Mention"/>
    <w:basedOn w:val="DefaultParagraphFont"/>
    <w:uiPriority w:val="99"/>
    <w:semiHidden/>
    <w:unhideWhenUsed/>
    <w:rsid w:val="00D334FC"/>
    <w:rPr>
      <w:color w:val="605E5C"/>
      <w:shd w:val="clear" w:color="auto" w:fill="E1DFDD"/>
    </w:rPr>
  </w:style>
  <w:style w:type="paragraph" w:styleId="BodyText">
    <w:name w:val="Body Text"/>
    <w:basedOn w:val="Normal"/>
    <w:link w:val="BodyTextChar"/>
    <w:uiPriority w:val="1"/>
    <w:unhideWhenUsed/>
    <w:qFormat/>
    <w:rsid w:val="0025489E"/>
    <w:pPr>
      <w:widowControl w:val="0"/>
      <w:autoSpaceDE w:val="0"/>
      <w:autoSpaceDN w:val="0"/>
      <w:spacing w:after="0" w:line="240" w:lineRule="auto"/>
    </w:pPr>
    <w:rPr>
      <w:rFonts w:ascii="Arial" w:eastAsia="Calibri Light" w:hAnsi="Arial" w:cs="Calibri Light"/>
      <w:kern w:val="0"/>
      <w:sz w:val="22"/>
      <w:szCs w:val="22"/>
      <w:lang w:eastAsia="en-GB" w:bidi="en-GB"/>
      <w14:ligatures w14:val="none"/>
    </w:rPr>
  </w:style>
  <w:style w:type="character" w:customStyle="1" w:styleId="BodyTextChar">
    <w:name w:val="Body Text Char"/>
    <w:basedOn w:val="DefaultParagraphFont"/>
    <w:link w:val="BodyText"/>
    <w:uiPriority w:val="1"/>
    <w:rsid w:val="0025489E"/>
    <w:rPr>
      <w:rFonts w:ascii="Arial" w:eastAsia="Calibri Light" w:hAnsi="Arial" w:cs="Calibri Light"/>
      <w:kern w:val="0"/>
      <w:lang w:eastAsia="en-GB" w:bidi="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57</Pages>
  <Words>17116</Words>
  <Characters>97564</Characters>
  <Application>Microsoft Office Word</Application>
  <DocSecurity>0</DocSecurity>
  <Lines>813</Lines>
  <Paragraphs>228</Paragraphs>
  <ScaleCrop>false</ScaleCrop>
  <Company/>
  <LinksUpToDate>false</LinksUpToDate>
  <CharactersWithSpaces>114452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Nurkas Kaneez (2225340)</dc:creator>
  <cp:keywords/>
  <dc:description/>
  <cp:lastModifiedBy>Nurkas Kaneez (2225340)</cp:lastModifiedBy>
  <cp:revision>3</cp:revision>
  <dcterms:created xsi:type="dcterms:W3CDTF">2026-03-21T10:39:00Z</dcterms:created>
  <dcterms:modified xsi:type="dcterms:W3CDTF">2026-03-22T08:48:00Z</dcterms:modified>
</cp:coreProperties>
</file>