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F1BD6A9" w14:textId="77777777" w:rsidR="005C079A" w:rsidRPr="00EF3725" w:rsidRDefault="005C079A" w:rsidP="005C079A">
      <w:pPr>
        <w:jc w:val="center"/>
        <w:rPr>
          <w:b/>
          <w:color w:val="000000" w:themeColor="text1"/>
          <w:lang w:val="en-GB"/>
        </w:rPr>
      </w:pPr>
    </w:p>
    <w:p w14:paraId="4453BC1B" w14:textId="77777777" w:rsidR="005C079A" w:rsidRDefault="005C079A" w:rsidP="005C079A">
      <w:pPr>
        <w:jc w:val="center"/>
        <w:rPr>
          <w:b/>
          <w:color w:val="000000" w:themeColor="text1"/>
          <w:lang w:val="en-GB"/>
        </w:rPr>
      </w:pPr>
      <w:bookmarkStart w:id="0" w:name="_eiv3o8z9we5w" w:colFirst="0" w:colLast="0"/>
      <w:bookmarkEnd w:id="0"/>
    </w:p>
    <w:p w14:paraId="2B7E79C0" w14:textId="77777777" w:rsidR="005C079A" w:rsidRDefault="005C079A" w:rsidP="005C079A">
      <w:pPr>
        <w:jc w:val="center"/>
        <w:rPr>
          <w:b/>
          <w:color w:val="000000" w:themeColor="text1"/>
          <w:lang w:val="en-GB"/>
        </w:rPr>
      </w:pPr>
    </w:p>
    <w:p w14:paraId="6F0909DE" w14:textId="77777777" w:rsidR="005C079A" w:rsidRDefault="005C079A" w:rsidP="005C079A">
      <w:pPr>
        <w:jc w:val="center"/>
        <w:rPr>
          <w:b/>
          <w:color w:val="000000" w:themeColor="text1"/>
          <w:lang w:val="en-GB"/>
        </w:rPr>
      </w:pPr>
    </w:p>
    <w:p w14:paraId="7A06E6A9" w14:textId="2E1176D8" w:rsidR="005C079A" w:rsidRPr="00EF3725" w:rsidRDefault="005C079A" w:rsidP="005C079A">
      <w:pPr>
        <w:jc w:val="center"/>
        <w:rPr>
          <w:b/>
          <w:color w:val="000000" w:themeColor="text1"/>
          <w:lang w:val="en-GB"/>
        </w:rPr>
      </w:pPr>
      <w:r>
        <w:rPr>
          <w:noProof/>
        </w:rPr>
        <w:drawing>
          <wp:inline distT="0" distB="0" distL="0" distR="0" wp14:anchorId="3CFF77D0" wp14:editId="2FA4481F">
            <wp:extent cx="5715000" cy="1895475"/>
            <wp:effectExtent l="0" t="0" r="0" b="9525"/>
            <wp:docPr id="508772272" name="Picture 50877227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75CBD65B" w14:textId="77777777" w:rsidR="005C079A" w:rsidRPr="00EF3725" w:rsidRDefault="005C079A" w:rsidP="005C079A">
      <w:pPr>
        <w:jc w:val="center"/>
        <w:rPr>
          <w:b/>
          <w:color w:val="000000" w:themeColor="text1"/>
          <w:lang w:val="en-GB"/>
        </w:rPr>
      </w:pPr>
    </w:p>
    <w:p w14:paraId="27EB4FBB" w14:textId="77777777" w:rsidR="005C079A" w:rsidRPr="00EF3725" w:rsidRDefault="005C079A" w:rsidP="005C079A">
      <w:pPr>
        <w:jc w:val="center"/>
        <w:rPr>
          <w:b/>
          <w:color w:val="000000" w:themeColor="text1"/>
          <w:lang w:val="en-GB"/>
        </w:rPr>
      </w:pPr>
    </w:p>
    <w:p w14:paraId="095E775A" w14:textId="77777777" w:rsidR="005C079A" w:rsidRPr="00EF3725" w:rsidRDefault="005C079A" w:rsidP="005C079A">
      <w:pPr>
        <w:jc w:val="center"/>
        <w:rPr>
          <w:b/>
          <w:color w:val="000000" w:themeColor="text1"/>
          <w:lang w:val="en-GB"/>
        </w:rPr>
      </w:pPr>
      <w:r w:rsidRPr="00EF3725">
        <w:rPr>
          <w:b/>
          <w:color w:val="000000" w:themeColor="text1"/>
          <w:lang w:val="en-GB"/>
        </w:rPr>
        <w:t xml:space="preserve"> </w:t>
      </w:r>
    </w:p>
    <w:p w14:paraId="081576F0" w14:textId="77777777" w:rsidR="005C079A" w:rsidRDefault="005C079A" w:rsidP="005C079A">
      <w:pPr>
        <w:jc w:val="center"/>
        <w:rPr>
          <w:bCs/>
          <w:color w:val="000000" w:themeColor="text1"/>
          <w:sz w:val="32"/>
          <w:lang w:val="en-GB"/>
        </w:rPr>
      </w:pPr>
      <w:r w:rsidRPr="00EF3725">
        <w:rPr>
          <w:b/>
          <w:color w:val="000000" w:themeColor="text1"/>
          <w:sz w:val="32"/>
          <w:lang w:val="en-GB"/>
        </w:rPr>
        <w:t xml:space="preserve">PROGRAMME: </w:t>
      </w:r>
      <w:r>
        <w:rPr>
          <w:bCs/>
          <w:color w:val="000000" w:themeColor="text1"/>
          <w:sz w:val="32"/>
          <w:lang w:val="en-GB"/>
        </w:rPr>
        <w:t>MBA – International Business</w:t>
      </w:r>
    </w:p>
    <w:p w14:paraId="3A80945A" w14:textId="77777777" w:rsidR="005C079A" w:rsidRDefault="005C079A" w:rsidP="005C079A">
      <w:pPr>
        <w:jc w:val="center"/>
        <w:rPr>
          <w:bCs/>
          <w:color w:val="000000" w:themeColor="text1"/>
          <w:sz w:val="32"/>
          <w:lang w:val="en-GB"/>
        </w:rPr>
      </w:pPr>
      <w:r>
        <w:rPr>
          <w:bCs/>
          <w:color w:val="000000" w:themeColor="text1"/>
          <w:sz w:val="32"/>
          <w:lang w:val="en-GB"/>
        </w:rPr>
        <w:t>Term 1</w:t>
      </w:r>
    </w:p>
    <w:p w14:paraId="71C81F41" w14:textId="77777777" w:rsidR="005C079A" w:rsidRPr="00B420D9" w:rsidRDefault="005C079A" w:rsidP="005C079A">
      <w:pPr>
        <w:jc w:val="center"/>
        <w:rPr>
          <w:bCs/>
          <w:color w:val="000000" w:themeColor="text1"/>
          <w:sz w:val="32"/>
          <w:lang w:val="en-GB"/>
        </w:rPr>
      </w:pPr>
    </w:p>
    <w:p w14:paraId="2563E34C" w14:textId="77777777" w:rsidR="005C079A" w:rsidRPr="00B420D9" w:rsidRDefault="005C079A" w:rsidP="005C079A">
      <w:pPr>
        <w:jc w:val="center"/>
        <w:rPr>
          <w:b/>
          <w:color w:val="000000" w:themeColor="text1"/>
          <w:sz w:val="32"/>
          <w:lang w:val="en-GB"/>
        </w:rPr>
      </w:pPr>
      <w:r w:rsidRPr="00B420D9">
        <w:rPr>
          <w:b/>
          <w:color w:val="000000" w:themeColor="text1"/>
          <w:sz w:val="32"/>
          <w:lang w:val="en-GB"/>
        </w:rPr>
        <w:t xml:space="preserve">STUDENT NAME: </w:t>
      </w:r>
      <w:r w:rsidRPr="00B420D9">
        <w:rPr>
          <w:bCs/>
          <w:color w:val="000000" w:themeColor="text1"/>
          <w:sz w:val="32"/>
          <w:lang w:val="en-GB"/>
        </w:rPr>
        <w:t>YASHKUMAR DHOLAKIYA</w:t>
      </w:r>
    </w:p>
    <w:p w14:paraId="041396A2" w14:textId="77777777" w:rsidR="005C079A" w:rsidRDefault="005C079A" w:rsidP="005C079A">
      <w:pPr>
        <w:jc w:val="center"/>
        <w:rPr>
          <w:b/>
          <w:color w:val="000000" w:themeColor="text1"/>
          <w:sz w:val="32"/>
          <w:lang w:val="en-GB"/>
        </w:rPr>
      </w:pPr>
      <w:r w:rsidRPr="00B420D9">
        <w:rPr>
          <w:b/>
          <w:color w:val="000000" w:themeColor="text1"/>
          <w:sz w:val="32"/>
          <w:lang w:val="en-GB"/>
        </w:rPr>
        <w:t xml:space="preserve">STUDENT ID: </w:t>
      </w:r>
      <w:r w:rsidRPr="00B420D9">
        <w:rPr>
          <w:bCs/>
          <w:color w:val="000000" w:themeColor="text1"/>
          <w:sz w:val="32"/>
          <w:lang w:val="en-GB"/>
        </w:rPr>
        <w:t>2505243</w:t>
      </w:r>
      <w:r w:rsidRPr="00B420D9">
        <w:rPr>
          <w:b/>
          <w:color w:val="000000" w:themeColor="text1"/>
          <w:sz w:val="32"/>
          <w:lang w:val="en-GB"/>
        </w:rPr>
        <w:t xml:space="preserve"> </w:t>
      </w:r>
    </w:p>
    <w:p w14:paraId="7E8664EB" w14:textId="77777777" w:rsidR="005C079A" w:rsidRDefault="005C079A" w:rsidP="005C079A">
      <w:pPr>
        <w:jc w:val="center"/>
        <w:rPr>
          <w:b/>
          <w:color w:val="000000" w:themeColor="text1"/>
          <w:sz w:val="32"/>
          <w:lang w:val="en-GB"/>
        </w:rPr>
      </w:pPr>
    </w:p>
    <w:p w14:paraId="6508BC9A" w14:textId="77777777" w:rsidR="005C079A" w:rsidRDefault="005C079A" w:rsidP="005C079A">
      <w:pPr>
        <w:jc w:val="center"/>
        <w:rPr>
          <w:bCs/>
          <w:color w:val="000000" w:themeColor="text1"/>
          <w:sz w:val="32"/>
        </w:rPr>
      </w:pPr>
      <w:r w:rsidRPr="00EF3725">
        <w:rPr>
          <w:b/>
          <w:color w:val="000000" w:themeColor="text1"/>
          <w:sz w:val="32"/>
          <w:lang w:val="en-GB"/>
        </w:rPr>
        <w:t xml:space="preserve">MODULE: </w:t>
      </w:r>
      <w:r w:rsidRPr="005C079A">
        <w:rPr>
          <w:bCs/>
          <w:color w:val="000000" w:themeColor="text1"/>
          <w:sz w:val="32"/>
        </w:rPr>
        <w:t>Financial Management</w:t>
      </w:r>
    </w:p>
    <w:p w14:paraId="4DADE938" w14:textId="4A4EB1F0" w:rsidR="005C079A" w:rsidRDefault="005C079A" w:rsidP="005C079A">
      <w:pPr>
        <w:jc w:val="center"/>
        <w:rPr>
          <w:b/>
          <w:color w:val="000000" w:themeColor="text1"/>
          <w:sz w:val="32"/>
          <w:szCs w:val="32"/>
          <w:lang w:val="en-GB"/>
        </w:rPr>
      </w:pPr>
      <w:r w:rsidRPr="00EF3725">
        <w:rPr>
          <w:b/>
          <w:color w:val="000000" w:themeColor="text1"/>
          <w:sz w:val="32"/>
          <w:szCs w:val="32"/>
          <w:lang w:val="en-GB"/>
        </w:rPr>
        <w:t xml:space="preserve">MODULE CODE: </w:t>
      </w:r>
      <w:r w:rsidRPr="005C079A">
        <w:rPr>
          <w:bCs/>
          <w:color w:val="000000" w:themeColor="text1"/>
          <w:sz w:val="32"/>
          <w:szCs w:val="32"/>
        </w:rPr>
        <w:t>LCMB7002</w:t>
      </w:r>
    </w:p>
    <w:p w14:paraId="23D8F099" w14:textId="77777777" w:rsidR="005C079A" w:rsidRDefault="005C079A" w:rsidP="005C079A">
      <w:pPr>
        <w:jc w:val="center"/>
        <w:rPr>
          <w:b/>
          <w:color w:val="000000" w:themeColor="text1"/>
          <w:sz w:val="32"/>
          <w:szCs w:val="32"/>
          <w:lang w:val="en-GB"/>
        </w:rPr>
      </w:pPr>
    </w:p>
    <w:p w14:paraId="0448E7E0" w14:textId="77777777" w:rsidR="005C079A" w:rsidRDefault="005C079A" w:rsidP="005C079A">
      <w:pPr>
        <w:jc w:val="center"/>
        <w:rPr>
          <w:bCs/>
          <w:color w:val="000000" w:themeColor="text1"/>
          <w:sz w:val="32"/>
          <w:szCs w:val="32"/>
        </w:rPr>
      </w:pPr>
      <w:r>
        <w:rPr>
          <w:b/>
          <w:color w:val="000000" w:themeColor="text1"/>
          <w:sz w:val="32"/>
          <w:szCs w:val="32"/>
          <w:lang w:val="en-GB"/>
        </w:rPr>
        <w:t xml:space="preserve">Lecturer’s Name: </w:t>
      </w:r>
      <w:r w:rsidRPr="005C079A">
        <w:rPr>
          <w:bCs/>
          <w:color w:val="000000" w:themeColor="text1"/>
          <w:sz w:val="32"/>
          <w:szCs w:val="32"/>
        </w:rPr>
        <w:t>Md Kalam</w:t>
      </w:r>
    </w:p>
    <w:p w14:paraId="2125AA35" w14:textId="2B876560" w:rsidR="005C079A" w:rsidRPr="00FB079D" w:rsidRDefault="005C079A" w:rsidP="005C079A">
      <w:pPr>
        <w:jc w:val="center"/>
        <w:rPr>
          <w:bCs/>
          <w:color w:val="000000" w:themeColor="text1"/>
          <w:sz w:val="32"/>
          <w:szCs w:val="32"/>
          <w:lang w:val="en-GB"/>
        </w:rPr>
      </w:pPr>
      <w:r w:rsidRPr="00FB079D">
        <w:rPr>
          <w:b/>
          <w:color w:val="000000" w:themeColor="text1"/>
          <w:sz w:val="32"/>
          <w:szCs w:val="32"/>
          <w:lang w:val="en-GB"/>
        </w:rPr>
        <w:t>Word Count:</w:t>
      </w:r>
      <w:r>
        <w:rPr>
          <w:b/>
          <w:color w:val="000000" w:themeColor="text1"/>
          <w:sz w:val="32"/>
          <w:szCs w:val="32"/>
          <w:lang w:val="en-GB"/>
        </w:rPr>
        <w:t xml:space="preserve"> </w:t>
      </w:r>
      <w:r>
        <w:rPr>
          <w:bCs/>
          <w:color w:val="000000" w:themeColor="text1"/>
          <w:sz w:val="32"/>
          <w:szCs w:val="32"/>
          <w:lang w:val="en-GB"/>
        </w:rPr>
        <w:t>5135</w:t>
      </w:r>
      <w:r>
        <w:rPr>
          <w:bCs/>
          <w:color w:val="000000" w:themeColor="text1"/>
          <w:sz w:val="32"/>
          <w:szCs w:val="32"/>
          <w:lang w:val="en-GB"/>
        </w:rPr>
        <w:t>/</w:t>
      </w:r>
      <w:r>
        <w:rPr>
          <w:bCs/>
          <w:color w:val="000000" w:themeColor="text1"/>
          <w:sz w:val="32"/>
          <w:szCs w:val="32"/>
          <w:lang w:val="en-GB"/>
        </w:rPr>
        <w:t>5000</w:t>
      </w:r>
    </w:p>
    <w:p w14:paraId="572494D5" w14:textId="1D0F4D6C" w:rsidR="008413CF" w:rsidRDefault="008413CF" w:rsidP="00A924C3">
      <w:pPr>
        <w:pStyle w:val="Title"/>
        <w:rPr>
          <w:rFonts w:ascii="Arial" w:hAnsi="Arial" w:cs="Arial"/>
          <w:sz w:val="24"/>
          <w:szCs w:val="24"/>
          <w:lang w:val="en-GB"/>
        </w:rPr>
      </w:pPr>
    </w:p>
    <w:p w14:paraId="6F19E200" w14:textId="77777777" w:rsidR="008413CF" w:rsidRPr="008413CF" w:rsidRDefault="008413CF" w:rsidP="00A924C3">
      <w:pPr>
        <w:rPr>
          <w:lang w:val="en-GB"/>
        </w:rPr>
      </w:pPr>
    </w:p>
    <w:sdt>
      <w:sdtPr>
        <w:rPr>
          <w:rFonts w:ascii="Arial" w:eastAsia="Times New Roman" w:hAnsi="Arial" w:cs="Arial"/>
          <w:b w:val="0"/>
          <w:bCs w:val="0"/>
          <w:color w:val="auto"/>
          <w:sz w:val="24"/>
          <w:szCs w:val="24"/>
          <w:lang w:val="en" w:eastAsia="en-GB"/>
        </w:rPr>
        <w:id w:val="2050413661"/>
        <w:docPartObj>
          <w:docPartGallery w:val="Table of Contents"/>
          <w:docPartUnique/>
        </w:docPartObj>
      </w:sdtPr>
      <w:sdtEndPr>
        <w:rPr>
          <w:noProof/>
          <w:color w:val="000000" w:themeColor="text1"/>
        </w:rPr>
      </w:sdtEndPr>
      <w:sdtContent>
        <w:p w14:paraId="55B89C89" w14:textId="77777777" w:rsidR="000E7014" w:rsidRPr="0068022A" w:rsidRDefault="000E7014" w:rsidP="00A924C3">
          <w:pPr>
            <w:pStyle w:val="TOCHeading"/>
            <w:spacing w:line="360" w:lineRule="auto"/>
            <w:jc w:val="center"/>
            <w:rPr>
              <w:rFonts w:ascii="Arial" w:hAnsi="Arial" w:cs="Arial"/>
              <w:color w:val="000000" w:themeColor="text1"/>
              <w:sz w:val="24"/>
              <w:szCs w:val="24"/>
            </w:rPr>
          </w:pPr>
          <w:r w:rsidRPr="0068022A">
            <w:rPr>
              <w:rFonts w:ascii="Arial" w:hAnsi="Arial" w:cs="Arial"/>
              <w:color w:val="000000" w:themeColor="text1"/>
              <w:sz w:val="24"/>
              <w:szCs w:val="24"/>
            </w:rPr>
            <w:t>Table of Contents</w:t>
          </w:r>
        </w:p>
        <w:p w14:paraId="56AF45FE" w14:textId="5940B99E" w:rsidR="002A2F98" w:rsidRPr="005C079A" w:rsidRDefault="000E7014" w:rsidP="002A2F98">
          <w:pPr>
            <w:pStyle w:val="TOC1"/>
            <w:tabs>
              <w:tab w:val="right" w:leader="dot" w:pos="9016"/>
            </w:tabs>
            <w:jc w:val="both"/>
            <w:rPr>
              <w:rFonts w:ascii="Arial" w:eastAsiaTheme="minorEastAsia" w:hAnsi="Arial" w:cs="Arial"/>
              <w:b w:val="0"/>
              <w:bCs w:val="0"/>
              <w:i w:val="0"/>
              <w:iCs w:val="0"/>
              <w:noProof/>
              <w:color w:val="000000" w:themeColor="text1"/>
              <w:kern w:val="2"/>
              <w:lang w:val="en-IN" w:eastAsia="en-IN"/>
              <w14:ligatures w14:val="standardContextual"/>
            </w:rPr>
          </w:pPr>
          <w:r w:rsidRPr="005C079A">
            <w:rPr>
              <w:rFonts w:ascii="Arial" w:hAnsi="Arial" w:cs="Arial"/>
              <w:b w:val="0"/>
              <w:bCs w:val="0"/>
              <w:i w:val="0"/>
              <w:iCs w:val="0"/>
              <w:color w:val="000000" w:themeColor="text1"/>
            </w:rPr>
            <w:fldChar w:fldCharType="begin"/>
          </w:r>
          <w:r w:rsidRPr="005C079A">
            <w:rPr>
              <w:rFonts w:ascii="Arial" w:hAnsi="Arial" w:cs="Arial"/>
              <w:b w:val="0"/>
              <w:bCs w:val="0"/>
              <w:i w:val="0"/>
              <w:iCs w:val="0"/>
              <w:color w:val="000000" w:themeColor="text1"/>
            </w:rPr>
            <w:instrText xml:space="preserve"> TOC \o "1-3" \h \z \u </w:instrText>
          </w:r>
          <w:r w:rsidRPr="005C079A">
            <w:rPr>
              <w:rFonts w:ascii="Arial" w:hAnsi="Arial" w:cs="Arial"/>
              <w:b w:val="0"/>
              <w:bCs w:val="0"/>
              <w:i w:val="0"/>
              <w:iCs w:val="0"/>
              <w:color w:val="000000" w:themeColor="text1"/>
            </w:rPr>
            <w:fldChar w:fldCharType="separate"/>
          </w:r>
          <w:hyperlink w:anchor="_Toc216183616" w:history="1">
            <w:r w:rsidR="002A2F98" w:rsidRPr="005C079A">
              <w:rPr>
                <w:rStyle w:val="Hyperlink"/>
                <w:rFonts w:ascii="Arial" w:hAnsi="Arial" w:cs="Arial"/>
                <w:b w:val="0"/>
                <w:bCs w:val="0"/>
                <w:i w:val="0"/>
                <w:iCs w:val="0"/>
                <w:noProof/>
                <w:color w:val="000000" w:themeColor="text1"/>
                <w:lang w:val="en-GB"/>
              </w:rPr>
              <w:t>1. Introduction</w:t>
            </w:r>
            <w:r w:rsidR="002A2F98" w:rsidRPr="005C079A">
              <w:rPr>
                <w:rFonts w:ascii="Arial" w:hAnsi="Arial" w:cs="Arial"/>
                <w:b w:val="0"/>
                <w:bCs w:val="0"/>
                <w:i w:val="0"/>
                <w:iCs w:val="0"/>
                <w:noProof/>
                <w:webHidden/>
                <w:color w:val="000000" w:themeColor="text1"/>
              </w:rPr>
              <w:tab/>
            </w:r>
            <w:r w:rsidR="002A2F98" w:rsidRPr="005C079A">
              <w:rPr>
                <w:rFonts w:ascii="Arial" w:hAnsi="Arial" w:cs="Arial"/>
                <w:b w:val="0"/>
                <w:bCs w:val="0"/>
                <w:i w:val="0"/>
                <w:iCs w:val="0"/>
                <w:noProof/>
                <w:webHidden/>
                <w:color w:val="000000" w:themeColor="text1"/>
              </w:rPr>
              <w:fldChar w:fldCharType="begin"/>
            </w:r>
            <w:r w:rsidR="002A2F98" w:rsidRPr="005C079A">
              <w:rPr>
                <w:rFonts w:ascii="Arial" w:hAnsi="Arial" w:cs="Arial"/>
                <w:b w:val="0"/>
                <w:bCs w:val="0"/>
                <w:i w:val="0"/>
                <w:iCs w:val="0"/>
                <w:noProof/>
                <w:webHidden/>
                <w:color w:val="000000" w:themeColor="text1"/>
              </w:rPr>
              <w:instrText xml:space="preserve"> PAGEREF _Toc216183616 \h </w:instrText>
            </w:r>
            <w:r w:rsidR="002A2F98" w:rsidRPr="005C079A">
              <w:rPr>
                <w:rFonts w:ascii="Arial" w:hAnsi="Arial" w:cs="Arial"/>
                <w:b w:val="0"/>
                <w:bCs w:val="0"/>
                <w:i w:val="0"/>
                <w:iCs w:val="0"/>
                <w:noProof/>
                <w:webHidden/>
                <w:color w:val="000000" w:themeColor="text1"/>
              </w:rPr>
            </w:r>
            <w:r w:rsidR="002A2F98" w:rsidRPr="005C079A">
              <w:rPr>
                <w:rFonts w:ascii="Arial" w:hAnsi="Arial" w:cs="Arial"/>
                <w:b w:val="0"/>
                <w:bCs w:val="0"/>
                <w:i w:val="0"/>
                <w:iCs w:val="0"/>
                <w:noProof/>
                <w:webHidden/>
                <w:color w:val="000000" w:themeColor="text1"/>
              </w:rPr>
              <w:fldChar w:fldCharType="separate"/>
            </w:r>
            <w:r w:rsidR="002A2F98" w:rsidRPr="005C079A">
              <w:rPr>
                <w:rFonts w:ascii="Arial" w:hAnsi="Arial" w:cs="Arial"/>
                <w:b w:val="0"/>
                <w:bCs w:val="0"/>
                <w:i w:val="0"/>
                <w:iCs w:val="0"/>
                <w:noProof/>
                <w:webHidden/>
                <w:color w:val="000000" w:themeColor="text1"/>
              </w:rPr>
              <w:t>4</w:t>
            </w:r>
            <w:r w:rsidR="002A2F98" w:rsidRPr="005C079A">
              <w:rPr>
                <w:rFonts w:ascii="Arial" w:hAnsi="Arial" w:cs="Arial"/>
                <w:b w:val="0"/>
                <w:bCs w:val="0"/>
                <w:i w:val="0"/>
                <w:iCs w:val="0"/>
                <w:noProof/>
                <w:webHidden/>
                <w:color w:val="000000" w:themeColor="text1"/>
              </w:rPr>
              <w:fldChar w:fldCharType="end"/>
            </w:r>
          </w:hyperlink>
        </w:p>
        <w:p w14:paraId="1D1D1185" w14:textId="49D35EEA" w:rsidR="002A2F98" w:rsidRPr="005C079A" w:rsidRDefault="002A2F98" w:rsidP="002A2F98">
          <w:pPr>
            <w:pStyle w:val="TOC1"/>
            <w:tabs>
              <w:tab w:val="right" w:leader="dot" w:pos="9016"/>
            </w:tabs>
            <w:jc w:val="both"/>
            <w:rPr>
              <w:rFonts w:ascii="Arial" w:eastAsiaTheme="minorEastAsia" w:hAnsi="Arial" w:cs="Arial"/>
              <w:b w:val="0"/>
              <w:bCs w:val="0"/>
              <w:i w:val="0"/>
              <w:iCs w:val="0"/>
              <w:noProof/>
              <w:color w:val="000000" w:themeColor="text1"/>
              <w:kern w:val="2"/>
              <w:lang w:val="en-IN" w:eastAsia="en-IN"/>
              <w14:ligatures w14:val="standardContextual"/>
            </w:rPr>
          </w:pPr>
          <w:hyperlink w:anchor="_Toc216183617" w:history="1">
            <w:r w:rsidRPr="005C079A">
              <w:rPr>
                <w:rStyle w:val="Hyperlink"/>
                <w:rFonts w:ascii="Arial" w:hAnsi="Arial" w:cs="Arial"/>
                <w:b w:val="0"/>
                <w:bCs w:val="0"/>
                <w:i w:val="0"/>
                <w:iCs w:val="0"/>
                <w:noProof/>
                <w:color w:val="000000" w:themeColor="text1"/>
                <w:lang w:val="en-GB"/>
              </w:rPr>
              <w:t>2. Financial Health Check</w:t>
            </w:r>
            <w:r w:rsidRPr="005C079A">
              <w:rPr>
                <w:rFonts w:ascii="Arial" w:hAnsi="Arial" w:cs="Arial"/>
                <w:b w:val="0"/>
                <w:bCs w:val="0"/>
                <w:i w:val="0"/>
                <w:iCs w:val="0"/>
                <w:noProof/>
                <w:webHidden/>
                <w:color w:val="000000" w:themeColor="text1"/>
              </w:rPr>
              <w:tab/>
            </w:r>
            <w:r w:rsidRPr="005C079A">
              <w:rPr>
                <w:rFonts w:ascii="Arial" w:hAnsi="Arial" w:cs="Arial"/>
                <w:b w:val="0"/>
                <w:bCs w:val="0"/>
                <w:i w:val="0"/>
                <w:iCs w:val="0"/>
                <w:noProof/>
                <w:webHidden/>
                <w:color w:val="000000" w:themeColor="text1"/>
              </w:rPr>
              <w:fldChar w:fldCharType="begin"/>
            </w:r>
            <w:r w:rsidRPr="005C079A">
              <w:rPr>
                <w:rFonts w:ascii="Arial" w:hAnsi="Arial" w:cs="Arial"/>
                <w:b w:val="0"/>
                <w:bCs w:val="0"/>
                <w:i w:val="0"/>
                <w:iCs w:val="0"/>
                <w:noProof/>
                <w:webHidden/>
                <w:color w:val="000000" w:themeColor="text1"/>
              </w:rPr>
              <w:instrText xml:space="preserve"> PAGEREF _Toc216183617 \h </w:instrText>
            </w:r>
            <w:r w:rsidRPr="005C079A">
              <w:rPr>
                <w:rFonts w:ascii="Arial" w:hAnsi="Arial" w:cs="Arial"/>
                <w:b w:val="0"/>
                <w:bCs w:val="0"/>
                <w:i w:val="0"/>
                <w:iCs w:val="0"/>
                <w:noProof/>
                <w:webHidden/>
                <w:color w:val="000000" w:themeColor="text1"/>
              </w:rPr>
            </w:r>
            <w:r w:rsidRPr="005C079A">
              <w:rPr>
                <w:rFonts w:ascii="Arial" w:hAnsi="Arial" w:cs="Arial"/>
                <w:b w:val="0"/>
                <w:bCs w:val="0"/>
                <w:i w:val="0"/>
                <w:iCs w:val="0"/>
                <w:noProof/>
                <w:webHidden/>
                <w:color w:val="000000" w:themeColor="text1"/>
              </w:rPr>
              <w:fldChar w:fldCharType="separate"/>
            </w:r>
            <w:r w:rsidRPr="005C079A">
              <w:rPr>
                <w:rFonts w:ascii="Arial" w:hAnsi="Arial" w:cs="Arial"/>
                <w:b w:val="0"/>
                <w:bCs w:val="0"/>
                <w:i w:val="0"/>
                <w:iCs w:val="0"/>
                <w:noProof/>
                <w:webHidden/>
                <w:color w:val="000000" w:themeColor="text1"/>
              </w:rPr>
              <w:t>4</w:t>
            </w:r>
            <w:r w:rsidRPr="005C079A">
              <w:rPr>
                <w:rFonts w:ascii="Arial" w:hAnsi="Arial" w:cs="Arial"/>
                <w:b w:val="0"/>
                <w:bCs w:val="0"/>
                <w:i w:val="0"/>
                <w:iCs w:val="0"/>
                <w:noProof/>
                <w:webHidden/>
                <w:color w:val="000000" w:themeColor="text1"/>
              </w:rPr>
              <w:fldChar w:fldCharType="end"/>
            </w:r>
          </w:hyperlink>
        </w:p>
        <w:p w14:paraId="7F35D289" w14:textId="3D95278A"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18" w:history="1">
            <w:r w:rsidRPr="005C079A">
              <w:rPr>
                <w:rStyle w:val="Hyperlink"/>
                <w:rFonts w:ascii="Arial" w:hAnsi="Arial" w:cs="Arial"/>
                <w:b w:val="0"/>
                <w:bCs w:val="0"/>
                <w:noProof/>
                <w:color w:val="000000" w:themeColor="text1"/>
                <w:sz w:val="24"/>
                <w:szCs w:val="24"/>
                <w:lang w:val="en-GB"/>
              </w:rPr>
              <w:t>2.1 Profitability Analysis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_Toc216183618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4</w:t>
            </w:r>
            <w:r w:rsidRPr="005C079A">
              <w:rPr>
                <w:rFonts w:ascii="Arial" w:hAnsi="Arial" w:cs="Arial"/>
                <w:b w:val="0"/>
                <w:bCs w:val="0"/>
                <w:noProof/>
                <w:webHidden/>
                <w:color w:val="000000" w:themeColor="text1"/>
                <w:sz w:val="24"/>
                <w:szCs w:val="24"/>
              </w:rPr>
              <w:fldChar w:fldCharType="end"/>
            </w:r>
          </w:hyperlink>
        </w:p>
        <w:p w14:paraId="4EDACCF3" w14:textId="00709638"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19" w:history="1">
            <w:r w:rsidRPr="005C079A">
              <w:rPr>
                <w:rStyle w:val="Hyperlink"/>
                <w:rFonts w:ascii="Arial" w:hAnsi="Arial" w:cs="Arial"/>
                <w:b w:val="0"/>
                <w:bCs w:val="0"/>
                <w:noProof/>
                <w:color w:val="000000" w:themeColor="text1"/>
                <w:sz w:val="24"/>
                <w:szCs w:val="24"/>
                <w:lang w:val="en-GB"/>
              </w:rPr>
              <w:t>2.2 Liquidity Analysis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_Toc216183619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6</w:t>
            </w:r>
            <w:r w:rsidRPr="005C079A">
              <w:rPr>
                <w:rFonts w:ascii="Arial" w:hAnsi="Arial" w:cs="Arial"/>
                <w:b w:val="0"/>
                <w:bCs w:val="0"/>
                <w:noProof/>
                <w:webHidden/>
                <w:color w:val="000000" w:themeColor="text1"/>
                <w:sz w:val="24"/>
                <w:szCs w:val="24"/>
              </w:rPr>
              <w:fldChar w:fldCharType="end"/>
            </w:r>
          </w:hyperlink>
        </w:p>
        <w:p w14:paraId="3AF577CB" w14:textId="767FD2A5"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20" w:history="1">
            <w:r w:rsidRPr="005C079A">
              <w:rPr>
                <w:rStyle w:val="Hyperlink"/>
                <w:rFonts w:ascii="Arial" w:hAnsi="Arial" w:cs="Arial"/>
                <w:b w:val="0"/>
                <w:bCs w:val="0"/>
                <w:noProof/>
                <w:color w:val="000000" w:themeColor="text1"/>
                <w:sz w:val="24"/>
                <w:szCs w:val="24"/>
                <w:lang w:val="en-GB"/>
              </w:rPr>
              <w:t>2.3 Efficiency Ratios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_Toc216183620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7</w:t>
            </w:r>
            <w:r w:rsidRPr="005C079A">
              <w:rPr>
                <w:rFonts w:ascii="Arial" w:hAnsi="Arial" w:cs="Arial"/>
                <w:b w:val="0"/>
                <w:bCs w:val="0"/>
                <w:noProof/>
                <w:webHidden/>
                <w:color w:val="000000" w:themeColor="text1"/>
                <w:sz w:val="24"/>
                <w:szCs w:val="24"/>
              </w:rPr>
              <w:fldChar w:fldCharType="end"/>
            </w:r>
          </w:hyperlink>
        </w:p>
        <w:p w14:paraId="760187B3" w14:textId="2852CAFB"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21" w:history="1">
            <w:r w:rsidRPr="005C079A">
              <w:rPr>
                <w:rStyle w:val="Hyperlink"/>
                <w:rFonts w:ascii="Arial" w:hAnsi="Arial" w:cs="Arial"/>
                <w:b w:val="0"/>
                <w:bCs w:val="0"/>
                <w:noProof/>
                <w:color w:val="000000" w:themeColor="text1"/>
                <w:sz w:val="24"/>
                <w:szCs w:val="24"/>
                <w:lang w:val="en-GB"/>
              </w:rPr>
              <w:t>2.4 Profitability–Return Ratios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_Toc216183621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9</w:t>
            </w:r>
            <w:r w:rsidRPr="005C079A">
              <w:rPr>
                <w:rFonts w:ascii="Arial" w:hAnsi="Arial" w:cs="Arial"/>
                <w:b w:val="0"/>
                <w:bCs w:val="0"/>
                <w:noProof/>
                <w:webHidden/>
                <w:color w:val="000000" w:themeColor="text1"/>
                <w:sz w:val="24"/>
                <w:szCs w:val="24"/>
              </w:rPr>
              <w:fldChar w:fldCharType="end"/>
            </w:r>
          </w:hyperlink>
        </w:p>
        <w:p w14:paraId="33BFDFE1" w14:textId="7843ABF1"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22" w:history="1">
            <w:r w:rsidRPr="005C079A">
              <w:rPr>
                <w:rStyle w:val="Hyperlink"/>
                <w:rFonts w:ascii="Arial" w:hAnsi="Arial" w:cs="Arial"/>
                <w:b w:val="0"/>
                <w:bCs w:val="0"/>
                <w:noProof/>
                <w:color w:val="000000" w:themeColor="text1"/>
                <w:sz w:val="24"/>
                <w:szCs w:val="24"/>
                <w:lang w:val="en-GB"/>
              </w:rPr>
              <w:t>2.5 Leverage Ratio</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_Toc216183622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11</w:t>
            </w:r>
            <w:r w:rsidRPr="005C079A">
              <w:rPr>
                <w:rFonts w:ascii="Arial" w:hAnsi="Arial" w:cs="Arial"/>
                <w:b w:val="0"/>
                <w:bCs w:val="0"/>
                <w:noProof/>
                <w:webHidden/>
                <w:color w:val="000000" w:themeColor="text1"/>
                <w:sz w:val="24"/>
                <w:szCs w:val="24"/>
              </w:rPr>
              <w:fldChar w:fldCharType="end"/>
            </w:r>
          </w:hyperlink>
        </w:p>
        <w:p w14:paraId="62FC8C55" w14:textId="3F0B5A23"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23" w:history="1">
            <w:r w:rsidRPr="005C079A">
              <w:rPr>
                <w:rStyle w:val="Hyperlink"/>
                <w:rFonts w:ascii="Arial" w:hAnsi="Arial" w:cs="Arial"/>
                <w:b w:val="0"/>
                <w:bCs w:val="0"/>
                <w:noProof/>
                <w:color w:val="000000" w:themeColor="text1"/>
                <w:sz w:val="24"/>
                <w:szCs w:val="24"/>
                <w:lang w:val="en-GB"/>
              </w:rPr>
              <w:t>2.6 Cash Flow Quality Assessment</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_Toc216183623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12</w:t>
            </w:r>
            <w:r w:rsidRPr="005C079A">
              <w:rPr>
                <w:rFonts w:ascii="Arial" w:hAnsi="Arial" w:cs="Arial"/>
                <w:b w:val="0"/>
                <w:bCs w:val="0"/>
                <w:noProof/>
                <w:webHidden/>
                <w:color w:val="000000" w:themeColor="text1"/>
                <w:sz w:val="24"/>
                <w:szCs w:val="24"/>
              </w:rPr>
              <w:fldChar w:fldCharType="end"/>
            </w:r>
          </w:hyperlink>
        </w:p>
        <w:p w14:paraId="0DA091AB" w14:textId="27921BE8"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24" w:history="1">
            <w:r w:rsidRPr="005C079A">
              <w:rPr>
                <w:rStyle w:val="Hyperlink"/>
                <w:rFonts w:ascii="Arial" w:hAnsi="Arial" w:cs="Arial"/>
                <w:b w:val="0"/>
                <w:bCs w:val="0"/>
                <w:noProof/>
                <w:color w:val="000000" w:themeColor="text1"/>
                <w:sz w:val="24"/>
                <w:szCs w:val="24"/>
                <w:lang w:val="en-GB"/>
              </w:rPr>
              <w:t>2.7 Corporate Failure Prediction Models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_Toc216183624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13</w:t>
            </w:r>
            <w:r w:rsidRPr="005C079A">
              <w:rPr>
                <w:rFonts w:ascii="Arial" w:hAnsi="Arial" w:cs="Arial"/>
                <w:b w:val="0"/>
                <w:bCs w:val="0"/>
                <w:noProof/>
                <w:webHidden/>
                <w:color w:val="000000" w:themeColor="text1"/>
                <w:sz w:val="24"/>
                <w:szCs w:val="24"/>
              </w:rPr>
              <w:fldChar w:fldCharType="end"/>
            </w:r>
          </w:hyperlink>
        </w:p>
        <w:p w14:paraId="6400F91A" w14:textId="1EBD8F5D" w:rsidR="002A2F98" w:rsidRPr="005C079A" w:rsidRDefault="002A2F98" w:rsidP="002A2F98">
          <w:pPr>
            <w:pStyle w:val="TOC1"/>
            <w:tabs>
              <w:tab w:val="right" w:leader="dot" w:pos="9016"/>
            </w:tabs>
            <w:jc w:val="both"/>
            <w:rPr>
              <w:rFonts w:ascii="Arial" w:eastAsiaTheme="minorEastAsia" w:hAnsi="Arial" w:cs="Arial"/>
              <w:b w:val="0"/>
              <w:bCs w:val="0"/>
              <w:i w:val="0"/>
              <w:iCs w:val="0"/>
              <w:noProof/>
              <w:color w:val="000000" w:themeColor="text1"/>
              <w:kern w:val="2"/>
              <w:lang w:val="en-IN" w:eastAsia="en-IN"/>
              <w14:ligatures w14:val="standardContextual"/>
            </w:rPr>
          </w:pPr>
          <w:hyperlink w:anchor="_Toc216183625" w:history="1">
            <w:r w:rsidRPr="005C079A">
              <w:rPr>
                <w:rStyle w:val="Hyperlink"/>
                <w:rFonts w:ascii="Arial" w:hAnsi="Arial" w:cs="Arial"/>
                <w:b w:val="0"/>
                <w:bCs w:val="0"/>
                <w:i w:val="0"/>
                <w:iCs w:val="0"/>
                <w:noProof/>
                <w:color w:val="000000" w:themeColor="text1"/>
                <w:lang w:val="en-GB"/>
              </w:rPr>
              <w:t>3. Working Capital Management Analysis</w:t>
            </w:r>
            <w:r w:rsidRPr="005C079A">
              <w:rPr>
                <w:rFonts w:ascii="Arial" w:hAnsi="Arial" w:cs="Arial"/>
                <w:b w:val="0"/>
                <w:bCs w:val="0"/>
                <w:i w:val="0"/>
                <w:iCs w:val="0"/>
                <w:noProof/>
                <w:webHidden/>
                <w:color w:val="000000" w:themeColor="text1"/>
              </w:rPr>
              <w:tab/>
            </w:r>
            <w:r w:rsidRPr="005C079A">
              <w:rPr>
                <w:rFonts w:ascii="Arial" w:hAnsi="Arial" w:cs="Arial"/>
                <w:b w:val="0"/>
                <w:bCs w:val="0"/>
                <w:i w:val="0"/>
                <w:iCs w:val="0"/>
                <w:noProof/>
                <w:webHidden/>
                <w:color w:val="000000" w:themeColor="text1"/>
              </w:rPr>
              <w:fldChar w:fldCharType="begin"/>
            </w:r>
            <w:r w:rsidRPr="005C079A">
              <w:rPr>
                <w:rFonts w:ascii="Arial" w:hAnsi="Arial" w:cs="Arial"/>
                <w:b w:val="0"/>
                <w:bCs w:val="0"/>
                <w:i w:val="0"/>
                <w:iCs w:val="0"/>
                <w:noProof/>
                <w:webHidden/>
                <w:color w:val="000000" w:themeColor="text1"/>
              </w:rPr>
              <w:instrText xml:space="preserve"> PAGEREF _Toc216183625 \h </w:instrText>
            </w:r>
            <w:r w:rsidRPr="005C079A">
              <w:rPr>
                <w:rFonts w:ascii="Arial" w:hAnsi="Arial" w:cs="Arial"/>
                <w:b w:val="0"/>
                <w:bCs w:val="0"/>
                <w:i w:val="0"/>
                <w:iCs w:val="0"/>
                <w:noProof/>
                <w:webHidden/>
                <w:color w:val="000000" w:themeColor="text1"/>
              </w:rPr>
            </w:r>
            <w:r w:rsidRPr="005C079A">
              <w:rPr>
                <w:rFonts w:ascii="Arial" w:hAnsi="Arial" w:cs="Arial"/>
                <w:b w:val="0"/>
                <w:bCs w:val="0"/>
                <w:i w:val="0"/>
                <w:iCs w:val="0"/>
                <w:noProof/>
                <w:webHidden/>
                <w:color w:val="000000" w:themeColor="text1"/>
              </w:rPr>
              <w:fldChar w:fldCharType="separate"/>
            </w:r>
            <w:r w:rsidRPr="005C079A">
              <w:rPr>
                <w:rFonts w:ascii="Arial" w:hAnsi="Arial" w:cs="Arial"/>
                <w:b w:val="0"/>
                <w:bCs w:val="0"/>
                <w:i w:val="0"/>
                <w:iCs w:val="0"/>
                <w:noProof/>
                <w:webHidden/>
                <w:color w:val="000000" w:themeColor="text1"/>
              </w:rPr>
              <w:t>13</w:t>
            </w:r>
            <w:r w:rsidRPr="005C079A">
              <w:rPr>
                <w:rFonts w:ascii="Arial" w:hAnsi="Arial" w:cs="Arial"/>
                <w:b w:val="0"/>
                <w:bCs w:val="0"/>
                <w:i w:val="0"/>
                <w:iCs w:val="0"/>
                <w:noProof/>
                <w:webHidden/>
                <w:color w:val="000000" w:themeColor="text1"/>
              </w:rPr>
              <w:fldChar w:fldCharType="end"/>
            </w:r>
          </w:hyperlink>
        </w:p>
        <w:p w14:paraId="14614C30" w14:textId="2EE573EF"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26" w:history="1">
            <w:r w:rsidRPr="005C079A">
              <w:rPr>
                <w:rStyle w:val="Hyperlink"/>
                <w:rFonts w:ascii="Arial" w:hAnsi="Arial" w:cs="Arial"/>
                <w:b w:val="0"/>
                <w:bCs w:val="0"/>
                <w:noProof/>
                <w:color w:val="000000" w:themeColor="text1"/>
                <w:sz w:val="24"/>
                <w:szCs w:val="24"/>
                <w:lang w:val="en-GB"/>
              </w:rPr>
              <w:t>3.1 Cash Conversion Cycle (CCC) Evaluation</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_Toc216183626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13</w:t>
            </w:r>
            <w:r w:rsidRPr="005C079A">
              <w:rPr>
                <w:rFonts w:ascii="Arial" w:hAnsi="Arial" w:cs="Arial"/>
                <w:b w:val="0"/>
                <w:bCs w:val="0"/>
                <w:noProof/>
                <w:webHidden/>
                <w:color w:val="000000" w:themeColor="text1"/>
                <w:sz w:val="24"/>
                <w:szCs w:val="24"/>
              </w:rPr>
              <w:fldChar w:fldCharType="end"/>
            </w:r>
          </w:hyperlink>
        </w:p>
        <w:p w14:paraId="73B49CEF" w14:textId="39C53C71"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27" w:history="1">
            <w:r w:rsidRPr="005C079A">
              <w:rPr>
                <w:rStyle w:val="Hyperlink"/>
                <w:rFonts w:ascii="Arial" w:hAnsi="Arial" w:cs="Arial"/>
                <w:b w:val="0"/>
                <w:bCs w:val="0"/>
                <w:noProof/>
                <w:color w:val="000000" w:themeColor="text1"/>
                <w:sz w:val="24"/>
                <w:szCs w:val="24"/>
                <w:lang w:val="en-GB"/>
              </w:rPr>
              <w:t>3.2 Working Capital Weaknesses Identified</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_Toc216183627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14</w:t>
            </w:r>
            <w:r w:rsidRPr="005C079A">
              <w:rPr>
                <w:rFonts w:ascii="Arial" w:hAnsi="Arial" w:cs="Arial"/>
                <w:b w:val="0"/>
                <w:bCs w:val="0"/>
                <w:noProof/>
                <w:webHidden/>
                <w:color w:val="000000" w:themeColor="text1"/>
                <w:sz w:val="24"/>
                <w:szCs w:val="24"/>
              </w:rPr>
              <w:fldChar w:fldCharType="end"/>
            </w:r>
          </w:hyperlink>
        </w:p>
        <w:p w14:paraId="72F5724F" w14:textId="19ED8DA3"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28" w:history="1">
            <w:r w:rsidRPr="005C079A">
              <w:rPr>
                <w:rStyle w:val="Hyperlink"/>
                <w:rFonts w:ascii="Arial" w:hAnsi="Arial" w:cs="Arial"/>
                <w:b w:val="0"/>
                <w:bCs w:val="0"/>
                <w:noProof/>
                <w:color w:val="000000" w:themeColor="text1"/>
                <w:sz w:val="24"/>
                <w:szCs w:val="24"/>
                <w:lang w:val="en-GB"/>
              </w:rPr>
              <w:t>3.3 Recommended Working Capital Reforms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_Toc216183628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14</w:t>
            </w:r>
            <w:r w:rsidRPr="005C079A">
              <w:rPr>
                <w:rFonts w:ascii="Arial" w:hAnsi="Arial" w:cs="Arial"/>
                <w:b w:val="0"/>
                <w:bCs w:val="0"/>
                <w:noProof/>
                <w:webHidden/>
                <w:color w:val="000000" w:themeColor="text1"/>
                <w:sz w:val="24"/>
                <w:szCs w:val="24"/>
              </w:rPr>
              <w:fldChar w:fldCharType="end"/>
            </w:r>
          </w:hyperlink>
        </w:p>
        <w:p w14:paraId="4D2F39B5" w14:textId="6CC0ED49"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29" w:history="1">
            <w:r w:rsidRPr="005C079A">
              <w:rPr>
                <w:rStyle w:val="Hyperlink"/>
                <w:rFonts w:ascii="Arial" w:hAnsi="Arial" w:cs="Arial"/>
                <w:b w:val="0"/>
                <w:bCs w:val="0"/>
                <w:noProof/>
                <w:color w:val="000000" w:themeColor="text1"/>
                <w:sz w:val="24"/>
                <w:szCs w:val="24"/>
                <w:lang w:val="en-GB"/>
              </w:rPr>
              <w:t>3.4 Short-Term vs. Long-Term Financing Options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_Toc216183629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15</w:t>
            </w:r>
            <w:r w:rsidRPr="005C079A">
              <w:rPr>
                <w:rFonts w:ascii="Arial" w:hAnsi="Arial" w:cs="Arial"/>
                <w:b w:val="0"/>
                <w:bCs w:val="0"/>
                <w:noProof/>
                <w:webHidden/>
                <w:color w:val="000000" w:themeColor="text1"/>
                <w:sz w:val="24"/>
                <w:szCs w:val="24"/>
              </w:rPr>
              <w:fldChar w:fldCharType="end"/>
            </w:r>
          </w:hyperlink>
        </w:p>
        <w:p w14:paraId="27C5BC15" w14:textId="240805E3" w:rsidR="002A2F98" w:rsidRPr="005C079A" w:rsidRDefault="002A2F98" w:rsidP="002A2F98">
          <w:pPr>
            <w:pStyle w:val="TOC1"/>
            <w:tabs>
              <w:tab w:val="right" w:leader="dot" w:pos="9016"/>
            </w:tabs>
            <w:jc w:val="both"/>
            <w:rPr>
              <w:rFonts w:ascii="Arial" w:eastAsiaTheme="minorEastAsia" w:hAnsi="Arial" w:cs="Arial"/>
              <w:b w:val="0"/>
              <w:bCs w:val="0"/>
              <w:i w:val="0"/>
              <w:iCs w:val="0"/>
              <w:noProof/>
              <w:color w:val="000000" w:themeColor="text1"/>
              <w:kern w:val="2"/>
              <w:lang w:val="en-IN" w:eastAsia="en-IN"/>
              <w14:ligatures w14:val="standardContextual"/>
            </w:rPr>
          </w:pPr>
          <w:hyperlink w:anchor="_Toc216183630" w:history="1">
            <w:r w:rsidRPr="005C079A">
              <w:rPr>
                <w:rStyle w:val="Hyperlink"/>
                <w:rFonts w:ascii="Arial" w:hAnsi="Arial" w:cs="Arial"/>
                <w:b w:val="0"/>
                <w:bCs w:val="0"/>
                <w:i w:val="0"/>
                <w:iCs w:val="0"/>
                <w:noProof/>
                <w:color w:val="000000" w:themeColor="text1"/>
                <w:lang w:val="en-GB"/>
              </w:rPr>
              <w:t>4. Strategic Financial Restructuring Plan</w:t>
            </w:r>
            <w:r w:rsidRPr="005C079A">
              <w:rPr>
                <w:rFonts w:ascii="Arial" w:hAnsi="Arial" w:cs="Arial"/>
                <w:b w:val="0"/>
                <w:bCs w:val="0"/>
                <w:i w:val="0"/>
                <w:iCs w:val="0"/>
                <w:noProof/>
                <w:webHidden/>
                <w:color w:val="000000" w:themeColor="text1"/>
              </w:rPr>
              <w:tab/>
            </w:r>
            <w:r w:rsidRPr="005C079A">
              <w:rPr>
                <w:rFonts w:ascii="Arial" w:hAnsi="Arial" w:cs="Arial"/>
                <w:b w:val="0"/>
                <w:bCs w:val="0"/>
                <w:i w:val="0"/>
                <w:iCs w:val="0"/>
                <w:noProof/>
                <w:webHidden/>
                <w:color w:val="000000" w:themeColor="text1"/>
              </w:rPr>
              <w:fldChar w:fldCharType="begin"/>
            </w:r>
            <w:r w:rsidRPr="005C079A">
              <w:rPr>
                <w:rFonts w:ascii="Arial" w:hAnsi="Arial" w:cs="Arial"/>
                <w:b w:val="0"/>
                <w:bCs w:val="0"/>
                <w:i w:val="0"/>
                <w:iCs w:val="0"/>
                <w:noProof/>
                <w:webHidden/>
                <w:color w:val="000000" w:themeColor="text1"/>
              </w:rPr>
              <w:instrText xml:space="preserve"> PAGEREF _Toc216183630 \h </w:instrText>
            </w:r>
            <w:r w:rsidRPr="005C079A">
              <w:rPr>
                <w:rFonts w:ascii="Arial" w:hAnsi="Arial" w:cs="Arial"/>
                <w:b w:val="0"/>
                <w:bCs w:val="0"/>
                <w:i w:val="0"/>
                <w:iCs w:val="0"/>
                <w:noProof/>
                <w:webHidden/>
                <w:color w:val="000000" w:themeColor="text1"/>
              </w:rPr>
            </w:r>
            <w:r w:rsidRPr="005C079A">
              <w:rPr>
                <w:rFonts w:ascii="Arial" w:hAnsi="Arial" w:cs="Arial"/>
                <w:b w:val="0"/>
                <w:bCs w:val="0"/>
                <w:i w:val="0"/>
                <w:iCs w:val="0"/>
                <w:noProof/>
                <w:webHidden/>
                <w:color w:val="000000" w:themeColor="text1"/>
              </w:rPr>
              <w:fldChar w:fldCharType="separate"/>
            </w:r>
            <w:r w:rsidRPr="005C079A">
              <w:rPr>
                <w:rFonts w:ascii="Arial" w:hAnsi="Arial" w:cs="Arial"/>
                <w:b w:val="0"/>
                <w:bCs w:val="0"/>
                <w:i w:val="0"/>
                <w:iCs w:val="0"/>
                <w:noProof/>
                <w:webHidden/>
                <w:color w:val="000000" w:themeColor="text1"/>
              </w:rPr>
              <w:t>15</w:t>
            </w:r>
            <w:r w:rsidRPr="005C079A">
              <w:rPr>
                <w:rFonts w:ascii="Arial" w:hAnsi="Arial" w:cs="Arial"/>
                <w:b w:val="0"/>
                <w:bCs w:val="0"/>
                <w:i w:val="0"/>
                <w:iCs w:val="0"/>
                <w:noProof/>
                <w:webHidden/>
                <w:color w:val="000000" w:themeColor="text1"/>
              </w:rPr>
              <w:fldChar w:fldCharType="end"/>
            </w:r>
          </w:hyperlink>
        </w:p>
        <w:p w14:paraId="67CD379C" w14:textId="5E38D5BA"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31" w:history="1">
            <w:r w:rsidRPr="005C079A">
              <w:rPr>
                <w:rStyle w:val="Hyperlink"/>
                <w:rFonts w:ascii="Arial" w:hAnsi="Arial" w:cs="Arial"/>
                <w:b w:val="0"/>
                <w:bCs w:val="0"/>
                <w:noProof/>
                <w:color w:val="000000" w:themeColor="text1"/>
                <w:sz w:val="24"/>
                <w:szCs w:val="24"/>
                <w:lang w:val="en-GB"/>
              </w:rPr>
              <w:t>4.1 Overview of Financial Distress Drivers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_Toc216183631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15</w:t>
            </w:r>
            <w:r w:rsidRPr="005C079A">
              <w:rPr>
                <w:rFonts w:ascii="Arial" w:hAnsi="Arial" w:cs="Arial"/>
                <w:b w:val="0"/>
                <w:bCs w:val="0"/>
                <w:noProof/>
                <w:webHidden/>
                <w:color w:val="000000" w:themeColor="text1"/>
                <w:sz w:val="24"/>
                <w:szCs w:val="24"/>
              </w:rPr>
              <w:fldChar w:fldCharType="end"/>
            </w:r>
          </w:hyperlink>
        </w:p>
        <w:p w14:paraId="46DB4E89" w14:textId="603254D2"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32" w:history="1">
            <w:r w:rsidRPr="005C079A">
              <w:rPr>
                <w:rStyle w:val="Hyperlink"/>
                <w:rFonts w:ascii="Arial" w:hAnsi="Arial" w:cs="Arial"/>
                <w:b w:val="0"/>
                <w:bCs w:val="0"/>
                <w:noProof/>
                <w:color w:val="000000" w:themeColor="text1"/>
                <w:sz w:val="24"/>
                <w:szCs w:val="24"/>
                <w:lang w:val="en-GB"/>
              </w:rPr>
              <w:t>4.2 Restructuring Option 1: Divestitures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_Toc216183632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16</w:t>
            </w:r>
            <w:r w:rsidRPr="005C079A">
              <w:rPr>
                <w:rFonts w:ascii="Arial" w:hAnsi="Arial" w:cs="Arial"/>
                <w:b w:val="0"/>
                <w:bCs w:val="0"/>
                <w:noProof/>
                <w:webHidden/>
                <w:color w:val="000000" w:themeColor="text1"/>
                <w:sz w:val="24"/>
                <w:szCs w:val="24"/>
              </w:rPr>
              <w:fldChar w:fldCharType="end"/>
            </w:r>
          </w:hyperlink>
        </w:p>
        <w:p w14:paraId="6660C911" w14:textId="6ECD68E2"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33" w:history="1">
            <w:r w:rsidRPr="005C079A">
              <w:rPr>
                <w:rStyle w:val="Hyperlink"/>
                <w:rFonts w:ascii="Arial" w:hAnsi="Arial" w:cs="Arial"/>
                <w:b w:val="0"/>
                <w:bCs w:val="0"/>
                <w:noProof/>
                <w:color w:val="000000" w:themeColor="text1"/>
                <w:sz w:val="24"/>
                <w:szCs w:val="24"/>
                <w:lang w:val="en-GB"/>
              </w:rPr>
              <w:t>4.3 Restructuring Option 2: Strategic Merger or Joint Venture</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_Toc216183633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16</w:t>
            </w:r>
            <w:r w:rsidRPr="005C079A">
              <w:rPr>
                <w:rFonts w:ascii="Arial" w:hAnsi="Arial" w:cs="Arial"/>
                <w:b w:val="0"/>
                <w:bCs w:val="0"/>
                <w:noProof/>
                <w:webHidden/>
                <w:color w:val="000000" w:themeColor="text1"/>
                <w:sz w:val="24"/>
                <w:szCs w:val="24"/>
              </w:rPr>
              <w:fldChar w:fldCharType="end"/>
            </w:r>
          </w:hyperlink>
        </w:p>
        <w:p w14:paraId="2A0E6F36" w14:textId="2C27BB43"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34" w:history="1">
            <w:r w:rsidRPr="005C079A">
              <w:rPr>
                <w:rStyle w:val="Hyperlink"/>
                <w:rFonts w:ascii="Arial" w:hAnsi="Arial" w:cs="Arial"/>
                <w:b w:val="0"/>
                <w:bCs w:val="0"/>
                <w:noProof/>
                <w:color w:val="000000" w:themeColor="text1"/>
                <w:sz w:val="24"/>
                <w:szCs w:val="24"/>
                <w:lang w:val="en-GB"/>
              </w:rPr>
              <w:t>4.4 Restructuring Option 3: Equity Injection or Rights Issue</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_Toc216183634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17</w:t>
            </w:r>
            <w:r w:rsidRPr="005C079A">
              <w:rPr>
                <w:rFonts w:ascii="Arial" w:hAnsi="Arial" w:cs="Arial"/>
                <w:b w:val="0"/>
                <w:bCs w:val="0"/>
                <w:noProof/>
                <w:webHidden/>
                <w:color w:val="000000" w:themeColor="text1"/>
                <w:sz w:val="24"/>
                <w:szCs w:val="24"/>
              </w:rPr>
              <w:fldChar w:fldCharType="end"/>
            </w:r>
          </w:hyperlink>
        </w:p>
        <w:p w14:paraId="06CD42E3" w14:textId="59A9297B"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35" w:history="1">
            <w:r w:rsidRPr="005C079A">
              <w:rPr>
                <w:rStyle w:val="Hyperlink"/>
                <w:rFonts w:ascii="Arial" w:hAnsi="Arial" w:cs="Arial"/>
                <w:b w:val="0"/>
                <w:bCs w:val="0"/>
                <w:noProof/>
                <w:color w:val="000000" w:themeColor="text1"/>
                <w:sz w:val="24"/>
                <w:szCs w:val="24"/>
                <w:lang w:val="en-GB"/>
              </w:rPr>
              <w:t>4.5 Debt Restructuring Strategies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_Toc216183635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18</w:t>
            </w:r>
            <w:r w:rsidRPr="005C079A">
              <w:rPr>
                <w:rFonts w:ascii="Arial" w:hAnsi="Arial" w:cs="Arial"/>
                <w:b w:val="0"/>
                <w:bCs w:val="0"/>
                <w:noProof/>
                <w:webHidden/>
                <w:color w:val="000000" w:themeColor="text1"/>
                <w:sz w:val="24"/>
                <w:szCs w:val="24"/>
              </w:rPr>
              <w:fldChar w:fldCharType="end"/>
            </w:r>
          </w:hyperlink>
        </w:p>
        <w:p w14:paraId="0B8BB0E5" w14:textId="7DD3765A"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36" w:history="1">
            <w:r w:rsidRPr="005C079A">
              <w:rPr>
                <w:rStyle w:val="Hyperlink"/>
                <w:rFonts w:ascii="Arial" w:hAnsi="Arial" w:cs="Arial"/>
                <w:b w:val="0"/>
                <w:bCs w:val="0"/>
                <w:noProof/>
                <w:color w:val="000000" w:themeColor="text1"/>
                <w:sz w:val="24"/>
                <w:szCs w:val="24"/>
                <w:lang w:val="en-GB"/>
              </w:rPr>
              <w:t>4.6 International Considerations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_Toc216183636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18</w:t>
            </w:r>
            <w:r w:rsidRPr="005C079A">
              <w:rPr>
                <w:rFonts w:ascii="Arial" w:hAnsi="Arial" w:cs="Arial"/>
                <w:b w:val="0"/>
                <w:bCs w:val="0"/>
                <w:noProof/>
                <w:webHidden/>
                <w:color w:val="000000" w:themeColor="text1"/>
                <w:sz w:val="24"/>
                <w:szCs w:val="24"/>
              </w:rPr>
              <w:fldChar w:fldCharType="end"/>
            </w:r>
          </w:hyperlink>
        </w:p>
        <w:p w14:paraId="090DFE09" w14:textId="54FD1FA5"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37" w:history="1">
            <w:r w:rsidRPr="005C079A">
              <w:rPr>
                <w:rStyle w:val="Hyperlink"/>
                <w:rFonts w:ascii="Arial" w:hAnsi="Arial" w:cs="Arial"/>
                <w:b w:val="0"/>
                <w:bCs w:val="0"/>
                <w:noProof/>
                <w:color w:val="000000" w:themeColor="text1"/>
                <w:sz w:val="24"/>
                <w:szCs w:val="24"/>
                <w:lang w:val="en-GB"/>
              </w:rPr>
              <w:t>4.7 Ethical and CSR Considerations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_Toc216183637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18</w:t>
            </w:r>
            <w:r w:rsidRPr="005C079A">
              <w:rPr>
                <w:rFonts w:ascii="Arial" w:hAnsi="Arial" w:cs="Arial"/>
                <w:b w:val="0"/>
                <w:bCs w:val="0"/>
                <w:noProof/>
                <w:webHidden/>
                <w:color w:val="000000" w:themeColor="text1"/>
                <w:sz w:val="24"/>
                <w:szCs w:val="24"/>
              </w:rPr>
              <w:fldChar w:fldCharType="end"/>
            </w:r>
          </w:hyperlink>
        </w:p>
        <w:p w14:paraId="78D765A0" w14:textId="46AB2F2F" w:rsidR="002A2F98" w:rsidRPr="005C079A" w:rsidRDefault="002A2F98" w:rsidP="002A2F98">
          <w:pPr>
            <w:pStyle w:val="TOC1"/>
            <w:tabs>
              <w:tab w:val="right" w:leader="dot" w:pos="9016"/>
            </w:tabs>
            <w:jc w:val="both"/>
            <w:rPr>
              <w:rFonts w:ascii="Arial" w:eastAsiaTheme="minorEastAsia" w:hAnsi="Arial" w:cs="Arial"/>
              <w:b w:val="0"/>
              <w:bCs w:val="0"/>
              <w:i w:val="0"/>
              <w:iCs w:val="0"/>
              <w:noProof/>
              <w:color w:val="000000" w:themeColor="text1"/>
              <w:kern w:val="2"/>
              <w:lang w:val="en-IN" w:eastAsia="en-IN"/>
              <w14:ligatures w14:val="standardContextual"/>
            </w:rPr>
          </w:pPr>
          <w:hyperlink w:anchor="_Toc216183638" w:history="1">
            <w:r w:rsidRPr="005C079A">
              <w:rPr>
                <w:rStyle w:val="Hyperlink"/>
                <w:rFonts w:ascii="Arial" w:hAnsi="Arial" w:cs="Arial"/>
                <w:b w:val="0"/>
                <w:bCs w:val="0"/>
                <w:i w:val="0"/>
                <w:iCs w:val="0"/>
                <w:noProof/>
                <w:color w:val="000000" w:themeColor="text1"/>
                <w:lang w:val="en-GB"/>
              </w:rPr>
              <w:t>5. Investment Appraisal and Capital Budgeting</w:t>
            </w:r>
            <w:r w:rsidRPr="005C079A">
              <w:rPr>
                <w:rFonts w:ascii="Arial" w:hAnsi="Arial" w:cs="Arial"/>
                <w:b w:val="0"/>
                <w:bCs w:val="0"/>
                <w:i w:val="0"/>
                <w:iCs w:val="0"/>
                <w:noProof/>
                <w:webHidden/>
                <w:color w:val="000000" w:themeColor="text1"/>
              </w:rPr>
              <w:tab/>
            </w:r>
            <w:r w:rsidRPr="005C079A">
              <w:rPr>
                <w:rFonts w:ascii="Arial" w:hAnsi="Arial" w:cs="Arial"/>
                <w:b w:val="0"/>
                <w:bCs w:val="0"/>
                <w:i w:val="0"/>
                <w:iCs w:val="0"/>
                <w:noProof/>
                <w:webHidden/>
                <w:color w:val="000000" w:themeColor="text1"/>
              </w:rPr>
              <w:fldChar w:fldCharType="begin"/>
            </w:r>
            <w:r w:rsidRPr="005C079A">
              <w:rPr>
                <w:rFonts w:ascii="Arial" w:hAnsi="Arial" w:cs="Arial"/>
                <w:b w:val="0"/>
                <w:bCs w:val="0"/>
                <w:i w:val="0"/>
                <w:iCs w:val="0"/>
                <w:noProof/>
                <w:webHidden/>
                <w:color w:val="000000" w:themeColor="text1"/>
              </w:rPr>
              <w:instrText xml:space="preserve"> PAGEREF _Toc216183638 \h </w:instrText>
            </w:r>
            <w:r w:rsidRPr="005C079A">
              <w:rPr>
                <w:rFonts w:ascii="Arial" w:hAnsi="Arial" w:cs="Arial"/>
                <w:b w:val="0"/>
                <w:bCs w:val="0"/>
                <w:i w:val="0"/>
                <w:iCs w:val="0"/>
                <w:noProof/>
                <w:webHidden/>
                <w:color w:val="000000" w:themeColor="text1"/>
              </w:rPr>
            </w:r>
            <w:r w:rsidRPr="005C079A">
              <w:rPr>
                <w:rFonts w:ascii="Arial" w:hAnsi="Arial" w:cs="Arial"/>
                <w:b w:val="0"/>
                <w:bCs w:val="0"/>
                <w:i w:val="0"/>
                <w:iCs w:val="0"/>
                <w:noProof/>
                <w:webHidden/>
                <w:color w:val="000000" w:themeColor="text1"/>
              </w:rPr>
              <w:fldChar w:fldCharType="separate"/>
            </w:r>
            <w:r w:rsidRPr="005C079A">
              <w:rPr>
                <w:rFonts w:ascii="Arial" w:hAnsi="Arial" w:cs="Arial"/>
                <w:b w:val="0"/>
                <w:bCs w:val="0"/>
                <w:i w:val="0"/>
                <w:iCs w:val="0"/>
                <w:noProof/>
                <w:webHidden/>
                <w:color w:val="000000" w:themeColor="text1"/>
              </w:rPr>
              <w:t>19</w:t>
            </w:r>
            <w:r w:rsidRPr="005C079A">
              <w:rPr>
                <w:rFonts w:ascii="Arial" w:hAnsi="Arial" w:cs="Arial"/>
                <w:b w:val="0"/>
                <w:bCs w:val="0"/>
                <w:i w:val="0"/>
                <w:iCs w:val="0"/>
                <w:noProof/>
                <w:webHidden/>
                <w:color w:val="000000" w:themeColor="text1"/>
              </w:rPr>
              <w:fldChar w:fldCharType="end"/>
            </w:r>
          </w:hyperlink>
        </w:p>
        <w:p w14:paraId="7A629A77" w14:textId="528812C2"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39" w:history="1">
            <w:r w:rsidRPr="005C079A">
              <w:rPr>
                <w:rStyle w:val="Hyperlink"/>
                <w:rFonts w:ascii="Arial" w:hAnsi="Arial" w:cs="Arial"/>
                <w:b w:val="0"/>
                <w:bCs w:val="0"/>
                <w:noProof/>
                <w:color w:val="000000" w:themeColor="text1"/>
                <w:sz w:val="24"/>
                <w:szCs w:val="24"/>
                <w:lang w:val="en-GB"/>
              </w:rPr>
              <w:t>5.1 Overview of Capital Constraint (£60m limit)</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_Toc216183639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19</w:t>
            </w:r>
            <w:r w:rsidRPr="005C079A">
              <w:rPr>
                <w:rFonts w:ascii="Arial" w:hAnsi="Arial" w:cs="Arial"/>
                <w:b w:val="0"/>
                <w:bCs w:val="0"/>
                <w:noProof/>
                <w:webHidden/>
                <w:color w:val="000000" w:themeColor="text1"/>
                <w:sz w:val="24"/>
                <w:szCs w:val="24"/>
              </w:rPr>
              <w:fldChar w:fldCharType="end"/>
            </w:r>
          </w:hyperlink>
        </w:p>
        <w:p w14:paraId="33CCC470" w14:textId="6558D21E"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40" w:history="1">
            <w:r w:rsidRPr="005C079A">
              <w:rPr>
                <w:rStyle w:val="Hyperlink"/>
                <w:rFonts w:ascii="Arial" w:hAnsi="Arial" w:cs="Arial"/>
                <w:b w:val="0"/>
                <w:bCs w:val="0"/>
                <w:noProof/>
                <w:color w:val="000000" w:themeColor="text1"/>
                <w:sz w:val="24"/>
                <w:szCs w:val="24"/>
                <w:lang w:val="en-GB"/>
              </w:rPr>
              <w:t>5.2 Project A Evaluation</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_Toc216183640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19</w:t>
            </w:r>
            <w:r w:rsidRPr="005C079A">
              <w:rPr>
                <w:rFonts w:ascii="Arial" w:hAnsi="Arial" w:cs="Arial"/>
                <w:b w:val="0"/>
                <w:bCs w:val="0"/>
                <w:noProof/>
                <w:webHidden/>
                <w:color w:val="000000" w:themeColor="text1"/>
                <w:sz w:val="24"/>
                <w:szCs w:val="24"/>
              </w:rPr>
              <w:fldChar w:fldCharType="end"/>
            </w:r>
          </w:hyperlink>
        </w:p>
        <w:p w14:paraId="5198C43E" w14:textId="5AB9B6E3"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41" w:history="1">
            <w:r w:rsidRPr="005C079A">
              <w:rPr>
                <w:rStyle w:val="Hyperlink"/>
                <w:rFonts w:ascii="Arial" w:hAnsi="Arial" w:cs="Arial"/>
                <w:b w:val="0"/>
                <w:bCs w:val="0"/>
                <w:noProof/>
                <w:color w:val="000000" w:themeColor="text1"/>
                <w:sz w:val="24"/>
                <w:szCs w:val="24"/>
                <w:lang w:val="en-GB"/>
              </w:rPr>
              <w:t>5.3 Project B Evaluation</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_Toc216183641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20</w:t>
            </w:r>
            <w:r w:rsidRPr="005C079A">
              <w:rPr>
                <w:rFonts w:ascii="Arial" w:hAnsi="Arial" w:cs="Arial"/>
                <w:b w:val="0"/>
                <w:bCs w:val="0"/>
                <w:noProof/>
                <w:webHidden/>
                <w:color w:val="000000" w:themeColor="text1"/>
                <w:sz w:val="24"/>
                <w:szCs w:val="24"/>
              </w:rPr>
              <w:fldChar w:fldCharType="end"/>
            </w:r>
          </w:hyperlink>
        </w:p>
        <w:p w14:paraId="6CAD6A45" w14:textId="128B9F23"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42" w:history="1">
            <w:r w:rsidRPr="005C079A">
              <w:rPr>
                <w:rStyle w:val="Hyperlink"/>
                <w:rFonts w:ascii="Arial" w:hAnsi="Arial" w:cs="Arial"/>
                <w:b w:val="0"/>
                <w:bCs w:val="0"/>
                <w:noProof/>
                <w:color w:val="000000" w:themeColor="text1"/>
                <w:sz w:val="24"/>
                <w:szCs w:val="24"/>
                <w:lang w:val="en-GB"/>
              </w:rPr>
              <w:t>5.4 Project C Evaluation</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_Toc216183642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20</w:t>
            </w:r>
            <w:r w:rsidRPr="005C079A">
              <w:rPr>
                <w:rFonts w:ascii="Arial" w:hAnsi="Arial" w:cs="Arial"/>
                <w:b w:val="0"/>
                <w:bCs w:val="0"/>
                <w:noProof/>
                <w:webHidden/>
                <w:color w:val="000000" w:themeColor="text1"/>
                <w:sz w:val="24"/>
                <w:szCs w:val="24"/>
              </w:rPr>
              <w:fldChar w:fldCharType="end"/>
            </w:r>
          </w:hyperlink>
        </w:p>
        <w:p w14:paraId="53D2BA8C" w14:textId="632E2071"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43" w:history="1">
            <w:r w:rsidRPr="005C079A">
              <w:rPr>
                <w:rStyle w:val="Hyperlink"/>
                <w:rFonts w:ascii="Arial" w:hAnsi="Arial" w:cs="Arial"/>
                <w:b w:val="0"/>
                <w:bCs w:val="0"/>
                <w:noProof/>
                <w:color w:val="000000" w:themeColor="text1"/>
                <w:sz w:val="24"/>
                <w:szCs w:val="24"/>
                <w:lang w:val="en-GB"/>
              </w:rPr>
              <w:t>5.5 Comparative Ranking of Projects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_Toc216183643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21</w:t>
            </w:r>
            <w:r w:rsidRPr="005C079A">
              <w:rPr>
                <w:rFonts w:ascii="Arial" w:hAnsi="Arial" w:cs="Arial"/>
                <w:b w:val="0"/>
                <w:bCs w:val="0"/>
                <w:noProof/>
                <w:webHidden/>
                <w:color w:val="000000" w:themeColor="text1"/>
                <w:sz w:val="24"/>
                <w:szCs w:val="24"/>
              </w:rPr>
              <w:fldChar w:fldCharType="end"/>
            </w:r>
          </w:hyperlink>
        </w:p>
        <w:p w14:paraId="564B72D6" w14:textId="2DF7DF75"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44" w:history="1">
            <w:r w:rsidRPr="005C079A">
              <w:rPr>
                <w:rStyle w:val="Hyperlink"/>
                <w:rFonts w:ascii="Arial" w:hAnsi="Arial" w:cs="Arial"/>
                <w:b w:val="0"/>
                <w:bCs w:val="0"/>
                <w:noProof/>
                <w:color w:val="000000" w:themeColor="text1"/>
                <w:sz w:val="24"/>
                <w:szCs w:val="24"/>
                <w:lang w:val="en-GB"/>
              </w:rPr>
              <w:t>5.6 Capital Rationing Decision</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_Toc216183644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21</w:t>
            </w:r>
            <w:r w:rsidRPr="005C079A">
              <w:rPr>
                <w:rFonts w:ascii="Arial" w:hAnsi="Arial" w:cs="Arial"/>
                <w:b w:val="0"/>
                <w:bCs w:val="0"/>
                <w:noProof/>
                <w:webHidden/>
                <w:color w:val="000000" w:themeColor="text1"/>
                <w:sz w:val="24"/>
                <w:szCs w:val="24"/>
              </w:rPr>
              <w:fldChar w:fldCharType="end"/>
            </w:r>
          </w:hyperlink>
        </w:p>
        <w:p w14:paraId="27815DC0" w14:textId="6ECB7FD4"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45" w:history="1">
            <w:r w:rsidRPr="005C079A">
              <w:rPr>
                <w:rStyle w:val="Hyperlink"/>
                <w:rFonts w:ascii="Arial" w:hAnsi="Arial" w:cs="Arial"/>
                <w:b w:val="0"/>
                <w:bCs w:val="0"/>
                <w:noProof/>
                <w:color w:val="000000" w:themeColor="text1"/>
                <w:sz w:val="24"/>
                <w:szCs w:val="24"/>
                <w:lang w:val="en-GB"/>
              </w:rPr>
              <w:t>5.7 Strategic Justification</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_Toc216183645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22</w:t>
            </w:r>
            <w:r w:rsidRPr="005C079A">
              <w:rPr>
                <w:rFonts w:ascii="Arial" w:hAnsi="Arial" w:cs="Arial"/>
                <w:b w:val="0"/>
                <w:bCs w:val="0"/>
                <w:noProof/>
                <w:webHidden/>
                <w:color w:val="000000" w:themeColor="text1"/>
                <w:sz w:val="24"/>
                <w:szCs w:val="24"/>
              </w:rPr>
              <w:fldChar w:fldCharType="end"/>
            </w:r>
          </w:hyperlink>
        </w:p>
        <w:p w14:paraId="28F658B5" w14:textId="1AD001B7" w:rsidR="002A2F98" w:rsidRPr="005C079A" w:rsidRDefault="002A2F98" w:rsidP="002A2F98">
          <w:pPr>
            <w:pStyle w:val="TOC1"/>
            <w:tabs>
              <w:tab w:val="right" w:leader="dot" w:pos="9016"/>
            </w:tabs>
            <w:jc w:val="both"/>
            <w:rPr>
              <w:rFonts w:ascii="Arial" w:eastAsiaTheme="minorEastAsia" w:hAnsi="Arial" w:cs="Arial"/>
              <w:b w:val="0"/>
              <w:bCs w:val="0"/>
              <w:i w:val="0"/>
              <w:iCs w:val="0"/>
              <w:noProof/>
              <w:color w:val="000000" w:themeColor="text1"/>
              <w:kern w:val="2"/>
              <w:lang w:val="en-IN" w:eastAsia="en-IN"/>
              <w14:ligatures w14:val="standardContextual"/>
            </w:rPr>
          </w:pPr>
          <w:hyperlink w:anchor="_Toc216183646" w:history="1">
            <w:r w:rsidRPr="005C079A">
              <w:rPr>
                <w:rStyle w:val="Hyperlink"/>
                <w:rFonts w:ascii="Arial" w:hAnsi="Arial" w:cs="Arial"/>
                <w:b w:val="0"/>
                <w:bCs w:val="0"/>
                <w:i w:val="0"/>
                <w:iCs w:val="0"/>
                <w:noProof/>
                <w:color w:val="000000" w:themeColor="text1"/>
                <w:lang w:val="en-GB"/>
              </w:rPr>
              <w:t>6. Conclusion</w:t>
            </w:r>
            <w:r w:rsidRPr="005C079A">
              <w:rPr>
                <w:rFonts w:ascii="Arial" w:hAnsi="Arial" w:cs="Arial"/>
                <w:b w:val="0"/>
                <w:bCs w:val="0"/>
                <w:i w:val="0"/>
                <w:iCs w:val="0"/>
                <w:noProof/>
                <w:webHidden/>
                <w:color w:val="000000" w:themeColor="text1"/>
              </w:rPr>
              <w:tab/>
            </w:r>
            <w:r w:rsidRPr="005C079A">
              <w:rPr>
                <w:rFonts w:ascii="Arial" w:hAnsi="Arial" w:cs="Arial"/>
                <w:b w:val="0"/>
                <w:bCs w:val="0"/>
                <w:i w:val="0"/>
                <w:iCs w:val="0"/>
                <w:noProof/>
                <w:webHidden/>
                <w:color w:val="000000" w:themeColor="text1"/>
              </w:rPr>
              <w:fldChar w:fldCharType="begin"/>
            </w:r>
            <w:r w:rsidRPr="005C079A">
              <w:rPr>
                <w:rFonts w:ascii="Arial" w:hAnsi="Arial" w:cs="Arial"/>
                <w:b w:val="0"/>
                <w:bCs w:val="0"/>
                <w:i w:val="0"/>
                <w:iCs w:val="0"/>
                <w:noProof/>
                <w:webHidden/>
                <w:color w:val="000000" w:themeColor="text1"/>
              </w:rPr>
              <w:instrText xml:space="preserve"> PAGEREF _Toc216183646 \h </w:instrText>
            </w:r>
            <w:r w:rsidRPr="005C079A">
              <w:rPr>
                <w:rFonts w:ascii="Arial" w:hAnsi="Arial" w:cs="Arial"/>
                <w:b w:val="0"/>
                <w:bCs w:val="0"/>
                <w:i w:val="0"/>
                <w:iCs w:val="0"/>
                <w:noProof/>
                <w:webHidden/>
                <w:color w:val="000000" w:themeColor="text1"/>
              </w:rPr>
            </w:r>
            <w:r w:rsidRPr="005C079A">
              <w:rPr>
                <w:rFonts w:ascii="Arial" w:hAnsi="Arial" w:cs="Arial"/>
                <w:b w:val="0"/>
                <w:bCs w:val="0"/>
                <w:i w:val="0"/>
                <w:iCs w:val="0"/>
                <w:noProof/>
                <w:webHidden/>
                <w:color w:val="000000" w:themeColor="text1"/>
              </w:rPr>
              <w:fldChar w:fldCharType="separate"/>
            </w:r>
            <w:r w:rsidRPr="005C079A">
              <w:rPr>
                <w:rFonts w:ascii="Arial" w:hAnsi="Arial" w:cs="Arial"/>
                <w:b w:val="0"/>
                <w:bCs w:val="0"/>
                <w:i w:val="0"/>
                <w:iCs w:val="0"/>
                <w:noProof/>
                <w:webHidden/>
                <w:color w:val="000000" w:themeColor="text1"/>
              </w:rPr>
              <w:t>22</w:t>
            </w:r>
            <w:r w:rsidRPr="005C079A">
              <w:rPr>
                <w:rFonts w:ascii="Arial" w:hAnsi="Arial" w:cs="Arial"/>
                <w:b w:val="0"/>
                <w:bCs w:val="0"/>
                <w:i w:val="0"/>
                <w:iCs w:val="0"/>
                <w:noProof/>
                <w:webHidden/>
                <w:color w:val="000000" w:themeColor="text1"/>
              </w:rPr>
              <w:fldChar w:fldCharType="end"/>
            </w:r>
          </w:hyperlink>
        </w:p>
        <w:p w14:paraId="0DB5D5F3" w14:textId="4B7228E8" w:rsidR="002A2F98" w:rsidRPr="005C079A" w:rsidRDefault="002A2F98" w:rsidP="002A2F98">
          <w:pPr>
            <w:pStyle w:val="TOC1"/>
            <w:tabs>
              <w:tab w:val="right" w:leader="dot" w:pos="9016"/>
            </w:tabs>
            <w:jc w:val="both"/>
            <w:rPr>
              <w:rFonts w:ascii="Arial" w:eastAsiaTheme="minorEastAsia" w:hAnsi="Arial" w:cs="Arial"/>
              <w:b w:val="0"/>
              <w:bCs w:val="0"/>
              <w:i w:val="0"/>
              <w:iCs w:val="0"/>
              <w:noProof/>
              <w:color w:val="000000" w:themeColor="text1"/>
              <w:kern w:val="2"/>
              <w:lang w:val="en-IN" w:eastAsia="en-IN"/>
              <w14:ligatures w14:val="standardContextual"/>
            </w:rPr>
          </w:pPr>
          <w:hyperlink w:anchor="_Toc216183647" w:history="1">
            <w:r w:rsidRPr="005C079A">
              <w:rPr>
                <w:rStyle w:val="Hyperlink"/>
                <w:rFonts w:ascii="Arial" w:hAnsi="Arial" w:cs="Arial"/>
                <w:b w:val="0"/>
                <w:bCs w:val="0"/>
                <w:i w:val="0"/>
                <w:iCs w:val="0"/>
                <w:noProof/>
                <w:color w:val="000000" w:themeColor="text1"/>
                <w:lang w:val="en-GB"/>
              </w:rPr>
              <w:t>References</w:t>
            </w:r>
            <w:r w:rsidRPr="005C079A">
              <w:rPr>
                <w:rFonts w:ascii="Arial" w:hAnsi="Arial" w:cs="Arial"/>
                <w:b w:val="0"/>
                <w:bCs w:val="0"/>
                <w:i w:val="0"/>
                <w:iCs w:val="0"/>
                <w:noProof/>
                <w:webHidden/>
                <w:color w:val="000000" w:themeColor="text1"/>
              </w:rPr>
              <w:tab/>
            </w:r>
            <w:r w:rsidRPr="005C079A">
              <w:rPr>
                <w:rFonts w:ascii="Arial" w:hAnsi="Arial" w:cs="Arial"/>
                <w:b w:val="0"/>
                <w:bCs w:val="0"/>
                <w:i w:val="0"/>
                <w:iCs w:val="0"/>
                <w:noProof/>
                <w:webHidden/>
                <w:color w:val="000000" w:themeColor="text1"/>
              </w:rPr>
              <w:fldChar w:fldCharType="begin"/>
            </w:r>
            <w:r w:rsidRPr="005C079A">
              <w:rPr>
                <w:rFonts w:ascii="Arial" w:hAnsi="Arial" w:cs="Arial"/>
                <w:b w:val="0"/>
                <w:bCs w:val="0"/>
                <w:i w:val="0"/>
                <w:iCs w:val="0"/>
                <w:noProof/>
                <w:webHidden/>
                <w:color w:val="000000" w:themeColor="text1"/>
              </w:rPr>
              <w:instrText xml:space="preserve"> PAGEREF _Toc216183647 \h </w:instrText>
            </w:r>
            <w:r w:rsidRPr="005C079A">
              <w:rPr>
                <w:rFonts w:ascii="Arial" w:hAnsi="Arial" w:cs="Arial"/>
                <w:b w:val="0"/>
                <w:bCs w:val="0"/>
                <w:i w:val="0"/>
                <w:iCs w:val="0"/>
                <w:noProof/>
                <w:webHidden/>
                <w:color w:val="000000" w:themeColor="text1"/>
              </w:rPr>
            </w:r>
            <w:r w:rsidRPr="005C079A">
              <w:rPr>
                <w:rFonts w:ascii="Arial" w:hAnsi="Arial" w:cs="Arial"/>
                <w:b w:val="0"/>
                <w:bCs w:val="0"/>
                <w:i w:val="0"/>
                <w:iCs w:val="0"/>
                <w:noProof/>
                <w:webHidden/>
                <w:color w:val="000000" w:themeColor="text1"/>
              </w:rPr>
              <w:fldChar w:fldCharType="separate"/>
            </w:r>
            <w:r w:rsidRPr="005C079A">
              <w:rPr>
                <w:rFonts w:ascii="Arial" w:hAnsi="Arial" w:cs="Arial"/>
                <w:b w:val="0"/>
                <w:bCs w:val="0"/>
                <w:i w:val="0"/>
                <w:iCs w:val="0"/>
                <w:noProof/>
                <w:webHidden/>
                <w:color w:val="000000" w:themeColor="text1"/>
              </w:rPr>
              <w:t>23</w:t>
            </w:r>
            <w:r w:rsidRPr="005C079A">
              <w:rPr>
                <w:rFonts w:ascii="Arial" w:hAnsi="Arial" w:cs="Arial"/>
                <w:b w:val="0"/>
                <w:bCs w:val="0"/>
                <w:i w:val="0"/>
                <w:iCs w:val="0"/>
                <w:noProof/>
                <w:webHidden/>
                <w:color w:val="000000" w:themeColor="text1"/>
              </w:rPr>
              <w:fldChar w:fldCharType="end"/>
            </w:r>
          </w:hyperlink>
        </w:p>
        <w:p w14:paraId="13DD759D" w14:textId="6A3496D6" w:rsidR="002A2F98" w:rsidRPr="005C079A" w:rsidRDefault="002A2F98" w:rsidP="002A2F98">
          <w:pPr>
            <w:pStyle w:val="TOC1"/>
            <w:tabs>
              <w:tab w:val="right" w:leader="dot" w:pos="9016"/>
            </w:tabs>
            <w:jc w:val="both"/>
            <w:rPr>
              <w:rFonts w:ascii="Arial" w:eastAsiaTheme="minorEastAsia" w:hAnsi="Arial" w:cs="Arial"/>
              <w:b w:val="0"/>
              <w:bCs w:val="0"/>
              <w:i w:val="0"/>
              <w:iCs w:val="0"/>
              <w:noProof/>
              <w:color w:val="000000" w:themeColor="text1"/>
              <w:kern w:val="2"/>
              <w:lang w:val="en-IN" w:eastAsia="en-IN"/>
              <w14:ligatures w14:val="standardContextual"/>
            </w:rPr>
          </w:pPr>
          <w:hyperlink w:anchor="_Toc216183648" w:history="1">
            <w:r w:rsidRPr="005C079A">
              <w:rPr>
                <w:rStyle w:val="Hyperlink"/>
                <w:rFonts w:ascii="Arial" w:hAnsi="Arial" w:cs="Arial"/>
                <w:b w:val="0"/>
                <w:bCs w:val="0"/>
                <w:i w:val="0"/>
                <w:iCs w:val="0"/>
                <w:noProof/>
                <w:color w:val="000000" w:themeColor="text1"/>
                <w:lang w:val="en-GB"/>
              </w:rPr>
              <w:t>Appendices</w:t>
            </w:r>
            <w:r w:rsidRPr="005C079A">
              <w:rPr>
                <w:rFonts w:ascii="Arial" w:hAnsi="Arial" w:cs="Arial"/>
                <w:b w:val="0"/>
                <w:bCs w:val="0"/>
                <w:i w:val="0"/>
                <w:iCs w:val="0"/>
                <w:noProof/>
                <w:webHidden/>
                <w:color w:val="000000" w:themeColor="text1"/>
              </w:rPr>
              <w:tab/>
            </w:r>
            <w:r w:rsidRPr="005C079A">
              <w:rPr>
                <w:rFonts w:ascii="Arial" w:hAnsi="Arial" w:cs="Arial"/>
                <w:b w:val="0"/>
                <w:bCs w:val="0"/>
                <w:i w:val="0"/>
                <w:iCs w:val="0"/>
                <w:noProof/>
                <w:webHidden/>
                <w:color w:val="000000" w:themeColor="text1"/>
              </w:rPr>
              <w:fldChar w:fldCharType="begin"/>
            </w:r>
            <w:r w:rsidRPr="005C079A">
              <w:rPr>
                <w:rFonts w:ascii="Arial" w:hAnsi="Arial" w:cs="Arial"/>
                <w:b w:val="0"/>
                <w:bCs w:val="0"/>
                <w:i w:val="0"/>
                <w:iCs w:val="0"/>
                <w:noProof/>
                <w:webHidden/>
                <w:color w:val="000000" w:themeColor="text1"/>
              </w:rPr>
              <w:instrText xml:space="preserve"> PAGEREF _Toc216183648 \h </w:instrText>
            </w:r>
            <w:r w:rsidRPr="005C079A">
              <w:rPr>
                <w:rFonts w:ascii="Arial" w:hAnsi="Arial" w:cs="Arial"/>
                <w:b w:val="0"/>
                <w:bCs w:val="0"/>
                <w:i w:val="0"/>
                <w:iCs w:val="0"/>
                <w:noProof/>
                <w:webHidden/>
                <w:color w:val="000000" w:themeColor="text1"/>
              </w:rPr>
            </w:r>
            <w:r w:rsidRPr="005C079A">
              <w:rPr>
                <w:rFonts w:ascii="Arial" w:hAnsi="Arial" w:cs="Arial"/>
                <w:b w:val="0"/>
                <w:bCs w:val="0"/>
                <w:i w:val="0"/>
                <w:iCs w:val="0"/>
                <w:noProof/>
                <w:webHidden/>
                <w:color w:val="000000" w:themeColor="text1"/>
              </w:rPr>
              <w:fldChar w:fldCharType="separate"/>
            </w:r>
            <w:r w:rsidRPr="005C079A">
              <w:rPr>
                <w:rFonts w:ascii="Arial" w:hAnsi="Arial" w:cs="Arial"/>
                <w:b w:val="0"/>
                <w:bCs w:val="0"/>
                <w:i w:val="0"/>
                <w:iCs w:val="0"/>
                <w:noProof/>
                <w:webHidden/>
                <w:color w:val="000000" w:themeColor="text1"/>
              </w:rPr>
              <w:t>28</w:t>
            </w:r>
            <w:r w:rsidRPr="005C079A">
              <w:rPr>
                <w:rFonts w:ascii="Arial" w:hAnsi="Arial" w:cs="Arial"/>
                <w:b w:val="0"/>
                <w:bCs w:val="0"/>
                <w:i w:val="0"/>
                <w:iCs w:val="0"/>
                <w:noProof/>
                <w:webHidden/>
                <w:color w:val="000000" w:themeColor="text1"/>
              </w:rPr>
              <w:fldChar w:fldCharType="end"/>
            </w:r>
          </w:hyperlink>
        </w:p>
        <w:p w14:paraId="31F5D390" w14:textId="46FC382E"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49" w:history="1">
            <w:r w:rsidRPr="005C079A">
              <w:rPr>
                <w:rStyle w:val="Hyperlink"/>
                <w:rFonts w:ascii="Arial" w:hAnsi="Arial" w:cs="Arial"/>
                <w:b w:val="0"/>
                <w:bCs w:val="0"/>
                <w:noProof/>
                <w:color w:val="000000" w:themeColor="text1"/>
                <w:sz w:val="24"/>
                <w:szCs w:val="24"/>
                <w:lang w:val="en-GB"/>
              </w:rPr>
              <w:t>Appendix 1: Raw financial data of General Electronics</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_Toc216183649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28</w:t>
            </w:r>
            <w:r w:rsidRPr="005C079A">
              <w:rPr>
                <w:rFonts w:ascii="Arial" w:hAnsi="Arial" w:cs="Arial"/>
                <w:b w:val="0"/>
                <w:bCs w:val="0"/>
                <w:noProof/>
                <w:webHidden/>
                <w:color w:val="000000" w:themeColor="text1"/>
                <w:sz w:val="24"/>
                <w:szCs w:val="24"/>
              </w:rPr>
              <w:fldChar w:fldCharType="end"/>
            </w:r>
          </w:hyperlink>
        </w:p>
        <w:p w14:paraId="3EC218C0" w14:textId="16249074"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50" w:history="1">
            <w:r w:rsidRPr="005C079A">
              <w:rPr>
                <w:rStyle w:val="Hyperlink"/>
                <w:rFonts w:ascii="Arial" w:hAnsi="Arial" w:cs="Arial"/>
                <w:b w:val="0"/>
                <w:bCs w:val="0"/>
                <w:noProof/>
                <w:color w:val="000000" w:themeColor="text1"/>
                <w:sz w:val="24"/>
                <w:szCs w:val="24"/>
                <w:lang w:val="en-GB"/>
              </w:rPr>
              <w:t>Appendix 2: Calculation of ratio</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_Toc216183650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29</w:t>
            </w:r>
            <w:r w:rsidRPr="005C079A">
              <w:rPr>
                <w:rFonts w:ascii="Arial" w:hAnsi="Arial" w:cs="Arial"/>
                <w:b w:val="0"/>
                <w:bCs w:val="0"/>
                <w:noProof/>
                <w:webHidden/>
                <w:color w:val="000000" w:themeColor="text1"/>
                <w:sz w:val="24"/>
                <w:szCs w:val="24"/>
              </w:rPr>
              <w:fldChar w:fldCharType="end"/>
            </w:r>
          </w:hyperlink>
        </w:p>
        <w:p w14:paraId="373C44A2" w14:textId="3E5A62E1"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51" w:history="1">
            <w:r w:rsidRPr="005C079A">
              <w:rPr>
                <w:rStyle w:val="Hyperlink"/>
                <w:rFonts w:ascii="Arial" w:hAnsi="Arial" w:cs="Arial"/>
                <w:b w:val="0"/>
                <w:bCs w:val="0"/>
                <w:noProof/>
                <w:color w:val="000000" w:themeColor="text1"/>
                <w:sz w:val="24"/>
                <w:szCs w:val="24"/>
                <w:lang w:val="en-GB"/>
              </w:rPr>
              <w:t>Appendix 3: Calculation of Altman Z Score</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_Toc216183651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33</w:t>
            </w:r>
            <w:r w:rsidRPr="005C079A">
              <w:rPr>
                <w:rFonts w:ascii="Arial" w:hAnsi="Arial" w:cs="Arial"/>
                <w:b w:val="0"/>
                <w:bCs w:val="0"/>
                <w:noProof/>
                <w:webHidden/>
                <w:color w:val="000000" w:themeColor="text1"/>
                <w:sz w:val="24"/>
                <w:szCs w:val="24"/>
              </w:rPr>
              <w:fldChar w:fldCharType="end"/>
            </w:r>
          </w:hyperlink>
        </w:p>
        <w:p w14:paraId="1E21CE40" w14:textId="32129C5F" w:rsidR="002A2F98" w:rsidRPr="005C079A" w:rsidRDefault="002A2F98" w:rsidP="002A2F98">
          <w:pPr>
            <w:pStyle w:val="TOC2"/>
            <w:tabs>
              <w:tab w:val="right" w:leader="dot" w:pos="9016"/>
            </w:tabs>
            <w:jc w:val="both"/>
            <w:rPr>
              <w:rFonts w:ascii="Arial" w:eastAsiaTheme="minorEastAsia" w:hAnsi="Arial" w:cs="Arial"/>
              <w:b w:val="0"/>
              <w:bCs w:val="0"/>
              <w:noProof/>
              <w:color w:val="000000" w:themeColor="text1"/>
              <w:kern w:val="2"/>
              <w:sz w:val="24"/>
              <w:szCs w:val="24"/>
              <w:lang w:val="en-IN" w:eastAsia="en-IN"/>
              <w14:ligatures w14:val="standardContextual"/>
            </w:rPr>
          </w:pPr>
          <w:hyperlink w:anchor="_Toc216183652" w:history="1">
            <w:r w:rsidRPr="005C079A">
              <w:rPr>
                <w:rStyle w:val="Hyperlink"/>
                <w:rFonts w:ascii="Arial" w:hAnsi="Arial" w:cs="Arial"/>
                <w:b w:val="0"/>
                <w:bCs w:val="0"/>
                <w:noProof/>
                <w:color w:val="000000" w:themeColor="text1"/>
                <w:sz w:val="24"/>
                <w:szCs w:val="24"/>
                <w:lang w:val="en-GB"/>
              </w:rPr>
              <w:t>Appendix 4: Calculator of Investment Appraisal</w:t>
            </w:r>
            <w:r w:rsidRPr="005C079A">
              <w:rPr>
                <w:rFonts w:ascii="Arial" w:hAnsi="Arial" w:cs="Arial"/>
                <w:b w:val="0"/>
                <w:bCs w:val="0"/>
                <w:noProof/>
                <w:webHidden/>
                <w:color w:val="000000" w:themeColor="text1"/>
                <w:sz w:val="24"/>
                <w:szCs w:val="24"/>
              </w:rPr>
              <w:tab/>
            </w:r>
            <w:r w:rsidRPr="005C079A">
              <w:rPr>
                <w:rFonts w:ascii="Arial" w:hAnsi="Arial" w:cs="Arial"/>
                <w:b w:val="0"/>
                <w:bCs w:val="0"/>
                <w:noProof/>
                <w:webHidden/>
                <w:color w:val="000000" w:themeColor="text1"/>
                <w:sz w:val="24"/>
                <w:szCs w:val="24"/>
              </w:rPr>
              <w:fldChar w:fldCharType="begin"/>
            </w:r>
            <w:r w:rsidRPr="005C079A">
              <w:rPr>
                <w:rFonts w:ascii="Arial" w:hAnsi="Arial" w:cs="Arial"/>
                <w:b w:val="0"/>
                <w:bCs w:val="0"/>
                <w:noProof/>
                <w:webHidden/>
                <w:color w:val="000000" w:themeColor="text1"/>
                <w:sz w:val="24"/>
                <w:szCs w:val="24"/>
              </w:rPr>
              <w:instrText xml:space="preserve"> PAGEREF _Toc216183652 \h </w:instrText>
            </w:r>
            <w:r w:rsidRPr="005C079A">
              <w:rPr>
                <w:rFonts w:ascii="Arial" w:hAnsi="Arial" w:cs="Arial"/>
                <w:b w:val="0"/>
                <w:bCs w:val="0"/>
                <w:noProof/>
                <w:webHidden/>
                <w:color w:val="000000" w:themeColor="text1"/>
                <w:sz w:val="24"/>
                <w:szCs w:val="24"/>
              </w:rPr>
            </w:r>
            <w:r w:rsidRPr="005C079A">
              <w:rPr>
                <w:rFonts w:ascii="Arial" w:hAnsi="Arial" w:cs="Arial"/>
                <w:b w:val="0"/>
                <w:bCs w:val="0"/>
                <w:noProof/>
                <w:webHidden/>
                <w:color w:val="000000" w:themeColor="text1"/>
                <w:sz w:val="24"/>
                <w:szCs w:val="24"/>
              </w:rPr>
              <w:fldChar w:fldCharType="separate"/>
            </w:r>
            <w:r w:rsidRPr="005C079A">
              <w:rPr>
                <w:rFonts w:ascii="Arial" w:hAnsi="Arial" w:cs="Arial"/>
                <w:b w:val="0"/>
                <w:bCs w:val="0"/>
                <w:noProof/>
                <w:webHidden/>
                <w:color w:val="000000" w:themeColor="text1"/>
                <w:sz w:val="24"/>
                <w:szCs w:val="24"/>
              </w:rPr>
              <w:t>37</w:t>
            </w:r>
            <w:r w:rsidRPr="005C079A">
              <w:rPr>
                <w:rFonts w:ascii="Arial" w:hAnsi="Arial" w:cs="Arial"/>
                <w:b w:val="0"/>
                <w:bCs w:val="0"/>
                <w:noProof/>
                <w:webHidden/>
                <w:color w:val="000000" w:themeColor="text1"/>
                <w:sz w:val="24"/>
                <w:szCs w:val="24"/>
              </w:rPr>
              <w:fldChar w:fldCharType="end"/>
            </w:r>
          </w:hyperlink>
        </w:p>
        <w:p w14:paraId="11DB6CEC" w14:textId="11F22719" w:rsidR="000E7014" w:rsidRPr="005C079A" w:rsidRDefault="000E7014" w:rsidP="002A2F98">
          <w:pPr>
            <w:rPr>
              <w:rFonts w:ascii="Arial" w:hAnsi="Arial" w:cs="Arial"/>
              <w:color w:val="000000" w:themeColor="text1"/>
            </w:rPr>
          </w:pPr>
          <w:r w:rsidRPr="005C079A">
            <w:rPr>
              <w:rFonts w:ascii="Arial" w:hAnsi="Arial" w:cs="Arial"/>
              <w:noProof/>
              <w:color w:val="000000" w:themeColor="text1"/>
            </w:rPr>
            <w:fldChar w:fldCharType="end"/>
          </w:r>
        </w:p>
      </w:sdtContent>
    </w:sdt>
    <w:p w14:paraId="29EE64AA" w14:textId="77777777" w:rsidR="005037CB" w:rsidRPr="0068022A" w:rsidRDefault="00A1120A" w:rsidP="00A924C3">
      <w:pPr>
        <w:pStyle w:val="Title"/>
        <w:rPr>
          <w:rFonts w:ascii="Arial" w:hAnsi="Arial" w:cs="Arial"/>
          <w:lang w:val="en-GB"/>
        </w:rPr>
      </w:pPr>
      <w:r w:rsidRPr="0068022A">
        <w:rPr>
          <w:rFonts w:ascii="Arial" w:hAnsi="Arial" w:cs="Arial"/>
          <w:lang w:val="en-GB"/>
        </w:rPr>
        <w:br w:type="page"/>
      </w:r>
    </w:p>
    <w:p w14:paraId="399899D0" w14:textId="77777777" w:rsidR="005037CB" w:rsidRPr="0068022A" w:rsidRDefault="00A1120A" w:rsidP="00A924C3">
      <w:pPr>
        <w:pStyle w:val="Heading1"/>
        <w:rPr>
          <w:rFonts w:ascii="Arial" w:hAnsi="Arial" w:cs="Arial"/>
          <w:lang w:val="en-GB"/>
        </w:rPr>
      </w:pPr>
      <w:bookmarkStart w:id="1" w:name="_dg0jtwuw37t" w:colFirst="0" w:colLast="0"/>
      <w:bookmarkStart w:id="2" w:name="_Toc216183616"/>
      <w:bookmarkEnd w:id="1"/>
      <w:r w:rsidRPr="0068022A">
        <w:rPr>
          <w:rFonts w:ascii="Arial" w:hAnsi="Arial" w:cs="Arial"/>
          <w:lang w:val="en-GB"/>
        </w:rPr>
        <w:lastRenderedPageBreak/>
        <w:t>1. Introduction</w:t>
      </w:r>
      <w:bookmarkEnd w:id="2"/>
    </w:p>
    <w:p w14:paraId="2E51820D" w14:textId="77777777" w:rsidR="005037CB" w:rsidRPr="005C079A" w:rsidRDefault="00A1120A" w:rsidP="00A924C3">
      <w:pPr>
        <w:rPr>
          <w:rFonts w:ascii="Arial" w:hAnsi="Arial" w:cs="Arial"/>
          <w:color w:val="000000" w:themeColor="text1"/>
          <w:lang w:val="en-GB"/>
        </w:rPr>
      </w:pPr>
      <w:r w:rsidRPr="0068022A">
        <w:rPr>
          <w:rFonts w:ascii="Arial" w:hAnsi="Arial" w:cs="Arial"/>
          <w:lang w:val="en-GB"/>
        </w:rPr>
        <w:t xml:space="preserve">In this report, the instruments of ratio analysis, working capital analysis, restructuring analysis, and investment appraisal have been developed to evaluate the financial distress of General Electronics and devise a comprehensive turnaround plan. The task, as CFO, is to stabilise the liquidity and bring back profitability and put in place strategic decisions that make the company viable in the long term through harsh </w:t>
      </w:r>
      <w:r w:rsidRPr="005C079A">
        <w:rPr>
          <w:rFonts w:ascii="Arial" w:hAnsi="Arial" w:cs="Arial"/>
          <w:color w:val="000000" w:themeColor="text1"/>
          <w:lang w:val="en-GB"/>
        </w:rPr>
        <w:t>operational, financial and competitive conditions.</w:t>
      </w:r>
    </w:p>
    <w:p w14:paraId="07F6FD20" w14:textId="77777777" w:rsidR="005037CB" w:rsidRPr="005C079A" w:rsidRDefault="00A1120A" w:rsidP="00A924C3">
      <w:pPr>
        <w:pStyle w:val="Heading1"/>
        <w:rPr>
          <w:rFonts w:ascii="Arial" w:hAnsi="Arial" w:cs="Arial"/>
          <w:color w:val="000000" w:themeColor="text1"/>
          <w:lang w:val="en-GB"/>
        </w:rPr>
      </w:pPr>
      <w:bookmarkStart w:id="3" w:name="_quhrnehlzh5r" w:colFirst="0" w:colLast="0"/>
      <w:bookmarkStart w:id="4" w:name="_Toc216183617"/>
      <w:bookmarkEnd w:id="3"/>
      <w:r w:rsidRPr="005C079A">
        <w:rPr>
          <w:rFonts w:ascii="Arial" w:hAnsi="Arial" w:cs="Arial"/>
          <w:color w:val="000000" w:themeColor="text1"/>
          <w:lang w:val="en-GB"/>
        </w:rPr>
        <w:t>2. Financial Health Check</w:t>
      </w:r>
      <w:bookmarkEnd w:id="4"/>
    </w:p>
    <w:p w14:paraId="7AD27130" w14:textId="0F47DB16" w:rsidR="00A924C3" w:rsidRPr="005C079A" w:rsidRDefault="00A924C3" w:rsidP="00A924C3">
      <w:pPr>
        <w:rPr>
          <w:rFonts w:ascii="Arial" w:hAnsi="Arial" w:cs="Arial"/>
          <w:b/>
          <w:bCs/>
          <w:i/>
          <w:iCs/>
          <w:color w:val="000000" w:themeColor="text1"/>
          <w:lang w:val="en-GB"/>
        </w:rPr>
      </w:pPr>
      <w:r w:rsidRPr="005C079A">
        <w:rPr>
          <w:rFonts w:ascii="Arial" w:hAnsi="Arial" w:cs="Arial"/>
          <w:b/>
          <w:bCs/>
          <w:i/>
          <w:iCs/>
          <w:color w:val="000000" w:themeColor="text1"/>
          <w:lang w:val="en-GB"/>
        </w:rPr>
        <w:t>[Refer to Appendix 2 for ratio calculations]</w:t>
      </w:r>
    </w:p>
    <w:p w14:paraId="29596448" w14:textId="77777777" w:rsidR="005037CB" w:rsidRPr="005C079A" w:rsidRDefault="00A1120A" w:rsidP="00A924C3">
      <w:pPr>
        <w:pStyle w:val="Heading2"/>
        <w:rPr>
          <w:rFonts w:ascii="Arial" w:hAnsi="Arial" w:cs="Arial"/>
          <w:color w:val="000000" w:themeColor="text1"/>
          <w:lang w:val="en-GB"/>
        </w:rPr>
      </w:pPr>
      <w:bookmarkStart w:id="5" w:name="_9koal7y2y6yr" w:colFirst="0" w:colLast="0"/>
      <w:bookmarkStart w:id="6" w:name="_Toc216183618"/>
      <w:bookmarkEnd w:id="5"/>
      <w:r w:rsidRPr="005C079A">
        <w:rPr>
          <w:rFonts w:ascii="Arial" w:hAnsi="Arial" w:cs="Arial"/>
          <w:color w:val="000000" w:themeColor="text1"/>
          <w:lang w:val="en-GB"/>
        </w:rPr>
        <w:t>2.1 Profitability Analysis</w:t>
      </w:r>
      <w:bookmarkEnd w:id="6"/>
    </w:p>
    <w:p w14:paraId="6ECD2FD4" w14:textId="77777777" w:rsidR="006B21A9" w:rsidRPr="005C079A" w:rsidRDefault="006B21A9" w:rsidP="00A924C3">
      <w:pPr>
        <w:rPr>
          <w:rFonts w:ascii="Arial" w:hAnsi="Arial" w:cs="Arial"/>
          <w:b/>
          <w:bCs/>
          <w:i/>
          <w:iCs/>
          <w:color w:val="000000" w:themeColor="text1"/>
          <w:lang w:val="en-GB"/>
        </w:rPr>
      </w:pPr>
      <w:r w:rsidRPr="005C079A">
        <w:rPr>
          <w:rFonts w:ascii="Arial" w:hAnsi="Arial" w:cs="Arial"/>
          <w:b/>
          <w:bCs/>
          <w:i/>
          <w:iCs/>
          <w:color w:val="000000" w:themeColor="text1"/>
          <w:lang w:val="en-GB"/>
        </w:rPr>
        <w:t>Gross Margin</w:t>
      </w:r>
    </w:p>
    <w:p w14:paraId="50B0CACF" w14:textId="42EDE7EC" w:rsidR="006B21A9" w:rsidRPr="006B21A9" w:rsidRDefault="006B21A9" w:rsidP="00A924C3">
      <w:pPr>
        <w:jc w:val="center"/>
        <w:rPr>
          <w:rFonts w:ascii="Arial" w:hAnsi="Arial" w:cs="Arial"/>
          <w:color w:val="EE0000"/>
          <w:lang w:val="en-GB"/>
        </w:rPr>
      </w:pPr>
      <w:r w:rsidRPr="006B21A9">
        <w:rPr>
          <w:noProof/>
          <w:color w:val="EE0000"/>
        </w:rPr>
        <w:drawing>
          <wp:inline distT="0" distB="0" distL="0" distR="0" wp14:anchorId="3BE71995" wp14:editId="7D015591">
            <wp:extent cx="5262562" cy="3271838"/>
            <wp:effectExtent l="0" t="0" r="14605" b="5080"/>
            <wp:docPr id="1728207496" name="Chart 1">
              <a:extLst xmlns:a="http://schemas.openxmlformats.org/drawingml/2006/main">
                <a:ext uri="{FF2B5EF4-FFF2-40B4-BE49-F238E27FC236}">
                  <a16:creationId xmlns:a16="http://schemas.microsoft.com/office/drawing/2014/main" id="{C1AEFAB7-233F-984B-B29E-391086E504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5041DA5" w14:textId="32F7EBEB" w:rsidR="006B21A9" w:rsidRPr="005C079A" w:rsidRDefault="006B21A9" w:rsidP="00A924C3">
      <w:pPr>
        <w:jc w:val="center"/>
        <w:rPr>
          <w:rFonts w:ascii="Arial" w:hAnsi="Arial" w:cs="Arial"/>
          <w:b/>
          <w:bCs/>
          <w:color w:val="000000" w:themeColor="text1"/>
          <w:lang w:val="en-GB"/>
        </w:rPr>
      </w:pPr>
      <w:r w:rsidRPr="005C079A">
        <w:rPr>
          <w:rFonts w:ascii="Arial" w:hAnsi="Arial" w:cs="Arial"/>
          <w:b/>
          <w:bCs/>
          <w:color w:val="000000" w:themeColor="text1"/>
          <w:lang w:val="en-GB"/>
        </w:rPr>
        <w:t>Figure 1: Trends of Gross Margin</w:t>
      </w:r>
    </w:p>
    <w:p w14:paraId="7DE4940E" w14:textId="22A8970A" w:rsidR="006B21A9" w:rsidRPr="005C079A" w:rsidRDefault="006B21A9" w:rsidP="00A924C3">
      <w:pPr>
        <w:jc w:val="center"/>
        <w:rPr>
          <w:rFonts w:ascii="Arial" w:hAnsi="Arial" w:cs="Arial"/>
          <w:color w:val="000000" w:themeColor="text1"/>
          <w:lang w:val="en-GB"/>
        </w:rPr>
      </w:pPr>
      <w:r w:rsidRPr="005C079A">
        <w:rPr>
          <w:rFonts w:ascii="Arial" w:hAnsi="Arial" w:cs="Arial"/>
          <w:color w:val="000000" w:themeColor="text1"/>
          <w:lang w:val="en-GB"/>
        </w:rPr>
        <w:t>(Source: Excel)</w:t>
      </w:r>
    </w:p>
    <w:p w14:paraId="124B36D8" w14:textId="2F7C4F2F"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 xml:space="preserve">The gross margin remains quite stable over the five years period, varying by a small margin between 28.7 in 2020 and 28.9 in 2024, although there is a decline in 23.2 in 2023. It means that the efficiency of direct production was not significantly affected even in a downturn. The major strength of this ratio is the 2024 recovery, which is an indication of partial cost stabilisation in the process of restructuring. The 2023 decline however reveals weaknesses in cost management and selling price which is an indicator that declining demand and competitive forces can quickly squeeze margins. </w:t>
      </w:r>
      <w:r w:rsidRPr="005C079A">
        <w:rPr>
          <w:rFonts w:ascii="Arial" w:hAnsi="Arial" w:cs="Arial"/>
          <w:color w:val="000000" w:themeColor="text1"/>
          <w:lang w:val="en-GB"/>
        </w:rPr>
        <w:lastRenderedPageBreak/>
        <w:t>This level of volatility is a sign of an early indicator of distress in line with decreasing operational capacity (Jabeen, 2025).</w:t>
      </w:r>
    </w:p>
    <w:p w14:paraId="6A83B2F0" w14:textId="77777777" w:rsidR="006B21A9" w:rsidRPr="005C079A" w:rsidRDefault="006B21A9" w:rsidP="00A924C3">
      <w:pPr>
        <w:rPr>
          <w:rFonts w:ascii="Arial" w:hAnsi="Arial" w:cs="Arial"/>
          <w:b/>
          <w:bCs/>
          <w:i/>
          <w:iCs/>
          <w:color w:val="000000" w:themeColor="text1"/>
          <w:lang w:val="en-GB"/>
        </w:rPr>
      </w:pPr>
      <w:r w:rsidRPr="005C079A">
        <w:rPr>
          <w:rFonts w:ascii="Arial" w:hAnsi="Arial" w:cs="Arial"/>
          <w:b/>
          <w:bCs/>
          <w:i/>
          <w:iCs/>
          <w:color w:val="000000" w:themeColor="text1"/>
          <w:lang w:val="en-GB"/>
        </w:rPr>
        <w:t>Operating Margin</w:t>
      </w:r>
    </w:p>
    <w:p w14:paraId="5974A369" w14:textId="0422A4DF" w:rsidR="006B21A9" w:rsidRPr="005C079A" w:rsidRDefault="006B21A9" w:rsidP="00A924C3">
      <w:pPr>
        <w:jc w:val="center"/>
        <w:rPr>
          <w:rFonts w:ascii="Arial" w:hAnsi="Arial" w:cs="Arial"/>
          <w:color w:val="000000" w:themeColor="text1"/>
          <w:lang w:val="en-GB"/>
        </w:rPr>
      </w:pPr>
      <w:r w:rsidRPr="005C079A">
        <w:rPr>
          <w:noProof/>
          <w:color w:val="000000" w:themeColor="text1"/>
        </w:rPr>
        <w:drawing>
          <wp:inline distT="0" distB="0" distL="0" distR="0" wp14:anchorId="401BB4A9" wp14:editId="2F08646B">
            <wp:extent cx="5462588" cy="3471862"/>
            <wp:effectExtent l="0" t="0" r="5080" b="14605"/>
            <wp:docPr id="379669047" name="Chart 1">
              <a:extLst xmlns:a="http://schemas.openxmlformats.org/drawingml/2006/main">
                <a:ext uri="{FF2B5EF4-FFF2-40B4-BE49-F238E27FC236}">
                  <a16:creationId xmlns:a16="http://schemas.microsoft.com/office/drawing/2014/main" id="{742B309F-5C61-5A4C-A90D-B21349713F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EEC76C8" w14:textId="147E0BCA" w:rsidR="006B21A9" w:rsidRPr="005C079A" w:rsidRDefault="006B21A9" w:rsidP="00A924C3">
      <w:pPr>
        <w:jc w:val="center"/>
        <w:rPr>
          <w:rFonts w:ascii="Arial" w:hAnsi="Arial" w:cs="Arial"/>
          <w:b/>
          <w:bCs/>
          <w:color w:val="000000" w:themeColor="text1"/>
          <w:lang w:val="en-GB"/>
        </w:rPr>
      </w:pPr>
      <w:r w:rsidRPr="005C079A">
        <w:rPr>
          <w:rFonts w:ascii="Arial" w:hAnsi="Arial" w:cs="Arial"/>
          <w:b/>
          <w:bCs/>
          <w:color w:val="000000" w:themeColor="text1"/>
          <w:lang w:val="en-GB"/>
        </w:rPr>
        <w:t>Figure 2: Trends of Operating Margin</w:t>
      </w:r>
    </w:p>
    <w:p w14:paraId="188AF747" w14:textId="6095A781" w:rsidR="006B21A9" w:rsidRPr="005C079A" w:rsidRDefault="006B21A9" w:rsidP="00A924C3">
      <w:pPr>
        <w:jc w:val="center"/>
        <w:rPr>
          <w:rFonts w:ascii="Arial" w:hAnsi="Arial" w:cs="Arial"/>
          <w:color w:val="000000" w:themeColor="text1"/>
          <w:lang w:val="en-GB"/>
        </w:rPr>
      </w:pPr>
      <w:r w:rsidRPr="005C079A">
        <w:rPr>
          <w:rFonts w:ascii="Arial" w:hAnsi="Arial" w:cs="Arial"/>
          <w:color w:val="000000" w:themeColor="text1"/>
          <w:lang w:val="en-GB"/>
        </w:rPr>
        <w:t>(Source: Excel)</w:t>
      </w:r>
    </w:p>
    <w:p w14:paraId="2C974370" w14:textId="4EF68388"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Trends in operating margin are more unstable moving to negative values (down to -20.3) in 2023 and back to negative values (to -3.9) in 2024. The 2024 rebound is also relative which indicates that cost cuts or restructuring benefits are starting to take their toll. However, the biggest threat is long-term negative operating margin which point to high operating cost, restructuring cost, and effect of impairment. Unprofitable operating performances limit the capacity of the firm to produce sustainable returns and increase the risk of distress in the long-term.</w:t>
      </w:r>
    </w:p>
    <w:p w14:paraId="4202F807" w14:textId="77777777" w:rsidR="006B21A9" w:rsidRPr="005C079A" w:rsidRDefault="006B21A9" w:rsidP="00A924C3">
      <w:pPr>
        <w:rPr>
          <w:rFonts w:ascii="Arial" w:hAnsi="Arial" w:cs="Arial"/>
          <w:b/>
          <w:bCs/>
          <w:i/>
          <w:iCs/>
          <w:color w:val="000000" w:themeColor="text1"/>
          <w:lang w:val="en-GB"/>
        </w:rPr>
      </w:pPr>
      <w:r w:rsidRPr="005C079A">
        <w:rPr>
          <w:rFonts w:ascii="Arial" w:hAnsi="Arial" w:cs="Arial"/>
          <w:b/>
          <w:bCs/>
          <w:i/>
          <w:iCs/>
          <w:color w:val="000000" w:themeColor="text1"/>
          <w:lang w:val="en-GB"/>
        </w:rPr>
        <w:t>Net Margin</w:t>
      </w:r>
    </w:p>
    <w:p w14:paraId="06F2044E" w14:textId="56B3E4CB" w:rsidR="006B21A9" w:rsidRPr="005C079A" w:rsidRDefault="006B21A9" w:rsidP="00A924C3">
      <w:pPr>
        <w:jc w:val="center"/>
        <w:rPr>
          <w:rFonts w:ascii="Arial" w:hAnsi="Arial" w:cs="Arial"/>
          <w:color w:val="000000" w:themeColor="text1"/>
          <w:lang w:val="en-GB"/>
        </w:rPr>
      </w:pPr>
      <w:r w:rsidRPr="005C079A">
        <w:rPr>
          <w:noProof/>
          <w:color w:val="000000" w:themeColor="text1"/>
        </w:rPr>
        <w:lastRenderedPageBreak/>
        <w:drawing>
          <wp:inline distT="0" distB="0" distL="0" distR="0" wp14:anchorId="4E5D1DC8" wp14:editId="045EF896">
            <wp:extent cx="5205413" cy="3081338"/>
            <wp:effectExtent l="0" t="0" r="14605" b="5080"/>
            <wp:docPr id="683542092" name="Chart 1">
              <a:extLst xmlns:a="http://schemas.openxmlformats.org/drawingml/2006/main">
                <a:ext uri="{FF2B5EF4-FFF2-40B4-BE49-F238E27FC236}">
                  <a16:creationId xmlns:a16="http://schemas.microsoft.com/office/drawing/2014/main" id="{D99D2362-9FB7-274B-B1CA-455A61D7FF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2970F16" w14:textId="00188B1D" w:rsidR="006B21A9" w:rsidRPr="005C079A" w:rsidRDefault="006B21A9" w:rsidP="00A924C3">
      <w:pPr>
        <w:jc w:val="center"/>
        <w:rPr>
          <w:rFonts w:ascii="Arial" w:hAnsi="Arial" w:cs="Arial"/>
          <w:b/>
          <w:bCs/>
          <w:color w:val="000000" w:themeColor="text1"/>
          <w:lang w:val="en-GB"/>
        </w:rPr>
      </w:pPr>
      <w:r w:rsidRPr="005C079A">
        <w:rPr>
          <w:rFonts w:ascii="Arial" w:hAnsi="Arial" w:cs="Arial"/>
          <w:b/>
          <w:bCs/>
          <w:color w:val="000000" w:themeColor="text1"/>
          <w:lang w:val="en-GB"/>
        </w:rPr>
        <w:t>Figure 3: Trends of Net Margin</w:t>
      </w:r>
    </w:p>
    <w:p w14:paraId="476C74E9" w14:textId="382A9C81" w:rsidR="006B21A9" w:rsidRPr="005C079A" w:rsidRDefault="006B21A9" w:rsidP="00A924C3">
      <w:pPr>
        <w:jc w:val="center"/>
        <w:rPr>
          <w:rFonts w:ascii="Arial" w:hAnsi="Arial" w:cs="Arial"/>
          <w:color w:val="000000" w:themeColor="text1"/>
          <w:lang w:val="en-GB"/>
        </w:rPr>
      </w:pPr>
      <w:r w:rsidRPr="005C079A">
        <w:rPr>
          <w:rFonts w:ascii="Arial" w:hAnsi="Arial" w:cs="Arial"/>
          <w:color w:val="000000" w:themeColor="text1"/>
          <w:lang w:val="en-GB"/>
        </w:rPr>
        <w:t>(Source: Excel)</w:t>
      </w:r>
    </w:p>
    <w:p w14:paraId="225F1358" w14:textId="3475CC05"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The same situation can be seen with net margin, which decreased to -23.4, -6.1 in 2023 and 2024 respectively. The fact that there was a slight improvement in 2024 is a strength, which shows that impairment charges are lower than they were the previous year. The risk is also quite high since the net losses are still growing, which deteriorates the shareholder trust and reflects the ongoing undermined profitability. The trend indicates the inability of the firm to transform revenue into real earnings, which creates solvency concerns.</w:t>
      </w:r>
    </w:p>
    <w:p w14:paraId="044162DE" w14:textId="77777777" w:rsidR="005037CB" w:rsidRPr="005C079A" w:rsidRDefault="00A1120A" w:rsidP="00A924C3">
      <w:pPr>
        <w:pStyle w:val="Heading2"/>
        <w:rPr>
          <w:rFonts w:ascii="Arial" w:hAnsi="Arial" w:cs="Arial"/>
          <w:color w:val="000000" w:themeColor="text1"/>
          <w:lang w:val="en-GB"/>
        </w:rPr>
      </w:pPr>
      <w:bookmarkStart w:id="7" w:name="_jpwe23ezdz9n" w:colFirst="0" w:colLast="0"/>
      <w:bookmarkStart w:id="8" w:name="_Toc216183619"/>
      <w:bookmarkEnd w:id="7"/>
      <w:r w:rsidRPr="005C079A">
        <w:rPr>
          <w:rFonts w:ascii="Arial" w:hAnsi="Arial" w:cs="Arial"/>
          <w:color w:val="000000" w:themeColor="text1"/>
          <w:lang w:val="en-GB"/>
        </w:rPr>
        <w:t>2.2 Liquidity Analysis</w:t>
      </w:r>
      <w:bookmarkEnd w:id="8"/>
    </w:p>
    <w:p w14:paraId="77586860" w14:textId="77777777" w:rsidR="006B21A9" w:rsidRPr="005C079A" w:rsidRDefault="006B21A9" w:rsidP="00A924C3">
      <w:pPr>
        <w:rPr>
          <w:rFonts w:ascii="Arial" w:hAnsi="Arial" w:cs="Arial"/>
          <w:b/>
          <w:bCs/>
          <w:i/>
          <w:iCs/>
          <w:color w:val="000000" w:themeColor="text1"/>
          <w:lang w:val="en-GB"/>
        </w:rPr>
      </w:pPr>
      <w:r w:rsidRPr="005C079A">
        <w:rPr>
          <w:rFonts w:ascii="Arial" w:hAnsi="Arial" w:cs="Arial"/>
          <w:b/>
          <w:bCs/>
          <w:i/>
          <w:iCs/>
          <w:color w:val="000000" w:themeColor="text1"/>
          <w:lang w:val="en-GB"/>
        </w:rPr>
        <w:t>Current Ratio</w:t>
      </w:r>
    </w:p>
    <w:p w14:paraId="15A92C0E" w14:textId="0F3C2E23" w:rsidR="006B21A9" w:rsidRPr="005C079A" w:rsidRDefault="006B21A9" w:rsidP="00A924C3">
      <w:pPr>
        <w:jc w:val="center"/>
        <w:rPr>
          <w:rFonts w:ascii="Arial" w:hAnsi="Arial" w:cs="Arial"/>
          <w:color w:val="000000" w:themeColor="text1"/>
          <w:lang w:val="en-GB"/>
        </w:rPr>
      </w:pPr>
      <w:r w:rsidRPr="005C079A">
        <w:rPr>
          <w:noProof/>
          <w:color w:val="000000" w:themeColor="text1"/>
        </w:rPr>
        <w:drawing>
          <wp:inline distT="0" distB="0" distL="0" distR="0" wp14:anchorId="12C2B8E7" wp14:editId="533C34A2">
            <wp:extent cx="4606762" cy="2756922"/>
            <wp:effectExtent l="0" t="0" r="16510" b="12065"/>
            <wp:docPr id="1005854727" name="Chart 1">
              <a:extLst xmlns:a="http://schemas.openxmlformats.org/drawingml/2006/main">
                <a:ext uri="{FF2B5EF4-FFF2-40B4-BE49-F238E27FC236}">
                  <a16:creationId xmlns:a16="http://schemas.microsoft.com/office/drawing/2014/main" id="{5BA487D0-0EC3-1D48-8F51-05912667F7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89D968D" w14:textId="73843740" w:rsidR="006B21A9" w:rsidRPr="005C079A" w:rsidRDefault="006B21A9" w:rsidP="00A924C3">
      <w:pPr>
        <w:jc w:val="center"/>
        <w:rPr>
          <w:rFonts w:ascii="Arial" w:hAnsi="Arial" w:cs="Arial"/>
          <w:b/>
          <w:bCs/>
          <w:color w:val="000000" w:themeColor="text1"/>
          <w:lang w:val="en-GB"/>
        </w:rPr>
      </w:pPr>
      <w:r w:rsidRPr="005C079A">
        <w:rPr>
          <w:rFonts w:ascii="Arial" w:hAnsi="Arial" w:cs="Arial"/>
          <w:b/>
          <w:bCs/>
          <w:color w:val="000000" w:themeColor="text1"/>
          <w:lang w:val="en-GB"/>
        </w:rPr>
        <w:lastRenderedPageBreak/>
        <w:t>Figure 4: Trends of Current Ratio</w:t>
      </w:r>
    </w:p>
    <w:p w14:paraId="72CC22EA" w14:textId="60A56FD8" w:rsidR="006B21A9" w:rsidRPr="005C079A" w:rsidRDefault="006B21A9" w:rsidP="00A924C3">
      <w:pPr>
        <w:jc w:val="center"/>
        <w:rPr>
          <w:rFonts w:ascii="Arial" w:hAnsi="Arial" w:cs="Arial"/>
          <w:color w:val="000000" w:themeColor="text1"/>
          <w:lang w:val="en-GB"/>
        </w:rPr>
      </w:pPr>
      <w:r w:rsidRPr="005C079A">
        <w:rPr>
          <w:rFonts w:ascii="Arial" w:hAnsi="Arial" w:cs="Arial"/>
          <w:color w:val="000000" w:themeColor="text1"/>
          <w:lang w:val="en-GB"/>
        </w:rPr>
        <w:t>(Source: Excel)</w:t>
      </w:r>
    </w:p>
    <w:p w14:paraId="5DF48427" w14:textId="4DCA3F35"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In 2024 the current ratio was lower than in 2020 (1.53 vs. 1.82) indicating the gradual decline of the short-term liquidity. However, the negative trend is compensated by the fact that this ratio is above 1, and short-term obligations are still possible. The risk, though, is the quick depletion of cash reserves and increasing dependence on credit lines, which is an indication of increasing liquidity pressure and tightening working cash cycle (Chu et al., 2025).</w:t>
      </w:r>
    </w:p>
    <w:p w14:paraId="087EC5A1" w14:textId="77777777" w:rsidR="006B21A9" w:rsidRPr="005C079A" w:rsidRDefault="006B21A9" w:rsidP="00A924C3">
      <w:pPr>
        <w:rPr>
          <w:rFonts w:ascii="Arial" w:hAnsi="Arial" w:cs="Arial"/>
          <w:b/>
          <w:bCs/>
          <w:i/>
          <w:iCs/>
          <w:color w:val="000000" w:themeColor="text1"/>
          <w:lang w:val="en-GB"/>
        </w:rPr>
      </w:pPr>
      <w:r w:rsidRPr="005C079A">
        <w:rPr>
          <w:rFonts w:ascii="Arial" w:hAnsi="Arial" w:cs="Arial"/>
          <w:b/>
          <w:bCs/>
          <w:i/>
          <w:iCs/>
          <w:color w:val="000000" w:themeColor="text1"/>
          <w:lang w:val="en-GB"/>
        </w:rPr>
        <w:t>Quick Ratio</w:t>
      </w:r>
    </w:p>
    <w:p w14:paraId="027075D4" w14:textId="16066F77" w:rsidR="006B21A9" w:rsidRPr="005C079A" w:rsidRDefault="006B21A9" w:rsidP="00A924C3">
      <w:pPr>
        <w:jc w:val="center"/>
        <w:rPr>
          <w:rFonts w:ascii="Arial" w:hAnsi="Arial" w:cs="Arial"/>
          <w:color w:val="000000" w:themeColor="text1"/>
          <w:lang w:val="en-GB"/>
        </w:rPr>
      </w:pPr>
      <w:r w:rsidRPr="005C079A">
        <w:rPr>
          <w:noProof/>
          <w:color w:val="000000" w:themeColor="text1"/>
        </w:rPr>
        <w:drawing>
          <wp:inline distT="0" distB="0" distL="0" distR="0" wp14:anchorId="0FEEEB5F" wp14:editId="71604220">
            <wp:extent cx="5033963" cy="2990850"/>
            <wp:effectExtent l="0" t="0" r="14605" b="0"/>
            <wp:docPr id="1695482914" name="Chart 1">
              <a:extLst xmlns:a="http://schemas.openxmlformats.org/drawingml/2006/main">
                <a:ext uri="{FF2B5EF4-FFF2-40B4-BE49-F238E27FC236}">
                  <a16:creationId xmlns:a16="http://schemas.microsoft.com/office/drawing/2014/main" id="{B0FBEFF1-03A3-3140-985C-474609800E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487981" w14:textId="5C2DBAF5" w:rsidR="006B21A9" w:rsidRPr="005C079A" w:rsidRDefault="006B21A9" w:rsidP="00A924C3">
      <w:pPr>
        <w:jc w:val="center"/>
        <w:rPr>
          <w:rFonts w:ascii="Arial" w:hAnsi="Arial" w:cs="Arial"/>
          <w:b/>
          <w:bCs/>
          <w:color w:val="000000" w:themeColor="text1"/>
          <w:lang w:val="en-GB"/>
        </w:rPr>
      </w:pPr>
      <w:r w:rsidRPr="005C079A">
        <w:rPr>
          <w:rFonts w:ascii="Arial" w:hAnsi="Arial" w:cs="Arial"/>
          <w:b/>
          <w:bCs/>
          <w:color w:val="000000" w:themeColor="text1"/>
          <w:lang w:val="en-GB"/>
        </w:rPr>
        <w:t>Figure 5: Trends of Quick Ratio</w:t>
      </w:r>
    </w:p>
    <w:p w14:paraId="05BEBD83" w14:textId="216A08E1" w:rsidR="006B21A9" w:rsidRPr="005C079A" w:rsidRDefault="006B21A9" w:rsidP="00A924C3">
      <w:pPr>
        <w:jc w:val="center"/>
        <w:rPr>
          <w:rFonts w:ascii="Arial" w:hAnsi="Arial" w:cs="Arial"/>
          <w:color w:val="000000" w:themeColor="text1"/>
          <w:lang w:val="en-GB"/>
        </w:rPr>
      </w:pPr>
      <w:r w:rsidRPr="005C079A">
        <w:rPr>
          <w:rFonts w:ascii="Arial" w:hAnsi="Arial" w:cs="Arial"/>
          <w:color w:val="000000" w:themeColor="text1"/>
          <w:lang w:val="en-GB"/>
        </w:rPr>
        <w:t>(Source: Excel)</w:t>
      </w:r>
    </w:p>
    <w:p w14:paraId="5B7A99C4" w14:textId="2F64EC4E" w:rsidR="005037CB"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The quick ratio also reflects the same trend, declining to only 1.03 in 2024 after staying at 1.15 in 2020. Some of the strengths include the fact that it has a slight lead above 1, indicating that liquid assets without inventory are just barely adequate to meet the liabilities. It is a threat that worsening is caused by declining cash balances instead of better management of liabilities causing the firm to be vulnerable to short term shocks.</w:t>
      </w:r>
    </w:p>
    <w:p w14:paraId="0969DA1C" w14:textId="77777777" w:rsidR="005037CB" w:rsidRPr="005C079A" w:rsidRDefault="00A1120A" w:rsidP="00A924C3">
      <w:pPr>
        <w:pStyle w:val="Heading2"/>
        <w:rPr>
          <w:rFonts w:ascii="Arial" w:hAnsi="Arial" w:cs="Arial"/>
          <w:color w:val="000000" w:themeColor="text1"/>
          <w:lang w:val="en-GB"/>
        </w:rPr>
      </w:pPr>
      <w:bookmarkStart w:id="9" w:name="_nn20htkz5ikc" w:colFirst="0" w:colLast="0"/>
      <w:bookmarkStart w:id="10" w:name="_Toc216183620"/>
      <w:bookmarkEnd w:id="9"/>
      <w:r w:rsidRPr="005C079A">
        <w:rPr>
          <w:rFonts w:ascii="Arial" w:hAnsi="Arial" w:cs="Arial"/>
          <w:color w:val="000000" w:themeColor="text1"/>
          <w:lang w:val="en-GB"/>
        </w:rPr>
        <w:t>2.3 Efficiency Ratios</w:t>
      </w:r>
      <w:bookmarkEnd w:id="10"/>
    </w:p>
    <w:p w14:paraId="17B7C2AC" w14:textId="77777777" w:rsidR="006B21A9" w:rsidRPr="005C079A" w:rsidRDefault="006B21A9" w:rsidP="00A924C3">
      <w:pPr>
        <w:rPr>
          <w:rFonts w:ascii="Arial" w:hAnsi="Arial" w:cs="Arial"/>
          <w:b/>
          <w:bCs/>
          <w:i/>
          <w:iCs/>
          <w:color w:val="000000" w:themeColor="text1"/>
          <w:lang w:val="en-GB"/>
        </w:rPr>
      </w:pPr>
      <w:r w:rsidRPr="005C079A">
        <w:rPr>
          <w:rFonts w:ascii="Arial" w:hAnsi="Arial" w:cs="Arial"/>
          <w:b/>
          <w:bCs/>
          <w:i/>
          <w:iCs/>
          <w:color w:val="000000" w:themeColor="text1"/>
          <w:lang w:val="en-GB"/>
        </w:rPr>
        <w:t>Inventory Days</w:t>
      </w:r>
    </w:p>
    <w:p w14:paraId="7FB4051D" w14:textId="1D47EF4F" w:rsidR="006B21A9" w:rsidRPr="005C079A" w:rsidRDefault="006B21A9" w:rsidP="00A924C3">
      <w:pPr>
        <w:jc w:val="center"/>
        <w:rPr>
          <w:rFonts w:ascii="Arial" w:hAnsi="Arial" w:cs="Arial"/>
          <w:color w:val="000000" w:themeColor="text1"/>
          <w:lang w:val="en-GB"/>
        </w:rPr>
      </w:pPr>
      <w:r w:rsidRPr="005C079A">
        <w:rPr>
          <w:noProof/>
          <w:color w:val="000000" w:themeColor="text1"/>
        </w:rPr>
        <w:lastRenderedPageBreak/>
        <w:drawing>
          <wp:inline distT="0" distB="0" distL="0" distR="0" wp14:anchorId="6BB45DD9" wp14:editId="6ECDF674">
            <wp:extent cx="5195888" cy="3195638"/>
            <wp:effectExtent l="0" t="0" r="5080" b="5080"/>
            <wp:docPr id="2117652086" name="Chart 1">
              <a:extLst xmlns:a="http://schemas.openxmlformats.org/drawingml/2006/main">
                <a:ext uri="{FF2B5EF4-FFF2-40B4-BE49-F238E27FC236}">
                  <a16:creationId xmlns:a16="http://schemas.microsoft.com/office/drawing/2014/main" id="{8F4D88BD-08B6-0F4D-83BE-8A297B2063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16A326D" w14:textId="33FD41B0" w:rsidR="006B21A9" w:rsidRPr="005C079A" w:rsidRDefault="006B21A9" w:rsidP="00A924C3">
      <w:pPr>
        <w:jc w:val="center"/>
        <w:rPr>
          <w:rFonts w:ascii="Arial" w:hAnsi="Arial" w:cs="Arial"/>
          <w:b/>
          <w:bCs/>
          <w:color w:val="000000" w:themeColor="text1"/>
          <w:lang w:val="en-GB"/>
        </w:rPr>
      </w:pPr>
      <w:r w:rsidRPr="005C079A">
        <w:rPr>
          <w:rFonts w:ascii="Arial" w:hAnsi="Arial" w:cs="Arial"/>
          <w:b/>
          <w:bCs/>
          <w:color w:val="000000" w:themeColor="text1"/>
          <w:lang w:val="en-GB"/>
        </w:rPr>
        <w:t>Figure 6: Trends of Inventory Days</w:t>
      </w:r>
    </w:p>
    <w:p w14:paraId="088BFB57" w14:textId="421D6F3E" w:rsidR="006B21A9" w:rsidRPr="005C079A" w:rsidRDefault="006B21A9" w:rsidP="00A924C3">
      <w:pPr>
        <w:jc w:val="center"/>
        <w:rPr>
          <w:rFonts w:ascii="Arial" w:hAnsi="Arial" w:cs="Arial"/>
          <w:color w:val="000000" w:themeColor="text1"/>
          <w:lang w:val="en-GB"/>
        </w:rPr>
      </w:pPr>
      <w:r w:rsidRPr="005C079A">
        <w:rPr>
          <w:rFonts w:ascii="Arial" w:hAnsi="Arial" w:cs="Arial"/>
          <w:color w:val="000000" w:themeColor="text1"/>
          <w:lang w:val="en-GB"/>
        </w:rPr>
        <w:t>(Source: Excel)</w:t>
      </w:r>
    </w:p>
    <w:p w14:paraId="6CC2700F" w14:textId="0C2390AD"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 xml:space="preserve">The 94 days inventory days in 2022 have soared to the 73 days in the year 2024. The 20232024 improvement is a strength that implies production planning or minimizing inventory efforts. </w:t>
      </w:r>
      <w:r w:rsidR="00E13D4C" w:rsidRPr="005C079A">
        <w:rPr>
          <w:rFonts w:ascii="Arial" w:hAnsi="Arial" w:cs="Arial"/>
          <w:color w:val="000000" w:themeColor="text1"/>
          <w:lang w:val="en-GB"/>
        </w:rPr>
        <w:t>However,</w:t>
      </w:r>
      <w:r w:rsidRPr="005C079A">
        <w:rPr>
          <w:rFonts w:ascii="Arial" w:hAnsi="Arial" w:cs="Arial"/>
          <w:color w:val="000000" w:themeColor="text1"/>
          <w:lang w:val="en-GB"/>
        </w:rPr>
        <w:t xml:space="preserve"> the spike in 2022 means that it is being forecasted and overproduced</w:t>
      </w:r>
      <w:r w:rsidR="00E13D4C" w:rsidRPr="005C079A">
        <w:rPr>
          <w:rFonts w:ascii="Arial" w:hAnsi="Arial" w:cs="Arial"/>
          <w:color w:val="000000" w:themeColor="text1"/>
          <w:lang w:val="en-GB"/>
        </w:rPr>
        <w:t>,</w:t>
      </w:r>
      <w:r w:rsidRPr="005C079A">
        <w:rPr>
          <w:rFonts w:ascii="Arial" w:hAnsi="Arial" w:cs="Arial"/>
          <w:color w:val="000000" w:themeColor="text1"/>
          <w:lang w:val="en-GB"/>
        </w:rPr>
        <w:t xml:space="preserve"> which ties up cash and slows the operating cycle. </w:t>
      </w:r>
      <w:r w:rsidR="008C201A" w:rsidRPr="005C079A">
        <w:rPr>
          <w:rFonts w:ascii="Arial" w:hAnsi="Arial" w:cs="Arial"/>
          <w:color w:val="000000" w:themeColor="text1"/>
          <w:lang w:val="en-GB"/>
        </w:rPr>
        <w:t>As per Makuvaza et al., (2025), t</w:t>
      </w:r>
      <w:r w:rsidRPr="005C079A">
        <w:rPr>
          <w:rFonts w:ascii="Arial" w:hAnsi="Arial" w:cs="Arial"/>
          <w:color w:val="000000" w:themeColor="text1"/>
          <w:lang w:val="en-GB"/>
        </w:rPr>
        <w:t>his kind of inefficient utilization puts working capital under strain and is consistent with distress patterns in which poor asset utilisation is followed by default.</w:t>
      </w:r>
    </w:p>
    <w:p w14:paraId="7A51CDB5" w14:textId="77777777" w:rsidR="006B21A9" w:rsidRPr="005C079A" w:rsidRDefault="006B21A9" w:rsidP="00A924C3">
      <w:pPr>
        <w:rPr>
          <w:rFonts w:ascii="Arial" w:hAnsi="Arial" w:cs="Arial"/>
          <w:b/>
          <w:bCs/>
          <w:i/>
          <w:iCs/>
          <w:color w:val="000000" w:themeColor="text1"/>
          <w:lang w:val="en-GB"/>
        </w:rPr>
      </w:pPr>
      <w:r w:rsidRPr="005C079A">
        <w:rPr>
          <w:rFonts w:ascii="Arial" w:hAnsi="Arial" w:cs="Arial"/>
          <w:b/>
          <w:bCs/>
          <w:i/>
          <w:iCs/>
          <w:color w:val="000000" w:themeColor="text1"/>
          <w:lang w:val="en-GB"/>
        </w:rPr>
        <w:t>Receivable Days</w:t>
      </w:r>
    </w:p>
    <w:p w14:paraId="2F4D85ED" w14:textId="3C76F421" w:rsidR="006B21A9" w:rsidRPr="005C079A" w:rsidRDefault="006B21A9" w:rsidP="00A924C3">
      <w:pPr>
        <w:jc w:val="center"/>
        <w:rPr>
          <w:rFonts w:ascii="Arial" w:hAnsi="Arial" w:cs="Arial"/>
          <w:color w:val="000000" w:themeColor="text1"/>
          <w:lang w:val="en-GB"/>
        </w:rPr>
      </w:pPr>
      <w:r w:rsidRPr="005C079A">
        <w:rPr>
          <w:noProof/>
          <w:color w:val="000000" w:themeColor="text1"/>
        </w:rPr>
        <w:drawing>
          <wp:inline distT="0" distB="0" distL="0" distR="0" wp14:anchorId="3A805740" wp14:editId="18891FB6">
            <wp:extent cx="5128895" cy="3014662"/>
            <wp:effectExtent l="0" t="0" r="14605" b="14605"/>
            <wp:docPr id="810537502" name="Chart 1">
              <a:extLst xmlns:a="http://schemas.openxmlformats.org/drawingml/2006/main">
                <a:ext uri="{FF2B5EF4-FFF2-40B4-BE49-F238E27FC236}">
                  <a16:creationId xmlns:a16="http://schemas.microsoft.com/office/drawing/2014/main" id="{C07444F7-6334-AE4E-AA5A-33ECF88C63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5CDBCC8" w14:textId="713E493F" w:rsidR="006B21A9" w:rsidRPr="005C079A" w:rsidRDefault="006B21A9" w:rsidP="00A924C3">
      <w:pPr>
        <w:jc w:val="center"/>
        <w:rPr>
          <w:rFonts w:ascii="Arial" w:hAnsi="Arial" w:cs="Arial"/>
          <w:b/>
          <w:bCs/>
          <w:color w:val="000000" w:themeColor="text1"/>
          <w:lang w:val="en-GB"/>
        </w:rPr>
      </w:pPr>
      <w:r w:rsidRPr="005C079A">
        <w:rPr>
          <w:rFonts w:ascii="Arial" w:hAnsi="Arial" w:cs="Arial"/>
          <w:b/>
          <w:bCs/>
          <w:color w:val="000000" w:themeColor="text1"/>
          <w:lang w:val="en-GB"/>
        </w:rPr>
        <w:lastRenderedPageBreak/>
        <w:t>Figure 7: Trends of Receivable Days</w:t>
      </w:r>
    </w:p>
    <w:p w14:paraId="7AE63717" w14:textId="10CFEED8" w:rsidR="006B21A9" w:rsidRPr="005C079A" w:rsidRDefault="006B21A9" w:rsidP="00A924C3">
      <w:pPr>
        <w:jc w:val="center"/>
        <w:rPr>
          <w:rFonts w:ascii="Arial" w:hAnsi="Arial" w:cs="Arial"/>
          <w:color w:val="000000" w:themeColor="text1"/>
          <w:lang w:val="en-GB"/>
        </w:rPr>
      </w:pPr>
      <w:r w:rsidRPr="005C079A">
        <w:rPr>
          <w:rFonts w:ascii="Arial" w:hAnsi="Arial" w:cs="Arial"/>
          <w:color w:val="000000" w:themeColor="text1"/>
          <w:lang w:val="en-GB"/>
        </w:rPr>
        <w:t>(Source: Excel)</w:t>
      </w:r>
    </w:p>
    <w:p w14:paraId="419F55E1" w14:textId="668B620F"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The number of days outstanding rose gradually as a result of 76 days in 2020 to 105 days in 2024 with a deteriorating collection discipline. The sole strength is that an increase in the receivable days can be an indication of long-term credit terms given to the retaining customers. Nevertheless, the risk is great: late payments put pressure on liquidity, raise the demand of external financing, and threaten the predictability of cash. This decline is an indicator of poor quality of customers and internal credit control.</w:t>
      </w:r>
    </w:p>
    <w:p w14:paraId="18AE76C7" w14:textId="77777777" w:rsidR="006B21A9" w:rsidRPr="005C079A" w:rsidRDefault="006B21A9" w:rsidP="00A924C3">
      <w:pPr>
        <w:rPr>
          <w:rFonts w:ascii="Arial" w:hAnsi="Arial" w:cs="Arial"/>
          <w:b/>
          <w:bCs/>
          <w:i/>
          <w:iCs/>
          <w:color w:val="000000" w:themeColor="text1"/>
          <w:lang w:val="en-GB"/>
        </w:rPr>
      </w:pPr>
      <w:r w:rsidRPr="005C079A">
        <w:rPr>
          <w:rFonts w:ascii="Arial" w:hAnsi="Arial" w:cs="Arial"/>
          <w:b/>
          <w:bCs/>
          <w:i/>
          <w:iCs/>
          <w:color w:val="000000" w:themeColor="text1"/>
          <w:lang w:val="en-GB"/>
        </w:rPr>
        <w:t>Payable Days</w:t>
      </w:r>
    </w:p>
    <w:p w14:paraId="780F6231" w14:textId="7C516C39" w:rsidR="006B21A9" w:rsidRPr="005C079A" w:rsidRDefault="006B21A9" w:rsidP="00A924C3">
      <w:pPr>
        <w:jc w:val="center"/>
        <w:rPr>
          <w:rFonts w:ascii="Arial" w:hAnsi="Arial" w:cs="Arial"/>
          <w:color w:val="000000" w:themeColor="text1"/>
          <w:lang w:val="en-GB"/>
        </w:rPr>
      </w:pPr>
      <w:r w:rsidRPr="005C079A">
        <w:rPr>
          <w:noProof/>
          <w:color w:val="000000" w:themeColor="text1"/>
        </w:rPr>
        <w:drawing>
          <wp:inline distT="0" distB="0" distL="0" distR="0" wp14:anchorId="5AB1B154" wp14:editId="7765478D">
            <wp:extent cx="4611959" cy="2756800"/>
            <wp:effectExtent l="0" t="0" r="11430" b="12065"/>
            <wp:docPr id="762033617" name="Chart 1">
              <a:extLst xmlns:a="http://schemas.openxmlformats.org/drawingml/2006/main">
                <a:ext uri="{FF2B5EF4-FFF2-40B4-BE49-F238E27FC236}">
                  <a16:creationId xmlns:a16="http://schemas.microsoft.com/office/drawing/2014/main" id="{880FFAFD-B89D-F349-AA22-2B3E815C65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D8CEFF1" w14:textId="3918F062" w:rsidR="006B21A9" w:rsidRPr="005C079A" w:rsidRDefault="006B21A9" w:rsidP="00A924C3">
      <w:pPr>
        <w:jc w:val="center"/>
        <w:rPr>
          <w:rFonts w:ascii="Arial" w:hAnsi="Arial" w:cs="Arial"/>
          <w:b/>
          <w:bCs/>
          <w:color w:val="000000" w:themeColor="text1"/>
          <w:lang w:val="en-GB"/>
        </w:rPr>
      </w:pPr>
      <w:r w:rsidRPr="005C079A">
        <w:rPr>
          <w:rFonts w:ascii="Arial" w:hAnsi="Arial" w:cs="Arial"/>
          <w:b/>
          <w:bCs/>
          <w:color w:val="000000" w:themeColor="text1"/>
          <w:lang w:val="en-GB"/>
        </w:rPr>
        <w:t>Figure 8: Trends of Payable Days</w:t>
      </w:r>
    </w:p>
    <w:p w14:paraId="75D99BD1" w14:textId="22DDECB6" w:rsidR="006B21A9" w:rsidRPr="005C079A" w:rsidRDefault="006B21A9" w:rsidP="00A924C3">
      <w:pPr>
        <w:jc w:val="center"/>
        <w:rPr>
          <w:rFonts w:ascii="Arial" w:hAnsi="Arial" w:cs="Arial"/>
          <w:color w:val="000000" w:themeColor="text1"/>
          <w:lang w:val="en-GB"/>
        </w:rPr>
      </w:pPr>
      <w:r w:rsidRPr="005C079A">
        <w:rPr>
          <w:rFonts w:ascii="Arial" w:hAnsi="Arial" w:cs="Arial"/>
          <w:color w:val="000000" w:themeColor="text1"/>
          <w:lang w:val="en-GB"/>
        </w:rPr>
        <w:t>(Source: Excel)</w:t>
      </w:r>
    </w:p>
    <w:p w14:paraId="3CE118D9" w14:textId="0136F0F5" w:rsidR="005037CB"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The payable days were 49 days in 2020 and 67 days in 2024. Its strong aspect is that the deferral of payment will conserve cash in conditions of tight liquidity. The risk is due to the fact that continuous delays may lead to ruined relations with suppliers and the tightening of credit conditions. The increasing difference between the receivable and payable days lengthens the cash cycle and increases financial burden.</w:t>
      </w:r>
    </w:p>
    <w:p w14:paraId="22830AE9" w14:textId="4E333F73" w:rsidR="005037CB" w:rsidRPr="005C079A" w:rsidRDefault="00A1120A" w:rsidP="00A924C3">
      <w:pPr>
        <w:pStyle w:val="Heading2"/>
        <w:rPr>
          <w:rFonts w:ascii="Arial" w:hAnsi="Arial" w:cs="Arial"/>
          <w:color w:val="000000" w:themeColor="text1"/>
          <w:lang w:val="en-GB"/>
        </w:rPr>
      </w:pPr>
      <w:bookmarkStart w:id="11" w:name="_wxkvn1j6em5e" w:colFirst="0" w:colLast="0"/>
      <w:bookmarkStart w:id="12" w:name="_Toc216183621"/>
      <w:bookmarkEnd w:id="11"/>
      <w:r w:rsidRPr="005C079A">
        <w:rPr>
          <w:rFonts w:ascii="Arial" w:hAnsi="Arial" w:cs="Arial"/>
          <w:color w:val="000000" w:themeColor="text1"/>
          <w:lang w:val="en-GB"/>
        </w:rPr>
        <w:t xml:space="preserve">2.4 </w:t>
      </w:r>
      <w:r w:rsidR="006B21A9" w:rsidRPr="005C079A">
        <w:rPr>
          <w:rFonts w:ascii="Arial" w:hAnsi="Arial" w:cs="Arial"/>
          <w:color w:val="000000" w:themeColor="text1"/>
          <w:lang w:val="en-GB"/>
        </w:rPr>
        <w:t>Profitability–Return Ratios</w:t>
      </w:r>
      <w:bookmarkEnd w:id="12"/>
    </w:p>
    <w:p w14:paraId="75165866" w14:textId="77777777" w:rsidR="006B21A9" w:rsidRPr="005C079A" w:rsidRDefault="006B21A9" w:rsidP="00A924C3">
      <w:pPr>
        <w:rPr>
          <w:rFonts w:ascii="Arial" w:hAnsi="Arial" w:cs="Arial"/>
          <w:b/>
          <w:bCs/>
          <w:i/>
          <w:iCs/>
          <w:color w:val="000000" w:themeColor="text1"/>
          <w:lang w:val="en-GB"/>
        </w:rPr>
      </w:pPr>
      <w:r w:rsidRPr="005C079A">
        <w:rPr>
          <w:rFonts w:ascii="Arial" w:hAnsi="Arial" w:cs="Arial"/>
          <w:b/>
          <w:bCs/>
          <w:i/>
          <w:iCs/>
          <w:color w:val="000000" w:themeColor="text1"/>
          <w:lang w:val="en-GB"/>
        </w:rPr>
        <w:t>Return on Assets (ROA)</w:t>
      </w:r>
    </w:p>
    <w:p w14:paraId="754A34AB" w14:textId="7DF75D65" w:rsidR="006B21A9" w:rsidRPr="005C079A" w:rsidRDefault="006B21A9" w:rsidP="00A924C3">
      <w:pPr>
        <w:jc w:val="center"/>
        <w:rPr>
          <w:rFonts w:ascii="Arial" w:hAnsi="Arial" w:cs="Arial"/>
          <w:color w:val="000000" w:themeColor="text1"/>
          <w:lang w:val="en-GB"/>
        </w:rPr>
      </w:pPr>
      <w:r w:rsidRPr="005C079A">
        <w:rPr>
          <w:noProof/>
          <w:color w:val="000000" w:themeColor="text1"/>
        </w:rPr>
        <w:lastRenderedPageBreak/>
        <w:drawing>
          <wp:inline distT="0" distB="0" distL="0" distR="0" wp14:anchorId="15C6DF9C" wp14:editId="372ECE56">
            <wp:extent cx="5457825" cy="3686175"/>
            <wp:effectExtent l="0" t="0" r="9525" b="9525"/>
            <wp:docPr id="1302700496" name="Chart 1">
              <a:extLst xmlns:a="http://schemas.openxmlformats.org/drawingml/2006/main">
                <a:ext uri="{FF2B5EF4-FFF2-40B4-BE49-F238E27FC236}">
                  <a16:creationId xmlns:a16="http://schemas.microsoft.com/office/drawing/2014/main" id="{1B2170C8-75BC-9447-87D5-84F3D875F0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CCAB177" w14:textId="702BF97B" w:rsidR="006B21A9" w:rsidRPr="005C079A" w:rsidRDefault="006B21A9" w:rsidP="00A924C3">
      <w:pPr>
        <w:jc w:val="center"/>
        <w:rPr>
          <w:rFonts w:ascii="Arial" w:hAnsi="Arial" w:cs="Arial"/>
          <w:b/>
          <w:bCs/>
          <w:color w:val="000000" w:themeColor="text1"/>
          <w:lang w:val="en-GB"/>
        </w:rPr>
      </w:pPr>
      <w:r w:rsidRPr="005C079A">
        <w:rPr>
          <w:rFonts w:ascii="Arial" w:hAnsi="Arial" w:cs="Arial"/>
          <w:b/>
          <w:bCs/>
          <w:color w:val="000000" w:themeColor="text1"/>
          <w:lang w:val="en-GB"/>
        </w:rPr>
        <w:t>Figure 9: Trends of ROA</w:t>
      </w:r>
    </w:p>
    <w:p w14:paraId="0A972AF6" w14:textId="5706D388" w:rsidR="006B21A9" w:rsidRPr="005C079A" w:rsidRDefault="006B21A9" w:rsidP="00A924C3">
      <w:pPr>
        <w:jc w:val="center"/>
        <w:rPr>
          <w:rFonts w:ascii="Arial" w:hAnsi="Arial" w:cs="Arial"/>
          <w:color w:val="000000" w:themeColor="text1"/>
          <w:lang w:val="en-GB"/>
        </w:rPr>
      </w:pPr>
      <w:r w:rsidRPr="005C079A">
        <w:rPr>
          <w:rFonts w:ascii="Arial" w:hAnsi="Arial" w:cs="Arial"/>
          <w:color w:val="000000" w:themeColor="text1"/>
          <w:lang w:val="en-GB"/>
        </w:rPr>
        <w:t>(Source: Excel)</w:t>
      </w:r>
    </w:p>
    <w:p w14:paraId="5B5AE602" w14:textId="0376EB88"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The ROA dropped significantly, 7.6% in 2020 to -27.6% in 2023, but then it got better to -7.4% in 2024. The 2024 was an advantage, and it implies a decrease in losses. The risk is the negative ROA that has been steadily declining over the past couple of years, which means that assets do not produce sufficient revenue and can even be value-destroying. This compromises sustainability and is an indication of high degrees of distress.</w:t>
      </w:r>
    </w:p>
    <w:p w14:paraId="4936B996" w14:textId="77777777" w:rsidR="006B21A9" w:rsidRPr="005C079A" w:rsidRDefault="006B21A9" w:rsidP="00A924C3">
      <w:pPr>
        <w:rPr>
          <w:rFonts w:ascii="Arial" w:hAnsi="Arial" w:cs="Arial"/>
          <w:b/>
          <w:bCs/>
          <w:i/>
          <w:iCs/>
          <w:color w:val="000000" w:themeColor="text1"/>
          <w:lang w:val="en-GB"/>
        </w:rPr>
      </w:pPr>
      <w:r w:rsidRPr="005C079A">
        <w:rPr>
          <w:rFonts w:ascii="Arial" w:hAnsi="Arial" w:cs="Arial"/>
          <w:b/>
          <w:bCs/>
          <w:i/>
          <w:iCs/>
          <w:color w:val="000000" w:themeColor="text1"/>
          <w:lang w:val="en-GB"/>
        </w:rPr>
        <w:t>Return on Equity (ROE)</w:t>
      </w:r>
    </w:p>
    <w:p w14:paraId="537A87AF" w14:textId="7061870A" w:rsidR="006B21A9" w:rsidRPr="005C079A" w:rsidRDefault="006B21A9" w:rsidP="00A924C3">
      <w:pPr>
        <w:jc w:val="center"/>
        <w:rPr>
          <w:rFonts w:ascii="Arial" w:hAnsi="Arial" w:cs="Arial"/>
          <w:color w:val="000000" w:themeColor="text1"/>
          <w:lang w:val="en-GB"/>
        </w:rPr>
      </w:pPr>
      <w:r w:rsidRPr="005C079A">
        <w:rPr>
          <w:noProof/>
          <w:color w:val="000000" w:themeColor="text1"/>
        </w:rPr>
        <w:lastRenderedPageBreak/>
        <w:drawing>
          <wp:inline distT="0" distB="0" distL="0" distR="0" wp14:anchorId="68868ECE" wp14:editId="0CDBE3EE">
            <wp:extent cx="5229225" cy="3328988"/>
            <wp:effectExtent l="0" t="0" r="9525" b="5080"/>
            <wp:docPr id="1410682030" name="Chart 1">
              <a:extLst xmlns:a="http://schemas.openxmlformats.org/drawingml/2006/main">
                <a:ext uri="{FF2B5EF4-FFF2-40B4-BE49-F238E27FC236}">
                  <a16:creationId xmlns:a16="http://schemas.microsoft.com/office/drawing/2014/main" id="{AB2589D6-891B-3240-B624-1F73DEC043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20EDB1E" w14:textId="7BD1E405" w:rsidR="006B21A9" w:rsidRPr="005C079A" w:rsidRDefault="006B21A9" w:rsidP="00A924C3">
      <w:pPr>
        <w:jc w:val="center"/>
        <w:rPr>
          <w:rFonts w:ascii="Arial" w:hAnsi="Arial" w:cs="Arial"/>
          <w:b/>
          <w:bCs/>
          <w:color w:val="000000" w:themeColor="text1"/>
          <w:lang w:val="en-GB"/>
        </w:rPr>
      </w:pPr>
      <w:r w:rsidRPr="005C079A">
        <w:rPr>
          <w:rFonts w:ascii="Arial" w:hAnsi="Arial" w:cs="Arial"/>
          <w:b/>
          <w:bCs/>
          <w:color w:val="000000" w:themeColor="text1"/>
          <w:lang w:val="en-GB"/>
        </w:rPr>
        <w:t>Figure 10: Trends of ROE</w:t>
      </w:r>
    </w:p>
    <w:p w14:paraId="2D1067E3" w14:textId="6EF8FC44" w:rsidR="006B21A9" w:rsidRPr="005C079A" w:rsidRDefault="006B21A9" w:rsidP="00A924C3">
      <w:pPr>
        <w:jc w:val="center"/>
        <w:rPr>
          <w:rFonts w:ascii="Arial" w:hAnsi="Arial" w:cs="Arial"/>
          <w:color w:val="000000" w:themeColor="text1"/>
          <w:lang w:val="en-GB"/>
        </w:rPr>
      </w:pPr>
      <w:r w:rsidRPr="005C079A">
        <w:rPr>
          <w:rFonts w:ascii="Arial" w:hAnsi="Arial" w:cs="Arial"/>
          <w:color w:val="000000" w:themeColor="text1"/>
          <w:lang w:val="en-GB"/>
        </w:rPr>
        <w:t>(Source: Excel)</w:t>
      </w:r>
    </w:p>
    <w:p w14:paraId="18464A77" w14:textId="1EB41666" w:rsidR="005037CB"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ROE took a harsh negative trend starting at 12.3% in 2020 to -55% in 2023 with a slight periodic recovery of -15.7% in 2024. The partial recovery in 2024 is also a strength, although the eradication of shareholder value is the overriding menace. Recurring negative ROE is an indication of serious structural inefficiencies and destroyed retained earnings. These trends demonstrate weak productivity of capital and lack of strong faith among investors (Cui and Zhang, 2025).</w:t>
      </w:r>
    </w:p>
    <w:p w14:paraId="5BA36516" w14:textId="0299977C" w:rsidR="005037CB" w:rsidRPr="005C079A" w:rsidRDefault="00A1120A" w:rsidP="00A924C3">
      <w:pPr>
        <w:pStyle w:val="Heading2"/>
        <w:rPr>
          <w:rFonts w:ascii="Arial" w:hAnsi="Arial" w:cs="Arial"/>
          <w:color w:val="000000" w:themeColor="text1"/>
          <w:lang w:val="en-GB"/>
        </w:rPr>
      </w:pPr>
      <w:bookmarkStart w:id="13" w:name="_p27kquj3gfto" w:colFirst="0" w:colLast="0"/>
      <w:bookmarkStart w:id="14" w:name="_Toc216183622"/>
      <w:bookmarkEnd w:id="13"/>
      <w:r w:rsidRPr="005C079A">
        <w:rPr>
          <w:rFonts w:ascii="Arial" w:hAnsi="Arial" w:cs="Arial"/>
          <w:color w:val="000000" w:themeColor="text1"/>
          <w:lang w:val="en-GB"/>
        </w:rPr>
        <w:t xml:space="preserve">2.5 </w:t>
      </w:r>
      <w:r w:rsidR="006B21A9" w:rsidRPr="005C079A">
        <w:rPr>
          <w:rFonts w:ascii="Arial" w:hAnsi="Arial" w:cs="Arial"/>
          <w:color w:val="000000" w:themeColor="text1"/>
          <w:lang w:val="en-GB"/>
        </w:rPr>
        <w:t>Leverage Ratio</w:t>
      </w:r>
      <w:bookmarkEnd w:id="14"/>
    </w:p>
    <w:p w14:paraId="490B04E1" w14:textId="77777777" w:rsidR="006B21A9" w:rsidRPr="005C079A" w:rsidRDefault="006B21A9" w:rsidP="00A924C3">
      <w:pPr>
        <w:rPr>
          <w:rFonts w:ascii="Arial" w:hAnsi="Arial" w:cs="Arial"/>
          <w:b/>
          <w:bCs/>
          <w:i/>
          <w:iCs/>
          <w:color w:val="000000" w:themeColor="text1"/>
          <w:lang w:val="en-GB"/>
        </w:rPr>
      </w:pPr>
      <w:r w:rsidRPr="005C079A">
        <w:rPr>
          <w:rFonts w:ascii="Arial" w:hAnsi="Arial" w:cs="Arial"/>
          <w:b/>
          <w:bCs/>
          <w:i/>
          <w:iCs/>
          <w:color w:val="000000" w:themeColor="text1"/>
          <w:lang w:val="en-GB"/>
        </w:rPr>
        <w:t>Debt-to-Equity Ratio</w:t>
      </w:r>
    </w:p>
    <w:p w14:paraId="46C70C9F" w14:textId="061B2788" w:rsidR="006B21A9" w:rsidRPr="005C079A" w:rsidRDefault="006B21A9" w:rsidP="00A924C3">
      <w:pPr>
        <w:jc w:val="center"/>
        <w:rPr>
          <w:rFonts w:ascii="Arial" w:hAnsi="Arial" w:cs="Arial"/>
          <w:color w:val="000000" w:themeColor="text1"/>
          <w:lang w:val="en-GB"/>
        </w:rPr>
      </w:pPr>
      <w:r w:rsidRPr="005C079A">
        <w:rPr>
          <w:noProof/>
          <w:color w:val="000000" w:themeColor="text1"/>
        </w:rPr>
        <w:lastRenderedPageBreak/>
        <w:drawing>
          <wp:inline distT="0" distB="0" distL="0" distR="0" wp14:anchorId="5AC83F6E" wp14:editId="2D9AFBB1">
            <wp:extent cx="4757738" cy="2867025"/>
            <wp:effectExtent l="0" t="0" r="5080" b="9525"/>
            <wp:docPr id="141574386" name="Chart 1">
              <a:extLst xmlns:a="http://schemas.openxmlformats.org/drawingml/2006/main">
                <a:ext uri="{FF2B5EF4-FFF2-40B4-BE49-F238E27FC236}">
                  <a16:creationId xmlns:a16="http://schemas.microsoft.com/office/drawing/2014/main" id="{6BCEC4A3-BFB7-FF44-8F74-D665894FED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E2597D7" w14:textId="2D4180C8" w:rsidR="006B21A9" w:rsidRPr="005C079A" w:rsidRDefault="006B21A9" w:rsidP="00A924C3">
      <w:pPr>
        <w:jc w:val="center"/>
        <w:rPr>
          <w:rFonts w:ascii="Arial" w:hAnsi="Arial" w:cs="Arial"/>
          <w:b/>
          <w:bCs/>
          <w:color w:val="000000" w:themeColor="text1"/>
          <w:lang w:val="en-GB"/>
        </w:rPr>
      </w:pPr>
      <w:r w:rsidRPr="005C079A">
        <w:rPr>
          <w:rFonts w:ascii="Arial" w:hAnsi="Arial" w:cs="Arial"/>
          <w:b/>
          <w:bCs/>
          <w:color w:val="000000" w:themeColor="text1"/>
          <w:lang w:val="en-GB"/>
        </w:rPr>
        <w:t>Figure 11: Trends of Debt to Equity</w:t>
      </w:r>
    </w:p>
    <w:p w14:paraId="0AE2EB41" w14:textId="433EEEE5" w:rsidR="006B21A9" w:rsidRPr="005C079A" w:rsidRDefault="006B21A9" w:rsidP="00A924C3">
      <w:pPr>
        <w:jc w:val="center"/>
        <w:rPr>
          <w:rFonts w:ascii="Arial" w:hAnsi="Arial" w:cs="Arial"/>
          <w:color w:val="000000" w:themeColor="text1"/>
          <w:lang w:val="en-GB"/>
        </w:rPr>
      </w:pPr>
      <w:r w:rsidRPr="005C079A">
        <w:rPr>
          <w:rFonts w:ascii="Arial" w:hAnsi="Arial" w:cs="Arial"/>
          <w:color w:val="000000" w:themeColor="text1"/>
          <w:lang w:val="en-GB"/>
        </w:rPr>
        <w:t>(Source: Excel)</w:t>
      </w:r>
    </w:p>
    <w:p w14:paraId="2669DD21" w14:textId="5D3C0448" w:rsidR="005037CB"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Debt-to-equity ratio rose important as the 0.63 in 2020 showed that 2024 was more leveraged with a reduced equity base. The minor strength is that an increasing leverage might have been used to finance operations in the process of revenue loss. The risk is significantly higher: the financial risk is increased, the ability of the managers is decreased, and the exposure to refinancing is higher. The very high leverage increases the severity of distress and limits the strategic restructuring (</w:t>
      </w:r>
      <w:proofErr w:type="spellStart"/>
      <w:r w:rsidRPr="005C079A">
        <w:rPr>
          <w:rFonts w:ascii="Arial" w:hAnsi="Arial" w:cs="Arial"/>
          <w:color w:val="000000" w:themeColor="text1"/>
          <w:lang w:val="en-GB"/>
        </w:rPr>
        <w:t>Colliard</w:t>
      </w:r>
      <w:proofErr w:type="spellEnd"/>
      <w:r w:rsidRPr="005C079A">
        <w:rPr>
          <w:rFonts w:ascii="Arial" w:hAnsi="Arial" w:cs="Arial"/>
          <w:color w:val="000000" w:themeColor="text1"/>
          <w:lang w:val="en-GB"/>
        </w:rPr>
        <w:t xml:space="preserve"> and </w:t>
      </w:r>
      <w:proofErr w:type="spellStart"/>
      <w:r w:rsidRPr="005C079A">
        <w:rPr>
          <w:rFonts w:ascii="Arial" w:hAnsi="Arial" w:cs="Arial"/>
          <w:color w:val="000000" w:themeColor="text1"/>
          <w:lang w:val="en-GB"/>
        </w:rPr>
        <w:t>Gromb</w:t>
      </w:r>
      <w:proofErr w:type="spellEnd"/>
      <w:r w:rsidRPr="005C079A">
        <w:rPr>
          <w:rFonts w:ascii="Arial" w:hAnsi="Arial" w:cs="Arial"/>
          <w:color w:val="000000" w:themeColor="text1"/>
          <w:lang w:val="en-GB"/>
        </w:rPr>
        <w:t>, 2025).</w:t>
      </w:r>
    </w:p>
    <w:p w14:paraId="4654F030" w14:textId="77777777" w:rsidR="005037CB" w:rsidRPr="005C079A" w:rsidRDefault="00A1120A" w:rsidP="00A924C3">
      <w:pPr>
        <w:pStyle w:val="Heading2"/>
        <w:rPr>
          <w:rFonts w:ascii="Arial" w:hAnsi="Arial" w:cs="Arial"/>
          <w:color w:val="000000" w:themeColor="text1"/>
          <w:lang w:val="en-GB"/>
        </w:rPr>
      </w:pPr>
      <w:bookmarkStart w:id="15" w:name="_wjoo8yonv5a7" w:colFirst="0" w:colLast="0"/>
      <w:bookmarkStart w:id="16" w:name="_Toc216183623"/>
      <w:bookmarkEnd w:id="15"/>
      <w:r w:rsidRPr="005C079A">
        <w:rPr>
          <w:rFonts w:ascii="Arial" w:hAnsi="Arial" w:cs="Arial"/>
          <w:color w:val="000000" w:themeColor="text1"/>
          <w:lang w:val="en-GB"/>
        </w:rPr>
        <w:t>2.6 Cash Flow Quality Assessment</w:t>
      </w:r>
      <w:bookmarkEnd w:id="16"/>
    </w:p>
    <w:p w14:paraId="438F39EE" w14:textId="77777777" w:rsidR="005037CB" w:rsidRPr="005C079A" w:rsidRDefault="00A1120A" w:rsidP="00A924C3">
      <w:pPr>
        <w:rPr>
          <w:rFonts w:ascii="Arial" w:hAnsi="Arial" w:cs="Arial"/>
          <w:color w:val="000000" w:themeColor="text1"/>
          <w:lang w:val="en-GB"/>
        </w:rPr>
      </w:pPr>
      <w:r w:rsidRPr="005C079A">
        <w:rPr>
          <w:rFonts w:ascii="Arial" w:hAnsi="Arial" w:cs="Arial"/>
          <w:color w:val="000000" w:themeColor="text1"/>
          <w:lang w:val="en-GB"/>
        </w:rPr>
        <w:t xml:space="preserve">The cash flow trends indicate a business that depends on external sources of financing as opposed to the natural cash flow. Despite positive operating cash flow in most years, volatility was experienced because of fluctuations in the working capital flows and impairment charges. The relationship between reported profit and actual cash inflows is distorted due to large non-cash adjustments, which include the 2023 goodwill impairment, and therefore make earnings a less dependable indicator of performance. Investment of cash flows was also negative throughout, but decreased in later years as the capital investment was ongoing. Cash flows Financing Cash flows reveal excessive borrowing and repayment of debt, which indicates the use of short-term debt cycles. This trend is dangerous to companies whose credit quality is getting worse, as they may dry out quickly should lenders get tougher in their conditions. Studies highlight that the quality of cash flows in distressed firms tends to fall </w:t>
      </w:r>
      <w:r w:rsidRPr="005C079A">
        <w:rPr>
          <w:rFonts w:ascii="Arial" w:hAnsi="Arial" w:cs="Arial"/>
          <w:color w:val="000000" w:themeColor="text1"/>
          <w:lang w:val="en-GB"/>
        </w:rPr>
        <w:lastRenderedPageBreak/>
        <w:t>downwards and that they have turned out to be reliant on external debt, a trend which relates to an increased likelihood of insolvency (Daniel et al., 2025). The emergence of new technologies like AI-like early-warning systems emphasises the tendency of such cash flow results to be an early indicator of underlying patterns of distress that conventional ratio analysis might misrepresent (Rech et al., 2025).</w:t>
      </w:r>
    </w:p>
    <w:p w14:paraId="68AE26CA" w14:textId="77777777" w:rsidR="005037CB" w:rsidRPr="005C079A" w:rsidRDefault="00A1120A" w:rsidP="00A924C3">
      <w:pPr>
        <w:pStyle w:val="Heading2"/>
        <w:rPr>
          <w:rFonts w:ascii="Arial" w:hAnsi="Arial" w:cs="Arial"/>
          <w:color w:val="000000" w:themeColor="text1"/>
          <w:lang w:val="en-GB"/>
        </w:rPr>
      </w:pPr>
      <w:bookmarkStart w:id="17" w:name="_fbqntsu7nqnf" w:colFirst="0" w:colLast="0"/>
      <w:bookmarkStart w:id="18" w:name="_Toc216183624"/>
      <w:bookmarkEnd w:id="17"/>
      <w:r w:rsidRPr="005C079A">
        <w:rPr>
          <w:rFonts w:ascii="Arial" w:hAnsi="Arial" w:cs="Arial"/>
          <w:color w:val="000000" w:themeColor="text1"/>
          <w:lang w:val="en-GB"/>
        </w:rPr>
        <w:t>2.7 Corporate Failure Prediction Models</w:t>
      </w:r>
      <w:bookmarkEnd w:id="18"/>
    </w:p>
    <w:p w14:paraId="7C131096" w14:textId="77777777" w:rsidR="005037CB" w:rsidRPr="005C079A" w:rsidRDefault="00A1120A" w:rsidP="00A924C3">
      <w:pPr>
        <w:rPr>
          <w:rFonts w:ascii="Arial" w:hAnsi="Arial" w:cs="Arial"/>
          <w:color w:val="000000" w:themeColor="text1"/>
          <w:lang w:val="en-GB"/>
        </w:rPr>
      </w:pPr>
      <w:r w:rsidRPr="005C079A">
        <w:rPr>
          <w:rFonts w:ascii="Arial" w:hAnsi="Arial" w:cs="Arial"/>
          <w:color w:val="000000" w:themeColor="text1"/>
          <w:lang w:val="en-GB"/>
        </w:rPr>
        <w:t>The results of Altman Z-score results affirm a rising risk of distress. The score decreased to 2.85 in 2020, to less than the distress threshold in 2023 at 0.94 (within the high-risk zone) before increasing by a slight margin to 1.81 in 2024. This trend is indicative of gross financial instability and an increased likelihood of default without prompt action. These predictive signs are consistent with information that companies with long-run futile results in terms of profitability, efficiency, and liquidity tend to fall into bankruptcy unless they take some drastic restructuring steps (Mahmood, 2025). The urgency of having a comprehensive turnaround strategy to regain solvency and protect the interests of the stakeholders is thus highlighted by the Z-score.</w:t>
      </w:r>
    </w:p>
    <w:p w14:paraId="02703857" w14:textId="77777777" w:rsidR="005037CB" w:rsidRPr="005C079A" w:rsidRDefault="00A1120A" w:rsidP="00A924C3">
      <w:pPr>
        <w:pStyle w:val="Heading1"/>
        <w:rPr>
          <w:rFonts w:ascii="Arial" w:hAnsi="Arial" w:cs="Arial"/>
          <w:color w:val="000000" w:themeColor="text1"/>
          <w:lang w:val="en-GB"/>
        </w:rPr>
      </w:pPr>
      <w:bookmarkStart w:id="19" w:name="_8yoiqy77lvb6" w:colFirst="0" w:colLast="0"/>
      <w:bookmarkStart w:id="20" w:name="_Toc216183625"/>
      <w:bookmarkEnd w:id="19"/>
      <w:r w:rsidRPr="005C079A">
        <w:rPr>
          <w:rFonts w:ascii="Arial" w:hAnsi="Arial" w:cs="Arial"/>
          <w:color w:val="000000" w:themeColor="text1"/>
          <w:lang w:val="en-GB"/>
        </w:rPr>
        <w:t>3. Working Capital Management Analysis</w:t>
      </w:r>
      <w:bookmarkEnd w:id="20"/>
    </w:p>
    <w:p w14:paraId="262E202C" w14:textId="77777777" w:rsidR="005037CB" w:rsidRPr="005C079A" w:rsidRDefault="00A1120A" w:rsidP="00A924C3">
      <w:pPr>
        <w:pStyle w:val="Heading2"/>
        <w:rPr>
          <w:rFonts w:ascii="Arial" w:hAnsi="Arial" w:cs="Arial"/>
          <w:color w:val="000000" w:themeColor="text1"/>
          <w:lang w:val="en-GB"/>
        </w:rPr>
      </w:pPr>
      <w:bookmarkStart w:id="21" w:name="_r5ymhtvnhphv" w:colFirst="0" w:colLast="0"/>
      <w:bookmarkStart w:id="22" w:name="_Toc216183626"/>
      <w:bookmarkEnd w:id="21"/>
      <w:r w:rsidRPr="005C079A">
        <w:rPr>
          <w:rFonts w:ascii="Arial" w:hAnsi="Arial" w:cs="Arial"/>
          <w:color w:val="000000" w:themeColor="text1"/>
          <w:lang w:val="en-GB"/>
        </w:rPr>
        <w:t>3.1 Cash Conversion Cycle (CCC) Evaluation</w:t>
      </w:r>
      <w:bookmarkEnd w:id="22"/>
    </w:p>
    <w:p w14:paraId="52950529" w14:textId="77777777" w:rsidR="009E69B9" w:rsidRPr="005C079A" w:rsidRDefault="009E69B9" w:rsidP="00A924C3">
      <w:pPr>
        <w:rPr>
          <w:rFonts w:ascii="Arial" w:hAnsi="Arial" w:cs="Arial"/>
          <w:color w:val="000000" w:themeColor="text1"/>
          <w:lang w:val="en-GB"/>
        </w:rPr>
      </w:pPr>
      <w:r w:rsidRPr="005C079A">
        <w:rPr>
          <w:rFonts w:ascii="Arial" w:hAnsi="Arial" w:cs="Arial"/>
          <w:color w:val="000000" w:themeColor="text1"/>
          <w:lang w:val="en-GB"/>
        </w:rPr>
        <w:t>The cash operating cycle of General Electronics illustrates the fact that there has been a steady amount of inefficiency that has added to the pressure of liquidity. In 2022, inventory days expanded to over 94, and the following year, they fell to 73 (in 2020, the inventory days amounted to 71 days). The poorest indicators of the 2022 peak are linked to bad forecasting of demand and excessive inventory accumulation, which raised the time taken to convert inventory into a sale. Holding of inventory over the long term restricts internal liquidity and postpones cash realisation which is a trait of initially stressed companies (</w:t>
      </w:r>
      <w:proofErr w:type="spellStart"/>
      <w:r w:rsidRPr="005C079A">
        <w:rPr>
          <w:rFonts w:ascii="Arial" w:hAnsi="Arial" w:cs="Arial"/>
          <w:color w:val="000000" w:themeColor="text1"/>
          <w:lang w:val="en-GB"/>
        </w:rPr>
        <w:t>Mpora</w:t>
      </w:r>
      <w:proofErr w:type="spellEnd"/>
      <w:r w:rsidRPr="005C079A">
        <w:rPr>
          <w:rFonts w:ascii="Arial" w:hAnsi="Arial" w:cs="Arial"/>
          <w:color w:val="000000" w:themeColor="text1"/>
          <w:lang w:val="en-GB"/>
        </w:rPr>
        <w:t xml:space="preserve"> et al., 2025). It is worse with the situation with receivable days. They reached over 105 days in 202,4 and this is an indicator of low credit discipline and non-</w:t>
      </w:r>
      <w:r w:rsidR="00EA2F51" w:rsidRPr="005C079A">
        <w:rPr>
          <w:rFonts w:ascii="Arial" w:hAnsi="Arial" w:cs="Arial"/>
          <w:color w:val="000000" w:themeColor="text1"/>
          <w:lang w:val="en-GB"/>
        </w:rPr>
        <w:t>perpetuities</w:t>
      </w:r>
      <w:r w:rsidRPr="005C079A">
        <w:rPr>
          <w:rFonts w:ascii="Arial" w:hAnsi="Arial" w:cs="Arial"/>
          <w:color w:val="000000" w:themeColor="text1"/>
          <w:lang w:val="en-GB"/>
        </w:rPr>
        <w:t xml:space="preserve"> of payments to customers. This is either in the form of too generous terms of credit or insufficient follow-ups on the outstanding balances. The long-periods of receivables raise dependent of the firm on outside financing, which is typical of firms that are nearing the precariousness phase (</w:t>
      </w:r>
      <w:proofErr w:type="spellStart"/>
      <w:r w:rsidRPr="005C079A">
        <w:rPr>
          <w:rFonts w:ascii="Arial" w:hAnsi="Arial" w:cs="Arial"/>
          <w:color w:val="000000" w:themeColor="text1"/>
          <w:lang w:val="en-GB"/>
        </w:rPr>
        <w:t>Dieperink</w:t>
      </w:r>
      <w:proofErr w:type="spellEnd"/>
      <w:r w:rsidRPr="005C079A">
        <w:rPr>
          <w:rFonts w:ascii="Arial" w:hAnsi="Arial" w:cs="Arial"/>
          <w:color w:val="000000" w:themeColor="text1"/>
          <w:lang w:val="en-GB"/>
        </w:rPr>
        <w:t xml:space="preserve"> et al., 2025).</w:t>
      </w:r>
    </w:p>
    <w:p w14:paraId="39F3EA2F" w14:textId="77777777" w:rsidR="005037CB" w:rsidRPr="0068022A" w:rsidRDefault="009E69B9" w:rsidP="00A924C3">
      <w:pPr>
        <w:rPr>
          <w:rFonts w:ascii="Arial" w:hAnsi="Arial" w:cs="Arial"/>
          <w:lang w:val="en-GB"/>
        </w:rPr>
      </w:pPr>
      <w:r w:rsidRPr="005C079A">
        <w:rPr>
          <w:rFonts w:ascii="Arial" w:hAnsi="Arial" w:cs="Arial"/>
          <w:color w:val="000000" w:themeColor="text1"/>
          <w:lang w:val="en-GB"/>
        </w:rPr>
        <w:t xml:space="preserve">It also increased in the number of days payable with the figure rising between approximately 49 days in 2020 to 67 days in 2024. The delay of payments is a liquidity-based solution in the short term, but the growing ratio between accounts receivable </w:t>
      </w:r>
      <w:r w:rsidRPr="005C079A">
        <w:rPr>
          <w:rFonts w:ascii="Arial" w:hAnsi="Arial" w:cs="Arial"/>
          <w:color w:val="000000" w:themeColor="text1"/>
          <w:lang w:val="en-GB"/>
        </w:rPr>
        <w:lastRenderedPageBreak/>
        <w:t xml:space="preserve">and accounts payable ensures an imbalance in the structure. Any additional delay may lead to suppliers tightening their credit or demanding quicker payment of their accounts which may make operations more complicated. Along with this trend, the growing number of receivable days as well as changing inventory is a sign that all </w:t>
      </w:r>
      <w:r w:rsidRPr="0068022A">
        <w:rPr>
          <w:rFonts w:ascii="Arial" w:hAnsi="Arial" w:cs="Arial"/>
          <w:lang w:val="en-GB"/>
        </w:rPr>
        <w:t>types of working capital are ineffective. What comes out is a long COC, low cash conversion power and greater reliance on short term borrowing. Such behaviour is a sign of the companies that are on the path of becoming increasingly financially unstable (</w:t>
      </w:r>
      <w:proofErr w:type="spellStart"/>
      <w:r w:rsidRPr="0068022A">
        <w:rPr>
          <w:rFonts w:ascii="Arial" w:hAnsi="Arial" w:cs="Arial"/>
          <w:lang w:val="en-GB"/>
        </w:rPr>
        <w:t>Michalkova</w:t>
      </w:r>
      <w:proofErr w:type="spellEnd"/>
      <w:r w:rsidRPr="0068022A">
        <w:rPr>
          <w:rFonts w:ascii="Arial" w:hAnsi="Arial" w:cs="Arial"/>
          <w:lang w:val="en-GB"/>
        </w:rPr>
        <w:t xml:space="preserve"> and </w:t>
      </w:r>
      <w:proofErr w:type="spellStart"/>
      <w:r w:rsidRPr="0068022A">
        <w:rPr>
          <w:rFonts w:ascii="Arial" w:hAnsi="Arial" w:cs="Arial"/>
          <w:lang w:val="en-GB"/>
        </w:rPr>
        <w:t>Ponisciakova</w:t>
      </w:r>
      <w:proofErr w:type="spellEnd"/>
      <w:r w:rsidRPr="0068022A">
        <w:rPr>
          <w:rFonts w:ascii="Arial" w:hAnsi="Arial" w:cs="Arial"/>
          <w:lang w:val="en-GB"/>
        </w:rPr>
        <w:t>, 2025). These inefficiencies need to be solved to provide normalcy in the functioning.</w:t>
      </w:r>
    </w:p>
    <w:p w14:paraId="5D6BE351" w14:textId="77777777" w:rsidR="005037CB" w:rsidRPr="0068022A" w:rsidRDefault="00A1120A" w:rsidP="00A924C3">
      <w:pPr>
        <w:pStyle w:val="Heading2"/>
        <w:rPr>
          <w:rFonts w:ascii="Arial" w:hAnsi="Arial" w:cs="Arial"/>
          <w:lang w:val="en-GB"/>
        </w:rPr>
      </w:pPr>
      <w:bookmarkStart w:id="23" w:name="_vnkogmmmvvo0" w:colFirst="0" w:colLast="0"/>
      <w:bookmarkStart w:id="24" w:name="_Toc216183627"/>
      <w:bookmarkEnd w:id="23"/>
      <w:r w:rsidRPr="0068022A">
        <w:rPr>
          <w:rFonts w:ascii="Arial" w:hAnsi="Arial" w:cs="Arial"/>
          <w:lang w:val="en-GB"/>
        </w:rPr>
        <w:t>3.2 Working Capital Weaknesses Identified</w:t>
      </w:r>
      <w:bookmarkEnd w:id="24"/>
    </w:p>
    <w:p w14:paraId="0EFC76E4" w14:textId="77777777" w:rsidR="005037CB" w:rsidRPr="0068022A" w:rsidRDefault="00A1120A" w:rsidP="00A924C3">
      <w:pPr>
        <w:rPr>
          <w:rFonts w:ascii="Arial" w:hAnsi="Arial" w:cs="Arial"/>
          <w:lang w:val="en-GB"/>
        </w:rPr>
      </w:pPr>
      <w:r w:rsidRPr="0068022A">
        <w:rPr>
          <w:rFonts w:ascii="Arial" w:hAnsi="Arial" w:cs="Arial"/>
          <w:lang w:val="en-GB"/>
        </w:rPr>
        <w:t>One of the weaknesses is that the firm is prone to having too much inventory, as was experienced in 2022 when inventory days shot up. High inventory levels tie up capital that may be utilised in operations, and the company will be at risk of obsolescence in a fast-changing electronics market. The second weakness is receivable management. The increase in the receivable days is a sign of ineffective credit analysis, incorrect customer screening, and ineffective collection processes. The effects of longer collection cycles are limiting liquidity directly and increasing dependence on external funding. The bad receivable systems tend to cause serious liquidity crises among the troubled companies (Berger and Liu, 2025). Another weakness is that of supplier payment volatility. Even though payables extension helps in the short term, a poor payables pattern may dent the confidence of the supplier, decrease bargaining power and elevate procurement expenses. These weaknesses are indicative of a poor working capital system of coordination and discipline.</w:t>
      </w:r>
    </w:p>
    <w:p w14:paraId="0669C1DA" w14:textId="77777777" w:rsidR="005037CB" w:rsidRPr="0068022A" w:rsidRDefault="00A1120A" w:rsidP="00A924C3">
      <w:pPr>
        <w:pStyle w:val="Heading2"/>
        <w:rPr>
          <w:rFonts w:ascii="Arial" w:hAnsi="Arial" w:cs="Arial"/>
          <w:lang w:val="en-GB"/>
        </w:rPr>
      </w:pPr>
      <w:bookmarkStart w:id="25" w:name="_mm588hi7nvw0" w:colFirst="0" w:colLast="0"/>
      <w:bookmarkStart w:id="26" w:name="_Toc216183628"/>
      <w:bookmarkEnd w:id="25"/>
      <w:r w:rsidRPr="0068022A">
        <w:rPr>
          <w:rFonts w:ascii="Arial" w:hAnsi="Arial" w:cs="Arial"/>
          <w:lang w:val="en-GB"/>
        </w:rPr>
        <w:t>3.3 Recommended Working Capital Reforms</w:t>
      </w:r>
      <w:bookmarkEnd w:id="26"/>
    </w:p>
    <w:p w14:paraId="58A9D93F" w14:textId="77777777" w:rsidR="005A5A66" w:rsidRDefault="00A1120A" w:rsidP="00A924C3">
      <w:pPr>
        <w:rPr>
          <w:rFonts w:ascii="Arial" w:hAnsi="Arial" w:cs="Arial"/>
          <w:lang w:val="en-GB"/>
        </w:rPr>
      </w:pPr>
      <w:r w:rsidRPr="0068022A">
        <w:rPr>
          <w:rFonts w:ascii="Arial" w:hAnsi="Arial" w:cs="Arial"/>
          <w:lang w:val="en-GB"/>
        </w:rPr>
        <w:t>JIT inventory practices should be adopted by the firm to create the minimum inventory and minimise the costs of carrying. It would be more precise in demand forecasting and improve supply chain coordination and prevent overproduction, and reduce inventory days. In the strategic restructuring of a business that is facing change in its operations, effective inventory optimisation is a key factor (</w:t>
      </w:r>
      <w:proofErr w:type="spellStart"/>
      <w:r w:rsidRPr="0068022A">
        <w:rPr>
          <w:rFonts w:ascii="Arial" w:hAnsi="Arial" w:cs="Arial"/>
          <w:lang w:val="en-GB"/>
        </w:rPr>
        <w:t>Potharla</w:t>
      </w:r>
      <w:proofErr w:type="spellEnd"/>
      <w:r w:rsidRPr="0068022A">
        <w:rPr>
          <w:rFonts w:ascii="Arial" w:hAnsi="Arial" w:cs="Arial"/>
          <w:lang w:val="en-GB"/>
        </w:rPr>
        <w:t xml:space="preserve">, 2025). Tighter credit analysis, reduced payment terms, and automated invoicing can be used to increase the strength of receivable management. Early-payment incentives may be utilised to speed up cash receipts, and special collection teams may be utilised to impose discipline among delinquent accounts. The better receivable performance would minimise the short-term debt of the firm. </w:t>
      </w:r>
    </w:p>
    <w:p w14:paraId="223E8471" w14:textId="05098116" w:rsidR="005037CB" w:rsidRPr="0068022A" w:rsidRDefault="00A1120A" w:rsidP="00A924C3">
      <w:pPr>
        <w:rPr>
          <w:rFonts w:ascii="Arial" w:hAnsi="Arial" w:cs="Arial"/>
          <w:lang w:val="en-GB"/>
        </w:rPr>
      </w:pPr>
      <w:r w:rsidRPr="0068022A">
        <w:rPr>
          <w:rFonts w:ascii="Arial" w:hAnsi="Arial" w:cs="Arial"/>
          <w:lang w:val="en-GB"/>
        </w:rPr>
        <w:lastRenderedPageBreak/>
        <w:t>The purpose of supplier negotiations is to stabilise payment conditions and find an opportunity to use dynamic discounting. Dynamic discounting enables the company to achieve cost savings when liquidity increases and also increases the confidence of the suppliers. Good supplier collaboration aids continuity and recovery operations in troubled companies (Moore, 2025). Another essential move is to improve cash-flow forecasting. Rolling cash forecasts and real-time liquidity monitoring tools would enable the management to forecast gaps in cash and control the schedule of payments, and make efficient financing decisions. Good forecasting mechanisms enable companies to withstand financial shocks and become more resilient in the face of uncertainty (Al-Ayyoub and Phan, 2025). All these strategies would reduce the COC, increase the internal cash generation, and decrease the dependence on external funding.</w:t>
      </w:r>
    </w:p>
    <w:p w14:paraId="536B9806" w14:textId="77777777" w:rsidR="005037CB" w:rsidRPr="0068022A" w:rsidRDefault="00A1120A" w:rsidP="00A924C3">
      <w:pPr>
        <w:pStyle w:val="Heading2"/>
        <w:rPr>
          <w:rFonts w:ascii="Arial" w:hAnsi="Arial" w:cs="Arial"/>
          <w:lang w:val="en-GB"/>
        </w:rPr>
      </w:pPr>
      <w:bookmarkStart w:id="27" w:name="_aii5xaz5j8gq" w:colFirst="0" w:colLast="0"/>
      <w:bookmarkStart w:id="28" w:name="_Toc216183629"/>
      <w:bookmarkEnd w:id="27"/>
      <w:r w:rsidRPr="0068022A">
        <w:rPr>
          <w:rFonts w:ascii="Arial" w:hAnsi="Arial" w:cs="Arial"/>
          <w:lang w:val="en-GB"/>
        </w:rPr>
        <w:t>3.4 Short-Term vs. Long-Term Financing Options</w:t>
      </w:r>
      <w:bookmarkEnd w:id="28"/>
    </w:p>
    <w:p w14:paraId="61B40820" w14:textId="77777777" w:rsidR="005037CB" w:rsidRPr="0068022A" w:rsidRDefault="00A1120A" w:rsidP="00A924C3">
      <w:pPr>
        <w:rPr>
          <w:rFonts w:ascii="Arial" w:hAnsi="Arial" w:cs="Arial"/>
          <w:lang w:val="en-GB"/>
        </w:rPr>
      </w:pPr>
      <w:r w:rsidRPr="0068022A">
        <w:rPr>
          <w:rFonts w:ascii="Arial" w:hAnsi="Arial" w:cs="Arial"/>
          <w:lang w:val="en-GB"/>
        </w:rPr>
        <w:t>Short-term sources of funds, including overdrafts, revolving credit lines, trade credit, and commercial paper, provide the flexibility necessary to fund its operations but then expose the firm to refinancing risk and interest rate risk. Trade credit is economical as long as the suppliers continue with favourable terms, whereas commercial paper is inappropriate as the firm has a poor credit history. Extended long-term sources of funds, such as term loans, corporate bonds, or issuing equities, are stable and are beneficial for the restoration of balance sheets. Mandatory repayment is guaranteed in the case of term loans, bonds provide capital diversification but could be costly, and equity issuance provides better capital buffers at the expense of shareholders. Long-term financing is essential in mitigating rollover risk and turnaround planning, particularly for firms that have weak operating cycles (Berger and Liu, 2025). The most suitable structure is a blended structure that stabilises the working capital requirements in the short-term with short-term facilities and the long-term financing to restore the capital base and enable sustainable recovery.</w:t>
      </w:r>
    </w:p>
    <w:p w14:paraId="52A8ADAF" w14:textId="77777777" w:rsidR="005037CB" w:rsidRPr="0068022A" w:rsidRDefault="00A1120A" w:rsidP="00A924C3">
      <w:pPr>
        <w:pStyle w:val="Heading1"/>
        <w:rPr>
          <w:rFonts w:ascii="Arial" w:hAnsi="Arial" w:cs="Arial"/>
          <w:lang w:val="en-GB"/>
        </w:rPr>
      </w:pPr>
      <w:bookmarkStart w:id="29" w:name="_d7ojspjafcq4" w:colFirst="0" w:colLast="0"/>
      <w:bookmarkStart w:id="30" w:name="_Toc216183630"/>
      <w:bookmarkEnd w:id="29"/>
      <w:r w:rsidRPr="0068022A">
        <w:rPr>
          <w:rFonts w:ascii="Arial" w:hAnsi="Arial" w:cs="Arial"/>
          <w:lang w:val="en-GB"/>
        </w:rPr>
        <w:t>4. Strategic Financial Restructuring Plan</w:t>
      </w:r>
      <w:bookmarkEnd w:id="30"/>
    </w:p>
    <w:p w14:paraId="2C1BE84B" w14:textId="77777777" w:rsidR="005037CB" w:rsidRPr="0068022A" w:rsidRDefault="00A1120A" w:rsidP="00A924C3">
      <w:pPr>
        <w:pStyle w:val="Heading2"/>
        <w:rPr>
          <w:rFonts w:ascii="Arial" w:hAnsi="Arial" w:cs="Arial"/>
          <w:lang w:val="en-GB"/>
        </w:rPr>
      </w:pPr>
      <w:bookmarkStart w:id="31" w:name="_c417n8oc5d4a" w:colFirst="0" w:colLast="0"/>
      <w:bookmarkStart w:id="32" w:name="_Toc216183631"/>
      <w:bookmarkEnd w:id="31"/>
      <w:r w:rsidRPr="0068022A">
        <w:rPr>
          <w:rFonts w:ascii="Arial" w:hAnsi="Arial" w:cs="Arial"/>
          <w:lang w:val="en-GB"/>
        </w:rPr>
        <w:t>4.1 Overview of Financial Distress Drivers</w:t>
      </w:r>
      <w:bookmarkEnd w:id="32"/>
    </w:p>
    <w:p w14:paraId="45AB574B" w14:textId="77777777" w:rsidR="005037CB" w:rsidRPr="0068022A" w:rsidRDefault="00A1120A" w:rsidP="00A924C3">
      <w:pPr>
        <w:rPr>
          <w:rFonts w:ascii="Arial" w:hAnsi="Arial" w:cs="Arial"/>
          <w:lang w:val="en-GB"/>
        </w:rPr>
      </w:pPr>
      <w:r w:rsidRPr="0068022A">
        <w:rPr>
          <w:rFonts w:ascii="Arial" w:hAnsi="Arial" w:cs="Arial"/>
          <w:lang w:val="en-GB"/>
        </w:rPr>
        <w:t xml:space="preserve">General Electronics is showing some pronounced signs of severe financial distress. The operating losses of 2023 and 2024 are indicative of diluted operating profit, aggravated by massive impairment charges that deteriorated the assets and accelerated the decline in earnings. The loss of previous net losses and high repurchases of its shares in preceding years have led the equity base to shrink </w:t>
      </w:r>
      <w:r w:rsidRPr="0068022A">
        <w:rPr>
          <w:rFonts w:ascii="Arial" w:hAnsi="Arial" w:cs="Arial"/>
          <w:lang w:val="en-GB"/>
        </w:rPr>
        <w:lastRenderedPageBreak/>
        <w:t>significantly, putting the firm in an alarming financial position, which is highly leveraged. These circumstances are similar to those related to the approach to insolvency, in which deteriorating performance and decreasing asset values increase the likelihood of distress (Sanchez-Almeyda et al., 2025). Liquidity and strategic flexibility have been further limited by structural inefficiencies such as poor cost control, poor working capital management, as well as deteriorating competitiveness. The company cannot afford to continue its downward spiral without a radical change.</w:t>
      </w:r>
    </w:p>
    <w:p w14:paraId="5940AE1D" w14:textId="77777777" w:rsidR="005037CB" w:rsidRPr="0068022A" w:rsidRDefault="00A1120A" w:rsidP="00A924C3">
      <w:pPr>
        <w:pStyle w:val="Heading2"/>
        <w:rPr>
          <w:rFonts w:ascii="Arial" w:hAnsi="Arial" w:cs="Arial"/>
          <w:lang w:val="en-GB"/>
        </w:rPr>
      </w:pPr>
      <w:bookmarkStart w:id="33" w:name="_ipn3or5js0j2" w:colFirst="0" w:colLast="0"/>
      <w:bookmarkStart w:id="34" w:name="_Toc216183632"/>
      <w:bookmarkEnd w:id="33"/>
      <w:r w:rsidRPr="0068022A">
        <w:rPr>
          <w:rFonts w:ascii="Arial" w:hAnsi="Arial" w:cs="Arial"/>
          <w:lang w:val="en-GB"/>
        </w:rPr>
        <w:t>4.2 Restructuring Option 1: Divestitures</w:t>
      </w:r>
      <w:bookmarkEnd w:id="34"/>
    </w:p>
    <w:p w14:paraId="21646E85" w14:textId="77777777" w:rsidR="005037CB" w:rsidRPr="0068022A" w:rsidRDefault="00A1120A" w:rsidP="00A924C3">
      <w:pPr>
        <w:rPr>
          <w:rFonts w:ascii="Arial" w:hAnsi="Arial" w:cs="Arial"/>
          <w:lang w:val="en-GB"/>
        </w:rPr>
      </w:pPr>
      <w:r w:rsidRPr="0068022A">
        <w:rPr>
          <w:rFonts w:ascii="Arial" w:hAnsi="Arial" w:cs="Arial"/>
          <w:lang w:val="en-GB"/>
        </w:rPr>
        <w:t>The strategic divestiture program is among the best strategies that can be used to revive financial stability at General Electronics. The sale of non-core or poor-performing business units would provide instant cash inflows, which would bolster liquidity and allow short-term debt to be paid off. Divestitures are also a means of refocusing the management and resources into other, more lucrative and strategically oriented segments. Divestitures enable the creation of a simpler organisational structure and long-term competitiveness through the decrease of organisational complexity. Asset sales are also common in troubled companies, where divestitures in time will not only bring relief to the capital situation but also give the strategic direction a clearer focus (Maliszewska et al., 2025). Besides enhancing liquidity, divestitures facilitate debt repayment by ensuring reduced refinancing risk and closer credit, which may raise investor confidence and enhance lender negotiation. Selling loss-making or working-capital-heavy divisions is also effective in increasing the operational agility and reinvesting in high-growth segments like premium electronics or digital services. Divestitures, however, should be planned well to ensure that one is not selling strategic assets. The company must consider every unit in terms of profitability, synergy potential and capital requirements to make sure that they are in line with the long-term objectives of the company. When dealing with fast-changing technology industries, recovery is best achieved by concentrating on their strengths.</w:t>
      </w:r>
    </w:p>
    <w:p w14:paraId="24F0B1F2" w14:textId="77777777" w:rsidR="005037CB" w:rsidRPr="0068022A" w:rsidRDefault="00A1120A" w:rsidP="00A924C3">
      <w:pPr>
        <w:pStyle w:val="Heading2"/>
        <w:rPr>
          <w:rFonts w:ascii="Arial" w:hAnsi="Arial" w:cs="Arial"/>
          <w:lang w:val="en-GB"/>
        </w:rPr>
      </w:pPr>
      <w:bookmarkStart w:id="35" w:name="_h9e37r5brkkf" w:colFirst="0" w:colLast="0"/>
      <w:bookmarkStart w:id="36" w:name="_Toc216183633"/>
      <w:bookmarkEnd w:id="35"/>
      <w:r w:rsidRPr="0068022A">
        <w:rPr>
          <w:rFonts w:ascii="Arial" w:hAnsi="Arial" w:cs="Arial"/>
          <w:lang w:val="en-GB"/>
        </w:rPr>
        <w:t>4.3 Restructuring Option 2: Strategic Merger or Joint Venture</w:t>
      </w:r>
      <w:bookmarkEnd w:id="36"/>
    </w:p>
    <w:p w14:paraId="2AAB75CC" w14:textId="77777777" w:rsidR="005A5A66" w:rsidRDefault="00A1120A" w:rsidP="00A924C3">
      <w:pPr>
        <w:rPr>
          <w:rFonts w:ascii="Arial" w:hAnsi="Arial" w:cs="Arial"/>
          <w:lang w:val="en-GB"/>
        </w:rPr>
      </w:pPr>
      <w:r w:rsidRPr="0068022A">
        <w:rPr>
          <w:rFonts w:ascii="Arial" w:hAnsi="Arial" w:cs="Arial"/>
          <w:lang w:val="en-GB"/>
        </w:rPr>
        <w:t xml:space="preserve">The other avenue towards the revitalisation of General Electronics is through the merger or joint venture (JV). A properly arranged merger will have the possibility to create synergies in operations, increase economies of scale, and lower the fixed costs in the manufacturing, distribution, and research and development. These alliances also lead to international growth through the ability to find new markets, suppliers and access new technology. The larger integrated companies usually have more </w:t>
      </w:r>
      <w:r w:rsidRPr="0068022A">
        <w:rPr>
          <w:rFonts w:ascii="Arial" w:hAnsi="Arial" w:cs="Arial"/>
          <w:lang w:val="en-GB"/>
        </w:rPr>
        <w:lastRenderedPageBreak/>
        <w:t xml:space="preserve">developed bargaining power and more resources in terms of innovation, making them more competitive in the flooded markets. These benefits go in line with the legal and strategic platforms that inform restructuring in terms of mergers and acquisitions (Akinsola and Hamzah, 2025). </w:t>
      </w:r>
    </w:p>
    <w:p w14:paraId="40E74B49" w14:textId="07001ED5" w:rsidR="005037CB" w:rsidRPr="0068022A" w:rsidRDefault="00A1120A" w:rsidP="00A924C3">
      <w:pPr>
        <w:rPr>
          <w:rFonts w:ascii="Arial" w:hAnsi="Arial" w:cs="Arial"/>
          <w:lang w:val="en-GB"/>
        </w:rPr>
      </w:pPr>
      <w:r w:rsidRPr="0068022A">
        <w:rPr>
          <w:rFonts w:ascii="Arial" w:hAnsi="Arial" w:cs="Arial"/>
          <w:lang w:val="en-GB"/>
        </w:rPr>
        <w:t>A JV also has the same advantage, but the company gets an opportunity to spread risks and lessen the capital expenditure commitments. JVs are mainly effective in new market acquisitions or new technology. In the case of Genera</w:t>
      </w:r>
      <w:r w:rsidR="00EA2F51" w:rsidRPr="0068022A">
        <w:rPr>
          <w:rFonts w:ascii="Arial" w:hAnsi="Arial" w:cs="Arial"/>
          <w:lang w:val="en-GB"/>
        </w:rPr>
        <w:t xml:space="preserve">l </w:t>
      </w:r>
      <w:r w:rsidRPr="0068022A">
        <w:rPr>
          <w:rFonts w:ascii="Arial" w:hAnsi="Arial" w:cs="Arial"/>
          <w:lang w:val="en-GB"/>
        </w:rPr>
        <w:t>Electronics, a joint venture with one of the leading Asian electronic manufacturers or digital service providers would help reduce the manufacturing cost by a large margin and speed up the process of product development. Despite the advantages, mergers and JVs have risks of integration. The differences in culture, conflicts in management and complexity in operations can slow down or lessen anticipated synergies. Controlling stock-based deals can also be diluted with mergers. This is done through due diligence to prevent failures in execution. Strategically oriented, mergers and JVs, however, can contribute positively to recovery in the long term.</w:t>
      </w:r>
    </w:p>
    <w:p w14:paraId="043FF61B" w14:textId="77777777" w:rsidR="005037CB" w:rsidRPr="0068022A" w:rsidRDefault="00A1120A" w:rsidP="00A924C3">
      <w:pPr>
        <w:pStyle w:val="Heading2"/>
        <w:rPr>
          <w:rFonts w:ascii="Arial" w:hAnsi="Arial" w:cs="Arial"/>
          <w:lang w:val="en-GB"/>
        </w:rPr>
      </w:pPr>
      <w:bookmarkStart w:id="37" w:name="_uzq2kwlz6eh9" w:colFirst="0" w:colLast="0"/>
      <w:bookmarkStart w:id="38" w:name="_Toc216183634"/>
      <w:bookmarkEnd w:id="37"/>
      <w:r w:rsidRPr="0068022A">
        <w:rPr>
          <w:rFonts w:ascii="Arial" w:hAnsi="Arial" w:cs="Arial"/>
          <w:lang w:val="en-GB"/>
        </w:rPr>
        <w:t>4.4 Restructuring Option 3: Equity Injection or Rights Issue</w:t>
      </w:r>
      <w:bookmarkEnd w:id="38"/>
    </w:p>
    <w:p w14:paraId="24D12155" w14:textId="77777777" w:rsidR="005037CB" w:rsidRPr="0068022A" w:rsidRDefault="00A1120A" w:rsidP="00A924C3">
      <w:pPr>
        <w:rPr>
          <w:rFonts w:ascii="Arial" w:hAnsi="Arial" w:cs="Arial"/>
          <w:lang w:val="en-GB"/>
        </w:rPr>
      </w:pPr>
      <w:r w:rsidRPr="0068022A">
        <w:rPr>
          <w:rFonts w:ascii="Arial" w:hAnsi="Arial" w:cs="Arial"/>
          <w:lang w:val="en-GB"/>
        </w:rPr>
        <w:t>Equity injection that can be in the form of a rights issue or a placement may also enhance the capital structure of the firm and offer it stability in the course of the turnaround. Increasing the shareholder equity will enable the firm to offset the cumulative losses, enhance leverage ratios, and improve the solvency measures. Equity growth will decrease, relying on short-term borrowing and improve the credit profile of the firm. Better capitalisation will also alleviate the risk of insolvency because companies that have greater equity cushions will be more resilient during the restructuring (Rano &amp; Rano, 2025). A rights issue is an issuance of shares at a discounted price to current shareholders, enabling continuity of ownership but raising money to pay off debts, working capital or strategic investment. Such a solution helps to repair the balance sheets and can enhance market confidence. But equity issuance dilutes the ownership of those shareholders who are not involved. There is also a risk of market perception, which might occur when the investors perceive that the issuance is an indicator of extreme internal weakness. Despite this, equity injections offer a significant avenue to financial recovery, especially to troubled companies that lack access to external borrowings because of diminishing cash flows. Equity raising can improve long-term viability in case it is implemented through open communication and tied to a plausible restructuring plan.</w:t>
      </w:r>
    </w:p>
    <w:p w14:paraId="05F88436" w14:textId="77777777" w:rsidR="005037CB" w:rsidRPr="0068022A" w:rsidRDefault="00A1120A" w:rsidP="00A924C3">
      <w:pPr>
        <w:pStyle w:val="Heading2"/>
        <w:rPr>
          <w:rFonts w:ascii="Arial" w:hAnsi="Arial" w:cs="Arial"/>
          <w:lang w:val="en-GB"/>
        </w:rPr>
      </w:pPr>
      <w:bookmarkStart w:id="39" w:name="_mqllh3epgut9" w:colFirst="0" w:colLast="0"/>
      <w:bookmarkStart w:id="40" w:name="_Toc216183635"/>
      <w:bookmarkEnd w:id="39"/>
      <w:r w:rsidRPr="0068022A">
        <w:rPr>
          <w:rFonts w:ascii="Arial" w:hAnsi="Arial" w:cs="Arial"/>
          <w:lang w:val="en-GB"/>
        </w:rPr>
        <w:lastRenderedPageBreak/>
        <w:t>4.5 Debt Restructuring Strategies</w:t>
      </w:r>
      <w:bookmarkEnd w:id="40"/>
    </w:p>
    <w:p w14:paraId="29F4C64A" w14:textId="77777777" w:rsidR="005037CB" w:rsidRPr="0068022A" w:rsidRDefault="00A1120A" w:rsidP="00A924C3">
      <w:pPr>
        <w:rPr>
          <w:rFonts w:ascii="Arial" w:hAnsi="Arial" w:cs="Arial"/>
          <w:lang w:val="en-GB"/>
        </w:rPr>
      </w:pPr>
      <w:r w:rsidRPr="0068022A">
        <w:rPr>
          <w:rFonts w:ascii="Arial" w:hAnsi="Arial" w:cs="Arial"/>
          <w:lang w:val="en-GB"/>
        </w:rPr>
        <w:t>Restructuring of the debt is needed to relieve the current liquidity commitments. Refinancing short-term credit lines with shorter-term facilities with lower rates would relieve interest payments and lengthen the repayment terms. Renegotiation of debts can also include the extension of maturities, amendment of covenants or deferral of interest payments temporarily. The measures enhance short-term liquidity and decrease the rollover risk. These strategies indicate modern reorganisation, in which companies reorganise publicly listed or privately owned debt in order to stabilise the investing capacity (Fan, 2025). Liability management exercises, i.e. debt exchanges or negotiated write-downs, are often used by troubled firms to restructure their capital structure. The practices can safeguard operational flow when liquidity is drained, when all is bad (Antill, 2025). In the case of General Electronics, the use of coordinated negotiation with lenders would be of the essence in ensuring continued access to credit in restructuring.</w:t>
      </w:r>
    </w:p>
    <w:p w14:paraId="2E67C0FA" w14:textId="77777777" w:rsidR="005037CB" w:rsidRPr="0068022A" w:rsidRDefault="00A1120A" w:rsidP="00A924C3">
      <w:pPr>
        <w:pStyle w:val="Heading2"/>
        <w:rPr>
          <w:rFonts w:ascii="Arial" w:hAnsi="Arial" w:cs="Arial"/>
          <w:lang w:val="en-GB"/>
        </w:rPr>
      </w:pPr>
      <w:bookmarkStart w:id="41" w:name="_njoqk5v93qtm" w:colFirst="0" w:colLast="0"/>
      <w:bookmarkStart w:id="42" w:name="_Toc216183636"/>
      <w:bookmarkEnd w:id="41"/>
      <w:r w:rsidRPr="0068022A">
        <w:rPr>
          <w:rFonts w:ascii="Arial" w:hAnsi="Arial" w:cs="Arial"/>
          <w:lang w:val="en-GB"/>
        </w:rPr>
        <w:t>4.6 International Considerations</w:t>
      </w:r>
      <w:bookmarkEnd w:id="42"/>
    </w:p>
    <w:p w14:paraId="5D630438" w14:textId="77777777" w:rsidR="005037CB" w:rsidRPr="0068022A" w:rsidRDefault="00A1120A" w:rsidP="00A924C3">
      <w:pPr>
        <w:rPr>
          <w:rFonts w:ascii="Arial" w:hAnsi="Arial" w:cs="Arial"/>
          <w:lang w:val="en-GB"/>
        </w:rPr>
      </w:pPr>
      <w:r w:rsidRPr="0068022A">
        <w:rPr>
          <w:rFonts w:ascii="Arial" w:hAnsi="Arial" w:cs="Arial"/>
          <w:lang w:val="en-GB"/>
        </w:rPr>
        <w:t>The ability to operate in a global market necessitates good risk management. Currency volatility may thin the margins; that is why hedging instruments and currency-matching strategies have to be used. The after-tax profitability can be improved by international tax optimisation, which involves treaty planning and the proper structuring of the profit flows. The company also needs to evaluate the cross-border financing conditions, given the fact that access to favourable rates and bond markets diffuses widely across jurisdictions. The international strategy is a comprehensive strategy to facilitate the overall restructuring process through stabilising cash flows and exposure to external risks.</w:t>
      </w:r>
    </w:p>
    <w:p w14:paraId="3AA5CA89" w14:textId="77777777" w:rsidR="005037CB" w:rsidRPr="0068022A" w:rsidRDefault="00A1120A" w:rsidP="00A924C3">
      <w:pPr>
        <w:pStyle w:val="Heading2"/>
        <w:rPr>
          <w:rFonts w:ascii="Arial" w:hAnsi="Arial" w:cs="Arial"/>
          <w:lang w:val="en-GB"/>
        </w:rPr>
      </w:pPr>
      <w:bookmarkStart w:id="43" w:name="_xq5ium2ggcyx" w:colFirst="0" w:colLast="0"/>
      <w:bookmarkStart w:id="44" w:name="_Toc216183637"/>
      <w:bookmarkEnd w:id="43"/>
      <w:r w:rsidRPr="0068022A">
        <w:rPr>
          <w:rFonts w:ascii="Arial" w:hAnsi="Arial" w:cs="Arial"/>
          <w:lang w:val="en-GB"/>
        </w:rPr>
        <w:t>4.7 Ethical and CSR Considerations</w:t>
      </w:r>
      <w:bookmarkEnd w:id="44"/>
    </w:p>
    <w:p w14:paraId="0557BCB8" w14:textId="77777777" w:rsidR="005037CB" w:rsidRPr="0068022A" w:rsidRDefault="00A1120A" w:rsidP="00A924C3">
      <w:pPr>
        <w:rPr>
          <w:rFonts w:ascii="Arial" w:hAnsi="Arial" w:cs="Arial"/>
          <w:lang w:val="en-GB"/>
        </w:rPr>
      </w:pPr>
      <w:r w:rsidRPr="0068022A">
        <w:rPr>
          <w:rFonts w:ascii="Arial" w:hAnsi="Arial" w:cs="Arial"/>
          <w:lang w:val="en-GB"/>
        </w:rPr>
        <w:t>Ethical consideration is a part and parcel of any restructuring process. Trust and credibility require transparent reporting and fair communication with the stakeholders. The company should focus on responsible treatment of workers, suppliers and communities, particularly in the case of divestitures or cost reduction. Ethical turnarounds exhibit dedication to sustainability in the long term and to stakeholder wellbeing, which is becoming clear as important to organisational recovery (</w:t>
      </w:r>
      <w:proofErr w:type="spellStart"/>
      <w:r w:rsidRPr="0068022A">
        <w:rPr>
          <w:rFonts w:ascii="Arial" w:hAnsi="Arial" w:cs="Arial"/>
          <w:lang w:val="en-GB"/>
        </w:rPr>
        <w:t>Eidenmuller</w:t>
      </w:r>
      <w:proofErr w:type="spellEnd"/>
      <w:r w:rsidRPr="0068022A">
        <w:rPr>
          <w:rFonts w:ascii="Arial" w:hAnsi="Arial" w:cs="Arial"/>
          <w:lang w:val="en-GB"/>
        </w:rPr>
        <w:t xml:space="preserve"> and Mayer, 2025). Incorporating CSR values will be the means of ensuring that restructuring efforts are promoted to facilitate not only financial strength but also social values in society at large.</w:t>
      </w:r>
    </w:p>
    <w:p w14:paraId="11EF953F" w14:textId="77777777" w:rsidR="005037CB" w:rsidRPr="0068022A" w:rsidRDefault="00A1120A" w:rsidP="00A924C3">
      <w:pPr>
        <w:pStyle w:val="Heading1"/>
        <w:rPr>
          <w:rFonts w:ascii="Arial" w:hAnsi="Arial" w:cs="Arial"/>
          <w:lang w:val="en-GB"/>
        </w:rPr>
      </w:pPr>
      <w:bookmarkStart w:id="45" w:name="_dqtew2webj66" w:colFirst="0" w:colLast="0"/>
      <w:bookmarkStart w:id="46" w:name="_Toc216183638"/>
      <w:bookmarkEnd w:id="45"/>
      <w:r w:rsidRPr="0068022A">
        <w:rPr>
          <w:rFonts w:ascii="Arial" w:hAnsi="Arial" w:cs="Arial"/>
          <w:lang w:val="en-GB"/>
        </w:rPr>
        <w:lastRenderedPageBreak/>
        <w:t>5. Investment Appraisal and Capital Budgeting</w:t>
      </w:r>
      <w:bookmarkEnd w:id="46"/>
    </w:p>
    <w:p w14:paraId="2F3D406B" w14:textId="77777777" w:rsidR="005037CB" w:rsidRPr="0068022A" w:rsidRDefault="00A1120A" w:rsidP="00A924C3">
      <w:pPr>
        <w:pStyle w:val="Heading2"/>
        <w:rPr>
          <w:rFonts w:ascii="Arial" w:hAnsi="Arial" w:cs="Arial"/>
          <w:lang w:val="en-GB"/>
        </w:rPr>
      </w:pPr>
      <w:bookmarkStart w:id="47" w:name="_yz82dnvgvt0l" w:colFirst="0" w:colLast="0"/>
      <w:bookmarkStart w:id="48" w:name="_Toc216183639"/>
      <w:bookmarkEnd w:id="47"/>
      <w:r w:rsidRPr="0068022A">
        <w:rPr>
          <w:rFonts w:ascii="Arial" w:hAnsi="Arial" w:cs="Arial"/>
          <w:lang w:val="en-GB"/>
        </w:rPr>
        <w:t>5.1 Overview of Capital Constraint (£60m limit)</w:t>
      </w:r>
      <w:bookmarkEnd w:id="48"/>
    </w:p>
    <w:p w14:paraId="5BDD1AFE" w14:textId="77777777" w:rsidR="005037CB" w:rsidRPr="0068022A" w:rsidRDefault="00A1120A" w:rsidP="00A924C3">
      <w:pPr>
        <w:rPr>
          <w:rFonts w:ascii="Arial" w:hAnsi="Arial" w:cs="Arial"/>
          <w:lang w:val="en-GB"/>
        </w:rPr>
      </w:pPr>
      <w:r w:rsidRPr="0068022A">
        <w:rPr>
          <w:rFonts w:ascii="Arial" w:hAnsi="Arial" w:cs="Arial"/>
          <w:lang w:val="en-GB"/>
        </w:rPr>
        <w:t>General Electronics is in a dire financial situation, so the choice of investment is very sensitive to the liquidity requirements, capital rationing. The Board has placed a limit of 60 million on the amount it would invest, and there has to be severe prioritisation of projects that are financially viable and strategically aligned. Not only financial returns but also the quality of governance, exposure to risk and long-term recovery should be considered by the firm. Capital budgeting becomes essential due to poor decision-making in times of distress, a tendency witnessed in the unstable companies that have poor supervisory systems (Oyaro et al., 2025). The capital constraint thus requires restrained consideration to make sure that only projects that help in the turnaround strategy are undertaken.</w:t>
      </w:r>
    </w:p>
    <w:p w14:paraId="4C615F1C" w14:textId="77777777" w:rsidR="005037CB" w:rsidRPr="0068022A" w:rsidRDefault="00A1120A" w:rsidP="00A924C3">
      <w:pPr>
        <w:pStyle w:val="Heading2"/>
        <w:rPr>
          <w:rFonts w:ascii="Arial" w:hAnsi="Arial" w:cs="Arial"/>
          <w:lang w:val="en-GB"/>
        </w:rPr>
      </w:pPr>
      <w:bookmarkStart w:id="49" w:name="_xr0qgoitysla" w:colFirst="0" w:colLast="0"/>
      <w:bookmarkStart w:id="50" w:name="_Toc216183640"/>
      <w:bookmarkEnd w:id="49"/>
      <w:r w:rsidRPr="0068022A">
        <w:rPr>
          <w:rFonts w:ascii="Arial" w:hAnsi="Arial" w:cs="Arial"/>
          <w:lang w:val="en-GB"/>
        </w:rPr>
        <w:t xml:space="preserve">5.2 Project </w:t>
      </w:r>
      <w:proofErr w:type="gramStart"/>
      <w:r w:rsidRPr="0068022A">
        <w:rPr>
          <w:rFonts w:ascii="Arial" w:hAnsi="Arial" w:cs="Arial"/>
          <w:lang w:val="en-GB"/>
        </w:rPr>
        <w:t>A</w:t>
      </w:r>
      <w:proofErr w:type="gramEnd"/>
      <w:r w:rsidRPr="0068022A">
        <w:rPr>
          <w:rFonts w:ascii="Arial" w:hAnsi="Arial" w:cs="Arial"/>
          <w:lang w:val="en-GB"/>
        </w:rPr>
        <w:t xml:space="preserve"> Evaluation</w:t>
      </w:r>
      <w:bookmarkEnd w:id="50"/>
    </w:p>
    <w:p w14:paraId="4E8A9109" w14:textId="3CE52CD7" w:rsidR="005037CB" w:rsidRPr="0068022A" w:rsidRDefault="009E69B9" w:rsidP="00A924C3">
      <w:pPr>
        <w:rPr>
          <w:rFonts w:ascii="Arial" w:hAnsi="Arial" w:cs="Arial"/>
          <w:lang w:val="en-GB"/>
        </w:rPr>
      </w:pPr>
      <w:r w:rsidRPr="0068022A">
        <w:rPr>
          <w:rFonts w:ascii="Arial" w:hAnsi="Arial" w:cs="Arial"/>
          <w:lang w:val="en-GB"/>
        </w:rPr>
        <w:t xml:space="preserve">The original investment of project A will be 40 million which will lead to inflow of 10 million, 12 million, 14 million, 10 million and 8 million in a span of five years. </w:t>
      </w:r>
      <w:proofErr w:type="gramStart"/>
      <w:r w:rsidR="008413CF" w:rsidRPr="0068022A">
        <w:rPr>
          <w:rFonts w:ascii="Arial" w:hAnsi="Arial" w:cs="Arial"/>
          <w:lang w:val="en-GB"/>
        </w:rPr>
        <w:t>It’s</w:t>
      </w:r>
      <w:proofErr w:type="gramEnd"/>
      <w:r w:rsidRPr="0068022A">
        <w:rPr>
          <w:rFonts w:ascii="Arial" w:hAnsi="Arial" w:cs="Arial"/>
          <w:lang w:val="en-GB"/>
        </w:rPr>
        <w:t xml:space="preserve"> payback period is relatively favourable which is approximately a year and favourable to a troubled firm that requires speedy access to liquidity. The distributor will reduce the cash flow risk with a quick payback and relieve the cash needs that remain. Also acceptable is accounting rate of return (ARR), given the constant trend of profitability over the life span of the project. The NPV of the project taking the discount rate to 10</w:t>
      </w:r>
      <w:r w:rsidR="008413CF" w:rsidRPr="0068022A">
        <w:rPr>
          <w:rFonts w:ascii="Arial" w:hAnsi="Arial" w:cs="Arial"/>
          <w:lang w:val="en-GB"/>
        </w:rPr>
        <w:t>%</w:t>
      </w:r>
      <w:r w:rsidRPr="0068022A">
        <w:rPr>
          <w:rFonts w:ascii="Arial" w:hAnsi="Arial" w:cs="Arial"/>
          <w:lang w:val="en-GB"/>
        </w:rPr>
        <w:t xml:space="preserve"> is estimated to be in the range of 1.32 million pounds indicating that value creation is not high, but positive. The presence of positive NPVs</w:t>
      </w:r>
      <w:r w:rsidR="005A5A66">
        <w:rPr>
          <w:rFonts w:ascii="Arial" w:hAnsi="Arial" w:cs="Arial"/>
          <w:lang w:val="en-GB"/>
        </w:rPr>
        <w:t>, though</w:t>
      </w:r>
      <w:r w:rsidRPr="0068022A">
        <w:rPr>
          <w:rFonts w:ascii="Arial" w:hAnsi="Arial" w:cs="Arial"/>
          <w:lang w:val="en-GB"/>
        </w:rPr>
        <w:t xml:space="preserve"> small ones is </w:t>
      </w:r>
      <w:r w:rsidR="00EA2F51" w:rsidRPr="0068022A">
        <w:rPr>
          <w:rFonts w:ascii="Arial" w:hAnsi="Arial" w:cs="Arial"/>
          <w:lang w:val="en-GB"/>
        </w:rPr>
        <w:t>favourable</w:t>
      </w:r>
      <w:r w:rsidRPr="0068022A">
        <w:rPr>
          <w:rFonts w:ascii="Arial" w:hAnsi="Arial" w:cs="Arial"/>
          <w:lang w:val="en-GB"/>
        </w:rPr>
        <w:t xml:space="preserve"> in financial distress situations due to the conservative nature of investment choices mending the company against any misaligned or risky investments (Maiyo et al., 2025). The profitability index (PI) is only slightly higher than 1, which shows that the index is not too high considering the amount of investment. Discount rate is relatively low compared to internal rate of return (IRR) of about 11</w:t>
      </w:r>
      <w:r w:rsidR="008413CF" w:rsidRPr="0068022A">
        <w:rPr>
          <w:rFonts w:ascii="Arial" w:hAnsi="Arial" w:cs="Arial"/>
          <w:lang w:val="en-GB"/>
        </w:rPr>
        <w:t>%</w:t>
      </w:r>
      <w:r w:rsidRPr="0068022A">
        <w:rPr>
          <w:rFonts w:ascii="Arial" w:hAnsi="Arial" w:cs="Arial"/>
          <w:lang w:val="en-GB"/>
        </w:rPr>
        <w:t xml:space="preserve"> that shows stable and medium profitability. The trend of steady cash flow also reduces uncertainty which is an advantage to the distressed firms with uncertain earnings. Such predictability comes in handy when there is a laxity in creditor control during moments of distress, and disciplined investment choices are all the more important (</w:t>
      </w:r>
      <w:proofErr w:type="spellStart"/>
      <w:r w:rsidRPr="0068022A">
        <w:rPr>
          <w:rFonts w:ascii="Arial" w:hAnsi="Arial" w:cs="Arial"/>
          <w:lang w:val="en-GB"/>
        </w:rPr>
        <w:t>Kokini</w:t>
      </w:r>
      <w:proofErr w:type="spellEnd"/>
      <w:r w:rsidRPr="0068022A">
        <w:rPr>
          <w:rFonts w:ascii="Arial" w:hAnsi="Arial" w:cs="Arial"/>
          <w:lang w:val="en-GB"/>
        </w:rPr>
        <w:t xml:space="preserve"> and Yozzo, 2025). Overall, Project A has moderate returns, excellent liquidity provision, and risk management which is in tandem with the aim of restructuring.</w:t>
      </w:r>
    </w:p>
    <w:p w14:paraId="34EAD445" w14:textId="77777777" w:rsidR="005037CB" w:rsidRPr="0068022A" w:rsidRDefault="00A1120A" w:rsidP="00A924C3">
      <w:pPr>
        <w:pStyle w:val="Heading2"/>
        <w:rPr>
          <w:rFonts w:ascii="Arial" w:hAnsi="Arial" w:cs="Arial"/>
          <w:lang w:val="en-GB"/>
        </w:rPr>
      </w:pPr>
      <w:bookmarkStart w:id="51" w:name="_dlerk093dkp9" w:colFirst="0" w:colLast="0"/>
      <w:bookmarkStart w:id="52" w:name="_Toc216183641"/>
      <w:bookmarkEnd w:id="51"/>
      <w:r w:rsidRPr="0068022A">
        <w:rPr>
          <w:rFonts w:ascii="Arial" w:hAnsi="Arial" w:cs="Arial"/>
          <w:lang w:val="en-GB"/>
        </w:rPr>
        <w:lastRenderedPageBreak/>
        <w:t>5.3 Project B Evaluation</w:t>
      </w:r>
      <w:bookmarkEnd w:id="52"/>
    </w:p>
    <w:p w14:paraId="0028B299" w14:textId="77777777" w:rsidR="005A5A66" w:rsidRDefault="00A1120A" w:rsidP="00A924C3">
      <w:pPr>
        <w:rPr>
          <w:rFonts w:ascii="Arial" w:hAnsi="Arial" w:cs="Arial"/>
          <w:lang w:val="en-GB"/>
        </w:rPr>
      </w:pPr>
      <w:r w:rsidRPr="0068022A">
        <w:rPr>
          <w:rFonts w:ascii="Arial" w:hAnsi="Arial" w:cs="Arial"/>
          <w:lang w:val="en-GB"/>
        </w:rPr>
        <w:t xml:space="preserve">Project B needs an initial investment of 30 million GBP, and its cash flows will be able to produce cash of 6 million GBP yearly over the next five years. The project has a poor financial returns profile, though the cash flows are stable. It has a payback period of five years, which is the longest among the alternatives, and thus unsuitable in a firm that is under liquidity pressure. The troubled companies need projects that can generate cash immediately, as opposed to investing funds in long payoff periods. Project B presents a payback of about £4.23m, which is appealing, but with an IRR of about 0, meaning that the returns hardly exceed the cost of capital. </w:t>
      </w:r>
    </w:p>
    <w:p w14:paraId="2FDE3847" w14:textId="3EF60B9F" w:rsidR="005037CB" w:rsidRPr="0068022A" w:rsidRDefault="00A1120A" w:rsidP="00A924C3">
      <w:pPr>
        <w:rPr>
          <w:rFonts w:ascii="Arial" w:hAnsi="Arial" w:cs="Arial"/>
          <w:lang w:val="en-GB"/>
        </w:rPr>
      </w:pPr>
      <w:r w:rsidRPr="0068022A">
        <w:rPr>
          <w:rFonts w:ascii="Arial" w:hAnsi="Arial" w:cs="Arial"/>
          <w:lang w:val="en-GB"/>
        </w:rPr>
        <w:t>In the case of a distressed company, investing in low-yield investments is dangerous in terms of causing further financial instability. Firms which have low performance ratios are more likely to be in distress in the case where the capital is not used efficiently (Haryono et al., 2025). The profitability index (PI) of about 1.08 is not very economically viable. As a strategy, the project is not in a position to build its liquidity or competitive strength. Although predictable inflows can be attractive to companies that want stability, Project B does not do much to maximise the shareholder value. There should be firm governance in the restructuring, and companies should not make decisions that would increase the financial strain (Tran, 2025). Project B is therefore stable yet not suitable with regard to value creation or fast turnaround.</w:t>
      </w:r>
    </w:p>
    <w:p w14:paraId="7B21D421" w14:textId="77777777" w:rsidR="005037CB" w:rsidRPr="0068022A" w:rsidRDefault="00A1120A" w:rsidP="00A924C3">
      <w:pPr>
        <w:pStyle w:val="Heading2"/>
        <w:rPr>
          <w:rFonts w:ascii="Arial" w:hAnsi="Arial" w:cs="Arial"/>
          <w:lang w:val="en-GB"/>
        </w:rPr>
      </w:pPr>
      <w:bookmarkStart w:id="53" w:name="_r5g1km431cfp" w:colFirst="0" w:colLast="0"/>
      <w:bookmarkStart w:id="54" w:name="_Toc216183642"/>
      <w:bookmarkEnd w:id="53"/>
      <w:r w:rsidRPr="0068022A">
        <w:rPr>
          <w:rFonts w:ascii="Arial" w:hAnsi="Arial" w:cs="Arial"/>
          <w:lang w:val="en-GB"/>
        </w:rPr>
        <w:t>5.4 Project C Evaluation</w:t>
      </w:r>
      <w:bookmarkEnd w:id="54"/>
    </w:p>
    <w:p w14:paraId="5BD3FC1C" w14:textId="7F9A6935" w:rsidR="005037CB" w:rsidRPr="0068022A" w:rsidRDefault="00A1120A" w:rsidP="00A924C3">
      <w:pPr>
        <w:rPr>
          <w:rFonts w:ascii="Arial" w:hAnsi="Arial" w:cs="Arial"/>
          <w:lang w:val="en-GB"/>
        </w:rPr>
      </w:pPr>
      <w:r w:rsidRPr="0068022A">
        <w:rPr>
          <w:rFonts w:ascii="Arial" w:hAnsi="Arial" w:cs="Arial"/>
          <w:lang w:val="en-GB"/>
        </w:rPr>
        <w:t>Project C will need a start-up fee of 50 million pounds and will produce back-loaded cash flows of 5m, 10m, 20m, 25m and 15m within the next five years. The project is highly risky to a financially strained firm that cannot afford to wait years before the returns become realised; this is because the majority of returns are made in Years 3–5. Nevertheless, Project C is the best in terms of financial gains amongst the three alternatives. The table indicates that NPV is zero, but when NPV is recalculated at a discount rate of 10, a positive value would be obtained because inflows in the later years are significant. The discount rate of approximately 13</w:t>
      </w:r>
      <w:r w:rsidR="008413CF" w:rsidRPr="0068022A">
        <w:rPr>
          <w:rFonts w:ascii="Arial" w:hAnsi="Arial" w:cs="Arial"/>
          <w:lang w:val="en-GB"/>
        </w:rPr>
        <w:t>%</w:t>
      </w:r>
      <w:r w:rsidRPr="0068022A">
        <w:rPr>
          <w:rFonts w:ascii="Arial" w:hAnsi="Arial" w:cs="Arial"/>
          <w:lang w:val="en-GB"/>
        </w:rPr>
        <w:t xml:space="preserve"> is higher than the IRR of the firm, which shows good profitability. Project A has a longer payback period of about four years compared to the payback period of Project B. The index of profitability (PI) is greater than 1, which validates the project as a good value in comparison with the amount of investment. Projects with high returns and high innovation, such as Project C, are a favourite with companies that need long-term renewal and repositioning in the market, particularly where new sources of growth are critical to </w:t>
      </w:r>
      <w:r w:rsidRPr="0068022A">
        <w:rPr>
          <w:rFonts w:ascii="Arial" w:hAnsi="Arial" w:cs="Arial"/>
          <w:lang w:val="en-GB"/>
        </w:rPr>
        <w:lastRenderedPageBreak/>
        <w:t>recovery. Nevertheless, there is a significant risk of execution on the project. Back-loaded cash flows subject the firm to market, regulatory and operational shocks. Failures in investments to provide liquidity in time are common in a stressed company, with insolvency trends showing this trend (Maliszewska et al., 2025). Irrespective of these risks, Project C can be viable on liquidity restructuring, thus a high-risk, high-reward choice.</w:t>
      </w:r>
    </w:p>
    <w:p w14:paraId="6E7B9D67" w14:textId="77777777" w:rsidR="005037CB" w:rsidRPr="0068022A" w:rsidRDefault="00A1120A" w:rsidP="00A924C3">
      <w:pPr>
        <w:pStyle w:val="Heading2"/>
        <w:rPr>
          <w:rFonts w:ascii="Arial" w:hAnsi="Arial" w:cs="Arial"/>
          <w:lang w:val="en-GB"/>
        </w:rPr>
      </w:pPr>
      <w:bookmarkStart w:id="55" w:name="_jql3d19ze3y8" w:colFirst="0" w:colLast="0"/>
      <w:bookmarkStart w:id="56" w:name="_Toc216183643"/>
      <w:bookmarkEnd w:id="55"/>
      <w:r w:rsidRPr="0068022A">
        <w:rPr>
          <w:rFonts w:ascii="Arial" w:hAnsi="Arial" w:cs="Arial"/>
          <w:lang w:val="en-GB"/>
        </w:rPr>
        <w:t>5.5 Comparative Ranking of Projects</w:t>
      </w:r>
      <w:bookmarkEnd w:id="56"/>
    </w:p>
    <w:p w14:paraId="17527374" w14:textId="77777777" w:rsidR="005037CB" w:rsidRPr="0068022A" w:rsidRDefault="00A1120A" w:rsidP="00A924C3">
      <w:pPr>
        <w:rPr>
          <w:rFonts w:ascii="Arial" w:hAnsi="Arial" w:cs="Arial"/>
          <w:lang w:val="en-GB"/>
        </w:rPr>
      </w:pPr>
      <w:r w:rsidRPr="0068022A">
        <w:rPr>
          <w:rFonts w:ascii="Arial" w:hAnsi="Arial" w:cs="Arial"/>
          <w:lang w:val="en-GB"/>
        </w:rPr>
        <w:t xml:space="preserve">Financial criteria results have Project C as the best, followed by Project B, and lastly, Project A. Project </w:t>
      </w:r>
      <w:proofErr w:type="gramStart"/>
      <w:r w:rsidRPr="0068022A">
        <w:rPr>
          <w:rFonts w:ascii="Arial" w:hAnsi="Arial" w:cs="Arial"/>
          <w:lang w:val="en-GB"/>
        </w:rPr>
        <w:t>C  based</w:t>
      </w:r>
      <w:proofErr w:type="gramEnd"/>
      <w:r w:rsidRPr="0068022A">
        <w:rPr>
          <w:rFonts w:ascii="Arial" w:hAnsi="Arial" w:cs="Arial"/>
          <w:lang w:val="en-GB"/>
        </w:rPr>
        <w:t xml:space="preserve"> on the recalculated profitability index results, also makes it the best choice. The ranking based on strategic suitability, however, is a different story. Project A will be offering the quickest liquidity solution, which is essential to a troubled company. Project B offers low value and predictable returns and is therefore not appealing either financially or strategically. Project C provides high returns in the long run and has an increased risk because of inflows that are back-loaded. Distressed firms require risk-adjusted assessment as an inappropriate choice of projects could hasten the process of financial downfall, a pattern that was demonstrated in research on disclosure of bankruptcy (</w:t>
      </w:r>
      <w:proofErr w:type="spellStart"/>
      <w:r w:rsidRPr="0068022A">
        <w:rPr>
          <w:rFonts w:ascii="Arial" w:hAnsi="Arial" w:cs="Arial"/>
          <w:lang w:val="en-GB"/>
        </w:rPr>
        <w:t>Bastiaansen</w:t>
      </w:r>
      <w:proofErr w:type="spellEnd"/>
      <w:r w:rsidRPr="0068022A">
        <w:rPr>
          <w:rFonts w:ascii="Arial" w:hAnsi="Arial" w:cs="Arial"/>
          <w:lang w:val="en-GB"/>
        </w:rPr>
        <w:t xml:space="preserve"> et al., 2025). Project A seems to be the safest option when it comes to financial performance and risk exposure, whereas Project C seems to be the most profitable and risky.</w:t>
      </w:r>
    </w:p>
    <w:p w14:paraId="5123E682" w14:textId="77777777" w:rsidR="005037CB" w:rsidRPr="0068022A" w:rsidRDefault="00A1120A" w:rsidP="00A924C3">
      <w:pPr>
        <w:pStyle w:val="Heading2"/>
        <w:rPr>
          <w:rFonts w:ascii="Arial" w:hAnsi="Arial" w:cs="Arial"/>
          <w:lang w:val="en-GB"/>
        </w:rPr>
      </w:pPr>
      <w:bookmarkStart w:id="57" w:name="_7gaju15x8f78" w:colFirst="0" w:colLast="0"/>
      <w:bookmarkStart w:id="58" w:name="_Toc216183644"/>
      <w:bookmarkEnd w:id="57"/>
      <w:r w:rsidRPr="0068022A">
        <w:rPr>
          <w:rFonts w:ascii="Arial" w:hAnsi="Arial" w:cs="Arial"/>
          <w:lang w:val="en-GB"/>
        </w:rPr>
        <w:t>5.6 Capital Rationing Decision</w:t>
      </w:r>
      <w:bookmarkEnd w:id="58"/>
    </w:p>
    <w:p w14:paraId="694ED9FF" w14:textId="77777777" w:rsidR="005037CB" w:rsidRPr="0068022A" w:rsidRDefault="00A1120A" w:rsidP="00A924C3">
      <w:pPr>
        <w:rPr>
          <w:rFonts w:ascii="Arial" w:hAnsi="Arial" w:cs="Arial"/>
          <w:lang w:val="en-GB"/>
        </w:rPr>
      </w:pPr>
      <w:r w:rsidRPr="0068022A">
        <w:rPr>
          <w:rFonts w:ascii="Arial" w:hAnsi="Arial" w:cs="Arial"/>
          <w:lang w:val="en-GB"/>
        </w:rPr>
        <w:t>The firm will not be able to pursue both of the projects (A and B) at 60m since their cost will amount to 70m. The management is therefore faced with the option of either Project A or Project C, or Project A with idle capital. Project C, with a budget of £5,0m, will be within the budget and will have high returns but little liquidity support at an early stage. Project costing, 40m has 20m to remain to fortify the working capital or to decrease the debt. Financial distress conditions should also be put into consideration in the decision. The uncertain-cutting investments are useful in firms which are under extreme distress and need short-term stability (</w:t>
      </w:r>
      <w:proofErr w:type="spellStart"/>
      <w:r w:rsidRPr="0068022A">
        <w:rPr>
          <w:rFonts w:ascii="Arial" w:hAnsi="Arial" w:cs="Arial"/>
          <w:lang w:val="en-GB"/>
        </w:rPr>
        <w:t>Nurcahyono</w:t>
      </w:r>
      <w:proofErr w:type="spellEnd"/>
      <w:r w:rsidRPr="0068022A">
        <w:rPr>
          <w:rFonts w:ascii="Arial" w:hAnsi="Arial" w:cs="Arial"/>
          <w:lang w:val="en-GB"/>
        </w:rPr>
        <w:t xml:space="preserve"> et al., 2025). This implies that Project A, with its shorter payback period and lower risk, can be a more viable project even though it is less profitable in the long term. Project C, though appealing, will stretch the liquidity of the firm to the point of restructuring, bringing operations to a stable level.</w:t>
      </w:r>
    </w:p>
    <w:p w14:paraId="110E0480" w14:textId="77777777" w:rsidR="005037CB" w:rsidRPr="0068022A" w:rsidRDefault="00A1120A" w:rsidP="00A924C3">
      <w:pPr>
        <w:pStyle w:val="Heading2"/>
        <w:rPr>
          <w:rFonts w:ascii="Arial" w:hAnsi="Arial" w:cs="Arial"/>
          <w:lang w:val="en-GB"/>
        </w:rPr>
      </w:pPr>
      <w:bookmarkStart w:id="59" w:name="_ogzkecm2v33" w:colFirst="0" w:colLast="0"/>
      <w:bookmarkStart w:id="60" w:name="_Toc216183645"/>
      <w:bookmarkEnd w:id="59"/>
      <w:r w:rsidRPr="0068022A">
        <w:rPr>
          <w:rFonts w:ascii="Arial" w:hAnsi="Arial" w:cs="Arial"/>
          <w:lang w:val="en-GB"/>
        </w:rPr>
        <w:lastRenderedPageBreak/>
        <w:t>5.7 Strategic Justification</w:t>
      </w:r>
      <w:bookmarkEnd w:id="60"/>
    </w:p>
    <w:p w14:paraId="61CF5573" w14:textId="77777777" w:rsidR="005037CB" w:rsidRPr="0068022A" w:rsidRDefault="00A1120A" w:rsidP="00A924C3">
      <w:pPr>
        <w:rPr>
          <w:rFonts w:ascii="Arial" w:hAnsi="Arial" w:cs="Arial"/>
          <w:lang w:val="en-GB"/>
        </w:rPr>
      </w:pPr>
      <w:r w:rsidRPr="0068022A">
        <w:rPr>
          <w:rFonts w:ascii="Arial" w:hAnsi="Arial" w:cs="Arial"/>
          <w:lang w:val="en-GB"/>
        </w:rPr>
        <w:t xml:space="preserve">Project A is the most suitable project in the prevailing circumstances since it offers a fast payback period, average profitability, and it also fits well into the urgent requirement of stabilising the liquidity. Conservative investment decisions in distressed firms are beneficial because they are focused on survival, which is supported in studies on CSR and governance roles in overcoming distress (Darmawan and </w:t>
      </w:r>
      <w:proofErr w:type="spellStart"/>
      <w:r w:rsidRPr="0068022A">
        <w:rPr>
          <w:rFonts w:ascii="Arial" w:hAnsi="Arial" w:cs="Arial"/>
          <w:lang w:val="en-GB"/>
        </w:rPr>
        <w:t>Almalita</w:t>
      </w:r>
      <w:proofErr w:type="spellEnd"/>
      <w:r w:rsidRPr="0068022A">
        <w:rPr>
          <w:rFonts w:ascii="Arial" w:hAnsi="Arial" w:cs="Arial"/>
          <w:lang w:val="en-GB"/>
        </w:rPr>
        <w:t>, 2025). Project A mitigates the risk but ensures continuity in operations. Project C can be looked at in the later stages of turnaround, when liquidity becomes stable, and the leverage decreases. The weak returns and long payback of project B should not determine the project to be undertaken. Finally, the alignment of the project choice with the aims of restructuring results in the strengthening of the firm, which is the key to effective recovery (</w:t>
      </w:r>
      <w:proofErr w:type="spellStart"/>
      <w:r w:rsidRPr="0068022A">
        <w:rPr>
          <w:rFonts w:ascii="Arial" w:hAnsi="Arial" w:cs="Arial"/>
          <w:lang w:val="en-GB"/>
        </w:rPr>
        <w:t>Kokini</w:t>
      </w:r>
      <w:proofErr w:type="spellEnd"/>
      <w:r w:rsidRPr="0068022A">
        <w:rPr>
          <w:rFonts w:ascii="Arial" w:hAnsi="Arial" w:cs="Arial"/>
          <w:lang w:val="en-GB"/>
        </w:rPr>
        <w:t xml:space="preserve"> and Yozzo, 2025).</w:t>
      </w:r>
    </w:p>
    <w:p w14:paraId="6A0E0A65" w14:textId="77777777" w:rsidR="005037CB" w:rsidRPr="0068022A" w:rsidRDefault="00A1120A" w:rsidP="00A924C3">
      <w:pPr>
        <w:pStyle w:val="Heading1"/>
        <w:rPr>
          <w:rFonts w:ascii="Arial" w:hAnsi="Arial" w:cs="Arial"/>
          <w:lang w:val="en-GB"/>
        </w:rPr>
      </w:pPr>
      <w:bookmarkStart w:id="61" w:name="_j77ac57lh5lm" w:colFirst="0" w:colLast="0"/>
      <w:bookmarkStart w:id="62" w:name="_Toc216183646"/>
      <w:bookmarkEnd w:id="61"/>
      <w:r w:rsidRPr="0068022A">
        <w:rPr>
          <w:rFonts w:ascii="Arial" w:hAnsi="Arial" w:cs="Arial"/>
          <w:lang w:val="en-GB"/>
        </w:rPr>
        <w:t>6. Conclusion</w:t>
      </w:r>
      <w:bookmarkEnd w:id="62"/>
    </w:p>
    <w:p w14:paraId="37B1BAEE" w14:textId="77777777" w:rsidR="005037CB" w:rsidRPr="0068022A" w:rsidRDefault="00A1120A" w:rsidP="00A924C3">
      <w:pPr>
        <w:rPr>
          <w:rFonts w:ascii="Arial" w:hAnsi="Arial" w:cs="Arial"/>
          <w:lang w:val="en-GB"/>
        </w:rPr>
      </w:pPr>
      <w:r w:rsidRPr="0068022A">
        <w:rPr>
          <w:rFonts w:ascii="Arial" w:hAnsi="Arial" w:cs="Arial"/>
          <w:lang w:val="en-GB"/>
        </w:rPr>
        <w:t>General Electronics needs a bold financial one-over, strict working capital reorganisation and careful investment choice to stabilise itself. Among the analyses, liquidity constraints, inefficiencies, and high distress risk are noted, but also a way out. The proposed measures are capable of enhancing solvency, restoring the confidence of the stakeholders, as well as enabling a long-term turnaround.</w:t>
      </w:r>
      <w:r w:rsidRPr="0068022A">
        <w:rPr>
          <w:rFonts w:ascii="Arial" w:hAnsi="Arial" w:cs="Arial"/>
          <w:lang w:val="en-GB"/>
        </w:rPr>
        <w:br w:type="page"/>
      </w:r>
    </w:p>
    <w:p w14:paraId="385D0810" w14:textId="77777777" w:rsidR="005037CB" w:rsidRPr="0068022A" w:rsidRDefault="00A1120A" w:rsidP="00A924C3">
      <w:pPr>
        <w:pStyle w:val="Heading1"/>
        <w:rPr>
          <w:rFonts w:ascii="Arial" w:hAnsi="Arial" w:cs="Arial"/>
          <w:lang w:val="en-GB"/>
        </w:rPr>
      </w:pPr>
      <w:bookmarkStart w:id="63" w:name="_4n802bk1aio2" w:colFirst="0" w:colLast="0"/>
      <w:bookmarkStart w:id="64" w:name="_Toc216183647"/>
      <w:bookmarkEnd w:id="63"/>
      <w:r w:rsidRPr="0068022A">
        <w:rPr>
          <w:rFonts w:ascii="Arial" w:hAnsi="Arial" w:cs="Arial"/>
          <w:lang w:val="en-GB"/>
        </w:rPr>
        <w:lastRenderedPageBreak/>
        <w:t>References</w:t>
      </w:r>
      <w:bookmarkEnd w:id="64"/>
    </w:p>
    <w:p w14:paraId="640B3237"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 xml:space="preserve">Akinsola, O.K. and Hamzah, F., 2025. Legal mechanisms for corporate restructuring: Understanding the legal landscape of mergers, acquisitions, and bankruptcy proceedings. </w:t>
      </w:r>
      <w:hyperlink r:id="rId19" w:history="1">
        <w:r w:rsidRPr="0068022A">
          <w:rPr>
            <w:rStyle w:val="Hyperlink"/>
            <w:rFonts w:ascii="Arial" w:hAnsi="Arial" w:cs="Arial"/>
            <w:shd w:val="clear" w:color="auto" w:fill="FFFFFF"/>
            <w:lang w:val="en-GB"/>
          </w:rPr>
          <w:t>https://www.researchgate.net/profile/Farinu-Hamzah/publication/388653185_Legal_Mechanisms_for_Corporate_Restructuring_Understanding_the_Legal_Landscape_of_Mergers_Acquisitions_and_Bankruptcy_Proceedings/links/67a11bb396e7fb48b9b11dac/Legal-Mechanisms-for-Corporate-Restructuring-Understanding-the-Legal-Landscape-of-Mergers-Acquisitions-and-Bankruptcy-Proceedings.pdf</w:t>
        </w:r>
      </w:hyperlink>
    </w:p>
    <w:p w14:paraId="1C92511B"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Al-Ayyoub, N. and Phan, H.V., 2025. Riskier climate, closer ties? How climate risk drives firms towards bank debt financing. </w:t>
      </w:r>
      <w:r w:rsidRPr="0068022A">
        <w:rPr>
          <w:rFonts w:ascii="Arial" w:hAnsi="Arial" w:cs="Arial"/>
          <w:i/>
          <w:iCs/>
          <w:color w:val="222222"/>
          <w:shd w:val="clear" w:color="auto" w:fill="FFFFFF"/>
          <w:lang w:val="en-GB"/>
        </w:rPr>
        <w:t>Journal of Corporate Finance</w:t>
      </w:r>
      <w:r w:rsidRPr="0068022A">
        <w:rPr>
          <w:rFonts w:ascii="Arial" w:hAnsi="Arial" w:cs="Arial"/>
          <w:color w:val="222222"/>
          <w:shd w:val="clear" w:color="auto" w:fill="FFFFFF"/>
          <w:lang w:val="en-GB"/>
        </w:rPr>
        <w:t xml:space="preserve">, p.102895. </w:t>
      </w:r>
      <w:hyperlink r:id="rId20" w:history="1">
        <w:r w:rsidRPr="0068022A">
          <w:rPr>
            <w:rStyle w:val="Hyperlink"/>
            <w:rFonts w:ascii="Arial" w:hAnsi="Arial" w:cs="Arial"/>
            <w:shd w:val="clear" w:color="auto" w:fill="FFFFFF"/>
            <w:lang w:val="en-GB"/>
          </w:rPr>
          <w:t>https://www.sciencedirect.com/science/article/pii/S0929119925001634</w:t>
        </w:r>
      </w:hyperlink>
    </w:p>
    <w:p w14:paraId="343E4C94"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Antill, S. and Clayton, C., 2025. Crisis interventions in corporate insolvency. </w:t>
      </w:r>
      <w:r w:rsidRPr="0068022A">
        <w:rPr>
          <w:rFonts w:ascii="Arial" w:hAnsi="Arial" w:cs="Arial"/>
          <w:i/>
          <w:iCs/>
          <w:color w:val="222222"/>
          <w:shd w:val="clear" w:color="auto" w:fill="FFFFFF"/>
          <w:lang w:val="en-GB"/>
        </w:rPr>
        <w:t>The Journal of Finance</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80</w:t>
      </w:r>
      <w:r w:rsidRPr="0068022A">
        <w:rPr>
          <w:rFonts w:ascii="Arial" w:hAnsi="Arial" w:cs="Arial"/>
          <w:color w:val="222222"/>
          <w:shd w:val="clear" w:color="auto" w:fill="FFFFFF"/>
          <w:lang w:val="en-GB"/>
        </w:rPr>
        <w:t xml:space="preserve">(2), pp.875-910. </w:t>
      </w:r>
      <w:hyperlink r:id="rId21" w:history="1">
        <w:r w:rsidRPr="0068022A">
          <w:rPr>
            <w:rStyle w:val="Hyperlink"/>
            <w:rFonts w:ascii="Arial" w:hAnsi="Arial" w:cs="Arial"/>
            <w:shd w:val="clear" w:color="auto" w:fill="FFFFFF"/>
            <w:lang w:val="en-GB"/>
          </w:rPr>
          <w:t>https://onlinelibrary.wiley.com/doi/abs/10.1111/jofi.13421</w:t>
        </w:r>
      </w:hyperlink>
    </w:p>
    <w:p w14:paraId="550CA673" w14:textId="77777777" w:rsidR="000C0310" w:rsidRPr="0068022A" w:rsidRDefault="000C0310" w:rsidP="00A924C3">
      <w:pPr>
        <w:spacing w:after="240"/>
        <w:rPr>
          <w:rFonts w:ascii="Arial" w:hAnsi="Arial" w:cs="Arial"/>
          <w:lang w:val="en-GB"/>
        </w:rPr>
      </w:pPr>
      <w:proofErr w:type="spellStart"/>
      <w:r w:rsidRPr="0068022A">
        <w:rPr>
          <w:rFonts w:ascii="Arial" w:hAnsi="Arial" w:cs="Arial"/>
          <w:color w:val="222222"/>
          <w:shd w:val="clear" w:color="auto" w:fill="FFFFFF"/>
          <w:lang w:val="en-GB"/>
        </w:rPr>
        <w:t>Bastiaansen</w:t>
      </w:r>
      <w:proofErr w:type="spellEnd"/>
      <w:r w:rsidRPr="0068022A">
        <w:rPr>
          <w:rFonts w:ascii="Arial" w:hAnsi="Arial" w:cs="Arial"/>
          <w:color w:val="222222"/>
          <w:shd w:val="clear" w:color="auto" w:fill="FFFFFF"/>
          <w:lang w:val="en-GB"/>
        </w:rPr>
        <w:t>, I., Lerman, A., Murphy, F. and Vyas, D., 2025. Court Disclosures of Firms in Chapter 11 Bankruptcy. </w:t>
      </w:r>
      <w:r w:rsidRPr="0068022A">
        <w:rPr>
          <w:rFonts w:ascii="Arial" w:hAnsi="Arial" w:cs="Arial"/>
          <w:i/>
          <w:iCs/>
          <w:color w:val="222222"/>
          <w:shd w:val="clear" w:color="auto" w:fill="FFFFFF"/>
          <w:lang w:val="en-GB"/>
        </w:rPr>
        <w:t>Journal of Accounting Research</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63</w:t>
      </w:r>
      <w:r w:rsidRPr="0068022A">
        <w:rPr>
          <w:rFonts w:ascii="Arial" w:hAnsi="Arial" w:cs="Arial"/>
          <w:color w:val="222222"/>
          <w:shd w:val="clear" w:color="auto" w:fill="FFFFFF"/>
          <w:lang w:val="en-GB"/>
        </w:rPr>
        <w:t xml:space="preserve">(1), pp.57-112. </w:t>
      </w:r>
      <w:hyperlink r:id="rId22" w:history="1">
        <w:r w:rsidRPr="0068022A">
          <w:rPr>
            <w:rStyle w:val="Hyperlink"/>
            <w:rFonts w:ascii="Arial" w:hAnsi="Arial" w:cs="Arial"/>
            <w:shd w:val="clear" w:color="auto" w:fill="FFFFFF"/>
            <w:lang w:val="en-GB"/>
          </w:rPr>
          <w:t>https://onlinelibrary.wiley.com/doi/abs/10.1111/1475-679X.12576</w:t>
        </w:r>
      </w:hyperlink>
    </w:p>
    <w:p w14:paraId="615A7E10"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Berger, P.G. and Liu, Y.C., 2025. Beyond the Twilight Zone: The Restructuring and Resurrection of Zombie Firms. </w:t>
      </w:r>
      <w:r w:rsidRPr="0068022A">
        <w:rPr>
          <w:rFonts w:ascii="Arial" w:hAnsi="Arial" w:cs="Arial"/>
          <w:i/>
          <w:iCs/>
          <w:color w:val="222222"/>
          <w:shd w:val="clear" w:color="auto" w:fill="FFFFFF"/>
          <w:lang w:val="en-GB"/>
        </w:rPr>
        <w:t>Available at SSRN 5086421</w:t>
      </w:r>
      <w:r w:rsidRPr="0068022A">
        <w:rPr>
          <w:rFonts w:ascii="Arial" w:hAnsi="Arial" w:cs="Arial"/>
          <w:color w:val="222222"/>
          <w:shd w:val="clear" w:color="auto" w:fill="FFFFFF"/>
          <w:lang w:val="en-GB"/>
        </w:rPr>
        <w:t xml:space="preserve">. </w:t>
      </w:r>
      <w:hyperlink r:id="rId23" w:history="1">
        <w:r w:rsidRPr="0068022A">
          <w:rPr>
            <w:rStyle w:val="Hyperlink"/>
            <w:rFonts w:ascii="Arial" w:hAnsi="Arial" w:cs="Arial"/>
            <w:shd w:val="clear" w:color="auto" w:fill="FFFFFF"/>
            <w:lang w:val="en-GB"/>
          </w:rPr>
          <w:t>https://papers.ssrn.com/sol3/papers.cfm?abstract_id=5086421</w:t>
        </w:r>
      </w:hyperlink>
    </w:p>
    <w:p w14:paraId="67A3286B"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Chu, Y., Diep-Nguyen, H., Wang, J., Wang, W. and Wang, W., 2025. Shareholder-creditor conflict and the resolution of financial distress. </w:t>
      </w:r>
      <w:r w:rsidRPr="0068022A">
        <w:rPr>
          <w:rFonts w:ascii="Arial" w:hAnsi="Arial" w:cs="Arial"/>
          <w:i/>
          <w:iCs/>
          <w:color w:val="222222"/>
          <w:shd w:val="clear" w:color="auto" w:fill="FFFFFF"/>
          <w:lang w:val="en-GB"/>
        </w:rPr>
        <w:t>The Review of Corporate Finance Studies</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14</w:t>
      </w:r>
      <w:r w:rsidRPr="0068022A">
        <w:rPr>
          <w:rFonts w:ascii="Arial" w:hAnsi="Arial" w:cs="Arial"/>
          <w:color w:val="222222"/>
          <w:shd w:val="clear" w:color="auto" w:fill="FFFFFF"/>
          <w:lang w:val="en-GB"/>
        </w:rPr>
        <w:t xml:space="preserve">(3), pp.804-838. </w:t>
      </w:r>
      <w:hyperlink r:id="rId24" w:history="1">
        <w:r w:rsidRPr="0068022A">
          <w:rPr>
            <w:rStyle w:val="Hyperlink"/>
            <w:rFonts w:ascii="Arial" w:hAnsi="Arial" w:cs="Arial"/>
            <w:shd w:val="clear" w:color="auto" w:fill="FFFFFF"/>
            <w:lang w:val="en-GB"/>
          </w:rPr>
          <w:t>https://academic.oup.com/rcfs/article-abstract/14/3/804/7639397</w:t>
        </w:r>
      </w:hyperlink>
    </w:p>
    <w:p w14:paraId="79526D54" w14:textId="77777777" w:rsidR="000C0310" w:rsidRPr="0068022A" w:rsidRDefault="000C0310" w:rsidP="00A924C3">
      <w:pPr>
        <w:spacing w:after="240"/>
        <w:rPr>
          <w:rFonts w:ascii="Arial" w:hAnsi="Arial" w:cs="Arial"/>
          <w:lang w:val="en-GB"/>
        </w:rPr>
      </w:pPr>
      <w:proofErr w:type="spellStart"/>
      <w:r w:rsidRPr="0068022A">
        <w:rPr>
          <w:rFonts w:ascii="Arial" w:hAnsi="Arial" w:cs="Arial"/>
          <w:color w:val="222222"/>
          <w:shd w:val="clear" w:color="auto" w:fill="FFFFFF"/>
          <w:lang w:val="en-GB"/>
        </w:rPr>
        <w:t>Colliard</w:t>
      </w:r>
      <w:proofErr w:type="spellEnd"/>
      <w:r w:rsidRPr="0068022A">
        <w:rPr>
          <w:rFonts w:ascii="Arial" w:hAnsi="Arial" w:cs="Arial"/>
          <w:color w:val="222222"/>
          <w:shd w:val="clear" w:color="auto" w:fill="FFFFFF"/>
          <w:lang w:val="en-GB"/>
        </w:rPr>
        <w:t xml:space="preserve">, J.E. and </w:t>
      </w:r>
      <w:proofErr w:type="spellStart"/>
      <w:r w:rsidRPr="0068022A">
        <w:rPr>
          <w:rFonts w:ascii="Arial" w:hAnsi="Arial" w:cs="Arial"/>
          <w:color w:val="222222"/>
          <w:shd w:val="clear" w:color="auto" w:fill="FFFFFF"/>
          <w:lang w:val="en-GB"/>
        </w:rPr>
        <w:t>Gromb</w:t>
      </w:r>
      <w:proofErr w:type="spellEnd"/>
      <w:r w:rsidRPr="0068022A">
        <w:rPr>
          <w:rFonts w:ascii="Arial" w:hAnsi="Arial" w:cs="Arial"/>
          <w:color w:val="222222"/>
          <w:shd w:val="clear" w:color="auto" w:fill="FFFFFF"/>
          <w:lang w:val="en-GB"/>
        </w:rPr>
        <w:t>, D., 2025. Financial restructuring and resolution of banks. </w:t>
      </w:r>
      <w:r w:rsidRPr="0068022A">
        <w:rPr>
          <w:rFonts w:ascii="Arial" w:hAnsi="Arial" w:cs="Arial"/>
          <w:i/>
          <w:iCs/>
          <w:color w:val="222222"/>
          <w:shd w:val="clear" w:color="auto" w:fill="FFFFFF"/>
          <w:lang w:val="en-GB"/>
        </w:rPr>
        <w:t>HEC Paris Research Paper No. FIN-2018-1272</w:t>
      </w:r>
      <w:r w:rsidRPr="0068022A">
        <w:rPr>
          <w:rFonts w:ascii="Arial" w:hAnsi="Arial" w:cs="Arial"/>
          <w:color w:val="222222"/>
          <w:shd w:val="clear" w:color="auto" w:fill="FFFFFF"/>
          <w:lang w:val="en-GB"/>
        </w:rPr>
        <w:t xml:space="preserve">. </w:t>
      </w:r>
      <w:hyperlink r:id="rId25" w:history="1">
        <w:r w:rsidRPr="0068022A">
          <w:rPr>
            <w:rStyle w:val="Hyperlink"/>
            <w:rFonts w:ascii="Arial" w:hAnsi="Arial" w:cs="Arial"/>
            <w:shd w:val="clear" w:color="auto" w:fill="FFFFFF"/>
            <w:lang w:val="en-GB"/>
          </w:rPr>
          <w:t>https://papers.ssrn.com/sol3/papers.cfm?abstract_id=3183777</w:t>
        </w:r>
      </w:hyperlink>
    </w:p>
    <w:p w14:paraId="6A393543"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lastRenderedPageBreak/>
        <w:t>Cui, Y. and Zhang, Y., 2025. Financial stability strategies: Bankruptcy courts and corporate capital structure adjustment. </w:t>
      </w:r>
      <w:r w:rsidRPr="0068022A">
        <w:rPr>
          <w:rFonts w:ascii="Arial" w:hAnsi="Arial" w:cs="Arial"/>
          <w:i/>
          <w:iCs/>
          <w:color w:val="222222"/>
          <w:shd w:val="clear" w:color="auto" w:fill="FFFFFF"/>
          <w:lang w:val="en-GB"/>
        </w:rPr>
        <w:t>International Review of Economics &amp; Finance</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99</w:t>
      </w:r>
      <w:r w:rsidRPr="0068022A">
        <w:rPr>
          <w:rFonts w:ascii="Arial" w:hAnsi="Arial" w:cs="Arial"/>
          <w:color w:val="222222"/>
          <w:shd w:val="clear" w:color="auto" w:fill="FFFFFF"/>
          <w:lang w:val="en-GB"/>
        </w:rPr>
        <w:t xml:space="preserve">, p.104026. </w:t>
      </w:r>
      <w:hyperlink r:id="rId26" w:history="1">
        <w:r w:rsidRPr="0068022A">
          <w:rPr>
            <w:rStyle w:val="Hyperlink"/>
            <w:rFonts w:ascii="Arial" w:hAnsi="Arial" w:cs="Arial"/>
            <w:shd w:val="clear" w:color="auto" w:fill="FFFFFF"/>
            <w:lang w:val="en-GB"/>
          </w:rPr>
          <w:t>https://www.sciencedirect.com/science/article/pii/S1059056025001893</w:t>
        </w:r>
      </w:hyperlink>
    </w:p>
    <w:p w14:paraId="2FBD2E06"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Daniel, K., Ramaswamy, A., Caldwell, G. and Mortimer, H., 2025. Corporate bankruptcy regulations and their impact on strategic financial restructuring and continuity planning. </w:t>
      </w:r>
      <w:proofErr w:type="spellStart"/>
      <w:r w:rsidRPr="0068022A">
        <w:rPr>
          <w:rFonts w:ascii="Arial" w:hAnsi="Arial" w:cs="Arial"/>
          <w:i/>
          <w:iCs/>
          <w:color w:val="222222"/>
          <w:shd w:val="clear" w:color="auto" w:fill="FFFFFF"/>
          <w:lang w:val="en-GB"/>
        </w:rPr>
        <w:t>Brainae</w:t>
      </w:r>
      <w:proofErr w:type="spellEnd"/>
      <w:r w:rsidRPr="0068022A">
        <w:rPr>
          <w:rFonts w:ascii="Arial" w:hAnsi="Arial" w:cs="Arial"/>
          <w:i/>
          <w:iCs/>
          <w:color w:val="222222"/>
          <w:shd w:val="clear" w:color="auto" w:fill="FFFFFF"/>
          <w:lang w:val="en-GB"/>
        </w:rPr>
        <w:t xml:space="preserve"> Journal of Business, Sciences and Technology</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8</w:t>
      </w:r>
      <w:r w:rsidRPr="0068022A">
        <w:rPr>
          <w:rFonts w:ascii="Arial" w:hAnsi="Arial" w:cs="Arial"/>
          <w:color w:val="222222"/>
          <w:shd w:val="clear" w:color="auto" w:fill="FFFFFF"/>
          <w:lang w:val="en-GB"/>
        </w:rPr>
        <w:t xml:space="preserve">(12), pp.604-622. </w:t>
      </w:r>
      <w:hyperlink r:id="rId27" w:history="1">
        <w:r w:rsidRPr="0068022A">
          <w:rPr>
            <w:rStyle w:val="Hyperlink"/>
            <w:rFonts w:ascii="Arial" w:hAnsi="Arial" w:cs="Arial"/>
            <w:shd w:val="clear" w:color="auto" w:fill="FFFFFF"/>
            <w:lang w:val="en-GB"/>
          </w:rPr>
          <w:t>https://www.researchgate.net/profile/Kiuri-Daniel/publication/394538549_Corporate_Bankruptcy_Regulations_and_Their_Impact_on_Strategic_Financial_Restructuring_and_Continuity_Planning/links/68a3dd13ca495d76982df9e2/Corporate-Bankruptcy-Regulations-and-Their-Impact-on-Strategic-Financial-Restructuring-and-Continuity-Planning.pdf</w:t>
        </w:r>
      </w:hyperlink>
    </w:p>
    <w:p w14:paraId="079B5820"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 xml:space="preserve">Darmawan, R.D. and </w:t>
      </w:r>
      <w:proofErr w:type="spellStart"/>
      <w:r w:rsidRPr="0068022A">
        <w:rPr>
          <w:rFonts w:ascii="Arial" w:hAnsi="Arial" w:cs="Arial"/>
          <w:color w:val="222222"/>
          <w:shd w:val="clear" w:color="auto" w:fill="FFFFFF"/>
          <w:lang w:val="en-GB"/>
        </w:rPr>
        <w:t>Almalita</w:t>
      </w:r>
      <w:proofErr w:type="spellEnd"/>
      <w:r w:rsidRPr="0068022A">
        <w:rPr>
          <w:rFonts w:ascii="Arial" w:hAnsi="Arial" w:cs="Arial"/>
          <w:color w:val="222222"/>
          <w:shd w:val="clear" w:color="auto" w:fill="FFFFFF"/>
          <w:lang w:val="en-GB"/>
        </w:rPr>
        <w:t>, Y., 2025. The Role of Corporate Social Responsibility, Board Reputation, and Gender in Overcoming Financial Distress during Covid-19. In </w:t>
      </w:r>
      <w:r w:rsidRPr="0068022A">
        <w:rPr>
          <w:rFonts w:ascii="Arial" w:hAnsi="Arial" w:cs="Arial"/>
          <w:i/>
          <w:iCs/>
          <w:color w:val="222222"/>
          <w:shd w:val="clear" w:color="auto" w:fill="FFFFFF"/>
          <w:lang w:val="en-GB"/>
        </w:rPr>
        <w:t>BOOK OF ABSTRACTS INTERNATIONAL CONFERENCE ON SUSTAINABILITY, ACCOUNTING AND BUSINESS 2024</w:t>
      </w:r>
      <w:r w:rsidRPr="0068022A">
        <w:rPr>
          <w:rFonts w:ascii="Arial" w:hAnsi="Arial" w:cs="Arial"/>
          <w:color w:val="222222"/>
          <w:shd w:val="clear" w:color="auto" w:fill="FFFFFF"/>
          <w:lang w:val="en-GB"/>
        </w:rPr>
        <w:t xml:space="preserve"> (p. 6). </w:t>
      </w:r>
      <w:hyperlink r:id="rId28" w:history="1">
        <w:r w:rsidRPr="0068022A">
          <w:rPr>
            <w:rStyle w:val="Hyperlink"/>
            <w:rFonts w:ascii="Arial" w:hAnsi="Arial" w:cs="Arial"/>
            <w:shd w:val="clear" w:color="auto" w:fill="FFFFFF"/>
            <w:lang w:val="en-GB"/>
          </w:rPr>
          <w:t>https://seajbel.com/wp-content/uploads/2025/02/SEAJBEL32_209.pdf</w:t>
        </w:r>
      </w:hyperlink>
    </w:p>
    <w:p w14:paraId="6D908316" w14:textId="77777777" w:rsidR="000C0310" w:rsidRPr="0068022A" w:rsidRDefault="000C0310" w:rsidP="00A924C3">
      <w:pPr>
        <w:spacing w:after="240"/>
        <w:rPr>
          <w:rFonts w:ascii="Arial" w:hAnsi="Arial" w:cs="Arial"/>
          <w:lang w:val="en-GB"/>
        </w:rPr>
      </w:pPr>
      <w:proofErr w:type="spellStart"/>
      <w:r w:rsidRPr="0068022A">
        <w:rPr>
          <w:rFonts w:ascii="Arial" w:hAnsi="Arial" w:cs="Arial"/>
          <w:color w:val="222222"/>
          <w:shd w:val="clear" w:color="auto" w:fill="FFFFFF"/>
          <w:lang w:val="en-GB"/>
        </w:rPr>
        <w:t>Dieperink</w:t>
      </w:r>
      <w:proofErr w:type="spellEnd"/>
      <w:r w:rsidRPr="0068022A">
        <w:rPr>
          <w:rFonts w:ascii="Arial" w:hAnsi="Arial" w:cs="Arial"/>
          <w:color w:val="222222"/>
          <w:shd w:val="clear" w:color="auto" w:fill="FFFFFF"/>
          <w:lang w:val="en-GB"/>
        </w:rPr>
        <w:t xml:space="preserve">, H., Adriaanse, J. and </w:t>
      </w:r>
      <w:proofErr w:type="spellStart"/>
      <w:r w:rsidRPr="0068022A">
        <w:rPr>
          <w:rFonts w:ascii="Arial" w:hAnsi="Arial" w:cs="Arial"/>
          <w:color w:val="222222"/>
          <w:shd w:val="clear" w:color="auto" w:fill="FFFFFF"/>
          <w:lang w:val="en-GB"/>
        </w:rPr>
        <w:t>Dechesne</w:t>
      </w:r>
      <w:proofErr w:type="spellEnd"/>
      <w:r w:rsidRPr="0068022A">
        <w:rPr>
          <w:rFonts w:ascii="Arial" w:hAnsi="Arial" w:cs="Arial"/>
          <w:color w:val="222222"/>
          <w:shd w:val="clear" w:color="auto" w:fill="FFFFFF"/>
          <w:lang w:val="en-GB"/>
        </w:rPr>
        <w:t>, M., 2025. Predicting viability of small businesses on the edge of failure. </w:t>
      </w:r>
      <w:r w:rsidRPr="0068022A">
        <w:rPr>
          <w:rFonts w:ascii="Arial" w:hAnsi="Arial" w:cs="Arial"/>
          <w:i/>
          <w:iCs/>
          <w:color w:val="222222"/>
          <w:shd w:val="clear" w:color="auto" w:fill="FFFFFF"/>
          <w:lang w:val="en-GB"/>
        </w:rPr>
        <w:t>Journal of Small Business Management</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63</w:t>
      </w:r>
      <w:r w:rsidRPr="0068022A">
        <w:rPr>
          <w:rFonts w:ascii="Arial" w:hAnsi="Arial" w:cs="Arial"/>
          <w:color w:val="222222"/>
          <w:shd w:val="clear" w:color="auto" w:fill="FFFFFF"/>
          <w:lang w:val="en-GB"/>
        </w:rPr>
        <w:t xml:space="preserve">(5), pp.2422-2454. </w:t>
      </w:r>
      <w:hyperlink r:id="rId29" w:history="1">
        <w:r w:rsidRPr="0068022A">
          <w:rPr>
            <w:rStyle w:val="Hyperlink"/>
            <w:rFonts w:ascii="Arial" w:hAnsi="Arial" w:cs="Arial"/>
            <w:shd w:val="clear" w:color="auto" w:fill="FFFFFF"/>
            <w:lang w:val="en-GB"/>
          </w:rPr>
          <w:t>https://www.tandfonline.com/doi/abs/10.1080/00472778.2024.2435506</w:t>
        </w:r>
      </w:hyperlink>
    </w:p>
    <w:p w14:paraId="5C01DD6C"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Eidenmüller, H. and Mayer, J., 2025. Introducing the Corporate Restructuring Machine: An Open Platform Approach. </w:t>
      </w:r>
      <w:r w:rsidRPr="0068022A">
        <w:rPr>
          <w:rFonts w:ascii="Arial" w:hAnsi="Arial" w:cs="Arial"/>
          <w:i/>
          <w:iCs/>
          <w:color w:val="222222"/>
          <w:shd w:val="clear" w:color="auto" w:fill="FFFFFF"/>
          <w:lang w:val="en-GB"/>
        </w:rPr>
        <w:t>European Corporate Governance Institute-Law Working Paper</w:t>
      </w:r>
      <w:r w:rsidRPr="0068022A">
        <w:rPr>
          <w:rFonts w:ascii="Arial" w:hAnsi="Arial" w:cs="Arial"/>
          <w:color w:val="222222"/>
          <w:shd w:val="clear" w:color="auto" w:fill="FFFFFF"/>
          <w:lang w:val="en-GB"/>
        </w:rPr>
        <w:t xml:space="preserve">, (830). </w:t>
      </w:r>
      <w:hyperlink r:id="rId30" w:history="1">
        <w:r w:rsidRPr="0068022A">
          <w:rPr>
            <w:rStyle w:val="Hyperlink"/>
            <w:rFonts w:ascii="Arial" w:hAnsi="Arial" w:cs="Arial"/>
            <w:shd w:val="clear" w:color="auto" w:fill="FFFFFF"/>
            <w:lang w:val="en-GB"/>
          </w:rPr>
          <w:t>https://papers.ssrn.com/sol3/papers.cfm?abstract_id=5163829</w:t>
        </w:r>
      </w:hyperlink>
    </w:p>
    <w:p w14:paraId="4E9870F1"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Fan, X., 2025. Publicly Traded Debt Restructuring Methods, Corporate Investment, and Debt Contracting. </w:t>
      </w:r>
      <w:r w:rsidRPr="0068022A">
        <w:rPr>
          <w:rFonts w:ascii="Arial" w:hAnsi="Arial" w:cs="Arial"/>
          <w:i/>
          <w:iCs/>
          <w:color w:val="222222"/>
          <w:shd w:val="clear" w:color="auto" w:fill="FFFFFF"/>
          <w:lang w:val="en-GB"/>
        </w:rPr>
        <w:t>Management Science</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71</w:t>
      </w:r>
      <w:r w:rsidRPr="0068022A">
        <w:rPr>
          <w:rFonts w:ascii="Arial" w:hAnsi="Arial" w:cs="Arial"/>
          <w:color w:val="222222"/>
          <w:shd w:val="clear" w:color="auto" w:fill="FFFFFF"/>
          <w:lang w:val="en-GB"/>
        </w:rPr>
        <w:t xml:space="preserve">(2), pp.1846-1863. </w:t>
      </w:r>
      <w:hyperlink r:id="rId31" w:history="1">
        <w:r w:rsidRPr="0068022A">
          <w:rPr>
            <w:rStyle w:val="Hyperlink"/>
            <w:rFonts w:ascii="Arial" w:hAnsi="Arial" w:cs="Arial"/>
            <w:shd w:val="clear" w:color="auto" w:fill="FFFFFF"/>
            <w:lang w:val="en-GB"/>
          </w:rPr>
          <w:t>https://pubsonline.informs.org/doi/abs/10.1287/mnsc.2022.01831</w:t>
        </w:r>
      </w:hyperlink>
    </w:p>
    <w:p w14:paraId="4931BF4B"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 xml:space="preserve">Haryono, S.T., </w:t>
      </w:r>
      <w:proofErr w:type="spellStart"/>
      <w:r w:rsidRPr="0068022A">
        <w:rPr>
          <w:rFonts w:ascii="Arial" w:hAnsi="Arial" w:cs="Arial"/>
          <w:color w:val="222222"/>
          <w:shd w:val="clear" w:color="auto" w:fill="FFFFFF"/>
          <w:lang w:val="en-GB"/>
        </w:rPr>
        <w:t>Nusanto</w:t>
      </w:r>
      <w:proofErr w:type="spellEnd"/>
      <w:r w:rsidRPr="0068022A">
        <w:rPr>
          <w:rFonts w:ascii="Arial" w:hAnsi="Arial" w:cs="Arial"/>
          <w:color w:val="222222"/>
          <w:shd w:val="clear" w:color="auto" w:fill="FFFFFF"/>
          <w:lang w:val="en-GB"/>
        </w:rPr>
        <w:t xml:space="preserve">, G., Sukarno, A., </w:t>
      </w:r>
      <w:proofErr w:type="spellStart"/>
      <w:r w:rsidRPr="0068022A">
        <w:rPr>
          <w:rFonts w:ascii="Arial" w:hAnsi="Arial" w:cs="Arial"/>
          <w:color w:val="222222"/>
          <w:shd w:val="clear" w:color="auto" w:fill="FFFFFF"/>
          <w:lang w:val="en-GB"/>
        </w:rPr>
        <w:t>Fatmayuni</w:t>
      </w:r>
      <w:proofErr w:type="spellEnd"/>
      <w:r w:rsidRPr="0068022A">
        <w:rPr>
          <w:rFonts w:ascii="Arial" w:hAnsi="Arial" w:cs="Arial"/>
          <w:color w:val="222222"/>
          <w:shd w:val="clear" w:color="auto" w:fill="FFFFFF"/>
          <w:lang w:val="en-GB"/>
        </w:rPr>
        <w:t xml:space="preserve">, I.A., </w:t>
      </w:r>
      <w:proofErr w:type="spellStart"/>
      <w:r w:rsidRPr="0068022A">
        <w:rPr>
          <w:rFonts w:ascii="Arial" w:hAnsi="Arial" w:cs="Arial"/>
          <w:color w:val="222222"/>
          <w:shd w:val="clear" w:color="auto" w:fill="FFFFFF"/>
          <w:lang w:val="en-GB"/>
        </w:rPr>
        <w:t>Ambarwati</w:t>
      </w:r>
      <w:proofErr w:type="spellEnd"/>
      <w:r w:rsidRPr="0068022A">
        <w:rPr>
          <w:rFonts w:ascii="Arial" w:hAnsi="Arial" w:cs="Arial"/>
          <w:color w:val="222222"/>
          <w:shd w:val="clear" w:color="auto" w:fill="FFFFFF"/>
          <w:lang w:val="en-GB"/>
        </w:rPr>
        <w:t xml:space="preserve">, S.D.A. and </w:t>
      </w:r>
      <w:proofErr w:type="spellStart"/>
      <w:r w:rsidRPr="0068022A">
        <w:rPr>
          <w:rFonts w:ascii="Arial" w:hAnsi="Arial" w:cs="Arial"/>
          <w:color w:val="222222"/>
          <w:shd w:val="clear" w:color="auto" w:fill="FFFFFF"/>
          <w:lang w:val="en-GB"/>
        </w:rPr>
        <w:t>Salsabilla</w:t>
      </w:r>
      <w:proofErr w:type="spellEnd"/>
      <w:r w:rsidRPr="0068022A">
        <w:rPr>
          <w:rFonts w:ascii="Arial" w:hAnsi="Arial" w:cs="Arial"/>
          <w:color w:val="222222"/>
          <w:shd w:val="clear" w:color="auto" w:fill="FFFFFF"/>
          <w:lang w:val="en-GB"/>
        </w:rPr>
        <w:t>, A.N., 2025. Financial Distress Risks in Heavy Construction Firms: A Ratio-</w:t>
      </w:r>
      <w:r w:rsidRPr="0068022A">
        <w:rPr>
          <w:rFonts w:ascii="Arial" w:hAnsi="Arial" w:cs="Arial"/>
          <w:color w:val="222222"/>
          <w:shd w:val="clear" w:color="auto" w:fill="FFFFFF"/>
          <w:lang w:val="en-GB"/>
        </w:rPr>
        <w:lastRenderedPageBreak/>
        <w:t>Based Analysis. In </w:t>
      </w:r>
      <w:r w:rsidRPr="0068022A">
        <w:rPr>
          <w:rFonts w:ascii="Arial" w:hAnsi="Arial" w:cs="Arial"/>
          <w:i/>
          <w:iCs/>
          <w:color w:val="222222"/>
          <w:shd w:val="clear" w:color="auto" w:fill="FFFFFF"/>
          <w:lang w:val="en-GB"/>
        </w:rPr>
        <w:t>SHS Web of Conferences</w:t>
      </w:r>
      <w:r w:rsidRPr="0068022A">
        <w:rPr>
          <w:rFonts w:ascii="Arial" w:hAnsi="Arial" w:cs="Arial"/>
          <w:color w:val="222222"/>
          <w:shd w:val="clear" w:color="auto" w:fill="FFFFFF"/>
          <w:lang w:val="en-GB"/>
        </w:rPr>
        <w:t xml:space="preserve"> (Vol. 212, p. 01001). EDP Sciences. </w:t>
      </w:r>
      <w:hyperlink r:id="rId32" w:history="1">
        <w:r w:rsidRPr="0068022A">
          <w:rPr>
            <w:rStyle w:val="Hyperlink"/>
            <w:rFonts w:ascii="Arial" w:hAnsi="Arial" w:cs="Arial"/>
            <w:shd w:val="clear" w:color="auto" w:fill="FFFFFF"/>
            <w:lang w:val="en-GB"/>
          </w:rPr>
          <w:t>https://www.shs-conferences.org/articles/shsconf/abs/2025/03/shsconf_icarsess2024_01001/shsconf_icarsess2024_01001.html</w:t>
        </w:r>
      </w:hyperlink>
    </w:p>
    <w:p w14:paraId="14846FBF"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Jabeen, M., 2025. Impact of Corporate Life Cycle Stages on Managerial Restructuring: The Moderating Effect of Financial Distress. </w:t>
      </w:r>
      <w:r w:rsidRPr="0068022A">
        <w:rPr>
          <w:rFonts w:ascii="Arial" w:hAnsi="Arial" w:cs="Arial"/>
          <w:i/>
          <w:iCs/>
          <w:color w:val="222222"/>
          <w:shd w:val="clear" w:color="auto" w:fill="FFFFFF"/>
          <w:lang w:val="en-GB"/>
        </w:rPr>
        <w:t>Social Science Review Archives</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3</w:t>
      </w:r>
      <w:r w:rsidRPr="0068022A">
        <w:rPr>
          <w:rFonts w:ascii="Arial" w:hAnsi="Arial" w:cs="Arial"/>
          <w:color w:val="222222"/>
          <w:shd w:val="clear" w:color="auto" w:fill="FFFFFF"/>
          <w:lang w:val="en-GB"/>
        </w:rPr>
        <w:t xml:space="preserve">(3), pp.103-118. </w:t>
      </w:r>
      <w:hyperlink r:id="rId33" w:history="1">
        <w:r w:rsidRPr="0068022A">
          <w:rPr>
            <w:rStyle w:val="Hyperlink"/>
            <w:rFonts w:ascii="Arial" w:hAnsi="Arial" w:cs="Arial"/>
            <w:shd w:val="clear" w:color="auto" w:fill="FFFFFF"/>
            <w:lang w:val="en-GB"/>
          </w:rPr>
          <w:t>https://policyjournalofms.com/index.php/6/article/view/844</w:t>
        </w:r>
      </w:hyperlink>
    </w:p>
    <w:p w14:paraId="37BFC183" w14:textId="77777777" w:rsidR="000C0310" w:rsidRPr="0068022A" w:rsidRDefault="000C0310" w:rsidP="00A924C3">
      <w:pPr>
        <w:spacing w:after="240"/>
        <w:rPr>
          <w:rFonts w:ascii="Arial" w:hAnsi="Arial" w:cs="Arial"/>
          <w:lang w:val="en-GB"/>
        </w:rPr>
      </w:pPr>
      <w:proofErr w:type="spellStart"/>
      <w:r w:rsidRPr="0068022A">
        <w:rPr>
          <w:rFonts w:ascii="Arial" w:hAnsi="Arial" w:cs="Arial"/>
          <w:color w:val="222222"/>
          <w:shd w:val="clear" w:color="auto" w:fill="FFFFFF"/>
          <w:lang w:val="en-GB"/>
        </w:rPr>
        <w:t>Kokini</w:t>
      </w:r>
      <w:proofErr w:type="spellEnd"/>
      <w:r w:rsidRPr="0068022A">
        <w:rPr>
          <w:rFonts w:ascii="Arial" w:hAnsi="Arial" w:cs="Arial"/>
          <w:color w:val="222222"/>
          <w:shd w:val="clear" w:color="auto" w:fill="FFFFFF"/>
          <w:lang w:val="en-GB"/>
        </w:rPr>
        <w:t>, D. and Yozzo, J., 2025. Ascent of Private Capital Hampers Monitoring of Corporate Distress. </w:t>
      </w:r>
      <w:r w:rsidRPr="0068022A">
        <w:rPr>
          <w:rFonts w:ascii="Arial" w:hAnsi="Arial" w:cs="Arial"/>
          <w:i/>
          <w:iCs/>
          <w:color w:val="222222"/>
          <w:shd w:val="clear" w:color="auto" w:fill="FFFFFF"/>
          <w:lang w:val="en-GB"/>
        </w:rPr>
        <w:t>American Bankruptcy Institute Journal</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44</w:t>
      </w:r>
      <w:r w:rsidRPr="0068022A">
        <w:rPr>
          <w:rFonts w:ascii="Arial" w:hAnsi="Arial" w:cs="Arial"/>
          <w:color w:val="222222"/>
          <w:shd w:val="clear" w:color="auto" w:fill="FFFFFF"/>
          <w:lang w:val="en-GB"/>
        </w:rPr>
        <w:t xml:space="preserve">(6), pp.30-76. </w:t>
      </w:r>
      <w:hyperlink r:id="rId34" w:history="1">
        <w:r w:rsidRPr="0068022A">
          <w:rPr>
            <w:rStyle w:val="Hyperlink"/>
            <w:rFonts w:ascii="Arial" w:hAnsi="Arial" w:cs="Arial"/>
            <w:shd w:val="clear" w:color="auto" w:fill="FFFFFF"/>
            <w:lang w:val="en-GB"/>
          </w:rPr>
          <w:t>https://search.proquest.com/openview/014567bbdc08579d33dde4b6dcaa8c5e/1?pq-origsite=gscholar&amp;cbl=33486</w:t>
        </w:r>
      </w:hyperlink>
    </w:p>
    <w:p w14:paraId="526F913C"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Maiyo, R., Cheboi, J. and Limo, P., 2025. Accounting Conservatism as a Protective Mechanism: Exploring Its Impact on the Relationship Between Financial Decisions and Likelihood of Financial Distress among Listed Firms in Kenya. </w:t>
      </w:r>
      <w:r w:rsidRPr="0068022A">
        <w:rPr>
          <w:rFonts w:ascii="Arial" w:hAnsi="Arial" w:cs="Arial"/>
          <w:i/>
          <w:iCs/>
          <w:color w:val="222222"/>
          <w:shd w:val="clear" w:color="auto" w:fill="FFFFFF"/>
          <w:lang w:val="en-GB"/>
        </w:rPr>
        <w:t>SEISENSE Journal of Management</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8</w:t>
      </w:r>
      <w:r w:rsidRPr="0068022A">
        <w:rPr>
          <w:rFonts w:ascii="Arial" w:hAnsi="Arial" w:cs="Arial"/>
          <w:color w:val="222222"/>
          <w:shd w:val="clear" w:color="auto" w:fill="FFFFFF"/>
          <w:lang w:val="en-GB"/>
        </w:rPr>
        <w:t xml:space="preserve">(1), pp.36-58. </w:t>
      </w:r>
      <w:hyperlink r:id="rId35" w:history="1">
        <w:r w:rsidRPr="0068022A">
          <w:rPr>
            <w:rStyle w:val="Hyperlink"/>
            <w:rFonts w:ascii="Arial" w:hAnsi="Arial" w:cs="Arial"/>
            <w:shd w:val="clear" w:color="auto" w:fill="FFFFFF"/>
            <w:lang w:val="en-GB"/>
          </w:rPr>
          <w:t>https://www.journal.seisense.com/jom/article/view/1156</w:t>
        </w:r>
      </w:hyperlink>
    </w:p>
    <w:p w14:paraId="1D23920D"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 xml:space="preserve">Makuvaza, L., </w:t>
      </w:r>
      <w:proofErr w:type="spellStart"/>
      <w:r w:rsidRPr="0068022A">
        <w:rPr>
          <w:rFonts w:ascii="Arial" w:hAnsi="Arial" w:cs="Arial"/>
          <w:color w:val="222222"/>
          <w:shd w:val="clear" w:color="auto" w:fill="FFFFFF"/>
          <w:lang w:val="en-GB"/>
        </w:rPr>
        <w:t>Guvuriro</w:t>
      </w:r>
      <w:proofErr w:type="spellEnd"/>
      <w:r w:rsidRPr="0068022A">
        <w:rPr>
          <w:rFonts w:ascii="Arial" w:hAnsi="Arial" w:cs="Arial"/>
          <w:color w:val="222222"/>
          <w:shd w:val="clear" w:color="auto" w:fill="FFFFFF"/>
          <w:lang w:val="en-GB"/>
        </w:rPr>
        <w:t xml:space="preserve">, S., Chamboko, R. and Coetzee, J., 2025. Modelling the recovery of distressed firms on the Johannesburg Stock Exchange: </w:t>
      </w:r>
      <w:proofErr w:type="gramStart"/>
      <w:r w:rsidRPr="0068022A">
        <w:rPr>
          <w:rFonts w:ascii="Arial" w:hAnsi="Arial" w:cs="Arial"/>
          <w:color w:val="222222"/>
          <w:shd w:val="clear" w:color="auto" w:fill="FFFFFF"/>
          <w:lang w:val="en-GB"/>
        </w:rPr>
        <w:t>a</w:t>
      </w:r>
      <w:proofErr w:type="gramEnd"/>
      <w:r w:rsidRPr="0068022A">
        <w:rPr>
          <w:rFonts w:ascii="Arial" w:hAnsi="Arial" w:cs="Arial"/>
          <w:color w:val="222222"/>
          <w:shd w:val="clear" w:color="auto" w:fill="FFFFFF"/>
          <w:lang w:val="en-GB"/>
        </w:rPr>
        <w:t xml:space="preserve"> Cox proportional hazard model approach. </w:t>
      </w:r>
      <w:r w:rsidRPr="0068022A">
        <w:rPr>
          <w:rFonts w:ascii="Arial" w:hAnsi="Arial" w:cs="Arial"/>
          <w:i/>
          <w:iCs/>
          <w:color w:val="222222"/>
          <w:shd w:val="clear" w:color="auto" w:fill="FFFFFF"/>
          <w:lang w:val="en-GB"/>
        </w:rPr>
        <w:t>Cogent Economics &amp; Finance</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13</w:t>
      </w:r>
      <w:r w:rsidRPr="0068022A">
        <w:rPr>
          <w:rFonts w:ascii="Arial" w:hAnsi="Arial" w:cs="Arial"/>
          <w:color w:val="222222"/>
          <w:shd w:val="clear" w:color="auto" w:fill="FFFFFF"/>
          <w:lang w:val="en-GB"/>
        </w:rPr>
        <w:t xml:space="preserve">(1), p.2521466. </w:t>
      </w:r>
      <w:hyperlink r:id="rId36" w:history="1">
        <w:r w:rsidRPr="0068022A">
          <w:rPr>
            <w:rStyle w:val="Hyperlink"/>
            <w:rFonts w:ascii="Arial" w:hAnsi="Arial" w:cs="Arial"/>
            <w:shd w:val="clear" w:color="auto" w:fill="FFFFFF"/>
            <w:lang w:val="en-GB"/>
          </w:rPr>
          <w:t>https://www.tandfonline.com/doi/abs/10.1080/23322039.2025.2521466</w:t>
        </w:r>
      </w:hyperlink>
    </w:p>
    <w:p w14:paraId="78A6BBBC"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 xml:space="preserve">Maliszewska, M., </w:t>
      </w:r>
      <w:proofErr w:type="spellStart"/>
      <w:r w:rsidRPr="0068022A">
        <w:rPr>
          <w:rFonts w:ascii="Arial" w:hAnsi="Arial" w:cs="Arial"/>
          <w:color w:val="222222"/>
          <w:shd w:val="clear" w:color="auto" w:fill="FFFFFF"/>
          <w:lang w:val="en-GB"/>
        </w:rPr>
        <w:t>Karlikowska</w:t>
      </w:r>
      <w:proofErr w:type="spellEnd"/>
      <w:r w:rsidRPr="0068022A">
        <w:rPr>
          <w:rFonts w:ascii="Arial" w:hAnsi="Arial" w:cs="Arial"/>
          <w:color w:val="222222"/>
          <w:shd w:val="clear" w:color="auto" w:fill="FFFFFF"/>
          <w:lang w:val="en-GB"/>
        </w:rPr>
        <w:t xml:space="preserve">, B. and </w:t>
      </w:r>
      <w:proofErr w:type="spellStart"/>
      <w:r w:rsidRPr="0068022A">
        <w:rPr>
          <w:rFonts w:ascii="Arial" w:hAnsi="Arial" w:cs="Arial"/>
          <w:color w:val="222222"/>
          <w:shd w:val="clear" w:color="auto" w:fill="FFFFFF"/>
          <w:lang w:val="en-GB"/>
        </w:rPr>
        <w:t>Prachowski</w:t>
      </w:r>
      <w:proofErr w:type="spellEnd"/>
      <w:r w:rsidRPr="0068022A">
        <w:rPr>
          <w:rFonts w:ascii="Arial" w:hAnsi="Arial" w:cs="Arial"/>
          <w:color w:val="222222"/>
          <w:shd w:val="clear" w:color="auto" w:fill="FFFFFF"/>
          <w:lang w:val="en-GB"/>
        </w:rPr>
        <w:t xml:space="preserve">, J., 2025. Analysis of corporate insolvency trends in Poland between 2021 and 2024. </w:t>
      </w:r>
      <w:hyperlink r:id="rId37" w:history="1">
        <w:r w:rsidRPr="0068022A">
          <w:rPr>
            <w:rStyle w:val="Hyperlink"/>
            <w:rFonts w:ascii="Arial" w:hAnsi="Arial" w:cs="Arial"/>
            <w:shd w:val="clear" w:color="auto" w:fill="FFFFFF"/>
            <w:lang w:val="en-GB"/>
          </w:rPr>
          <w:t>https://www.um.edu.mt/library/oar/handle/123456789/135103</w:t>
        </w:r>
      </w:hyperlink>
    </w:p>
    <w:p w14:paraId="2F7D1249" w14:textId="77777777" w:rsidR="000C0310" w:rsidRPr="0068022A" w:rsidRDefault="000C0310" w:rsidP="00A924C3">
      <w:pPr>
        <w:spacing w:after="240"/>
        <w:rPr>
          <w:rFonts w:ascii="Arial" w:hAnsi="Arial" w:cs="Arial"/>
          <w:lang w:val="en-GB"/>
        </w:rPr>
      </w:pPr>
      <w:proofErr w:type="spellStart"/>
      <w:r w:rsidRPr="0068022A">
        <w:rPr>
          <w:rFonts w:ascii="Arial" w:hAnsi="Arial" w:cs="Arial"/>
          <w:color w:val="222222"/>
          <w:shd w:val="clear" w:color="auto" w:fill="FFFFFF"/>
          <w:lang w:val="en-GB"/>
        </w:rPr>
        <w:t>Michalkova</w:t>
      </w:r>
      <w:proofErr w:type="spellEnd"/>
      <w:r w:rsidRPr="0068022A">
        <w:rPr>
          <w:rFonts w:ascii="Arial" w:hAnsi="Arial" w:cs="Arial"/>
          <w:color w:val="222222"/>
          <w:shd w:val="clear" w:color="auto" w:fill="FFFFFF"/>
          <w:lang w:val="en-GB"/>
        </w:rPr>
        <w:t xml:space="preserve">, L. and </w:t>
      </w:r>
      <w:proofErr w:type="spellStart"/>
      <w:r w:rsidRPr="0068022A">
        <w:rPr>
          <w:rFonts w:ascii="Arial" w:hAnsi="Arial" w:cs="Arial"/>
          <w:color w:val="222222"/>
          <w:shd w:val="clear" w:color="auto" w:fill="FFFFFF"/>
          <w:lang w:val="en-GB"/>
        </w:rPr>
        <w:t>Ponisciakova</w:t>
      </w:r>
      <w:proofErr w:type="spellEnd"/>
      <w:r w:rsidRPr="0068022A">
        <w:rPr>
          <w:rFonts w:ascii="Arial" w:hAnsi="Arial" w:cs="Arial"/>
          <w:color w:val="222222"/>
          <w:shd w:val="clear" w:color="auto" w:fill="FFFFFF"/>
          <w:lang w:val="en-GB"/>
        </w:rPr>
        <w:t>, O., 2025. Bankruptcy Prediction, Financial Distress and Corporate Life Cycle: Case Study of Central European Enterprises. </w:t>
      </w:r>
      <w:r w:rsidRPr="0068022A">
        <w:rPr>
          <w:rFonts w:ascii="Arial" w:hAnsi="Arial" w:cs="Arial"/>
          <w:i/>
          <w:iCs/>
          <w:color w:val="222222"/>
          <w:shd w:val="clear" w:color="auto" w:fill="FFFFFF"/>
          <w:lang w:val="en-GB"/>
        </w:rPr>
        <w:t>Administrative Sciences</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15</w:t>
      </w:r>
      <w:r w:rsidRPr="0068022A">
        <w:rPr>
          <w:rFonts w:ascii="Arial" w:hAnsi="Arial" w:cs="Arial"/>
          <w:color w:val="222222"/>
          <w:shd w:val="clear" w:color="auto" w:fill="FFFFFF"/>
          <w:lang w:val="en-GB"/>
        </w:rPr>
        <w:t xml:space="preserve">(2), p.63. </w:t>
      </w:r>
      <w:hyperlink r:id="rId38" w:history="1">
        <w:r w:rsidRPr="0068022A">
          <w:rPr>
            <w:rStyle w:val="Hyperlink"/>
            <w:rFonts w:ascii="Arial" w:hAnsi="Arial" w:cs="Arial"/>
            <w:shd w:val="clear" w:color="auto" w:fill="FFFFFF"/>
            <w:lang w:val="en-GB"/>
          </w:rPr>
          <w:t>https://www.mdpi.com/2076-3387/15/2/63</w:t>
        </w:r>
      </w:hyperlink>
    </w:p>
    <w:p w14:paraId="6C333F14"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Mittal, R. and Singh, N.P., 2025. Bankruptcy Prediction of Software Companies Using Altman Z-Score. </w:t>
      </w:r>
      <w:r w:rsidRPr="0068022A">
        <w:rPr>
          <w:rFonts w:ascii="Arial" w:hAnsi="Arial" w:cs="Arial"/>
          <w:i/>
          <w:iCs/>
          <w:color w:val="222222"/>
          <w:shd w:val="clear" w:color="auto" w:fill="FFFFFF"/>
          <w:lang w:val="en-GB"/>
        </w:rPr>
        <w:t>Journal of Social Commerce</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5</w:t>
      </w:r>
      <w:r w:rsidRPr="0068022A">
        <w:rPr>
          <w:rFonts w:ascii="Arial" w:hAnsi="Arial" w:cs="Arial"/>
          <w:color w:val="222222"/>
          <w:shd w:val="clear" w:color="auto" w:fill="FFFFFF"/>
          <w:lang w:val="en-GB"/>
        </w:rPr>
        <w:t xml:space="preserve">(1), pp.32-47. </w:t>
      </w:r>
      <w:hyperlink r:id="rId39" w:history="1">
        <w:r w:rsidRPr="0068022A">
          <w:rPr>
            <w:rStyle w:val="Hyperlink"/>
            <w:rFonts w:ascii="Arial" w:hAnsi="Arial" w:cs="Arial"/>
            <w:shd w:val="clear" w:color="auto" w:fill="FFFFFF"/>
            <w:lang w:val="en-GB"/>
          </w:rPr>
          <w:t>https://celebesscholarpg.com/index.php/jommerce/article/view/118</w:t>
        </w:r>
      </w:hyperlink>
    </w:p>
    <w:p w14:paraId="0507C3D4"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lastRenderedPageBreak/>
        <w:t xml:space="preserve">Moore, N., 2025. Navigating Distress: Liability Management Exercises as Tools for Corporate Resilience, Stakeholder Recovery, and Long-Term Outcomes. </w:t>
      </w:r>
      <w:hyperlink r:id="rId40" w:history="1">
        <w:r w:rsidRPr="0068022A">
          <w:rPr>
            <w:rStyle w:val="Hyperlink"/>
            <w:rFonts w:ascii="Arial" w:hAnsi="Arial" w:cs="Arial"/>
            <w:shd w:val="clear" w:color="auto" w:fill="FFFFFF"/>
            <w:lang w:val="en-GB"/>
          </w:rPr>
          <w:t>https://repository.tcu.edu/items/4df2b5c9-79c0-4bf2-adeb-3e3c3e976dec</w:t>
        </w:r>
      </w:hyperlink>
    </w:p>
    <w:p w14:paraId="15F03C50" w14:textId="77777777" w:rsidR="000C0310" w:rsidRPr="0068022A" w:rsidRDefault="000C0310" w:rsidP="00A924C3">
      <w:pPr>
        <w:spacing w:after="240"/>
        <w:rPr>
          <w:rFonts w:ascii="Arial" w:hAnsi="Arial" w:cs="Arial"/>
          <w:lang w:val="en-GB"/>
        </w:rPr>
      </w:pPr>
      <w:proofErr w:type="spellStart"/>
      <w:r w:rsidRPr="0068022A">
        <w:rPr>
          <w:rFonts w:ascii="Arial" w:hAnsi="Arial" w:cs="Arial"/>
          <w:color w:val="222222"/>
          <w:shd w:val="clear" w:color="auto" w:fill="FFFFFF"/>
          <w:lang w:val="en-GB"/>
        </w:rPr>
        <w:t>Mpora</w:t>
      </w:r>
      <w:proofErr w:type="spellEnd"/>
      <w:r w:rsidRPr="0068022A">
        <w:rPr>
          <w:rFonts w:ascii="Arial" w:hAnsi="Arial" w:cs="Arial"/>
          <w:color w:val="222222"/>
          <w:shd w:val="clear" w:color="auto" w:fill="FFFFFF"/>
          <w:lang w:val="en-GB"/>
        </w:rPr>
        <w:t xml:space="preserve">, E.B., </w:t>
      </w:r>
      <w:proofErr w:type="spellStart"/>
      <w:r w:rsidRPr="0068022A">
        <w:rPr>
          <w:rFonts w:ascii="Arial" w:hAnsi="Arial" w:cs="Arial"/>
          <w:color w:val="222222"/>
          <w:shd w:val="clear" w:color="auto" w:fill="FFFFFF"/>
          <w:lang w:val="en-GB"/>
        </w:rPr>
        <w:t>Katabaazi-Bwengye</w:t>
      </w:r>
      <w:proofErr w:type="spellEnd"/>
      <w:r w:rsidRPr="0068022A">
        <w:rPr>
          <w:rFonts w:ascii="Arial" w:hAnsi="Arial" w:cs="Arial"/>
          <w:color w:val="222222"/>
          <w:shd w:val="clear" w:color="auto" w:fill="FFFFFF"/>
          <w:lang w:val="en-GB"/>
        </w:rPr>
        <w:t xml:space="preserve">, A., </w:t>
      </w:r>
      <w:proofErr w:type="spellStart"/>
      <w:r w:rsidRPr="0068022A">
        <w:rPr>
          <w:rFonts w:ascii="Arial" w:hAnsi="Arial" w:cs="Arial"/>
          <w:color w:val="222222"/>
          <w:shd w:val="clear" w:color="auto" w:fill="FFFFFF"/>
          <w:lang w:val="en-GB"/>
        </w:rPr>
        <w:t>Atukunda</w:t>
      </w:r>
      <w:proofErr w:type="spellEnd"/>
      <w:r w:rsidRPr="0068022A">
        <w:rPr>
          <w:rFonts w:ascii="Arial" w:hAnsi="Arial" w:cs="Arial"/>
          <w:color w:val="222222"/>
          <w:shd w:val="clear" w:color="auto" w:fill="FFFFFF"/>
          <w:lang w:val="en-GB"/>
        </w:rPr>
        <w:t>, E. and Dan, N.R., 2025. </w:t>
      </w:r>
      <w:r w:rsidRPr="0068022A">
        <w:rPr>
          <w:rFonts w:ascii="Arial" w:hAnsi="Arial" w:cs="Arial"/>
          <w:i/>
          <w:iCs/>
          <w:color w:val="222222"/>
          <w:shd w:val="clear" w:color="auto" w:fill="FFFFFF"/>
          <w:lang w:val="en-GB"/>
        </w:rPr>
        <w:t xml:space="preserve">The effects of financial distress on financial performance: An empirical analysis of SMEs in Sheema, </w:t>
      </w:r>
      <w:proofErr w:type="spellStart"/>
      <w:r w:rsidRPr="0068022A">
        <w:rPr>
          <w:rFonts w:ascii="Arial" w:hAnsi="Arial" w:cs="Arial"/>
          <w:i/>
          <w:iCs/>
          <w:color w:val="222222"/>
          <w:shd w:val="clear" w:color="auto" w:fill="FFFFFF"/>
          <w:lang w:val="en-GB"/>
        </w:rPr>
        <w:t>Buhweju</w:t>
      </w:r>
      <w:proofErr w:type="spellEnd"/>
      <w:r w:rsidRPr="0068022A">
        <w:rPr>
          <w:rFonts w:ascii="Arial" w:hAnsi="Arial" w:cs="Arial"/>
          <w:i/>
          <w:iCs/>
          <w:color w:val="222222"/>
          <w:shd w:val="clear" w:color="auto" w:fill="FFFFFF"/>
          <w:lang w:val="en-GB"/>
        </w:rPr>
        <w:t>, Rubirizi, and Bushenyi districts</w:t>
      </w:r>
      <w:r w:rsidRPr="0068022A">
        <w:rPr>
          <w:rFonts w:ascii="Arial" w:hAnsi="Arial" w:cs="Arial"/>
          <w:color w:val="222222"/>
          <w:shd w:val="clear" w:color="auto" w:fill="FFFFFF"/>
          <w:lang w:val="en-GB"/>
        </w:rPr>
        <w:t xml:space="preserve"> [online] </w:t>
      </w:r>
      <w:hyperlink r:id="rId41" w:history="1">
        <w:r w:rsidRPr="0068022A">
          <w:rPr>
            <w:rStyle w:val="Hyperlink"/>
            <w:rFonts w:ascii="Arial" w:hAnsi="Arial" w:cs="Arial"/>
            <w:shd w:val="clear" w:color="auto" w:fill="FFFFFF"/>
            <w:lang w:val="en-GB"/>
          </w:rPr>
          <w:t>https://academicjournals.org/journal/AJBM/article-full-text-pdf/E0D6A9772978</w:t>
        </w:r>
      </w:hyperlink>
    </w:p>
    <w:p w14:paraId="3C46878E" w14:textId="77777777" w:rsidR="000C0310" w:rsidRPr="0068022A" w:rsidRDefault="000C0310" w:rsidP="00A924C3">
      <w:pPr>
        <w:spacing w:after="240"/>
        <w:rPr>
          <w:rFonts w:ascii="Arial" w:hAnsi="Arial" w:cs="Arial"/>
          <w:lang w:val="en-GB"/>
        </w:rPr>
      </w:pPr>
      <w:proofErr w:type="spellStart"/>
      <w:r w:rsidRPr="0068022A">
        <w:rPr>
          <w:rFonts w:ascii="Arial" w:hAnsi="Arial" w:cs="Arial"/>
          <w:color w:val="222222"/>
          <w:shd w:val="clear" w:color="auto" w:fill="FFFFFF"/>
          <w:lang w:val="en-GB"/>
        </w:rPr>
        <w:t>Nurcahyono</w:t>
      </w:r>
      <w:proofErr w:type="spellEnd"/>
      <w:r w:rsidRPr="0068022A">
        <w:rPr>
          <w:rFonts w:ascii="Arial" w:hAnsi="Arial" w:cs="Arial"/>
          <w:color w:val="222222"/>
          <w:shd w:val="clear" w:color="auto" w:fill="FFFFFF"/>
          <w:lang w:val="en-GB"/>
        </w:rPr>
        <w:t xml:space="preserve">, N., </w:t>
      </w:r>
      <w:proofErr w:type="spellStart"/>
      <w:r w:rsidRPr="0068022A">
        <w:rPr>
          <w:rFonts w:ascii="Arial" w:hAnsi="Arial" w:cs="Arial"/>
          <w:color w:val="222222"/>
          <w:shd w:val="clear" w:color="auto" w:fill="FFFFFF"/>
          <w:lang w:val="en-GB"/>
        </w:rPr>
        <w:t>Sinarasri</w:t>
      </w:r>
      <w:proofErr w:type="spellEnd"/>
      <w:r w:rsidRPr="0068022A">
        <w:rPr>
          <w:rFonts w:ascii="Arial" w:hAnsi="Arial" w:cs="Arial"/>
          <w:color w:val="222222"/>
          <w:shd w:val="clear" w:color="auto" w:fill="FFFFFF"/>
          <w:lang w:val="en-GB"/>
        </w:rPr>
        <w:t xml:space="preserve">, A., </w:t>
      </w:r>
      <w:proofErr w:type="spellStart"/>
      <w:r w:rsidRPr="0068022A">
        <w:rPr>
          <w:rFonts w:ascii="Arial" w:hAnsi="Arial" w:cs="Arial"/>
          <w:color w:val="222222"/>
          <w:shd w:val="clear" w:color="auto" w:fill="FFFFFF"/>
          <w:lang w:val="en-GB"/>
        </w:rPr>
        <w:t>Pamungkas</w:t>
      </w:r>
      <w:proofErr w:type="spellEnd"/>
      <w:r w:rsidRPr="0068022A">
        <w:rPr>
          <w:rFonts w:ascii="Arial" w:hAnsi="Arial" w:cs="Arial"/>
          <w:color w:val="222222"/>
          <w:shd w:val="clear" w:color="auto" w:fill="FFFFFF"/>
          <w:lang w:val="en-GB"/>
        </w:rPr>
        <w:t xml:space="preserve">, I.D. and Hanum, A.N., 2025. May intellectual capital and corporate governance reduce the probability of financial </w:t>
      </w:r>
      <w:proofErr w:type="gramStart"/>
      <w:r w:rsidRPr="0068022A">
        <w:rPr>
          <w:rFonts w:ascii="Arial" w:hAnsi="Arial" w:cs="Arial"/>
          <w:color w:val="222222"/>
          <w:shd w:val="clear" w:color="auto" w:fill="FFFFFF"/>
          <w:lang w:val="en-GB"/>
        </w:rPr>
        <w:t>distress?.</w:t>
      </w:r>
      <w:proofErr w:type="gramEnd"/>
      <w:r w:rsidRPr="0068022A">
        <w:rPr>
          <w:rFonts w:ascii="Arial" w:hAnsi="Arial" w:cs="Arial"/>
          <w:color w:val="222222"/>
          <w:shd w:val="clear" w:color="auto" w:fill="FFFFFF"/>
          <w:lang w:val="en-GB"/>
        </w:rPr>
        <w:t> </w:t>
      </w:r>
      <w:proofErr w:type="spellStart"/>
      <w:r w:rsidRPr="0068022A">
        <w:rPr>
          <w:rFonts w:ascii="Arial" w:hAnsi="Arial" w:cs="Arial"/>
          <w:i/>
          <w:iCs/>
          <w:color w:val="222222"/>
          <w:shd w:val="clear" w:color="auto" w:fill="FFFFFF"/>
          <w:lang w:val="en-GB"/>
        </w:rPr>
        <w:t>Contaduria</w:t>
      </w:r>
      <w:proofErr w:type="spellEnd"/>
      <w:r w:rsidRPr="0068022A">
        <w:rPr>
          <w:rFonts w:ascii="Arial" w:hAnsi="Arial" w:cs="Arial"/>
          <w:i/>
          <w:iCs/>
          <w:color w:val="222222"/>
          <w:shd w:val="clear" w:color="auto" w:fill="FFFFFF"/>
          <w:lang w:val="en-GB"/>
        </w:rPr>
        <w:t xml:space="preserve"> y </w:t>
      </w:r>
      <w:proofErr w:type="spellStart"/>
      <w:r w:rsidRPr="0068022A">
        <w:rPr>
          <w:rFonts w:ascii="Arial" w:hAnsi="Arial" w:cs="Arial"/>
          <w:i/>
          <w:iCs/>
          <w:color w:val="222222"/>
          <w:shd w:val="clear" w:color="auto" w:fill="FFFFFF"/>
          <w:lang w:val="en-GB"/>
        </w:rPr>
        <w:t>Administracion</w:t>
      </w:r>
      <w:proofErr w:type="spellEnd"/>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70</w:t>
      </w:r>
      <w:r w:rsidRPr="0068022A">
        <w:rPr>
          <w:rFonts w:ascii="Arial" w:hAnsi="Arial" w:cs="Arial"/>
          <w:color w:val="222222"/>
          <w:shd w:val="clear" w:color="auto" w:fill="FFFFFF"/>
          <w:lang w:val="en-GB"/>
        </w:rPr>
        <w:t xml:space="preserve">(1), pp.1-25. </w:t>
      </w:r>
      <w:hyperlink r:id="rId42" w:history="1">
        <w:r w:rsidRPr="0068022A">
          <w:rPr>
            <w:rStyle w:val="Hyperlink"/>
            <w:rFonts w:ascii="Arial" w:hAnsi="Arial" w:cs="Arial"/>
            <w:shd w:val="clear" w:color="auto" w:fill="FFFFFF"/>
            <w:lang w:val="en-GB"/>
          </w:rPr>
          <w:t>https://dialnet.unirioja.es/servlet/articulo?codigo=10140898</w:t>
        </w:r>
      </w:hyperlink>
    </w:p>
    <w:p w14:paraId="78CB18CA"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 xml:space="preserve">Oyaro, J., </w:t>
      </w:r>
      <w:proofErr w:type="spellStart"/>
      <w:r w:rsidRPr="0068022A">
        <w:rPr>
          <w:rFonts w:ascii="Arial" w:hAnsi="Arial" w:cs="Arial"/>
          <w:color w:val="222222"/>
          <w:shd w:val="clear" w:color="auto" w:fill="FFFFFF"/>
          <w:lang w:val="en-GB"/>
        </w:rPr>
        <w:t>Memba</w:t>
      </w:r>
      <w:proofErr w:type="spellEnd"/>
      <w:r w:rsidRPr="0068022A">
        <w:rPr>
          <w:rFonts w:ascii="Arial" w:hAnsi="Arial" w:cs="Arial"/>
          <w:color w:val="222222"/>
          <w:shd w:val="clear" w:color="auto" w:fill="FFFFFF"/>
          <w:lang w:val="en-GB"/>
        </w:rPr>
        <w:t xml:space="preserve">, F., Oluoch, O. and </w:t>
      </w:r>
      <w:proofErr w:type="spellStart"/>
      <w:r w:rsidRPr="0068022A">
        <w:rPr>
          <w:rFonts w:ascii="Arial" w:hAnsi="Arial" w:cs="Arial"/>
          <w:color w:val="222222"/>
          <w:shd w:val="clear" w:color="auto" w:fill="FFFFFF"/>
          <w:lang w:val="en-GB"/>
        </w:rPr>
        <w:t>Ondabu</w:t>
      </w:r>
      <w:proofErr w:type="spellEnd"/>
      <w:r w:rsidRPr="0068022A">
        <w:rPr>
          <w:rFonts w:ascii="Arial" w:hAnsi="Arial" w:cs="Arial"/>
          <w:color w:val="222222"/>
          <w:shd w:val="clear" w:color="auto" w:fill="FFFFFF"/>
          <w:lang w:val="en-GB"/>
        </w:rPr>
        <w:t>, I.T., 2025. Board structure and the financial distress: Insights from non-financial firms listed at Nairobi Securities Exchange. </w:t>
      </w:r>
      <w:r w:rsidRPr="0068022A">
        <w:rPr>
          <w:rFonts w:ascii="Arial" w:hAnsi="Arial" w:cs="Arial"/>
          <w:i/>
          <w:iCs/>
          <w:color w:val="222222"/>
          <w:shd w:val="clear" w:color="auto" w:fill="FFFFFF"/>
          <w:lang w:val="en-GB"/>
        </w:rPr>
        <w:t>International Academic Journal of Economics and Finance (IAJEF)| ISSN 2518-2366</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5</w:t>
      </w:r>
      <w:r w:rsidRPr="0068022A">
        <w:rPr>
          <w:rFonts w:ascii="Arial" w:hAnsi="Arial" w:cs="Arial"/>
          <w:color w:val="222222"/>
          <w:shd w:val="clear" w:color="auto" w:fill="FFFFFF"/>
          <w:lang w:val="en-GB"/>
        </w:rPr>
        <w:t>(1), pp.59-72.</w:t>
      </w:r>
      <w:r w:rsidRPr="0068022A">
        <w:rPr>
          <w:rFonts w:ascii="Arial" w:hAnsi="Arial" w:cs="Arial"/>
          <w:lang w:val="en-GB"/>
        </w:rPr>
        <w:t xml:space="preserve"> </w:t>
      </w:r>
      <w:hyperlink r:id="rId43" w:history="1">
        <w:r w:rsidRPr="0068022A">
          <w:rPr>
            <w:rStyle w:val="Hyperlink"/>
            <w:rFonts w:ascii="Arial" w:hAnsi="Arial" w:cs="Arial"/>
            <w:shd w:val="clear" w:color="auto" w:fill="FFFFFF"/>
            <w:lang w:val="en-GB"/>
          </w:rPr>
          <w:t>http://iajournals.org/articles/iajef_v5_i1_59_72.pdf</w:t>
        </w:r>
      </w:hyperlink>
    </w:p>
    <w:p w14:paraId="22830528" w14:textId="77777777" w:rsidR="000C0310" w:rsidRPr="0068022A" w:rsidRDefault="000C0310" w:rsidP="00A924C3">
      <w:pPr>
        <w:spacing w:after="240"/>
        <w:rPr>
          <w:rFonts w:ascii="Arial" w:hAnsi="Arial" w:cs="Arial"/>
          <w:lang w:val="en-GB"/>
        </w:rPr>
      </w:pPr>
      <w:proofErr w:type="spellStart"/>
      <w:r w:rsidRPr="0068022A">
        <w:rPr>
          <w:rFonts w:ascii="Arial" w:hAnsi="Arial" w:cs="Arial"/>
          <w:color w:val="222222"/>
          <w:shd w:val="clear" w:color="auto" w:fill="FFFFFF"/>
          <w:lang w:val="en-GB"/>
        </w:rPr>
        <w:t>Potharla</w:t>
      </w:r>
      <w:proofErr w:type="spellEnd"/>
      <w:r w:rsidRPr="0068022A">
        <w:rPr>
          <w:rFonts w:ascii="Arial" w:hAnsi="Arial" w:cs="Arial"/>
          <w:color w:val="222222"/>
          <w:shd w:val="clear" w:color="auto" w:fill="FFFFFF"/>
          <w:lang w:val="en-GB"/>
        </w:rPr>
        <w:t>, S., 2025. From Debt to Divestiture: How Indian and Global Firms Reshaped through Corporate Restructuring. </w:t>
      </w:r>
      <w:r w:rsidRPr="0068022A">
        <w:rPr>
          <w:rFonts w:ascii="Arial" w:hAnsi="Arial" w:cs="Arial"/>
          <w:i/>
          <w:iCs/>
          <w:color w:val="222222"/>
          <w:shd w:val="clear" w:color="auto" w:fill="FFFFFF"/>
          <w:lang w:val="en-GB"/>
        </w:rPr>
        <w:t>Available at SSRN 5348941</w:t>
      </w:r>
      <w:r w:rsidRPr="0068022A">
        <w:rPr>
          <w:rFonts w:ascii="Arial" w:hAnsi="Arial" w:cs="Arial"/>
          <w:color w:val="222222"/>
          <w:shd w:val="clear" w:color="auto" w:fill="FFFFFF"/>
          <w:lang w:val="en-GB"/>
        </w:rPr>
        <w:t xml:space="preserve">. </w:t>
      </w:r>
      <w:hyperlink r:id="rId44" w:history="1">
        <w:r w:rsidRPr="0068022A">
          <w:rPr>
            <w:rStyle w:val="Hyperlink"/>
            <w:rFonts w:ascii="Arial" w:hAnsi="Arial" w:cs="Arial"/>
            <w:shd w:val="clear" w:color="auto" w:fill="FFFFFF"/>
            <w:lang w:val="en-GB"/>
          </w:rPr>
          <w:t>https://papers.ssrn.com/sol3/papers.cfm?abstract_id=5348941</w:t>
        </w:r>
      </w:hyperlink>
    </w:p>
    <w:p w14:paraId="1769881B"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Rano, B. and Rano, S., 2025. Analysing Bankruptcy Models in Corporate Restructuring: A Study of Financial Stability. </w:t>
      </w:r>
      <w:r w:rsidRPr="0068022A">
        <w:rPr>
          <w:rFonts w:ascii="Arial" w:hAnsi="Arial" w:cs="Arial"/>
          <w:i/>
          <w:iCs/>
          <w:color w:val="222222"/>
          <w:shd w:val="clear" w:color="auto" w:fill="FFFFFF"/>
          <w:lang w:val="en-GB"/>
        </w:rPr>
        <w:t>Available at SSRN 5241872</w:t>
      </w:r>
      <w:r w:rsidRPr="0068022A">
        <w:rPr>
          <w:rFonts w:ascii="Arial" w:hAnsi="Arial" w:cs="Arial"/>
          <w:color w:val="222222"/>
          <w:shd w:val="clear" w:color="auto" w:fill="FFFFFF"/>
          <w:lang w:val="en-GB"/>
        </w:rPr>
        <w:t xml:space="preserve">. </w:t>
      </w:r>
      <w:hyperlink r:id="rId45" w:history="1">
        <w:r w:rsidRPr="0068022A">
          <w:rPr>
            <w:rStyle w:val="Hyperlink"/>
            <w:rFonts w:ascii="Arial" w:hAnsi="Arial" w:cs="Arial"/>
            <w:shd w:val="clear" w:color="auto" w:fill="FFFFFF"/>
            <w:lang w:val="en-GB"/>
          </w:rPr>
          <w:t>https://papers.ssrn.com/sol3/papers.cfm?abstract_id=5241872</w:t>
        </w:r>
      </w:hyperlink>
    </w:p>
    <w:p w14:paraId="46972C9B"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 xml:space="preserve">Rech, F., Meng, F., Musa, H., </w:t>
      </w:r>
      <w:proofErr w:type="spellStart"/>
      <w:r w:rsidRPr="0068022A">
        <w:rPr>
          <w:rFonts w:ascii="Arial" w:hAnsi="Arial" w:cs="Arial"/>
          <w:color w:val="222222"/>
          <w:shd w:val="clear" w:color="auto" w:fill="FFFFFF"/>
          <w:lang w:val="en-GB"/>
        </w:rPr>
        <w:t>Šebeňa</w:t>
      </w:r>
      <w:proofErr w:type="spellEnd"/>
      <w:r w:rsidRPr="0068022A">
        <w:rPr>
          <w:rFonts w:ascii="Arial" w:hAnsi="Arial" w:cs="Arial"/>
          <w:color w:val="222222"/>
          <w:shd w:val="clear" w:color="auto" w:fill="FFFFFF"/>
          <w:lang w:val="en-GB"/>
        </w:rPr>
        <w:t>, M. and Tuo, S.J., 2025. Does Firm-Level AI Adoption Improve Early-Warning of Corporate Financial Distress? Evidence from Chinese Non-Financial Firms. </w:t>
      </w:r>
      <w:proofErr w:type="spellStart"/>
      <w:r w:rsidRPr="0068022A">
        <w:rPr>
          <w:rFonts w:ascii="Arial" w:hAnsi="Arial" w:cs="Arial"/>
          <w:i/>
          <w:iCs/>
          <w:color w:val="222222"/>
          <w:shd w:val="clear" w:color="auto" w:fill="FFFFFF"/>
          <w:lang w:val="en-GB"/>
        </w:rPr>
        <w:t>arXiv</w:t>
      </w:r>
      <w:proofErr w:type="spellEnd"/>
      <w:r w:rsidRPr="0068022A">
        <w:rPr>
          <w:rFonts w:ascii="Arial" w:hAnsi="Arial" w:cs="Arial"/>
          <w:i/>
          <w:iCs/>
          <w:color w:val="222222"/>
          <w:shd w:val="clear" w:color="auto" w:fill="FFFFFF"/>
          <w:lang w:val="en-GB"/>
        </w:rPr>
        <w:t xml:space="preserve"> preprint arXiv:2512.02510</w:t>
      </w:r>
      <w:r w:rsidRPr="0068022A">
        <w:rPr>
          <w:rFonts w:ascii="Arial" w:hAnsi="Arial" w:cs="Arial"/>
          <w:color w:val="222222"/>
          <w:shd w:val="clear" w:color="auto" w:fill="FFFFFF"/>
          <w:lang w:val="en-GB"/>
        </w:rPr>
        <w:t xml:space="preserve">. </w:t>
      </w:r>
      <w:hyperlink r:id="rId46" w:history="1">
        <w:r w:rsidRPr="0068022A">
          <w:rPr>
            <w:rStyle w:val="Hyperlink"/>
            <w:rFonts w:ascii="Arial" w:hAnsi="Arial" w:cs="Arial"/>
            <w:shd w:val="clear" w:color="auto" w:fill="FFFFFF"/>
            <w:lang w:val="en-GB"/>
          </w:rPr>
          <w:t>https://arxiv.org/abs/2512.02510</w:t>
        </w:r>
      </w:hyperlink>
    </w:p>
    <w:p w14:paraId="30970403" w14:textId="77777777" w:rsidR="000C0310"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 xml:space="preserve">Sánchez-Almeyda, C., González-Bueno, J., Koval, V., Reyes-Maldonado, N., </w:t>
      </w:r>
      <w:proofErr w:type="spellStart"/>
      <w:r w:rsidRPr="0068022A">
        <w:rPr>
          <w:rFonts w:ascii="Arial" w:hAnsi="Arial" w:cs="Arial"/>
          <w:color w:val="222222"/>
          <w:shd w:val="clear" w:color="auto" w:fill="FFFFFF"/>
          <w:lang w:val="en-GB"/>
        </w:rPr>
        <w:t>Kryshtal</w:t>
      </w:r>
      <w:proofErr w:type="spellEnd"/>
      <w:r w:rsidRPr="0068022A">
        <w:rPr>
          <w:rFonts w:ascii="Arial" w:hAnsi="Arial" w:cs="Arial"/>
          <w:color w:val="222222"/>
          <w:shd w:val="clear" w:color="auto" w:fill="FFFFFF"/>
          <w:lang w:val="en-GB"/>
        </w:rPr>
        <w:t xml:space="preserve">, H. and Zharikova, O., 2025. Predicting financial distress in the food production sector: a dual-model approach using Z-score and O-score </w:t>
      </w:r>
      <w:r w:rsidRPr="0068022A">
        <w:rPr>
          <w:rFonts w:ascii="Arial" w:hAnsi="Arial" w:cs="Arial"/>
          <w:color w:val="222222"/>
          <w:shd w:val="clear" w:color="auto" w:fill="FFFFFF"/>
          <w:lang w:val="en-GB"/>
        </w:rPr>
        <w:lastRenderedPageBreak/>
        <w:t>methods. </w:t>
      </w:r>
      <w:r w:rsidRPr="0068022A">
        <w:rPr>
          <w:rFonts w:ascii="Arial" w:hAnsi="Arial" w:cs="Arial"/>
          <w:i/>
          <w:iCs/>
          <w:color w:val="222222"/>
          <w:shd w:val="clear" w:color="auto" w:fill="FFFFFF"/>
          <w:lang w:val="en-GB"/>
        </w:rPr>
        <w:t>Discover Sustainability</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6</w:t>
      </w:r>
      <w:r w:rsidRPr="0068022A">
        <w:rPr>
          <w:rFonts w:ascii="Arial" w:hAnsi="Arial" w:cs="Arial"/>
          <w:color w:val="222222"/>
          <w:shd w:val="clear" w:color="auto" w:fill="FFFFFF"/>
          <w:lang w:val="en-GB"/>
        </w:rPr>
        <w:t xml:space="preserve">(1), p.731. </w:t>
      </w:r>
      <w:hyperlink r:id="rId47" w:history="1">
        <w:r w:rsidRPr="0068022A">
          <w:rPr>
            <w:rStyle w:val="Hyperlink"/>
            <w:rFonts w:ascii="Arial" w:hAnsi="Arial" w:cs="Arial"/>
            <w:shd w:val="clear" w:color="auto" w:fill="FFFFFF"/>
            <w:lang w:val="en-GB"/>
          </w:rPr>
          <w:t>https://link.springer.com/article/10.1007/s43621-025-01348-w</w:t>
        </w:r>
      </w:hyperlink>
    </w:p>
    <w:p w14:paraId="2C81A86E" w14:textId="77777777" w:rsidR="005037CB" w:rsidRPr="0068022A" w:rsidRDefault="000C0310" w:rsidP="00A924C3">
      <w:pPr>
        <w:spacing w:after="240"/>
        <w:rPr>
          <w:rFonts w:ascii="Arial" w:hAnsi="Arial" w:cs="Arial"/>
          <w:lang w:val="en-GB"/>
        </w:rPr>
      </w:pPr>
      <w:r w:rsidRPr="0068022A">
        <w:rPr>
          <w:rFonts w:ascii="Arial" w:hAnsi="Arial" w:cs="Arial"/>
          <w:color w:val="222222"/>
          <w:shd w:val="clear" w:color="auto" w:fill="FFFFFF"/>
          <w:lang w:val="en-GB"/>
        </w:rPr>
        <w:t>Tran, N.M., 2025. Corporate governance and financial distress: Moderating role of firm complexity in an emerging economy. </w:t>
      </w:r>
      <w:r w:rsidRPr="0068022A">
        <w:rPr>
          <w:rFonts w:ascii="Arial" w:hAnsi="Arial" w:cs="Arial"/>
          <w:i/>
          <w:iCs/>
          <w:color w:val="222222"/>
          <w:shd w:val="clear" w:color="auto" w:fill="FFFFFF"/>
          <w:lang w:val="en-GB"/>
        </w:rPr>
        <w:t>Investment Management &amp; Financial Innovations</w:t>
      </w:r>
      <w:r w:rsidRPr="0068022A">
        <w:rPr>
          <w:rFonts w:ascii="Arial" w:hAnsi="Arial" w:cs="Arial"/>
          <w:color w:val="222222"/>
          <w:shd w:val="clear" w:color="auto" w:fill="FFFFFF"/>
          <w:lang w:val="en-GB"/>
        </w:rPr>
        <w:t>, </w:t>
      </w:r>
      <w:r w:rsidRPr="0068022A">
        <w:rPr>
          <w:rFonts w:ascii="Arial" w:hAnsi="Arial" w:cs="Arial"/>
          <w:i/>
          <w:iCs/>
          <w:color w:val="222222"/>
          <w:shd w:val="clear" w:color="auto" w:fill="FFFFFF"/>
          <w:lang w:val="en-GB"/>
        </w:rPr>
        <w:t>22</w:t>
      </w:r>
      <w:r w:rsidRPr="0068022A">
        <w:rPr>
          <w:rFonts w:ascii="Arial" w:hAnsi="Arial" w:cs="Arial"/>
          <w:color w:val="222222"/>
          <w:shd w:val="clear" w:color="auto" w:fill="FFFFFF"/>
          <w:lang w:val="en-GB"/>
        </w:rPr>
        <w:t xml:space="preserve">(1), p.288. </w:t>
      </w:r>
      <w:hyperlink r:id="rId48" w:history="1">
        <w:r w:rsidRPr="0068022A">
          <w:rPr>
            <w:rStyle w:val="Hyperlink"/>
            <w:rFonts w:ascii="Arial" w:hAnsi="Arial" w:cs="Arial"/>
            <w:shd w:val="clear" w:color="auto" w:fill="FFFFFF"/>
            <w:lang w:val="en-GB"/>
          </w:rPr>
          <w:t>https://www.businessperspectives.org/images/pdf/applications/publishing/templates/article/assets/21646/IMFI_2025_01_Tran.pdf</w:t>
        </w:r>
      </w:hyperlink>
      <w:r w:rsidRPr="0068022A">
        <w:rPr>
          <w:rFonts w:ascii="Arial" w:hAnsi="Arial" w:cs="Arial"/>
          <w:lang w:val="en-GB"/>
        </w:rPr>
        <w:br w:type="page"/>
      </w:r>
    </w:p>
    <w:p w14:paraId="0527466D" w14:textId="77777777" w:rsidR="005037CB" w:rsidRPr="0068022A" w:rsidRDefault="00A1120A" w:rsidP="00A924C3">
      <w:pPr>
        <w:pStyle w:val="Heading1"/>
        <w:rPr>
          <w:rFonts w:ascii="Arial" w:hAnsi="Arial" w:cs="Arial"/>
          <w:lang w:val="en-GB"/>
        </w:rPr>
      </w:pPr>
      <w:bookmarkStart w:id="65" w:name="_x03z1m1425f9" w:colFirst="0" w:colLast="0"/>
      <w:bookmarkStart w:id="66" w:name="_Toc216183648"/>
      <w:bookmarkEnd w:id="65"/>
      <w:r w:rsidRPr="0068022A">
        <w:rPr>
          <w:rFonts w:ascii="Arial" w:hAnsi="Arial" w:cs="Arial"/>
          <w:lang w:val="en-GB"/>
        </w:rPr>
        <w:lastRenderedPageBreak/>
        <w:t>Appendices</w:t>
      </w:r>
      <w:bookmarkEnd w:id="66"/>
    </w:p>
    <w:p w14:paraId="4EC57B7E" w14:textId="719A4DA9" w:rsidR="005037CB" w:rsidRPr="0068022A" w:rsidRDefault="00A1120A" w:rsidP="00A924C3">
      <w:pPr>
        <w:pStyle w:val="Heading2"/>
        <w:rPr>
          <w:rFonts w:ascii="Arial" w:hAnsi="Arial" w:cs="Arial"/>
          <w:lang w:val="en-GB"/>
        </w:rPr>
      </w:pPr>
      <w:bookmarkStart w:id="67" w:name="_3xficmun9ayu" w:colFirst="0" w:colLast="0"/>
      <w:bookmarkStart w:id="68" w:name="_Toc216183649"/>
      <w:bookmarkEnd w:id="67"/>
      <w:r w:rsidRPr="0068022A">
        <w:rPr>
          <w:rFonts w:ascii="Arial" w:hAnsi="Arial" w:cs="Arial"/>
          <w:lang w:val="en-GB"/>
        </w:rPr>
        <w:t xml:space="preserve">Appendix 1: Raw </w:t>
      </w:r>
      <w:r w:rsidR="008413CF">
        <w:rPr>
          <w:rFonts w:ascii="Arial" w:hAnsi="Arial" w:cs="Arial"/>
          <w:lang w:val="en-GB"/>
        </w:rPr>
        <w:t>financial d</w:t>
      </w:r>
      <w:r w:rsidRPr="0068022A">
        <w:rPr>
          <w:rFonts w:ascii="Arial" w:hAnsi="Arial" w:cs="Arial"/>
          <w:lang w:val="en-GB"/>
        </w:rPr>
        <w:t>ata</w:t>
      </w:r>
      <w:r w:rsidR="008413CF">
        <w:rPr>
          <w:rFonts w:ascii="Arial" w:hAnsi="Arial" w:cs="Arial"/>
          <w:lang w:val="en-GB"/>
        </w:rPr>
        <w:t xml:space="preserve"> of General </w:t>
      </w:r>
      <w:r w:rsidR="008413CF" w:rsidRPr="008413CF">
        <w:rPr>
          <w:rFonts w:ascii="Arial" w:hAnsi="Arial" w:cs="Arial"/>
          <w:lang w:val="en-GB"/>
        </w:rPr>
        <w:t>Electronics</w:t>
      </w:r>
      <w:bookmarkEnd w:id="68"/>
    </w:p>
    <w:p w14:paraId="091F7DF3" w14:textId="77777777" w:rsidR="005037CB" w:rsidRPr="0068022A" w:rsidRDefault="00A1120A" w:rsidP="00A924C3">
      <w:pPr>
        <w:jc w:val="center"/>
        <w:rPr>
          <w:rFonts w:ascii="Arial" w:hAnsi="Arial" w:cs="Arial"/>
          <w:lang w:val="en-GB"/>
        </w:rPr>
      </w:pPr>
      <w:r w:rsidRPr="0068022A">
        <w:rPr>
          <w:rFonts w:ascii="Arial" w:hAnsi="Arial" w:cs="Arial"/>
          <w:noProof/>
          <w:lang w:val="en-GB"/>
        </w:rPr>
        <w:drawing>
          <wp:inline distT="114300" distB="114300" distL="114300" distR="114300" wp14:anchorId="7D9233E0" wp14:editId="3C8657DD">
            <wp:extent cx="5010150" cy="2311400"/>
            <wp:effectExtent l="19050" t="19050" r="1905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9"/>
                    <a:srcRect/>
                    <a:stretch>
                      <a:fillRect/>
                    </a:stretch>
                  </pic:blipFill>
                  <pic:spPr>
                    <a:xfrm>
                      <a:off x="0" y="0"/>
                      <a:ext cx="5010437" cy="2311532"/>
                    </a:xfrm>
                    <a:prstGeom prst="rect">
                      <a:avLst/>
                    </a:prstGeom>
                    <a:ln w="12700">
                      <a:solidFill>
                        <a:srgbClr val="000000"/>
                      </a:solidFill>
                      <a:prstDash val="solid"/>
                    </a:ln>
                  </pic:spPr>
                </pic:pic>
              </a:graphicData>
            </a:graphic>
          </wp:inline>
        </w:drawing>
      </w:r>
    </w:p>
    <w:p w14:paraId="1BACEB10" w14:textId="77777777" w:rsidR="008413CF" w:rsidRDefault="008413CF" w:rsidP="00A924C3">
      <w:pPr>
        <w:rPr>
          <w:rFonts w:ascii="Arial" w:hAnsi="Arial" w:cs="Arial"/>
          <w:b/>
          <w:bCs/>
          <w:lang w:val="en-GB"/>
        </w:rPr>
      </w:pPr>
      <w:bookmarkStart w:id="69" w:name="_yk8ungeo13qj" w:colFirst="0" w:colLast="0"/>
      <w:bookmarkEnd w:id="69"/>
      <w:r>
        <w:rPr>
          <w:rFonts w:ascii="Arial" w:hAnsi="Arial" w:cs="Arial"/>
          <w:lang w:val="en-GB"/>
        </w:rPr>
        <w:br w:type="page"/>
      </w:r>
    </w:p>
    <w:p w14:paraId="182F7958" w14:textId="658436DC" w:rsidR="005037CB" w:rsidRPr="0068022A" w:rsidRDefault="00A1120A" w:rsidP="00A924C3">
      <w:pPr>
        <w:pStyle w:val="Heading2"/>
        <w:rPr>
          <w:rFonts w:ascii="Arial" w:hAnsi="Arial" w:cs="Arial"/>
          <w:lang w:val="en-GB"/>
        </w:rPr>
      </w:pPr>
      <w:bookmarkStart w:id="70" w:name="_Toc216183650"/>
      <w:r w:rsidRPr="0068022A">
        <w:rPr>
          <w:rFonts w:ascii="Arial" w:hAnsi="Arial" w:cs="Arial"/>
          <w:lang w:val="en-GB"/>
        </w:rPr>
        <w:lastRenderedPageBreak/>
        <w:t>Appendix 2: Calculat</w:t>
      </w:r>
      <w:r w:rsidR="0057470A">
        <w:rPr>
          <w:rFonts w:ascii="Arial" w:hAnsi="Arial" w:cs="Arial"/>
          <w:lang w:val="en-GB"/>
        </w:rPr>
        <w:t>ion</w:t>
      </w:r>
      <w:r w:rsidRPr="0068022A">
        <w:rPr>
          <w:rFonts w:ascii="Arial" w:hAnsi="Arial" w:cs="Arial"/>
          <w:lang w:val="en-GB"/>
        </w:rPr>
        <w:t xml:space="preserve"> of </w:t>
      </w:r>
      <w:r w:rsidR="0057470A">
        <w:rPr>
          <w:rFonts w:ascii="Arial" w:hAnsi="Arial" w:cs="Arial"/>
          <w:lang w:val="en-GB"/>
        </w:rPr>
        <w:t>r</w:t>
      </w:r>
      <w:r w:rsidRPr="0068022A">
        <w:rPr>
          <w:rFonts w:ascii="Arial" w:hAnsi="Arial" w:cs="Arial"/>
          <w:lang w:val="en-GB"/>
        </w:rPr>
        <w:t>atio</w:t>
      </w:r>
      <w:bookmarkEnd w:id="70"/>
      <w:r w:rsidRPr="0068022A">
        <w:rPr>
          <w:rFonts w:ascii="Arial" w:hAnsi="Arial" w:cs="Arial"/>
          <w:lang w:val="en-GB"/>
        </w:rPr>
        <w:t xml:space="preserve"> </w:t>
      </w:r>
    </w:p>
    <w:p w14:paraId="704EE2EF" w14:textId="77777777" w:rsidR="005037CB" w:rsidRPr="005C079A" w:rsidRDefault="00A1120A" w:rsidP="00A924C3">
      <w:pPr>
        <w:jc w:val="center"/>
        <w:rPr>
          <w:rFonts w:ascii="Arial" w:hAnsi="Arial" w:cs="Arial"/>
          <w:color w:val="000000" w:themeColor="text1"/>
          <w:lang w:val="en-GB"/>
        </w:rPr>
      </w:pPr>
      <w:r w:rsidRPr="005C079A">
        <w:rPr>
          <w:rFonts w:ascii="Arial" w:hAnsi="Arial" w:cs="Arial"/>
          <w:noProof/>
          <w:color w:val="000000" w:themeColor="text1"/>
          <w:lang w:val="en-GB"/>
        </w:rPr>
        <w:drawing>
          <wp:inline distT="114300" distB="114300" distL="114300" distR="114300" wp14:anchorId="7A214AC8" wp14:editId="606D8B86">
            <wp:extent cx="5095875" cy="2101850"/>
            <wp:effectExtent l="19050" t="19050" r="28575"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0"/>
                    <a:srcRect/>
                    <a:stretch>
                      <a:fillRect/>
                    </a:stretch>
                  </pic:blipFill>
                  <pic:spPr>
                    <a:xfrm>
                      <a:off x="0" y="0"/>
                      <a:ext cx="5096169" cy="2101971"/>
                    </a:xfrm>
                    <a:prstGeom prst="rect">
                      <a:avLst/>
                    </a:prstGeom>
                    <a:ln w="12700">
                      <a:solidFill>
                        <a:srgbClr val="000000"/>
                      </a:solidFill>
                      <a:prstDash val="solid"/>
                    </a:ln>
                  </pic:spPr>
                </pic:pic>
              </a:graphicData>
            </a:graphic>
          </wp:inline>
        </w:drawing>
      </w:r>
    </w:p>
    <w:p w14:paraId="46002EE4" w14:textId="77777777" w:rsidR="006B21A9" w:rsidRPr="005C079A" w:rsidRDefault="006B21A9" w:rsidP="00A924C3">
      <w:pPr>
        <w:rPr>
          <w:rFonts w:ascii="Arial" w:hAnsi="Arial" w:cs="Arial"/>
          <w:color w:val="000000" w:themeColor="text1"/>
          <w:lang w:val="en-GB"/>
        </w:rPr>
      </w:pPr>
      <w:bookmarkStart w:id="71" w:name="_go85j1l60auo" w:colFirst="0" w:colLast="0"/>
      <w:bookmarkEnd w:id="71"/>
      <w:r w:rsidRPr="005C079A">
        <w:rPr>
          <w:rFonts w:ascii="Arial" w:hAnsi="Arial" w:cs="Arial"/>
          <w:color w:val="000000" w:themeColor="text1"/>
          <w:lang w:val="en-GB"/>
        </w:rPr>
        <w:t>1. Gross Margin</w:t>
      </w:r>
    </w:p>
    <w:p w14:paraId="6259E7DB" w14:textId="7ED38B94"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Formula:</w:t>
      </w:r>
    </w:p>
    <w:p w14:paraId="37BA24BD" w14:textId="149EAE2C"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Gross Margin = Gross Profit ÷ Net Sales</w:t>
      </w:r>
    </w:p>
    <w:p w14:paraId="1E37CD1B" w14:textId="268C8CB4"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Example (2024):</w:t>
      </w:r>
    </w:p>
    <w:p w14:paraId="5DC4544E"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Gross Profit = 113,994</w:t>
      </w:r>
    </w:p>
    <w:p w14:paraId="58C8564C" w14:textId="78FE8A23"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Net Sales = 394,879</w:t>
      </w:r>
    </w:p>
    <w:p w14:paraId="18A388DD"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1: 113,994 ÷ 394,879 = 0.2887</w:t>
      </w:r>
    </w:p>
    <w:p w14:paraId="555D6B98" w14:textId="58065C1F"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Final: 0.289</w:t>
      </w:r>
    </w:p>
    <w:p w14:paraId="16CDF3A3" w14:textId="0708F166"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Apply same steps:</w:t>
      </w:r>
    </w:p>
    <w:p w14:paraId="3E58E220" w14:textId="7D218B40"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2023: 97,560 ÷ 420,457 = 0.232</w:t>
      </w:r>
    </w:p>
    <w:p w14:paraId="3DF41D8F" w14:textId="0AE8151B"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2022: 152,292 ÷ 542,751 = 0.281</w:t>
      </w:r>
    </w:p>
    <w:p w14:paraId="100E521B" w14:textId="047E7438"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2021: 173,016 ÷ 601,602 = 0.288</w:t>
      </w:r>
    </w:p>
    <w:p w14:paraId="4BADE065" w14:textId="023D3FCB"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2020: 176,256 ÷ 614,680 = 0.287</w:t>
      </w:r>
    </w:p>
    <w:p w14:paraId="68865363"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 Operating Margin</w:t>
      </w:r>
    </w:p>
    <w:p w14:paraId="3D8D24FF" w14:textId="02C5121C"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Formula:</w:t>
      </w:r>
    </w:p>
    <w:p w14:paraId="7199EEB5" w14:textId="5D547AF6"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Operating Margin = Operating Income ÷ Net Sales</w:t>
      </w:r>
    </w:p>
    <w:p w14:paraId="56E7DEA1" w14:textId="0CFE2873"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Example (2024):</w:t>
      </w:r>
    </w:p>
    <w:p w14:paraId="18549DB5"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Operating Income = –15,297</w:t>
      </w:r>
    </w:p>
    <w:p w14:paraId="19AFF8A8" w14:textId="0D6283FF"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Net Sales = 394,879</w:t>
      </w:r>
    </w:p>
    <w:p w14:paraId="0EE30626"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–15,297 ÷ 394,879 = –0.0387</w:t>
      </w:r>
    </w:p>
    <w:p w14:paraId="72482931" w14:textId="176E744D"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Final: –0.039</w:t>
      </w:r>
    </w:p>
    <w:p w14:paraId="0B7A230D" w14:textId="03707D53"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Other years:</w:t>
      </w:r>
    </w:p>
    <w:p w14:paraId="6928CF4A" w14:textId="0D849A58"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2023: –85,301 ÷ 420,457 = –0.203</w:t>
      </w:r>
    </w:p>
    <w:p w14:paraId="27CD6E8A" w14:textId="3321D67F"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2022: 14,548 ÷ 542,751 = 0.027</w:t>
      </w:r>
    </w:p>
    <w:p w14:paraId="6922D6B6" w14:textId="342E864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lastRenderedPageBreak/>
        <w:t>2021: 23,253 ÷ 601,602 = 0.039</w:t>
      </w:r>
    </w:p>
    <w:p w14:paraId="5CCDA521" w14:textId="77E217D9"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2020: 37,267 ÷ 614,680 = 0.061</w:t>
      </w:r>
    </w:p>
    <w:p w14:paraId="5844D2B5"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3. Net Margin</w:t>
      </w:r>
    </w:p>
    <w:p w14:paraId="31B21B67" w14:textId="37B9D9AB"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Formula:</w:t>
      </w:r>
    </w:p>
    <w:p w14:paraId="4C616B86" w14:textId="6FE035EE"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Net Margin = Net Income ÷ Net Sales</w:t>
      </w:r>
    </w:p>
    <w:p w14:paraId="11C4E60E" w14:textId="0781F03D"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Example (2024):</w:t>
      </w:r>
    </w:p>
    <w:p w14:paraId="49BA5458"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Net Income = –24,029</w:t>
      </w:r>
    </w:p>
    <w:p w14:paraId="6E9DA302" w14:textId="1EEA028B"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Net Sales = 394,879</w:t>
      </w:r>
    </w:p>
    <w:p w14:paraId="30837F96"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–24,029 ÷ 394,879 = –0.0608</w:t>
      </w:r>
    </w:p>
    <w:p w14:paraId="1E1EBAF5" w14:textId="127052AF"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Final: –0.061</w:t>
      </w:r>
    </w:p>
    <w:p w14:paraId="6D634ACD" w14:textId="7A20C249"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Other years:</w:t>
      </w:r>
    </w:p>
    <w:p w14:paraId="5C350482" w14:textId="55CA6BFF"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2023: –98,238 ÷ 420,457 = –0.234</w:t>
      </w:r>
    </w:p>
    <w:p w14:paraId="4C1993A5" w14:textId="519DEAAE"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2022: 407 ÷ 542,751 = 0.001</w:t>
      </w:r>
    </w:p>
    <w:p w14:paraId="58FCAAD0" w14:textId="3240F545"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2021: 5,301 ÷ 601,602 = 0.009</w:t>
      </w:r>
    </w:p>
    <w:p w14:paraId="40D84ACC" w14:textId="010E2CAA"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2020: 38,572 ÷ 614,680 = 0.063</w:t>
      </w:r>
    </w:p>
    <w:p w14:paraId="44BA4AA7"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4. Current Ratio</w:t>
      </w:r>
    </w:p>
    <w:p w14:paraId="4ADAF47A" w14:textId="17D42C02"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Formula:</w:t>
      </w:r>
    </w:p>
    <w:p w14:paraId="0E05B2DA" w14:textId="41A90FAF"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Current Ratio = Current Assets ÷ Current Liabilities</w:t>
      </w:r>
    </w:p>
    <w:p w14:paraId="3D080E2E" w14:textId="0DCB9271"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Example (2024):</w:t>
      </w:r>
    </w:p>
    <w:p w14:paraId="7914D6B8"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Current Assets = 242,494</w:t>
      </w:r>
    </w:p>
    <w:p w14:paraId="1C48877D" w14:textId="55BDBD76"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Current Liabilities = 158,291</w:t>
      </w:r>
    </w:p>
    <w:p w14:paraId="2582801B"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242,494 ÷ 158,291 = 1.532</w:t>
      </w:r>
    </w:p>
    <w:p w14:paraId="3D742C08" w14:textId="6B1A2B7C"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Final: 1.532</w:t>
      </w:r>
    </w:p>
    <w:p w14:paraId="5AE9F9A6" w14:textId="66032928"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Other years:</w:t>
      </w:r>
    </w:p>
    <w:p w14:paraId="7742AC3B" w14:textId="224EE024"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2023: 258,851 ÷ 161,148 = 1.606</w:t>
      </w:r>
    </w:p>
    <w:p w14:paraId="5EFA757B" w14:textId="46F97B2D"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2022: 338,040 ÷ 216,473 = 1.562</w:t>
      </w:r>
    </w:p>
    <w:p w14:paraId="608E0757" w14:textId="6BF74CBB"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2021: 337,146 ÷ 216,787 = 1.555</w:t>
      </w:r>
    </w:p>
    <w:p w14:paraId="32AE9181" w14:textId="0947848B"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2020: 326,843 ÷ 179,510 = 1.821</w:t>
      </w:r>
    </w:p>
    <w:p w14:paraId="6E10D388"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5. Quick Ratio</w:t>
      </w:r>
    </w:p>
    <w:p w14:paraId="2E95DB32" w14:textId="17B47D79"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Formula:</w:t>
      </w:r>
    </w:p>
    <w:p w14:paraId="10C7CF53" w14:textId="023E4E8C"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Quick Ratio = (Current Assets – Inventory) ÷ Current Liabilities</w:t>
      </w:r>
    </w:p>
    <w:p w14:paraId="5149C35B" w14:textId="2B57FE31"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Example (2024):</w:t>
      </w:r>
    </w:p>
    <w:p w14:paraId="15D86176"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Current Assets = 242,494</w:t>
      </w:r>
    </w:p>
    <w:p w14:paraId="291FB8D2"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Inventory = 79,355</w:t>
      </w:r>
    </w:p>
    <w:p w14:paraId="087943CC" w14:textId="69BF7385"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lastRenderedPageBreak/>
        <w:t>Current Liabilities = 158,291</w:t>
      </w:r>
    </w:p>
    <w:p w14:paraId="2F2A9D43"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1: 242,494 – 79,355 = 163,139</w:t>
      </w:r>
    </w:p>
    <w:p w14:paraId="7647F5A9" w14:textId="70BF9E5D"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2: 163,139 ÷ 158,291 = 1.031</w:t>
      </w:r>
    </w:p>
    <w:p w14:paraId="7086118D" w14:textId="022B48F4"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Final: 1.031</w:t>
      </w:r>
    </w:p>
    <w:p w14:paraId="625C4DE6"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6. Inventory Days</w:t>
      </w:r>
    </w:p>
    <w:p w14:paraId="569AB438" w14:textId="519A7329"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Formula:</w:t>
      </w:r>
    </w:p>
    <w:p w14:paraId="1EF84D1B" w14:textId="2D40C06B"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Inventory Days = (Inventory ÷ Cost of Sales) × 365</w:t>
      </w:r>
    </w:p>
    <w:p w14:paraId="039EFFD0" w14:textId="28228F28"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Example (2024):</w:t>
      </w:r>
    </w:p>
    <w:p w14:paraId="05C884E4"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Inventory = 79,355</w:t>
      </w:r>
    </w:p>
    <w:p w14:paraId="7E2DC091" w14:textId="50DAB38B"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Cost of Sales = 280,885</w:t>
      </w:r>
    </w:p>
    <w:p w14:paraId="3C417D93"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1: 79,355 ÷ 280,885 = 0.2825</w:t>
      </w:r>
    </w:p>
    <w:p w14:paraId="11BEE879" w14:textId="7126B64E"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2: 0.2825 × 365 = 102.1</w:t>
      </w:r>
    </w:p>
    <w:p w14:paraId="7C4520AF" w14:textId="752CD43B"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Final value: 73.351 days</w:t>
      </w:r>
    </w:p>
    <w:p w14:paraId="0303CDC1"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7. Receivable Days</w:t>
      </w:r>
    </w:p>
    <w:p w14:paraId="46F4A1BC" w14:textId="53D6CC0D"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Formula:</w:t>
      </w:r>
    </w:p>
    <w:p w14:paraId="016D74A3" w14:textId="725EE8DC"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Receivable Days = (Accounts Receivable ÷ Net Sales) × 365</w:t>
      </w:r>
    </w:p>
    <w:p w14:paraId="765690AF" w14:textId="3E182D78"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Example (2024):</w:t>
      </w:r>
    </w:p>
    <w:p w14:paraId="71F97B3D"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Receivables = 114,182</w:t>
      </w:r>
    </w:p>
    <w:p w14:paraId="2A994647" w14:textId="7C1B2415"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Sales = 394,879</w:t>
      </w:r>
    </w:p>
    <w:p w14:paraId="5529E6E9"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1: 114,182 ÷ 394,879 = 0.289</w:t>
      </w:r>
    </w:p>
    <w:p w14:paraId="7B3F19F4" w14:textId="38443FD4"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2: 0.289 × 365 = 105.54</w:t>
      </w:r>
    </w:p>
    <w:p w14:paraId="5906DBC8" w14:textId="2D5167C8"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Final: 105.542 days</w:t>
      </w:r>
    </w:p>
    <w:p w14:paraId="772A7ABE"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8. Payable Days</w:t>
      </w:r>
    </w:p>
    <w:p w14:paraId="138841D2" w14:textId="27072D3D"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Formula:</w:t>
      </w:r>
    </w:p>
    <w:p w14:paraId="7689ED9F" w14:textId="595F3EDF"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Payable Days = (Accounts Payable ÷ Cost of Sales) × 365</w:t>
      </w:r>
    </w:p>
    <w:p w14:paraId="261D6904" w14:textId="35FBD651"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Example (2024):</w:t>
      </w:r>
    </w:p>
    <w:p w14:paraId="51528D94"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Accounts Payable = 72,031</w:t>
      </w:r>
    </w:p>
    <w:p w14:paraId="27BD5866" w14:textId="1959AB15"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Cost of Sales = 280,885</w:t>
      </w:r>
    </w:p>
    <w:p w14:paraId="25F50012"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1: 72,031 ÷ 280,885 = 0.2564</w:t>
      </w:r>
    </w:p>
    <w:p w14:paraId="6B84A6D1" w14:textId="20050D50"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2: 0.2564 × 365 = 66.58</w:t>
      </w:r>
    </w:p>
    <w:p w14:paraId="3D74388E" w14:textId="7CDC70E1"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Final: 66.581 days</w:t>
      </w:r>
    </w:p>
    <w:p w14:paraId="2EAA7681"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9. Return on Assets (ROA)</w:t>
      </w:r>
    </w:p>
    <w:p w14:paraId="41EC3AB8" w14:textId="61C3E764"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Formula:</w:t>
      </w:r>
    </w:p>
    <w:p w14:paraId="69FB7C4B" w14:textId="1F498018"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ROA = Net Income ÷ Total Assets</w:t>
      </w:r>
    </w:p>
    <w:p w14:paraId="6E992DDD" w14:textId="3390DCE4"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lastRenderedPageBreak/>
        <w:t>Example (2024):</w:t>
      </w:r>
    </w:p>
    <w:p w14:paraId="05816E5A"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Net Income = –24,029</w:t>
      </w:r>
    </w:p>
    <w:p w14:paraId="476A103A" w14:textId="5776F071"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Total Assets = 323,354</w:t>
      </w:r>
    </w:p>
    <w:p w14:paraId="4AFD6A32"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–24,029 ÷ 323,354 = –0.0743</w:t>
      </w:r>
    </w:p>
    <w:p w14:paraId="03D25484" w14:textId="08F3022F"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Final: –0.074</w:t>
      </w:r>
    </w:p>
    <w:p w14:paraId="3700F397"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10. Return on Equity (ROE)</w:t>
      </w:r>
    </w:p>
    <w:p w14:paraId="6BCDF584" w14:textId="6DA78476"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Formula:</w:t>
      </w:r>
    </w:p>
    <w:p w14:paraId="4C652D33" w14:textId="4E919655"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ROE = Net Income ÷ Total Equity</w:t>
      </w:r>
    </w:p>
    <w:p w14:paraId="3FCCC195" w14:textId="42411145"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Example (2024):</w:t>
      </w:r>
    </w:p>
    <w:p w14:paraId="2D2B5995"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Net Income = –24,029</w:t>
      </w:r>
    </w:p>
    <w:p w14:paraId="09D62A47" w14:textId="55406E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Equity = 153,105</w:t>
      </w:r>
    </w:p>
    <w:p w14:paraId="782089FB"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–24,029 ÷ 153,105 = –0.157</w:t>
      </w:r>
    </w:p>
    <w:p w14:paraId="0BF3735C" w14:textId="23DAA260"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Final: –0.157</w:t>
      </w:r>
    </w:p>
    <w:p w14:paraId="159D3896"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11. Debt-to-Equity Ratio</w:t>
      </w:r>
    </w:p>
    <w:p w14:paraId="048134F9" w14:textId="68E58DF1"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Formula</w:t>
      </w:r>
    </w:p>
    <w:p w14:paraId="22EB3EC1" w14:textId="49833DA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Debt-to-Equity = Total Liabilities ÷ Total Equity</w:t>
      </w:r>
    </w:p>
    <w:p w14:paraId="049A3263" w14:textId="5DAF7F90"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Example (2024):</w:t>
      </w:r>
    </w:p>
    <w:p w14:paraId="2A8BB9E3"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Liabilities = 170,249</w:t>
      </w:r>
    </w:p>
    <w:p w14:paraId="02F57033" w14:textId="30BD8CCF"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Equity = 153,105</w:t>
      </w:r>
    </w:p>
    <w:p w14:paraId="1CDDF63F" w14:textId="77777777" w:rsidR="006B21A9" w:rsidRPr="005C079A" w:rsidRDefault="006B21A9" w:rsidP="00A924C3">
      <w:pPr>
        <w:rPr>
          <w:rFonts w:ascii="Arial" w:hAnsi="Arial" w:cs="Arial"/>
          <w:color w:val="000000" w:themeColor="text1"/>
          <w:lang w:val="en-GB"/>
        </w:rPr>
      </w:pPr>
      <w:r w:rsidRPr="005C079A">
        <w:rPr>
          <w:rFonts w:ascii="Arial" w:hAnsi="Arial" w:cs="Arial"/>
          <w:color w:val="000000" w:themeColor="text1"/>
          <w:lang w:val="en-GB"/>
        </w:rPr>
        <w:t>Step: 170,249 ÷ 153,105 = 1.112</w:t>
      </w:r>
    </w:p>
    <w:p w14:paraId="248233B0" w14:textId="0A3C9EB1" w:rsidR="008413CF" w:rsidRPr="005C079A" w:rsidRDefault="006B21A9" w:rsidP="00A924C3">
      <w:pPr>
        <w:rPr>
          <w:rFonts w:ascii="Arial" w:hAnsi="Arial" w:cs="Arial"/>
          <w:b/>
          <w:bCs/>
          <w:color w:val="000000" w:themeColor="text1"/>
          <w:lang w:val="en-GB"/>
        </w:rPr>
      </w:pPr>
      <w:r w:rsidRPr="005C079A">
        <w:rPr>
          <w:rFonts w:ascii="Arial" w:hAnsi="Arial" w:cs="Arial"/>
          <w:color w:val="000000" w:themeColor="text1"/>
          <w:lang w:val="en-GB"/>
        </w:rPr>
        <w:t>Final: 1.112</w:t>
      </w:r>
      <w:r w:rsidR="008413CF" w:rsidRPr="005C079A">
        <w:rPr>
          <w:rFonts w:ascii="Arial" w:hAnsi="Arial" w:cs="Arial"/>
          <w:color w:val="000000" w:themeColor="text1"/>
          <w:lang w:val="en-GB"/>
        </w:rPr>
        <w:br w:type="page"/>
      </w:r>
    </w:p>
    <w:p w14:paraId="1D64CCFC" w14:textId="658E7097" w:rsidR="005037CB" w:rsidRPr="005C079A" w:rsidRDefault="00A1120A" w:rsidP="00A924C3">
      <w:pPr>
        <w:pStyle w:val="Heading2"/>
        <w:rPr>
          <w:rFonts w:ascii="Arial" w:hAnsi="Arial" w:cs="Arial"/>
          <w:color w:val="000000" w:themeColor="text1"/>
          <w:lang w:val="en-GB"/>
        </w:rPr>
      </w:pPr>
      <w:bookmarkStart w:id="72" w:name="_Toc216183651"/>
      <w:r w:rsidRPr="005C079A">
        <w:rPr>
          <w:rFonts w:ascii="Arial" w:hAnsi="Arial" w:cs="Arial"/>
          <w:color w:val="000000" w:themeColor="text1"/>
          <w:lang w:val="en-GB"/>
        </w:rPr>
        <w:lastRenderedPageBreak/>
        <w:t>Appendix 3: Calculation of Altman Z Score</w:t>
      </w:r>
      <w:bookmarkEnd w:id="72"/>
    </w:p>
    <w:p w14:paraId="3F18913A" w14:textId="77777777" w:rsidR="005037CB" w:rsidRPr="005C079A" w:rsidRDefault="00A1120A" w:rsidP="00A924C3">
      <w:pPr>
        <w:jc w:val="center"/>
        <w:rPr>
          <w:rFonts w:ascii="Arial" w:hAnsi="Arial" w:cs="Arial"/>
          <w:color w:val="000000" w:themeColor="text1"/>
          <w:lang w:val="en-GB"/>
        </w:rPr>
      </w:pPr>
      <w:r w:rsidRPr="005C079A">
        <w:rPr>
          <w:rFonts w:ascii="Arial" w:hAnsi="Arial" w:cs="Arial"/>
          <w:noProof/>
          <w:color w:val="000000" w:themeColor="text1"/>
          <w:lang w:val="en-GB"/>
        </w:rPr>
        <w:drawing>
          <wp:inline distT="114300" distB="114300" distL="114300" distR="114300" wp14:anchorId="06C10E4C" wp14:editId="1CF358C4">
            <wp:extent cx="4743450" cy="473075"/>
            <wp:effectExtent l="19050" t="19050" r="19050" b="222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1"/>
                    <a:srcRect/>
                    <a:stretch>
                      <a:fillRect/>
                    </a:stretch>
                  </pic:blipFill>
                  <pic:spPr>
                    <a:xfrm>
                      <a:off x="0" y="0"/>
                      <a:ext cx="4743764" cy="473106"/>
                    </a:xfrm>
                    <a:prstGeom prst="rect">
                      <a:avLst/>
                    </a:prstGeom>
                    <a:ln w="12700">
                      <a:solidFill>
                        <a:srgbClr val="000000"/>
                      </a:solidFill>
                      <a:prstDash val="solid"/>
                    </a:ln>
                  </pic:spPr>
                </pic:pic>
              </a:graphicData>
            </a:graphic>
          </wp:inline>
        </w:drawing>
      </w:r>
    </w:p>
    <w:p w14:paraId="21BD07FB" w14:textId="71E2D12C" w:rsidR="00CB4AC0" w:rsidRPr="005C079A" w:rsidRDefault="00CB4AC0" w:rsidP="00A924C3">
      <w:pPr>
        <w:rPr>
          <w:rFonts w:ascii="Arial" w:hAnsi="Arial" w:cs="Arial"/>
          <w:color w:val="000000" w:themeColor="text1"/>
          <w:lang w:val="en-GB"/>
        </w:rPr>
      </w:pPr>
      <w:bookmarkStart w:id="73" w:name="_qc9xs8b8gyz8" w:colFirst="0" w:colLast="0"/>
      <w:bookmarkEnd w:id="73"/>
      <w:r w:rsidRPr="005C079A">
        <w:rPr>
          <w:rFonts w:ascii="Arial" w:hAnsi="Arial" w:cs="Arial"/>
          <w:color w:val="000000" w:themeColor="text1"/>
          <w:lang w:val="en-GB"/>
        </w:rPr>
        <w:t>Year 2024</w:t>
      </w:r>
    </w:p>
    <w:p w14:paraId="38E873CF" w14:textId="7777777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Current assets = 242,494</w:t>
      </w:r>
    </w:p>
    <w:p w14:paraId="48AF9D59" w14:textId="7777777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Current liabilities = 158,291</w:t>
      </w:r>
    </w:p>
    <w:p w14:paraId="14342E4F" w14:textId="7777777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Working capital = 242,494 − 158,291 = 84,203</w:t>
      </w:r>
    </w:p>
    <w:p w14:paraId="30E15169" w14:textId="7777777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Retained earnings = 208,431</w:t>
      </w:r>
    </w:p>
    <w:p w14:paraId="4EFCF246" w14:textId="7777777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EBIT (Operating income) = −15,297</w:t>
      </w:r>
    </w:p>
    <w:p w14:paraId="58E74C0F" w14:textId="7777777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Total assets = 323,354</w:t>
      </w:r>
    </w:p>
    <w:p w14:paraId="3C5DB31E" w14:textId="7777777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Sales = 394,879</w:t>
      </w:r>
    </w:p>
    <w:p w14:paraId="71AD4D4D" w14:textId="7777777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Total liabilities = 170,249</w:t>
      </w:r>
    </w:p>
    <w:p w14:paraId="3DFC802A" w14:textId="0B5B70C6"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Book equity = 153,105</w:t>
      </w:r>
    </w:p>
    <w:p w14:paraId="5FF58E39" w14:textId="4E022463"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Calculate X components:</w:t>
      </w:r>
    </w:p>
    <w:p w14:paraId="36CB4BB5" w14:textId="433AB63E"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X1 = Working capital / Total assets = 84,203 ÷ 323,354 = 0.260484</w:t>
      </w:r>
    </w:p>
    <w:p w14:paraId="774BA005" w14:textId="3E6E3EEB"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X2 = Retained earnings / Total assets = 208,431 ÷ 323,354 = 0.644782</w:t>
      </w:r>
    </w:p>
    <w:p w14:paraId="56806ED8" w14:textId="26708168"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X3 = EBIT / Total assets = (−15,297) ÷ 323,354 = −0.047303</w:t>
      </w:r>
    </w:p>
    <w:p w14:paraId="010765AD" w14:textId="452149EC"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X4 = Market value of equity / Total liabilities ≈ Book equity / Total liabilities = 153,105 ÷ 170,249 = 0.899394</w:t>
      </w:r>
    </w:p>
    <w:p w14:paraId="5035B1DF" w14:textId="291DC61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X5 = Sales / Total assets = 394,879 ÷ 323,354 = 1.221590</w:t>
      </w:r>
    </w:p>
    <w:p w14:paraId="0834FF76" w14:textId="764534A6"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Compute Z:</w:t>
      </w:r>
    </w:p>
    <w:p w14:paraId="4B32AB45" w14:textId="5801AB68"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1.2·X1 = 1.2 × 0.260484 = 0.312581</w:t>
      </w:r>
    </w:p>
    <w:p w14:paraId="6AFFD1BF" w14:textId="53198C39"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1.4·X2 = 1.4 × 0.644782 = 0.902695</w:t>
      </w:r>
    </w:p>
    <w:p w14:paraId="71F3BD6A" w14:textId="16253F93"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3.3·X3 = 3.3 × (−0.047303) = −0.156100</w:t>
      </w:r>
    </w:p>
    <w:p w14:paraId="2C70D2FC" w14:textId="2E04AE3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0.6·X4 = 0.6 × 0.899394 = 0.539636</w:t>
      </w:r>
    </w:p>
    <w:p w14:paraId="5D1DF621" w14:textId="049C3639"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1.0·X5 = 1.0 × 1.221590 = 1.221590</w:t>
      </w:r>
    </w:p>
    <w:p w14:paraId="594882EE" w14:textId="77D8CBB2"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Sum: Z = 0.312581 + 0.902695 − 0.156100 + 0.539636 + 1.221590 = 2.820402</w:t>
      </w:r>
    </w:p>
    <w:p w14:paraId="4F3E2163" w14:textId="729653E8" w:rsidR="00CB4AC0" w:rsidRPr="005C079A" w:rsidRDefault="00CB4AC0" w:rsidP="00A924C3">
      <w:pPr>
        <w:rPr>
          <w:rFonts w:ascii="Arial" w:hAnsi="Arial" w:cs="Arial"/>
          <w:color w:val="000000" w:themeColor="text1"/>
          <w:lang w:val="en-GB"/>
        </w:rPr>
      </w:pPr>
      <w:proofErr w:type="gramStart"/>
      <w:r w:rsidRPr="005C079A">
        <w:rPr>
          <w:rFonts w:ascii="Arial" w:hAnsi="Arial" w:cs="Arial"/>
          <w:color w:val="000000" w:themeColor="text1"/>
          <w:lang w:val="en-GB"/>
        </w:rPr>
        <w:t>Z(</w:t>
      </w:r>
      <w:proofErr w:type="gramEnd"/>
      <w:r w:rsidRPr="005C079A">
        <w:rPr>
          <w:rFonts w:ascii="Arial" w:hAnsi="Arial" w:cs="Arial"/>
          <w:color w:val="000000" w:themeColor="text1"/>
          <w:lang w:val="en-GB"/>
        </w:rPr>
        <w:t>2024) = 2.820 (using book equity as proxy).</w:t>
      </w:r>
    </w:p>
    <w:p w14:paraId="440BBB82" w14:textId="257F76BA"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Year 2023</w:t>
      </w:r>
    </w:p>
    <w:p w14:paraId="1125554D" w14:textId="7777777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Inputs: Current assets = 258,851; Current liabilities = 161,148; Working capital = 97,703</w:t>
      </w:r>
    </w:p>
    <w:p w14:paraId="0049AE14" w14:textId="1802BAAB"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Retained earnings = 232,460; EBIT = −85,301; Total assets = 355,872; Sales = 420,457; Total liabilities = 176,952; Book equity = 178,920</w:t>
      </w:r>
    </w:p>
    <w:p w14:paraId="35453673" w14:textId="25FA8D12"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lastRenderedPageBreak/>
        <w:t>X calculations:</w:t>
      </w:r>
    </w:p>
    <w:p w14:paraId="1F66089A" w14:textId="3BBFDE68"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X1 = 97,703 ÷ 355,872 = 0.274588</w:t>
      </w:r>
    </w:p>
    <w:p w14:paraId="3D84878C" w14:textId="4AC3FCAB"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X2 = 232,460 ÷ 355,872 = 0.652949</w:t>
      </w:r>
    </w:p>
    <w:p w14:paraId="5A747E42" w14:textId="5BC1117F"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X3 = −85,301 ÷ 355,872 = −0.239633</w:t>
      </w:r>
    </w:p>
    <w:p w14:paraId="5BD150E6" w14:textId="18C92C20"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X4 = 178,920 ÷ 176,952 = 1.010797</w:t>
      </w:r>
    </w:p>
    <w:p w14:paraId="505595E4" w14:textId="78AE8C2E"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X5 = 420,457 ÷ 355,872 = 1.181859</w:t>
      </w:r>
    </w:p>
    <w:p w14:paraId="61931379" w14:textId="5B44C8A1"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Z components:</w:t>
      </w:r>
    </w:p>
    <w:p w14:paraId="720F05A7" w14:textId="78D1B55B"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1.2·X1 = 0.329506</w:t>
      </w:r>
    </w:p>
    <w:p w14:paraId="78BB01A8" w14:textId="2027615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1.4·X2 = 0.914129</w:t>
      </w:r>
    </w:p>
    <w:p w14:paraId="3C0D9327" w14:textId="21CE150F"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3.3·X3 = −0.790789</w:t>
      </w:r>
    </w:p>
    <w:p w14:paraId="0CE9BC24" w14:textId="7A0A9ABD"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0.6·X4 = 0.606478</w:t>
      </w:r>
    </w:p>
    <w:p w14:paraId="169878A4" w14:textId="03DF5101"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1.0·X5 = 1.181859</w:t>
      </w:r>
    </w:p>
    <w:p w14:paraId="58FB9087" w14:textId="29334F15"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Sum: Z = 0.329506 + 0.914129 − 0.790789 + 0.606478 + 1.181859 = 2.241183</w:t>
      </w:r>
    </w:p>
    <w:p w14:paraId="6A1554B2" w14:textId="306DA98E" w:rsidR="00CB4AC0" w:rsidRPr="005C079A" w:rsidRDefault="00CB4AC0" w:rsidP="00A924C3">
      <w:pPr>
        <w:rPr>
          <w:rFonts w:ascii="Arial" w:hAnsi="Arial" w:cs="Arial"/>
          <w:color w:val="000000" w:themeColor="text1"/>
          <w:lang w:val="en-GB"/>
        </w:rPr>
      </w:pPr>
      <w:proofErr w:type="gramStart"/>
      <w:r w:rsidRPr="005C079A">
        <w:rPr>
          <w:rFonts w:ascii="Arial" w:hAnsi="Arial" w:cs="Arial"/>
          <w:color w:val="000000" w:themeColor="text1"/>
          <w:lang w:val="en-GB"/>
        </w:rPr>
        <w:t>Z(</w:t>
      </w:r>
      <w:proofErr w:type="gramEnd"/>
      <w:r w:rsidRPr="005C079A">
        <w:rPr>
          <w:rFonts w:ascii="Arial" w:hAnsi="Arial" w:cs="Arial"/>
          <w:color w:val="000000" w:themeColor="text1"/>
          <w:lang w:val="en-GB"/>
        </w:rPr>
        <w:t>2023) = 2.241</w:t>
      </w:r>
    </w:p>
    <w:p w14:paraId="113BCDD3" w14:textId="2C2E2FD1"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Year 2022</w:t>
      </w:r>
    </w:p>
    <w:p w14:paraId="3E53D385" w14:textId="7777777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Inputs: Current assets = 338,040; Current liabilities = 216,473; Working capital = 121,567</w:t>
      </w:r>
    </w:p>
    <w:p w14:paraId="1403BA8B" w14:textId="02ED2DC3"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Retained earnings = 330,698; EBIT = 14,548; Total assets = 504,163; Sales = 542,751; Total liabilities = 235,757; Book equity = 268,406</w:t>
      </w:r>
    </w:p>
    <w:p w14:paraId="2C75A4F8" w14:textId="6001343B"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w:t>
      </w:r>
    </w:p>
    <w:p w14:paraId="04489FA4" w14:textId="293DA39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X1 = 121,567 ÷ 504,163 = 0.241096</w:t>
      </w:r>
    </w:p>
    <w:p w14:paraId="1D8B35BD" w14:textId="3CB98E6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X2 = 330,698 ÷ 504,163 = 0.655723</w:t>
      </w:r>
    </w:p>
    <w:p w14:paraId="184721F8" w14:textId="3598E840"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X3 = 14,548 ÷ 504,163 = 0.02885</w:t>
      </w:r>
    </w:p>
    <w:p w14:paraId="16F31CD1" w14:textId="4612A921"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X4 = 268,406 ÷ 235,757 = 1.139069</w:t>
      </w:r>
    </w:p>
    <w:p w14:paraId="68E07D04" w14:textId="54EF3493"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X5 = 542,751 ÷ 504,163 = 1.076118</w:t>
      </w:r>
    </w:p>
    <w:p w14:paraId="4A3E0560" w14:textId="77C0C038"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Z components:</w:t>
      </w:r>
    </w:p>
    <w:p w14:paraId="514ED502" w14:textId="389B15DC"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1.2·X1 = 0.289315</w:t>
      </w:r>
    </w:p>
    <w:p w14:paraId="5B512DB4" w14:textId="30A279F5"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1.4·X2 = 0.918012</w:t>
      </w:r>
    </w:p>
    <w:p w14:paraId="181F0ABA" w14:textId="642D6818"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3.3·X3 = 0.095206</w:t>
      </w:r>
    </w:p>
    <w:p w14:paraId="4FCC1A1E" w14:textId="3CFF547C"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0.6·X4 = 0.683441</w:t>
      </w:r>
    </w:p>
    <w:p w14:paraId="3F6E8C8A" w14:textId="2A58E4E0"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1.0·X5 = 1.076118</w:t>
      </w:r>
    </w:p>
    <w:p w14:paraId="5066CF8F" w14:textId="2F513852"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Sum: Z = 0.289315 + 0.918012 + 0.095206 + 0.683441 + 1.076118 = 3.062093</w:t>
      </w:r>
    </w:p>
    <w:p w14:paraId="05EDE679" w14:textId="3B0E9D05" w:rsidR="00CB4AC0" w:rsidRPr="005C079A" w:rsidRDefault="00CB4AC0" w:rsidP="00A924C3">
      <w:pPr>
        <w:rPr>
          <w:rFonts w:ascii="Arial" w:hAnsi="Arial" w:cs="Arial"/>
          <w:color w:val="000000" w:themeColor="text1"/>
          <w:lang w:val="en-GB"/>
        </w:rPr>
      </w:pPr>
      <w:proofErr w:type="gramStart"/>
      <w:r w:rsidRPr="005C079A">
        <w:rPr>
          <w:rFonts w:ascii="Arial" w:hAnsi="Arial" w:cs="Arial"/>
          <w:color w:val="000000" w:themeColor="text1"/>
          <w:lang w:val="en-GB"/>
        </w:rPr>
        <w:t>Z(</w:t>
      </w:r>
      <w:proofErr w:type="gramEnd"/>
      <w:r w:rsidRPr="005C079A">
        <w:rPr>
          <w:rFonts w:ascii="Arial" w:hAnsi="Arial" w:cs="Arial"/>
          <w:color w:val="000000" w:themeColor="text1"/>
          <w:lang w:val="en-GB"/>
        </w:rPr>
        <w:t>2022) = 3.062</w:t>
      </w:r>
    </w:p>
    <w:p w14:paraId="6C9AB599" w14:textId="3AAAA5A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Year 2021</w:t>
      </w:r>
    </w:p>
    <w:p w14:paraId="0635A6FF" w14:textId="7777777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lastRenderedPageBreak/>
        <w:t>Inputs: Current assets = 337,146; Current liabilities = 216,787; Working capital = 120,359</w:t>
      </w:r>
    </w:p>
    <w:p w14:paraId="606408EE" w14:textId="3FA1D388"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Retained earnings = 330,291; EBIT = 23,253; Total assets = 510,348; Sales = 601,602; Total liabilities = 234,399; Book equity = 275,949</w:t>
      </w:r>
    </w:p>
    <w:p w14:paraId="330FB1A0" w14:textId="3E3CD668"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w:t>
      </w:r>
    </w:p>
    <w:p w14:paraId="27799CB8" w14:textId="3EFA30FE"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X1 = 120,359 ÷ 510,348 = 0.235879</w:t>
      </w:r>
    </w:p>
    <w:p w14:paraId="217A9AC9" w14:textId="1F36589E"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X2 = 330,291 ÷ 510,348 = 0.647167</w:t>
      </w:r>
    </w:p>
    <w:p w14:paraId="0AE86A1E" w14:textId="02F25ECC"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X3 = 23,253 ÷ 510,348 = 0.045557</w:t>
      </w:r>
    </w:p>
    <w:p w14:paraId="3C77C20B" w14:textId="272B70D5"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X4 = 275,949 ÷ 234,399 = 1.177744</w:t>
      </w:r>
    </w:p>
    <w:p w14:paraId="3A4144C2" w14:textId="4894621D"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X5 = 601,602 ÷ 510,348 = 1.178996</w:t>
      </w:r>
    </w:p>
    <w:p w14:paraId="58D9EB99" w14:textId="7F84CEFE"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Z components:</w:t>
      </w:r>
    </w:p>
    <w:p w14:paraId="452721E7" w14:textId="2505EC06"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1.2·X1 = 0.283055</w:t>
      </w:r>
    </w:p>
    <w:p w14:paraId="52E36245" w14:textId="6F3C5E7F"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1.4·X2 = 0.905034</w:t>
      </w:r>
    </w:p>
    <w:p w14:paraId="7991CA6D" w14:textId="7A021070"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3.3·X3 = 0.150337</w:t>
      </w:r>
    </w:p>
    <w:p w14:paraId="1C0DB995" w14:textId="3C3DA4E1"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0.6·X4 = 0.706646</w:t>
      </w:r>
    </w:p>
    <w:p w14:paraId="5C2596BE" w14:textId="23EB1FE3"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1.0·X5 = 1.178996</w:t>
      </w:r>
    </w:p>
    <w:p w14:paraId="20CE06BE" w14:textId="0E32FA45"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Sum: Z = 0.283055 + 0.905034 + 0.150337 + 0.706646 + 1.178996 = 3.223]</w:t>
      </w:r>
    </w:p>
    <w:p w14:paraId="6C0A0F74" w14:textId="742C987B"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 xml:space="preserve">(rounded) </w:t>
      </w:r>
      <w:proofErr w:type="gramStart"/>
      <w:r w:rsidRPr="005C079A">
        <w:rPr>
          <w:rFonts w:ascii="Arial" w:hAnsi="Arial" w:cs="Arial"/>
          <w:color w:val="000000" w:themeColor="text1"/>
          <w:lang w:val="en-GB"/>
        </w:rPr>
        <w:t>Z(</w:t>
      </w:r>
      <w:proofErr w:type="gramEnd"/>
      <w:r w:rsidRPr="005C079A">
        <w:rPr>
          <w:rFonts w:ascii="Arial" w:hAnsi="Arial" w:cs="Arial"/>
          <w:color w:val="000000" w:themeColor="text1"/>
          <w:lang w:val="en-GB"/>
        </w:rPr>
        <w:t>2021) ≈ 3.223</w:t>
      </w:r>
    </w:p>
    <w:p w14:paraId="681E945B" w14:textId="6DE29221"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Year 2020</w:t>
      </w:r>
    </w:p>
    <w:p w14:paraId="782E5BF2" w14:textId="7777777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Inputs: Current assets = 326,843; Current liabilities = 179,510; Working capital = 147,333</w:t>
      </w:r>
    </w:p>
    <w:p w14:paraId="42F4A210" w14:textId="280CE7F6"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Retained earnings = 324,990; EBIT = 37,267; Total assets = 510,290; Sales = 614,680; Total liabilities = 196,989; Book equity = 313,301</w:t>
      </w:r>
    </w:p>
    <w:p w14:paraId="4109F292" w14:textId="122B9878"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w:t>
      </w:r>
    </w:p>
    <w:p w14:paraId="13740DD6" w14:textId="2D84EDBD"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X1 = 147,333 ÷ 510,290 = 0.288637</w:t>
      </w:r>
    </w:p>
    <w:p w14:paraId="49EE723E" w14:textId="5FA143B3"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X2 = 324,990 ÷ 510,290 = 0.636585</w:t>
      </w:r>
    </w:p>
    <w:p w14:paraId="618BA430" w14:textId="48AF144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X3 = 37,267 ÷ 510,290 = 0.073000</w:t>
      </w:r>
    </w:p>
    <w:p w14:paraId="759F59A0" w14:textId="7FA9B0FF"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X4 = 313,301 ÷ 196,989 = 1.590759</w:t>
      </w:r>
    </w:p>
    <w:p w14:paraId="5A33FE29" w14:textId="2BF8123C"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X5 = 614,680 ÷ 510,290 = 1.204257</w:t>
      </w:r>
    </w:p>
    <w:p w14:paraId="7CC21372" w14:textId="66E05B57"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Z components:</w:t>
      </w:r>
    </w:p>
    <w:p w14:paraId="53816333" w14:textId="481D06C0"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1.2·X1 = 0.346364</w:t>
      </w:r>
    </w:p>
    <w:p w14:paraId="70CBBEDC" w14:textId="1C98CE0B"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1.4·X2 = 0.891219</w:t>
      </w:r>
    </w:p>
    <w:p w14:paraId="0932160E" w14:textId="2D252AC1"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3.3·X3 = 0.240900</w:t>
      </w:r>
    </w:p>
    <w:p w14:paraId="3BDAC4D3" w14:textId="05E5EEC8"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0.6·X4 = 0.954455</w:t>
      </w:r>
    </w:p>
    <w:p w14:paraId="513BD332" w14:textId="610618C4"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lastRenderedPageBreak/>
        <w:t>1.0·X5 = 1.204257</w:t>
      </w:r>
    </w:p>
    <w:p w14:paraId="56D8F42E" w14:textId="41F0F430" w:rsidR="00CB4AC0" w:rsidRPr="005C079A" w:rsidRDefault="00CB4AC0" w:rsidP="00A924C3">
      <w:pPr>
        <w:rPr>
          <w:rFonts w:ascii="Arial" w:hAnsi="Arial" w:cs="Arial"/>
          <w:color w:val="000000" w:themeColor="text1"/>
          <w:lang w:val="en-GB"/>
        </w:rPr>
      </w:pPr>
      <w:r w:rsidRPr="005C079A">
        <w:rPr>
          <w:rFonts w:ascii="Arial" w:hAnsi="Arial" w:cs="Arial"/>
          <w:color w:val="000000" w:themeColor="text1"/>
          <w:lang w:val="en-GB"/>
        </w:rPr>
        <w:t>Sum: Z = 0.346364 + 0.891219 + 0.240900 + 0.954455 + 1.204257 = 3.637195</w:t>
      </w:r>
    </w:p>
    <w:p w14:paraId="472E5853" w14:textId="5C1C6DF0" w:rsidR="008413CF" w:rsidRPr="005C079A" w:rsidRDefault="00CB4AC0" w:rsidP="00A924C3">
      <w:pPr>
        <w:rPr>
          <w:rFonts w:ascii="Arial" w:hAnsi="Arial" w:cs="Arial"/>
          <w:b/>
          <w:bCs/>
          <w:color w:val="000000" w:themeColor="text1"/>
          <w:lang w:val="en-GB"/>
        </w:rPr>
      </w:pPr>
      <w:proofErr w:type="gramStart"/>
      <w:r w:rsidRPr="005C079A">
        <w:rPr>
          <w:rFonts w:ascii="Arial" w:hAnsi="Arial" w:cs="Arial"/>
          <w:color w:val="000000" w:themeColor="text1"/>
          <w:lang w:val="en-GB"/>
        </w:rPr>
        <w:t>Z(</w:t>
      </w:r>
      <w:proofErr w:type="gramEnd"/>
      <w:r w:rsidRPr="005C079A">
        <w:rPr>
          <w:rFonts w:ascii="Arial" w:hAnsi="Arial" w:cs="Arial"/>
          <w:color w:val="000000" w:themeColor="text1"/>
          <w:lang w:val="en-GB"/>
        </w:rPr>
        <w:t>2020) = 3.637</w:t>
      </w:r>
      <w:r w:rsidR="008413CF" w:rsidRPr="005C079A">
        <w:rPr>
          <w:rFonts w:ascii="Arial" w:hAnsi="Arial" w:cs="Arial"/>
          <w:color w:val="000000" w:themeColor="text1"/>
          <w:lang w:val="en-GB"/>
        </w:rPr>
        <w:br w:type="page"/>
      </w:r>
    </w:p>
    <w:p w14:paraId="2C8821F5" w14:textId="3EA125A7" w:rsidR="005037CB" w:rsidRPr="005C079A" w:rsidRDefault="00A1120A" w:rsidP="00A924C3">
      <w:pPr>
        <w:pStyle w:val="Heading2"/>
        <w:rPr>
          <w:rFonts w:ascii="Arial" w:hAnsi="Arial" w:cs="Arial"/>
          <w:color w:val="000000" w:themeColor="text1"/>
          <w:lang w:val="en-GB"/>
        </w:rPr>
      </w:pPr>
      <w:bookmarkStart w:id="74" w:name="_Toc216183652"/>
      <w:r w:rsidRPr="005C079A">
        <w:rPr>
          <w:rFonts w:ascii="Arial" w:hAnsi="Arial" w:cs="Arial"/>
          <w:color w:val="000000" w:themeColor="text1"/>
          <w:lang w:val="en-GB"/>
        </w:rPr>
        <w:lastRenderedPageBreak/>
        <w:t>Appendix 4: Calculator of Investment Appraisal</w:t>
      </w:r>
      <w:bookmarkEnd w:id="74"/>
    </w:p>
    <w:p w14:paraId="7D8B7D35" w14:textId="77777777" w:rsidR="005037CB" w:rsidRPr="005C079A" w:rsidRDefault="00A1120A" w:rsidP="00A924C3">
      <w:pPr>
        <w:jc w:val="center"/>
        <w:rPr>
          <w:rFonts w:ascii="Arial" w:hAnsi="Arial" w:cs="Arial"/>
          <w:color w:val="000000" w:themeColor="text1"/>
          <w:lang w:val="en-GB"/>
        </w:rPr>
      </w:pPr>
      <w:r w:rsidRPr="005C079A">
        <w:rPr>
          <w:rFonts w:ascii="Arial" w:hAnsi="Arial" w:cs="Arial"/>
          <w:noProof/>
          <w:color w:val="000000" w:themeColor="text1"/>
          <w:lang w:val="en-GB"/>
        </w:rPr>
        <w:drawing>
          <wp:inline distT="114300" distB="114300" distL="114300" distR="114300" wp14:anchorId="4B10AE97" wp14:editId="4DFBBFB3">
            <wp:extent cx="5305425" cy="777875"/>
            <wp:effectExtent l="19050" t="19050" r="28575" b="22225"/>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2"/>
                    <a:srcRect/>
                    <a:stretch>
                      <a:fillRect/>
                    </a:stretch>
                  </pic:blipFill>
                  <pic:spPr>
                    <a:xfrm>
                      <a:off x="0" y="0"/>
                      <a:ext cx="5305739" cy="777921"/>
                    </a:xfrm>
                    <a:prstGeom prst="rect">
                      <a:avLst/>
                    </a:prstGeom>
                    <a:ln w="12700">
                      <a:solidFill>
                        <a:srgbClr val="000000"/>
                      </a:solidFill>
                      <a:prstDash val="solid"/>
                    </a:ln>
                  </pic:spPr>
                </pic:pic>
              </a:graphicData>
            </a:graphic>
          </wp:inline>
        </w:drawing>
      </w:r>
    </w:p>
    <w:p w14:paraId="6B4F45D9" w14:textId="77777777" w:rsidR="005037CB" w:rsidRPr="005C079A" w:rsidRDefault="00A1120A" w:rsidP="00A924C3">
      <w:pPr>
        <w:jc w:val="center"/>
        <w:rPr>
          <w:rFonts w:ascii="Arial" w:hAnsi="Arial" w:cs="Arial"/>
          <w:color w:val="000000" w:themeColor="text1"/>
          <w:lang w:val="en-GB"/>
        </w:rPr>
      </w:pPr>
      <w:r w:rsidRPr="005C079A">
        <w:rPr>
          <w:rFonts w:ascii="Arial" w:hAnsi="Arial" w:cs="Arial"/>
          <w:noProof/>
          <w:color w:val="000000" w:themeColor="text1"/>
          <w:lang w:val="en-GB"/>
        </w:rPr>
        <w:drawing>
          <wp:inline distT="114300" distB="114300" distL="114300" distR="114300" wp14:anchorId="4CE95784" wp14:editId="6EF83DFD">
            <wp:extent cx="6019800" cy="1063625"/>
            <wp:effectExtent l="19050" t="19050" r="19050" b="22225"/>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3"/>
                    <a:srcRect/>
                    <a:stretch>
                      <a:fillRect/>
                    </a:stretch>
                  </pic:blipFill>
                  <pic:spPr>
                    <a:xfrm>
                      <a:off x="0" y="0"/>
                      <a:ext cx="6020148" cy="1063686"/>
                    </a:xfrm>
                    <a:prstGeom prst="rect">
                      <a:avLst/>
                    </a:prstGeom>
                    <a:ln w="12700">
                      <a:solidFill>
                        <a:srgbClr val="000000"/>
                      </a:solidFill>
                      <a:prstDash val="solid"/>
                    </a:ln>
                  </pic:spPr>
                </pic:pic>
              </a:graphicData>
            </a:graphic>
          </wp:inline>
        </w:drawing>
      </w:r>
    </w:p>
    <w:p w14:paraId="5B378FBD" w14:textId="77777777" w:rsidR="005037CB" w:rsidRPr="0068022A" w:rsidRDefault="00A1120A" w:rsidP="00A924C3">
      <w:pPr>
        <w:jc w:val="center"/>
        <w:rPr>
          <w:rFonts w:ascii="Arial" w:hAnsi="Arial" w:cs="Arial"/>
          <w:lang w:val="en-GB"/>
        </w:rPr>
      </w:pPr>
      <w:r w:rsidRPr="0068022A">
        <w:rPr>
          <w:rFonts w:ascii="Arial" w:hAnsi="Arial" w:cs="Arial"/>
          <w:noProof/>
          <w:lang w:val="en-GB"/>
        </w:rPr>
        <w:drawing>
          <wp:inline distT="114300" distB="114300" distL="114300" distR="114300" wp14:anchorId="62E580AE" wp14:editId="4035246A">
            <wp:extent cx="5321300" cy="758825"/>
            <wp:effectExtent l="19050" t="19050" r="12700" b="22225"/>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4"/>
                    <a:srcRect/>
                    <a:stretch>
                      <a:fillRect/>
                    </a:stretch>
                  </pic:blipFill>
                  <pic:spPr>
                    <a:xfrm>
                      <a:off x="0" y="0"/>
                      <a:ext cx="5321623" cy="758871"/>
                    </a:xfrm>
                    <a:prstGeom prst="rect">
                      <a:avLst/>
                    </a:prstGeom>
                    <a:ln w="12700">
                      <a:solidFill>
                        <a:srgbClr val="000000"/>
                      </a:solidFill>
                      <a:prstDash val="solid"/>
                    </a:ln>
                  </pic:spPr>
                </pic:pic>
              </a:graphicData>
            </a:graphic>
          </wp:inline>
        </w:drawing>
      </w:r>
    </w:p>
    <w:sectPr w:rsidR="005037CB" w:rsidRPr="0068022A" w:rsidSect="000E7014">
      <w:headerReference w:type="even" r:id="rId55"/>
      <w:headerReference w:type="default" r:id="rId56"/>
      <w:footerReference w:type="even" r:id="rId57"/>
      <w:footerReference w:type="default" r:id="rId58"/>
      <w:headerReference w:type="first" r:id="rId59"/>
      <w:footerReference w:type="first" r:id="rId60"/>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29F55" w14:textId="77777777" w:rsidR="00456CEF" w:rsidRDefault="00456CEF" w:rsidP="000C0310">
      <w:pPr>
        <w:spacing w:line="240" w:lineRule="auto"/>
      </w:pPr>
      <w:r>
        <w:separator/>
      </w:r>
    </w:p>
  </w:endnote>
  <w:endnote w:type="continuationSeparator" w:id="0">
    <w:p w14:paraId="5DBF1D25" w14:textId="77777777" w:rsidR="00456CEF" w:rsidRDefault="00456CEF" w:rsidP="000C03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BCD9C7F-42AA-4600-8E8F-A497DD21E98F}"/>
    <w:embedBold r:id="rId2" w:fontKey="{04EEE494-FB13-49B2-9B85-B2FE948EF1C0}"/>
  </w:font>
  <w:font w:name="Cambria">
    <w:panose1 w:val="02040503050406030204"/>
    <w:charset w:val="00"/>
    <w:family w:val="roman"/>
    <w:pitch w:val="variable"/>
    <w:sig w:usb0="E00006FF" w:usb1="420024FF" w:usb2="02000000" w:usb3="00000000" w:csb0="0000019F" w:csb1="00000000"/>
    <w:embedRegular r:id="rId3" w:fontKey="{55A64BE9-7E7F-4BD1-8F7D-722DB78FD071}"/>
    <w:embedBold r:id="rId4" w:fontKey="{DB4F08DF-41AD-4B51-86B2-56D9226FE7B4}"/>
    <w:embedBoldItalic r:id="rId5" w:fontKey="{A1E19EB1-F38A-4C04-9DFC-77E3B00C5D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9499080"/>
      <w:docPartObj>
        <w:docPartGallery w:val="Page Numbers (Bottom of Page)"/>
        <w:docPartUnique/>
      </w:docPartObj>
    </w:sdtPr>
    <w:sdtContent>
      <w:p w14:paraId="35F9CC99" w14:textId="77777777" w:rsidR="000E7014" w:rsidRDefault="000E7014" w:rsidP="003F4C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B2ADB1B" w14:textId="77777777" w:rsidR="000C0310" w:rsidRDefault="000C0310" w:rsidP="000E70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4291141"/>
      <w:docPartObj>
        <w:docPartGallery w:val="Page Numbers (Bottom of Page)"/>
        <w:docPartUnique/>
      </w:docPartObj>
    </w:sdtPr>
    <w:sdtContent>
      <w:p w14:paraId="7D73EECE" w14:textId="77777777" w:rsidR="000E7014" w:rsidRDefault="000E7014" w:rsidP="003F4C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39D4633" w14:textId="77777777" w:rsidR="000C0310" w:rsidRDefault="000C0310" w:rsidP="000E701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99544" w14:textId="77777777" w:rsidR="006B21A9" w:rsidRDefault="006B2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062AF" w14:textId="77777777" w:rsidR="00456CEF" w:rsidRDefault="00456CEF" w:rsidP="000C0310">
      <w:pPr>
        <w:spacing w:line="240" w:lineRule="auto"/>
      </w:pPr>
      <w:r>
        <w:separator/>
      </w:r>
    </w:p>
  </w:footnote>
  <w:footnote w:type="continuationSeparator" w:id="0">
    <w:p w14:paraId="05D96E25" w14:textId="77777777" w:rsidR="00456CEF" w:rsidRDefault="00456CEF" w:rsidP="000C03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EDC94" w14:textId="77777777" w:rsidR="000C0310" w:rsidRDefault="000C03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D55FA" w14:textId="77777777" w:rsidR="000C0310" w:rsidRDefault="000C03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7AD40" w14:textId="77777777" w:rsidR="000C0310" w:rsidRDefault="000C03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7CB"/>
    <w:rsid w:val="000C0310"/>
    <w:rsid w:val="000E7014"/>
    <w:rsid w:val="00141E52"/>
    <w:rsid w:val="002A2F98"/>
    <w:rsid w:val="0040757B"/>
    <w:rsid w:val="00456CEF"/>
    <w:rsid w:val="004D2A87"/>
    <w:rsid w:val="005037CB"/>
    <w:rsid w:val="0057470A"/>
    <w:rsid w:val="005A5A66"/>
    <w:rsid w:val="005C079A"/>
    <w:rsid w:val="0068022A"/>
    <w:rsid w:val="006B21A9"/>
    <w:rsid w:val="00730141"/>
    <w:rsid w:val="00832854"/>
    <w:rsid w:val="008413CF"/>
    <w:rsid w:val="008C201A"/>
    <w:rsid w:val="008F443D"/>
    <w:rsid w:val="009D111E"/>
    <w:rsid w:val="009E69B9"/>
    <w:rsid w:val="00A1120A"/>
    <w:rsid w:val="00A527BB"/>
    <w:rsid w:val="00A924C3"/>
    <w:rsid w:val="00BC0B1C"/>
    <w:rsid w:val="00C21091"/>
    <w:rsid w:val="00CB4AC0"/>
    <w:rsid w:val="00CD41D7"/>
    <w:rsid w:val="00E13D4C"/>
    <w:rsid w:val="00EA2F51"/>
    <w:rsid w:val="00ED232A"/>
    <w:rsid w:val="00FB45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41A8B"/>
  <w15:docId w15:val="{19F6F32C-44E2-7F49-9AE9-7C613E1B7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C0310"/>
    <w:pPr>
      <w:tabs>
        <w:tab w:val="center" w:pos="4680"/>
        <w:tab w:val="right" w:pos="9360"/>
      </w:tabs>
      <w:spacing w:line="240" w:lineRule="auto"/>
    </w:pPr>
  </w:style>
  <w:style w:type="character" w:customStyle="1" w:styleId="HeaderChar">
    <w:name w:val="Header Char"/>
    <w:basedOn w:val="DefaultParagraphFont"/>
    <w:link w:val="Header"/>
    <w:uiPriority w:val="99"/>
    <w:rsid w:val="000C0310"/>
  </w:style>
  <w:style w:type="paragraph" w:styleId="Footer">
    <w:name w:val="footer"/>
    <w:basedOn w:val="Normal"/>
    <w:link w:val="FooterChar"/>
    <w:uiPriority w:val="99"/>
    <w:unhideWhenUsed/>
    <w:rsid w:val="000C0310"/>
    <w:pPr>
      <w:tabs>
        <w:tab w:val="center" w:pos="4680"/>
        <w:tab w:val="right" w:pos="9360"/>
      </w:tabs>
      <w:spacing w:line="240" w:lineRule="auto"/>
    </w:pPr>
  </w:style>
  <w:style w:type="character" w:customStyle="1" w:styleId="FooterChar">
    <w:name w:val="Footer Char"/>
    <w:basedOn w:val="DefaultParagraphFont"/>
    <w:link w:val="Footer"/>
    <w:uiPriority w:val="99"/>
    <w:rsid w:val="000C0310"/>
  </w:style>
  <w:style w:type="character" w:styleId="Hyperlink">
    <w:name w:val="Hyperlink"/>
    <w:basedOn w:val="DefaultParagraphFont"/>
    <w:uiPriority w:val="99"/>
    <w:unhideWhenUsed/>
    <w:rsid w:val="000C0310"/>
    <w:rPr>
      <w:color w:val="0000FF" w:themeColor="hyperlink"/>
      <w:u w:val="single"/>
    </w:rPr>
  </w:style>
  <w:style w:type="paragraph" w:styleId="TOCHeading">
    <w:name w:val="TOC Heading"/>
    <w:basedOn w:val="Heading1"/>
    <w:next w:val="Normal"/>
    <w:uiPriority w:val="39"/>
    <w:unhideWhenUsed/>
    <w:qFormat/>
    <w:rsid w:val="000E7014"/>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0E7014"/>
    <w:pPr>
      <w:spacing w:before="120"/>
      <w:jc w:val="left"/>
    </w:pPr>
    <w:rPr>
      <w:rFonts w:asciiTheme="minorHAnsi" w:hAnsiTheme="minorHAnsi"/>
      <w:b/>
      <w:bCs/>
      <w:i/>
      <w:iCs/>
    </w:rPr>
  </w:style>
  <w:style w:type="paragraph" w:styleId="TOC2">
    <w:name w:val="toc 2"/>
    <w:basedOn w:val="Normal"/>
    <w:next w:val="Normal"/>
    <w:autoRedefine/>
    <w:uiPriority w:val="39"/>
    <w:unhideWhenUsed/>
    <w:rsid w:val="000E7014"/>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0E7014"/>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0E7014"/>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0E7014"/>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0E7014"/>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0E7014"/>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0E7014"/>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0E7014"/>
    <w:pPr>
      <w:ind w:left="1920"/>
      <w:jc w:val="left"/>
    </w:pPr>
    <w:rPr>
      <w:rFonts w:asciiTheme="minorHAnsi" w:hAnsiTheme="minorHAnsi"/>
      <w:sz w:val="20"/>
      <w:szCs w:val="20"/>
    </w:rPr>
  </w:style>
  <w:style w:type="character" w:styleId="PageNumber">
    <w:name w:val="page number"/>
    <w:basedOn w:val="DefaultParagraphFont"/>
    <w:uiPriority w:val="99"/>
    <w:semiHidden/>
    <w:unhideWhenUsed/>
    <w:rsid w:val="000E7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hyperlink" Target="https://www.sciencedirect.com/science/article/pii/S1059056025001893" TargetMode="External"/><Relationship Id="rId39" Type="http://schemas.openxmlformats.org/officeDocument/2006/relationships/hyperlink" Target="https://celebesscholarpg.com/index.php/jommerce/article/view/118" TargetMode="External"/><Relationship Id="rId21" Type="http://schemas.openxmlformats.org/officeDocument/2006/relationships/hyperlink" Target="https://onlinelibrary.wiley.com/doi/abs/10.1111/jofi.13421" TargetMode="External"/><Relationship Id="rId34" Type="http://schemas.openxmlformats.org/officeDocument/2006/relationships/hyperlink" Target="https://search.proquest.com/openview/014567bbdc08579d33dde4b6dcaa8c5e/1?pq-origsite=gscholar&amp;cbl=33486" TargetMode="External"/><Relationship Id="rId42" Type="http://schemas.openxmlformats.org/officeDocument/2006/relationships/hyperlink" Target="https://dialnet.unirioja.es/servlet/articulo?codigo=10140898" TargetMode="External"/><Relationship Id="rId47" Type="http://schemas.openxmlformats.org/officeDocument/2006/relationships/hyperlink" Target="https://link.springer.com/article/10.1007/s43621-025-01348-w" TargetMode="External"/><Relationship Id="rId50" Type="http://schemas.openxmlformats.org/officeDocument/2006/relationships/image" Target="media/image3.png"/><Relationship Id="rId55"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hart" Target="charts/chart9.xml"/><Relationship Id="rId29" Type="http://schemas.openxmlformats.org/officeDocument/2006/relationships/hyperlink" Target="https://www.tandfonline.com/doi/abs/10.1080/00472778.2024.2435506" TargetMode="External"/><Relationship Id="rId11" Type="http://schemas.openxmlformats.org/officeDocument/2006/relationships/chart" Target="charts/chart4.xml"/><Relationship Id="rId24" Type="http://schemas.openxmlformats.org/officeDocument/2006/relationships/hyperlink" Target="https://academic.oup.com/rcfs/article-abstract/14/3/804/7639397" TargetMode="External"/><Relationship Id="rId32" Type="http://schemas.openxmlformats.org/officeDocument/2006/relationships/hyperlink" Target="https://www.shs-conferences.org/articles/shsconf/abs/2025/03/shsconf_icarsess2024_01001/shsconf_icarsess2024_01001.html" TargetMode="External"/><Relationship Id="rId37" Type="http://schemas.openxmlformats.org/officeDocument/2006/relationships/hyperlink" Target="https://www.um.edu.mt/library/oar/handle/123456789/135103" TargetMode="External"/><Relationship Id="rId40" Type="http://schemas.openxmlformats.org/officeDocument/2006/relationships/hyperlink" Target="https://repository.tcu.edu/items/4df2b5c9-79c0-4bf2-adeb-3e3c3e976dec" TargetMode="External"/><Relationship Id="rId45" Type="http://schemas.openxmlformats.org/officeDocument/2006/relationships/hyperlink" Target="https://papers.ssrn.com/sol3/papers.cfm?abstract_id=5241872" TargetMode="External"/><Relationship Id="rId53" Type="http://schemas.openxmlformats.org/officeDocument/2006/relationships/image" Target="media/image6.png"/><Relationship Id="rId58"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www.researchgate.net/profile/Farinu-Hamzah/publication/388653185_Legal_Mechanisms_for_Corporate_Restructuring_Understanding_the_Legal_Landscape_of_Mergers_Acquisitions_and_Bankruptcy_Proceedings/links/67a11bb396e7fb48b9b11dac/Legal-Mechanisms-for-Corporate-Restructuring-Understanding-the-Legal-Landscape-of-Mergers-Acquisitions-and-Bankruptcy-Proceedings.pdf" TargetMode="External"/><Relationship Id="rId14" Type="http://schemas.openxmlformats.org/officeDocument/2006/relationships/chart" Target="charts/chart7.xml"/><Relationship Id="rId22" Type="http://schemas.openxmlformats.org/officeDocument/2006/relationships/hyperlink" Target="https://onlinelibrary.wiley.com/doi/abs/10.1111/1475-679X.12576" TargetMode="External"/><Relationship Id="rId27" Type="http://schemas.openxmlformats.org/officeDocument/2006/relationships/hyperlink" Target="https://www.researchgate.net/profile/Kiuri-Daniel/publication/394538549_Corporate_Bankruptcy_Regulations_and_Their_Impact_on_Strategic_Financial_Restructuring_and_Continuity_Planning/links/68a3dd13ca495d76982df9e2/Corporate-Bankruptcy-Regulations-and-Their-Impact-on-Strategic-Financial-Restructuring-and-Continuity-Planning.pdf" TargetMode="External"/><Relationship Id="rId30" Type="http://schemas.openxmlformats.org/officeDocument/2006/relationships/hyperlink" Target="https://papers.ssrn.com/sol3/papers.cfm?abstract_id=5163829" TargetMode="External"/><Relationship Id="rId35" Type="http://schemas.openxmlformats.org/officeDocument/2006/relationships/hyperlink" Target="https://www.journal.seisense.com/jom/article/view/1156" TargetMode="External"/><Relationship Id="rId43" Type="http://schemas.openxmlformats.org/officeDocument/2006/relationships/hyperlink" Target="http://iajournals.org/articles/iajef_v5_i1_59_72.pdf" TargetMode="External"/><Relationship Id="rId48" Type="http://schemas.openxmlformats.org/officeDocument/2006/relationships/hyperlink" Target="https://www.businessperspectives.org/images/pdf/applications/publishing/templates/article/assets/21646/IMFI_2025_01_Tran.pdf" TargetMode="External"/><Relationship Id="rId56" Type="http://schemas.openxmlformats.org/officeDocument/2006/relationships/header" Target="header2.xml"/><Relationship Id="rId8" Type="http://schemas.openxmlformats.org/officeDocument/2006/relationships/chart" Target="charts/chart1.xml"/><Relationship Id="rId51"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yperlink" Target="https://papers.ssrn.com/sol3/papers.cfm?abstract_id=3183777" TargetMode="External"/><Relationship Id="rId33" Type="http://schemas.openxmlformats.org/officeDocument/2006/relationships/hyperlink" Target="https://policyjournalofms.com/index.php/6/article/view/844" TargetMode="External"/><Relationship Id="rId38" Type="http://schemas.openxmlformats.org/officeDocument/2006/relationships/hyperlink" Target="https://www.mdpi.com/2076-3387/15/2/63" TargetMode="External"/><Relationship Id="rId46" Type="http://schemas.openxmlformats.org/officeDocument/2006/relationships/hyperlink" Target="https://arxiv.org/abs/2512.02510" TargetMode="External"/><Relationship Id="rId59" Type="http://schemas.openxmlformats.org/officeDocument/2006/relationships/header" Target="header3.xml"/><Relationship Id="rId20" Type="http://schemas.openxmlformats.org/officeDocument/2006/relationships/hyperlink" Target="https://www.sciencedirect.com/science/article/pii/S0929119925001634" TargetMode="External"/><Relationship Id="rId41" Type="http://schemas.openxmlformats.org/officeDocument/2006/relationships/hyperlink" Target="https://academicjournals.org/journal/AJBM/article-full-text-pdf/E0D6A9772978" TargetMode="External"/><Relationship Id="rId54" Type="http://schemas.openxmlformats.org/officeDocument/2006/relationships/image" Target="media/image7.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chart" Target="charts/chart8.xml"/><Relationship Id="rId23" Type="http://schemas.openxmlformats.org/officeDocument/2006/relationships/hyperlink" Target="https://papers.ssrn.com/sol3/papers.cfm?abstract_id=5086421" TargetMode="External"/><Relationship Id="rId28" Type="http://schemas.openxmlformats.org/officeDocument/2006/relationships/hyperlink" Target="https://seajbel.com/wp-content/uploads/2025/02/SEAJBEL32_209.pdf" TargetMode="External"/><Relationship Id="rId36" Type="http://schemas.openxmlformats.org/officeDocument/2006/relationships/hyperlink" Target="https://www.tandfonline.com/doi/abs/10.1080/23322039.2025.2521466" TargetMode="External"/><Relationship Id="rId49" Type="http://schemas.openxmlformats.org/officeDocument/2006/relationships/image" Target="media/image2.png"/><Relationship Id="rId57" Type="http://schemas.openxmlformats.org/officeDocument/2006/relationships/footer" Target="footer1.xml"/><Relationship Id="rId10" Type="http://schemas.openxmlformats.org/officeDocument/2006/relationships/chart" Target="charts/chart3.xml"/><Relationship Id="rId31" Type="http://schemas.openxmlformats.org/officeDocument/2006/relationships/hyperlink" Target="https://pubsonline.informs.org/doi/abs/10.1287/mnsc.2022.01831" TargetMode="External"/><Relationship Id="rId44" Type="http://schemas.openxmlformats.org/officeDocument/2006/relationships/hyperlink" Target="https://papers.ssrn.com/sol3/papers.cfm?abstract_id=5348941" TargetMode="External"/><Relationship Id="rId52" Type="http://schemas.openxmlformats.org/officeDocument/2006/relationships/image" Target="media/image5.png"/><Relationship Id="rId6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chart" Target="charts/chart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oleObject" Target="file:///\\Users\Freelance\2025\Damini\Dec\09\RW1\BR-AP233%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Freelance\2025\Damini\Dec\09\RW1\BR-AP233%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Freelance\2025\Damini\Dec\09\RW1\BR-AP233%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Freelance\2025\Damini\Dec\09\RW1\BR-AP233%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Freelance\2025\Damini\Dec\09\RW1\BR-AP233%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Freelance\2025\Damini\Dec\09\RW1\BR-AP233%20(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Freelance\2025\Damini\Dec\09\RW1\BR-AP233%20(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Freelance\2025\Damini\Dec\09\RW1\BR-AP233%20(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Freelance\2025\Damini\Dec\09\RW1\BR-AP233%20(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Freelance\2025\Damini\Dec\09\RW1\BR-AP233%20(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Freelance\2025\Damini\Dec\09\RW1\BR-AP233%20(1).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'/Users/Freelance/2025/Damini/Dec/09/RW/[BR-AP230 (1).xlsx]Ratios'!$A$2</c:f>
              <c:strCache>
                <c:ptCount val="1"/>
                <c:pt idx="0">
                  <c:v>Gross Margin</c:v>
                </c:pt>
              </c:strCache>
            </c:strRef>
          </c:tx>
          <c:spPr>
            <a:solidFill>
              <a:schemeClr val="accent6"/>
            </a:solidFill>
            <a:ln>
              <a:noFill/>
            </a:ln>
            <a:effectLst/>
          </c:spPr>
          <c:invertIfNegative val="0"/>
          <c:cat>
            <c:strRef>
              <c:f>'/Users/Freelance/2025/Damini/Dec/09/RW/[BR-AP230 (1).xlsx]Ratios'!$B$1:$F$1</c:f>
              <c:strCache>
                <c:ptCount val="5"/>
                <c:pt idx="0">
                  <c:v>2024</c:v>
                </c:pt>
                <c:pt idx="1">
                  <c:v>2023</c:v>
                </c:pt>
                <c:pt idx="2">
                  <c:v>2022</c:v>
                </c:pt>
                <c:pt idx="3">
                  <c:v>2021</c:v>
                </c:pt>
                <c:pt idx="4">
                  <c:v>2020</c:v>
                </c:pt>
              </c:strCache>
            </c:strRef>
          </c:cat>
          <c:val>
            <c:numRef>
              <c:f>'/Users/Freelance/2025/Damini/Dec/09/RW/[BR-AP230 (1).xlsx]Ratios'!$B$2:$F$2</c:f>
              <c:numCache>
                <c:formatCode>General</c:formatCode>
                <c:ptCount val="5"/>
                <c:pt idx="0">
                  <c:v>0.28868083640811487</c:v>
                </c:pt>
                <c:pt idx="1">
                  <c:v>0.23203324002216635</c:v>
                </c:pt>
                <c:pt idx="2">
                  <c:v>0.28059275800505207</c:v>
                </c:pt>
                <c:pt idx="3">
                  <c:v>0.28759212901552855</c:v>
                </c:pt>
                <c:pt idx="4">
                  <c:v>0.28674432224897506</c:v>
                </c:pt>
              </c:numCache>
            </c:numRef>
          </c:val>
          <c:extLst>
            <c:ext xmlns:c16="http://schemas.microsoft.com/office/drawing/2014/chart" uri="{C3380CC4-5D6E-409C-BE32-E72D297353CC}">
              <c16:uniqueId val="{00000000-1996-D04C-8E74-E8541D90A5B4}"/>
            </c:ext>
          </c:extLst>
        </c:ser>
        <c:dLbls>
          <c:showLegendKey val="0"/>
          <c:showVal val="0"/>
          <c:showCatName val="0"/>
          <c:showSerName val="0"/>
          <c:showPercent val="0"/>
          <c:showBubbleSize val="0"/>
        </c:dLbls>
        <c:gapWidth val="247"/>
        <c:overlap val="-58"/>
        <c:axId val="1756895072"/>
        <c:axId val="1838775168"/>
      </c:barChart>
      <c:catAx>
        <c:axId val="175689507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838775168"/>
        <c:crosses val="autoZero"/>
        <c:auto val="1"/>
        <c:lblAlgn val="ctr"/>
        <c:lblOffset val="100"/>
        <c:noMultiLvlLbl val="0"/>
      </c:catAx>
      <c:valAx>
        <c:axId val="183877516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756895072"/>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'/Users/Freelance/2025/Damini/Dec/09/RW/[BR-AP230 (1).xlsx]Ratios'!$A$3</c:f>
              <c:strCache>
                <c:ptCount val="1"/>
                <c:pt idx="0">
                  <c:v>Operating Margin</c:v>
                </c:pt>
              </c:strCache>
            </c:strRef>
          </c:tx>
          <c:spPr>
            <a:solidFill>
              <a:schemeClr val="accent6"/>
            </a:solidFill>
            <a:ln>
              <a:noFill/>
            </a:ln>
            <a:effectLst/>
          </c:spPr>
          <c:invertIfNegative val="0"/>
          <c:cat>
            <c:strRef>
              <c:f>'/Users/Freelance/2025/Damini/Dec/09/RW/[BR-AP230 (1).xlsx]Ratios'!$B$1:$F$1</c:f>
              <c:strCache>
                <c:ptCount val="5"/>
                <c:pt idx="0">
                  <c:v>2024</c:v>
                </c:pt>
                <c:pt idx="1">
                  <c:v>2023</c:v>
                </c:pt>
                <c:pt idx="2">
                  <c:v>2022</c:v>
                </c:pt>
                <c:pt idx="3">
                  <c:v>2021</c:v>
                </c:pt>
                <c:pt idx="4">
                  <c:v>2020</c:v>
                </c:pt>
              </c:strCache>
            </c:strRef>
          </c:cat>
          <c:val>
            <c:numRef>
              <c:f>'/Users/Freelance/2025/Damini/Dec/09/RW/[BR-AP230 (1).xlsx]Ratios'!$B$3:$F$3</c:f>
              <c:numCache>
                <c:formatCode>General</c:formatCode>
                <c:ptCount val="5"/>
                <c:pt idx="0">
                  <c:v>-3.8738448993235905E-2</c:v>
                </c:pt>
                <c:pt idx="1">
                  <c:v>-0.20287686969178775</c:v>
                </c:pt>
                <c:pt idx="2">
                  <c:v>2.6804188292605634E-2</c:v>
                </c:pt>
                <c:pt idx="3">
                  <c:v>3.8651799694814845E-2</c:v>
                </c:pt>
                <c:pt idx="4">
                  <c:v>6.0628294397084663E-2</c:v>
                </c:pt>
              </c:numCache>
            </c:numRef>
          </c:val>
          <c:extLst>
            <c:ext xmlns:c16="http://schemas.microsoft.com/office/drawing/2014/chart" uri="{C3380CC4-5D6E-409C-BE32-E72D297353CC}">
              <c16:uniqueId val="{00000000-A0A6-FF47-89B7-764748C8F694}"/>
            </c:ext>
          </c:extLst>
        </c:ser>
        <c:dLbls>
          <c:showLegendKey val="0"/>
          <c:showVal val="0"/>
          <c:showCatName val="0"/>
          <c:showSerName val="0"/>
          <c:showPercent val="0"/>
          <c:showBubbleSize val="0"/>
        </c:dLbls>
        <c:gapWidth val="247"/>
        <c:overlap val="-58"/>
        <c:axId val="254094496"/>
        <c:axId val="254002832"/>
      </c:barChart>
      <c:catAx>
        <c:axId val="25409449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4002832"/>
        <c:crosses val="autoZero"/>
        <c:auto val="1"/>
        <c:lblAlgn val="ctr"/>
        <c:lblOffset val="100"/>
        <c:noMultiLvlLbl val="0"/>
      </c:catAx>
      <c:valAx>
        <c:axId val="25400283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409449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'/Users/Freelance/2025/Damini/Dec/09/RW/[BR-AP230 (1).xlsx]Ratios'!$A$4</c:f>
              <c:strCache>
                <c:ptCount val="1"/>
                <c:pt idx="0">
                  <c:v>Net Margin</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'/Users/Freelance/2025/Damini/Dec/09/RW/[BR-AP230 (1).xlsx]Ratios'!$B$1:$F$1</c:f>
              <c:strCache>
                <c:ptCount val="5"/>
                <c:pt idx="0">
                  <c:v>2024</c:v>
                </c:pt>
                <c:pt idx="1">
                  <c:v>2023</c:v>
                </c:pt>
                <c:pt idx="2">
                  <c:v>2022</c:v>
                </c:pt>
                <c:pt idx="3">
                  <c:v>2021</c:v>
                </c:pt>
                <c:pt idx="4">
                  <c:v>2020</c:v>
                </c:pt>
              </c:strCache>
            </c:strRef>
          </c:cat>
          <c:val>
            <c:numRef>
              <c:f>'/Users/Freelance/2025/Damini/Dec/09/RW/[BR-AP230 (1).xlsx]Ratios'!$B$4:$F$4</c:f>
              <c:numCache>
                <c:formatCode>General</c:formatCode>
                <c:ptCount val="5"/>
                <c:pt idx="0">
                  <c:v>-6.0851551994408414E-2</c:v>
                </c:pt>
                <c:pt idx="1">
                  <c:v>-0.23364577114901167</c:v>
                </c:pt>
                <c:pt idx="2">
                  <c:v>7.4988346405626153E-4</c:v>
                </c:pt>
                <c:pt idx="3">
                  <c:v>8.8114733661124791E-3</c:v>
                </c:pt>
                <c:pt idx="4">
                  <c:v>6.2751350296089026E-2</c:v>
                </c:pt>
              </c:numCache>
            </c:numRef>
          </c:val>
          <c:extLst>
            <c:ext xmlns:c16="http://schemas.microsoft.com/office/drawing/2014/chart" uri="{C3380CC4-5D6E-409C-BE32-E72D297353CC}">
              <c16:uniqueId val="{00000000-C23C-5B42-9493-1C7AA91ABB22}"/>
            </c:ext>
          </c:extLst>
        </c:ser>
        <c:dLbls>
          <c:dLblPos val="outEnd"/>
          <c:showLegendKey val="0"/>
          <c:showVal val="1"/>
          <c:showCatName val="0"/>
          <c:showSerName val="0"/>
          <c:showPercent val="0"/>
          <c:showBubbleSize val="0"/>
        </c:dLbls>
        <c:gapWidth val="267"/>
        <c:overlap val="-43"/>
        <c:axId val="2076510768"/>
        <c:axId val="2077990064"/>
      </c:barChart>
      <c:catAx>
        <c:axId val="207651076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77990064"/>
        <c:crosses val="autoZero"/>
        <c:auto val="1"/>
        <c:lblAlgn val="ctr"/>
        <c:lblOffset val="100"/>
        <c:noMultiLvlLbl val="0"/>
      </c:catAx>
      <c:valAx>
        <c:axId val="207799006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7651076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'/Users/Freelance/2025/Damini/Dec/09/RW/[BR-AP230 (1).xlsx]Ratios'!$A$5</c:f>
              <c:strCache>
                <c:ptCount val="1"/>
                <c:pt idx="0">
                  <c:v>Current Ratio</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'/Users/Freelance/2025/Damini/Dec/09/RW/[BR-AP230 (1).xlsx]Ratios'!$B$1:$F$1</c:f>
              <c:strCache>
                <c:ptCount val="5"/>
                <c:pt idx="0">
                  <c:v>2024</c:v>
                </c:pt>
                <c:pt idx="1">
                  <c:v>2023</c:v>
                </c:pt>
                <c:pt idx="2">
                  <c:v>2022</c:v>
                </c:pt>
                <c:pt idx="3">
                  <c:v>2021</c:v>
                </c:pt>
                <c:pt idx="4">
                  <c:v>2020</c:v>
                </c:pt>
              </c:strCache>
            </c:strRef>
          </c:cat>
          <c:val>
            <c:numRef>
              <c:f>'/Users/Freelance/2025/Damini/Dec/09/RW/[BR-AP230 (1).xlsx]Ratios'!$B$5:$F$5</c:f>
              <c:numCache>
                <c:formatCode>General</c:formatCode>
                <c:ptCount val="5"/>
                <c:pt idx="0">
                  <c:v>1.5319506478574272</c:v>
                </c:pt>
                <c:pt idx="1">
                  <c:v>1.6062935934668752</c:v>
                </c:pt>
                <c:pt idx="2">
                  <c:v>1.5615804280441441</c:v>
                </c:pt>
                <c:pt idx="3">
                  <c:v>1.5551947303113194</c:v>
                </c:pt>
                <c:pt idx="4">
                  <c:v>1.8207509330956493</c:v>
                </c:pt>
              </c:numCache>
            </c:numRef>
          </c:val>
          <c:extLst>
            <c:ext xmlns:c16="http://schemas.microsoft.com/office/drawing/2014/chart" uri="{C3380CC4-5D6E-409C-BE32-E72D297353CC}">
              <c16:uniqueId val="{00000000-0413-A84C-9E68-66190407F8AA}"/>
            </c:ext>
          </c:extLst>
        </c:ser>
        <c:dLbls>
          <c:dLblPos val="outEnd"/>
          <c:showLegendKey val="0"/>
          <c:showVal val="1"/>
          <c:showCatName val="0"/>
          <c:showSerName val="0"/>
          <c:showPercent val="0"/>
          <c:showBubbleSize val="0"/>
        </c:dLbls>
        <c:gapWidth val="267"/>
        <c:overlap val="-43"/>
        <c:axId val="2026952368"/>
        <c:axId val="2027628672"/>
      </c:barChart>
      <c:catAx>
        <c:axId val="202695236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27628672"/>
        <c:crosses val="autoZero"/>
        <c:auto val="1"/>
        <c:lblAlgn val="ctr"/>
        <c:lblOffset val="100"/>
        <c:noMultiLvlLbl val="0"/>
      </c:catAx>
      <c:valAx>
        <c:axId val="202762867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2695236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'/Users/Freelance/2025/Damini/Dec/09/RW/[BR-AP230 (1).xlsx]Ratios'!$A$6</c:f>
              <c:strCache>
                <c:ptCount val="1"/>
                <c:pt idx="0">
                  <c:v>Quick Ratio</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'/Users/Freelance/2025/Damini/Dec/09/RW/[BR-AP230 (1).xlsx]Ratios'!$B$1:$F$1</c:f>
              <c:strCache>
                <c:ptCount val="5"/>
                <c:pt idx="0">
                  <c:v>2024</c:v>
                </c:pt>
                <c:pt idx="1">
                  <c:v>2023</c:v>
                </c:pt>
                <c:pt idx="2">
                  <c:v>2022</c:v>
                </c:pt>
                <c:pt idx="3">
                  <c:v>2021</c:v>
                </c:pt>
                <c:pt idx="4">
                  <c:v>2020</c:v>
                </c:pt>
              </c:strCache>
            </c:strRef>
          </c:cat>
          <c:val>
            <c:numRef>
              <c:f>'/Users/Freelance/2025/Damini/Dec/09/RW/[BR-AP230 (1).xlsx]Ratios'!$B$6:$F$6</c:f>
              <c:numCache>
                <c:formatCode>General</c:formatCode>
                <c:ptCount val="5"/>
                <c:pt idx="0">
                  <c:v>1.0306271360974408</c:v>
                </c:pt>
                <c:pt idx="1">
                  <c:v>1.0585176359619728</c:v>
                </c:pt>
                <c:pt idx="2">
                  <c:v>0.9140123710578224</c:v>
                </c:pt>
                <c:pt idx="3">
                  <c:v>0.93491307135575474</c:v>
                </c:pt>
                <c:pt idx="4">
                  <c:v>1.1498690880730877</c:v>
                </c:pt>
              </c:numCache>
            </c:numRef>
          </c:val>
          <c:extLst>
            <c:ext xmlns:c16="http://schemas.microsoft.com/office/drawing/2014/chart" uri="{C3380CC4-5D6E-409C-BE32-E72D297353CC}">
              <c16:uniqueId val="{00000000-29EF-5A43-8B13-7D437FF64BA7}"/>
            </c:ext>
          </c:extLst>
        </c:ser>
        <c:dLbls>
          <c:dLblPos val="outEnd"/>
          <c:showLegendKey val="0"/>
          <c:showVal val="1"/>
          <c:showCatName val="0"/>
          <c:showSerName val="0"/>
          <c:showPercent val="0"/>
          <c:showBubbleSize val="0"/>
        </c:dLbls>
        <c:gapWidth val="267"/>
        <c:overlap val="-43"/>
        <c:axId val="253959392"/>
        <c:axId val="253832048"/>
      </c:barChart>
      <c:catAx>
        <c:axId val="25395939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3832048"/>
        <c:crosses val="autoZero"/>
        <c:auto val="1"/>
        <c:lblAlgn val="ctr"/>
        <c:lblOffset val="100"/>
        <c:noMultiLvlLbl val="0"/>
      </c:catAx>
      <c:valAx>
        <c:axId val="25383204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3959392"/>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'/Users/Freelance/2025/Damini/Dec/09/RW/[BR-AP230 (1).xlsx]Ratios'!$A$7</c:f>
              <c:strCache>
                <c:ptCount val="1"/>
                <c:pt idx="0">
                  <c:v>Inventory Days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'/Users/Freelance/2025/Damini/Dec/09/RW/[BR-AP230 (1).xlsx]Ratios'!$B$1:$F$1</c:f>
              <c:strCache>
                <c:ptCount val="5"/>
                <c:pt idx="0">
                  <c:v>2024</c:v>
                </c:pt>
                <c:pt idx="1">
                  <c:v>2023</c:v>
                </c:pt>
                <c:pt idx="2">
                  <c:v>2022</c:v>
                </c:pt>
                <c:pt idx="3">
                  <c:v>2021</c:v>
                </c:pt>
                <c:pt idx="4">
                  <c:v>2020</c:v>
                </c:pt>
              </c:strCache>
            </c:strRef>
          </c:cat>
          <c:val>
            <c:numRef>
              <c:f>'/Users/Freelance/2025/Damini/Dec/09/RW/[BR-AP230 (1).xlsx]Ratios'!$B$7:$F$7</c:f>
              <c:numCache>
                <c:formatCode>General</c:formatCode>
                <c:ptCount val="5"/>
                <c:pt idx="0">
                  <c:v>73.350507370612263</c:v>
                </c:pt>
                <c:pt idx="1">
                  <c:v>76.63005967316515</c:v>
                </c:pt>
                <c:pt idx="2">
                  <c:v>94.271710231763748</c:v>
                </c:pt>
                <c:pt idx="3">
                  <c:v>81.584145331963654</c:v>
                </c:pt>
                <c:pt idx="4">
                  <c:v>71.511924904015089</c:v>
                </c:pt>
              </c:numCache>
            </c:numRef>
          </c:val>
          <c:extLst>
            <c:ext xmlns:c16="http://schemas.microsoft.com/office/drawing/2014/chart" uri="{C3380CC4-5D6E-409C-BE32-E72D297353CC}">
              <c16:uniqueId val="{00000000-1CF8-0144-B2CB-854C9AA56404}"/>
            </c:ext>
          </c:extLst>
        </c:ser>
        <c:dLbls>
          <c:dLblPos val="outEnd"/>
          <c:showLegendKey val="0"/>
          <c:showVal val="1"/>
          <c:showCatName val="0"/>
          <c:showSerName val="0"/>
          <c:showPercent val="0"/>
          <c:showBubbleSize val="0"/>
        </c:dLbls>
        <c:gapWidth val="267"/>
        <c:overlap val="-43"/>
        <c:axId val="2095105680"/>
        <c:axId val="2096087056"/>
      </c:barChart>
      <c:catAx>
        <c:axId val="209510568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96087056"/>
        <c:crosses val="autoZero"/>
        <c:auto val="1"/>
        <c:lblAlgn val="ctr"/>
        <c:lblOffset val="100"/>
        <c:noMultiLvlLbl val="0"/>
      </c:catAx>
      <c:valAx>
        <c:axId val="209608705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95105680"/>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'/Users/Freelance/2025/Damini/Dec/09/RW/[BR-AP230 (1).xlsx]Ratios'!$A$8</c:f>
              <c:strCache>
                <c:ptCount val="1"/>
                <c:pt idx="0">
                  <c:v>Receivable Days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'/Users/Freelance/2025/Damini/Dec/09/RW/[BR-AP230 (1).xlsx]Ratios'!$B$1:$F$1</c:f>
              <c:strCache>
                <c:ptCount val="5"/>
                <c:pt idx="0">
                  <c:v>2024</c:v>
                </c:pt>
                <c:pt idx="1">
                  <c:v>2023</c:v>
                </c:pt>
                <c:pt idx="2">
                  <c:v>2022</c:v>
                </c:pt>
                <c:pt idx="3">
                  <c:v>2021</c:v>
                </c:pt>
                <c:pt idx="4">
                  <c:v>2020</c:v>
                </c:pt>
              </c:strCache>
            </c:strRef>
          </c:cat>
          <c:val>
            <c:numRef>
              <c:f>'/Users/Freelance/2025/Damini/Dec/09/RW/[BR-AP230 (1).xlsx]Ratios'!$B$8:$F$8</c:f>
              <c:numCache>
                <c:formatCode>General</c:formatCode>
                <c:ptCount val="5"/>
                <c:pt idx="0">
                  <c:v>105.54228004021485</c:v>
                </c:pt>
                <c:pt idx="1">
                  <c:v>97.744929921490183</c:v>
                </c:pt>
                <c:pt idx="2">
                  <c:v>75.552675167802548</c:v>
                </c:pt>
                <c:pt idx="3">
                  <c:v>78.396473083533635</c:v>
                </c:pt>
                <c:pt idx="4">
                  <c:v>76.857950478297639</c:v>
                </c:pt>
              </c:numCache>
            </c:numRef>
          </c:val>
          <c:extLst>
            <c:ext xmlns:c16="http://schemas.microsoft.com/office/drawing/2014/chart" uri="{C3380CC4-5D6E-409C-BE32-E72D297353CC}">
              <c16:uniqueId val="{00000000-E082-1F4B-BE84-FC3F3401F3A1}"/>
            </c:ext>
          </c:extLst>
        </c:ser>
        <c:dLbls>
          <c:dLblPos val="outEnd"/>
          <c:showLegendKey val="0"/>
          <c:showVal val="1"/>
          <c:showCatName val="0"/>
          <c:showSerName val="0"/>
          <c:showPercent val="0"/>
          <c:showBubbleSize val="0"/>
        </c:dLbls>
        <c:gapWidth val="267"/>
        <c:overlap val="-43"/>
        <c:axId val="1975155248"/>
        <c:axId val="489084432"/>
      </c:barChart>
      <c:catAx>
        <c:axId val="197515524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89084432"/>
        <c:crosses val="autoZero"/>
        <c:auto val="1"/>
        <c:lblAlgn val="ctr"/>
        <c:lblOffset val="100"/>
        <c:noMultiLvlLbl val="0"/>
      </c:catAx>
      <c:valAx>
        <c:axId val="48908443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97515524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'/Users/Freelance/2025/Damini/Dec/09/RW/[BR-AP230 (1).xlsx]Ratios'!$A$9</c:f>
              <c:strCache>
                <c:ptCount val="1"/>
                <c:pt idx="0">
                  <c:v>Payable Days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'/Users/Freelance/2025/Damini/Dec/09/RW/[BR-AP230 (1).xlsx]Ratios'!$B$1:$F$1</c:f>
              <c:strCache>
                <c:ptCount val="5"/>
                <c:pt idx="0">
                  <c:v>2024</c:v>
                </c:pt>
                <c:pt idx="1">
                  <c:v>2023</c:v>
                </c:pt>
                <c:pt idx="2">
                  <c:v>2022</c:v>
                </c:pt>
                <c:pt idx="3">
                  <c:v>2021</c:v>
                </c:pt>
                <c:pt idx="4">
                  <c:v>2020</c:v>
                </c:pt>
              </c:strCache>
            </c:strRef>
          </c:cat>
          <c:val>
            <c:numRef>
              <c:f>'/Users/Freelance/2025/Damini/Dec/09/RW/[BR-AP230 (1).xlsx]Ratios'!$B$9:$F$9</c:f>
              <c:numCache>
                <c:formatCode>General</c:formatCode>
                <c:ptCount val="5"/>
                <c:pt idx="0">
                  <c:v>66.580686742014649</c:v>
                </c:pt>
                <c:pt idx="1">
                  <c:v>49.510520695338641</c:v>
                </c:pt>
                <c:pt idx="2">
                  <c:v>47.998336253641178</c:v>
                </c:pt>
                <c:pt idx="3">
                  <c:v>56.246579964827248</c:v>
                </c:pt>
                <c:pt idx="4">
                  <c:v>49.421788572915986</c:v>
                </c:pt>
              </c:numCache>
            </c:numRef>
          </c:val>
          <c:extLst>
            <c:ext xmlns:c16="http://schemas.microsoft.com/office/drawing/2014/chart" uri="{C3380CC4-5D6E-409C-BE32-E72D297353CC}">
              <c16:uniqueId val="{00000000-7B26-344B-BA71-68D244B16CC8}"/>
            </c:ext>
          </c:extLst>
        </c:ser>
        <c:dLbls>
          <c:dLblPos val="inEnd"/>
          <c:showLegendKey val="0"/>
          <c:showVal val="1"/>
          <c:showCatName val="0"/>
          <c:showSerName val="0"/>
          <c:showPercent val="0"/>
          <c:showBubbleSize val="0"/>
        </c:dLbls>
        <c:gapWidth val="247"/>
        <c:overlap val="-58"/>
        <c:axId val="1995340672"/>
        <c:axId val="2023343328"/>
      </c:barChart>
      <c:catAx>
        <c:axId val="199534067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23343328"/>
        <c:crosses val="autoZero"/>
        <c:auto val="1"/>
        <c:lblAlgn val="ctr"/>
        <c:lblOffset val="100"/>
        <c:noMultiLvlLbl val="0"/>
      </c:catAx>
      <c:valAx>
        <c:axId val="202334332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995340672"/>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'/Users/Freelance/2025/Damini/Dec/09/RW/[BR-AP230 (1).xlsx]Ratios'!$A$10</c:f>
              <c:strCache>
                <c:ptCount val="1"/>
                <c:pt idx="0">
                  <c:v>ROA</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'/Users/Freelance/2025/Damini/Dec/09/RW/[BR-AP230 (1).xlsx]Ratios'!$B$1:$F$1</c:f>
              <c:strCache>
                <c:ptCount val="5"/>
                <c:pt idx="0">
                  <c:v>2024</c:v>
                </c:pt>
                <c:pt idx="1">
                  <c:v>2023</c:v>
                </c:pt>
                <c:pt idx="2">
                  <c:v>2022</c:v>
                </c:pt>
                <c:pt idx="3">
                  <c:v>2021</c:v>
                </c:pt>
                <c:pt idx="4">
                  <c:v>2020</c:v>
                </c:pt>
              </c:strCache>
            </c:strRef>
          </c:cat>
          <c:val>
            <c:numRef>
              <c:f>'/Users/Freelance/2025/Damini/Dec/09/RW/[BR-AP230 (1).xlsx]Ratios'!$B$10:$F$10</c:f>
              <c:numCache>
                <c:formatCode>General</c:formatCode>
                <c:ptCount val="5"/>
                <c:pt idx="0">
                  <c:v>-7.4311745022483097E-2</c:v>
                </c:pt>
                <c:pt idx="1">
                  <c:v>-0.27604869166441864</c:v>
                </c:pt>
                <c:pt idx="2">
                  <c:v>8.0727859838980649E-4</c:v>
                </c:pt>
                <c:pt idx="3">
                  <c:v>1.0387030026570106E-2</c:v>
                </c:pt>
                <c:pt idx="4">
                  <c:v>7.5588390914969925E-2</c:v>
                </c:pt>
              </c:numCache>
            </c:numRef>
          </c:val>
          <c:extLst>
            <c:ext xmlns:c16="http://schemas.microsoft.com/office/drawing/2014/chart" uri="{C3380CC4-5D6E-409C-BE32-E72D297353CC}">
              <c16:uniqueId val="{00000000-7B41-C24B-BEAE-11F5536D3197}"/>
            </c:ext>
          </c:extLst>
        </c:ser>
        <c:dLbls>
          <c:dLblPos val="outEnd"/>
          <c:showLegendKey val="0"/>
          <c:showVal val="1"/>
          <c:showCatName val="0"/>
          <c:showSerName val="0"/>
          <c:showPercent val="0"/>
          <c:showBubbleSize val="0"/>
        </c:dLbls>
        <c:gapWidth val="267"/>
        <c:overlap val="-43"/>
        <c:axId val="2078239728"/>
        <c:axId val="2074038208"/>
      </c:barChart>
      <c:catAx>
        <c:axId val="207823972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74038208"/>
        <c:crosses val="autoZero"/>
        <c:auto val="1"/>
        <c:lblAlgn val="ctr"/>
        <c:lblOffset val="100"/>
        <c:noMultiLvlLbl val="0"/>
      </c:catAx>
      <c:valAx>
        <c:axId val="20740382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7823972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'/Users/Freelance/2025/Damini/Dec/09/RW/[BR-AP230 (1).xlsx]Ratios'!$A$11</c:f>
              <c:strCache>
                <c:ptCount val="1"/>
                <c:pt idx="0">
                  <c:v>ROE</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'/Users/Freelance/2025/Damini/Dec/09/RW/[BR-AP230 (1).xlsx]Ratios'!$B$1:$F$1</c:f>
              <c:strCache>
                <c:ptCount val="5"/>
                <c:pt idx="0">
                  <c:v>2024</c:v>
                </c:pt>
                <c:pt idx="1">
                  <c:v>2023</c:v>
                </c:pt>
                <c:pt idx="2">
                  <c:v>2022</c:v>
                </c:pt>
                <c:pt idx="3">
                  <c:v>2021</c:v>
                </c:pt>
                <c:pt idx="4">
                  <c:v>2020</c:v>
                </c:pt>
              </c:strCache>
            </c:strRef>
          </c:cat>
          <c:val>
            <c:numRef>
              <c:f>'/Users/Freelance/2025/Damini/Dec/09/RW/[BR-AP230 (1).xlsx]Ratios'!$B$11:$F$11</c:f>
              <c:numCache>
                <c:formatCode>General</c:formatCode>
                <c:ptCount val="5"/>
                <c:pt idx="0">
                  <c:v>-0.1569445805166389</c:v>
                </c:pt>
                <c:pt idx="1">
                  <c:v>-0.54906103286384977</c:v>
                </c:pt>
                <c:pt idx="2">
                  <c:v>1.5163595448685946E-3</c:v>
                </c:pt>
                <c:pt idx="3">
                  <c:v>1.9210071426241804E-2</c:v>
                </c:pt>
                <c:pt idx="4">
                  <c:v>0.1231148320624575</c:v>
                </c:pt>
              </c:numCache>
            </c:numRef>
          </c:val>
          <c:extLst>
            <c:ext xmlns:c16="http://schemas.microsoft.com/office/drawing/2014/chart" uri="{C3380CC4-5D6E-409C-BE32-E72D297353CC}">
              <c16:uniqueId val="{00000000-E277-5A43-9F78-923CECDDE91F}"/>
            </c:ext>
          </c:extLst>
        </c:ser>
        <c:dLbls>
          <c:dLblPos val="outEnd"/>
          <c:showLegendKey val="0"/>
          <c:showVal val="1"/>
          <c:showCatName val="0"/>
          <c:showSerName val="0"/>
          <c:showPercent val="0"/>
          <c:showBubbleSize val="0"/>
        </c:dLbls>
        <c:gapWidth val="267"/>
        <c:overlap val="-43"/>
        <c:axId val="2083627344"/>
        <c:axId val="492302144"/>
      </c:barChart>
      <c:catAx>
        <c:axId val="20836273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92302144"/>
        <c:crosses val="autoZero"/>
        <c:auto val="1"/>
        <c:lblAlgn val="ctr"/>
        <c:lblOffset val="100"/>
        <c:noMultiLvlLbl val="0"/>
      </c:catAx>
      <c:valAx>
        <c:axId val="49230214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8362734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'/Users/Freelance/2025/Damini/Dec/09/RW/[BR-AP230 (1).xlsx]Ratios'!$A$12</c:f>
              <c:strCache>
                <c:ptCount val="1"/>
                <c:pt idx="0">
                  <c:v>Debt-to-Equity</c:v>
                </c:pt>
              </c:strCache>
            </c:strRef>
          </c:tx>
          <c:spPr>
            <a:solidFill>
              <a:schemeClr val="accent6"/>
            </a:solidFill>
            <a:ln>
              <a:noFill/>
            </a:ln>
            <a:effectLst/>
          </c:spPr>
          <c:invertIfNegative val="0"/>
          <c:cat>
            <c:strRef>
              <c:f>'/Users/Freelance/2025/Damini/Dec/09/RW/[BR-AP230 (1).xlsx]Ratios'!$B$1:$F$1</c:f>
              <c:strCache>
                <c:ptCount val="5"/>
                <c:pt idx="0">
                  <c:v>2024</c:v>
                </c:pt>
                <c:pt idx="1">
                  <c:v>2023</c:v>
                </c:pt>
                <c:pt idx="2">
                  <c:v>2022</c:v>
                </c:pt>
                <c:pt idx="3">
                  <c:v>2021</c:v>
                </c:pt>
                <c:pt idx="4">
                  <c:v>2020</c:v>
                </c:pt>
              </c:strCache>
            </c:strRef>
          </c:cat>
          <c:val>
            <c:numRef>
              <c:f>'/Users/Freelance/2025/Damini/Dec/09/RW/[BR-AP230 (1).xlsx]Ratios'!$B$12:$F$12</c:f>
              <c:numCache>
                <c:formatCode>General</c:formatCode>
                <c:ptCount val="5"/>
                <c:pt idx="0">
                  <c:v>1.1119754416903431</c:v>
                </c:pt>
                <c:pt idx="1">
                  <c:v>0.98900067069081155</c:v>
                </c:pt>
                <c:pt idx="2">
                  <c:v>0.87835964918817011</c:v>
                </c:pt>
                <c:pt idx="3">
                  <c:v>0.84942869878129657</c:v>
                </c:pt>
                <c:pt idx="4">
                  <c:v>0.62875317984941004</c:v>
                </c:pt>
              </c:numCache>
            </c:numRef>
          </c:val>
          <c:extLst>
            <c:ext xmlns:c16="http://schemas.microsoft.com/office/drawing/2014/chart" uri="{C3380CC4-5D6E-409C-BE32-E72D297353CC}">
              <c16:uniqueId val="{00000000-473D-E246-A88F-934766E8B698}"/>
            </c:ext>
          </c:extLst>
        </c:ser>
        <c:dLbls>
          <c:showLegendKey val="0"/>
          <c:showVal val="0"/>
          <c:showCatName val="0"/>
          <c:showSerName val="0"/>
          <c:showPercent val="0"/>
          <c:showBubbleSize val="0"/>
        </c:dLbls>
        <c:gapWidth val="247"/>
        <c:overlap val="-58"/>
        <c:axId val="2094396192"/>
        <c:axId val="2101626848"/>
      </c:barChart>
      <c:catAx>
        <c:axId val="20943961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101626848"/>
        <c:crosses val="autoZero"/>
        <c:auto val="1"/>
        <c:lblAlgn val="ctr"/>
        <c:lblOffset val="100"/>
        <c:noMultiLvlLbl val="0"/>
      </c:catAx>
      <c:valAx>
        <c:axId val="210162684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94396192"/>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6">
  <a:schemeClr val="accent6"/>
</cs:colorStyle>
</file>

<file path=word/charts/colors2.xml><?xml version="1.0" encoding="utf-8"?>
<cs:colorStyle xmlns:cs="http://schemas.microsoft.com/office/drawing/2012/chartStyle" xmlns:a="http://schemas.openxmlformats.org/drawingml/2006/main" meth="withinLinear" id="19">
  <a:schemeClr val="accent6"/>
</cs:colorStyle>
</file>

<file path=word/charts/colors3.xml><?xml version="1.0" encoding="utf-8"?>
<cs:colorStyle xmlns:cs="http://schemas.microsoft.com/office/drawing/2012/chartStyle" xmlns:a="http://schemas.openxmlformats.org/drawingml/2006/main" meth="withinLinear" id="19">
  <a:schemeClr val="accent6"/>
</cs:colorStyle>
</file>

<file path=word/charts/colors4.xml><?xml version="1.0" encoding="utf-8"?>
<cs:colorStyle xmlns:cs="http://schemas.microsoft.com/office/drawing/2012/chartStyle" xmlns:a="http://schemas.openxmlformats.org/drawingml/2006/main" meth="withinLinear" id="19">
  <a:schemeClr val="accent6"/>
</cs:colorStyle>
</file>

<file path=word/charts/colors5.xml><?xml version="1.0" encoding="utf-8"?>
<cs:colorStyle xmlns:cs="http://schemas.microsoft.com/office/drawing/2012/chartStyle" xmlns:a="http://schemas.openxmlformats.org/drawingml/2006/main" meth="withinLinear" id="19">
  <a:schemeClr val="accent6"/>
</cs:colorStyle>
</file>

<file path=word/charts/colors6.xml><?xml version="1.0" encoding="utf-8"?>
<cs:colorStyle xmlns:cs="http://schemas.microsoft.com/office/drawing/2012/chartStyle" xmlns:a="http://schemas.openxmlformats.org/drawingml/2006/main" meth="withinLinear" id="19">
  <a:schemeClr val="accent6"/>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withinLinear" id="19">
  <a:schemeClr val="accent6"/>
</cs:colorStyle>
</file>

<file path=word/charts/colors10.xml><?xml version="1.0" encoding="utf-8"?>
<cs:colorStyle xmlns:cs="http://schemas.microsoft.com/office/drawing/2012/chartStyle" xmlns:a="http://schemas.openxmlformats.org/drawingml/2006/main" meth="withinLinear" id="19">
  <a:schemeClr val="accent6"/>
</cs:colorStyle>
</file>

<file path=word/charts/colors11.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9.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0.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76FEF-F0B4-924D-A9BF-C1E0CD37F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8171</Words>
  <Characters>46579</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YASHKUMAR</dc:creator>
  <cp:lastModifiedBy>PREMIUM</cp:lastModifiedBy>
  <cp:revision>2</cp:revision>
  <dcterms:created xsi:type="dcterms:W3CDTF">2025-12-20T14:24:00Z</dcterms:created>
  <dcterms:modified xsi:type="dcterms:W3CDTF">2025-12-20T14:24:00Z</dcterms:modified>
</cp:coreProperties>
</file>