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center"/>
        <w:rPr>
          <w:rStyle w:val="None"/>
          <w:rFonts w:ascii="Times New Roman" w:hAnsi="Times New Roman"/>
          <w:sz w:val="18"/>
          <w:szCs w:val="18"/>
          <w:u w:color="000000"/>
          <w:rtl w:val="0"/>
          <w:lang w:val="en-US"/>
        </w:rPr>
      </w:pPr>
      <w:r>
        <w:rPr>
          <w:rStyle w:val="None"/>
          <w:rFonts w:ascii="Times New Roman" w:hAnsi="Times New Roman"/>
          <w:sz w:val="18"/>
          <w:szCs w:val="18"/>
          <w:u w:color="000000"/>
          <w:rtl w:val="0"/>
          <w:lang w:val="en-US"/>
        </w:rPr>
        <w:drawing xmlns:a="http://schemas.openxmlformats.org/drawingml/2006/main">
          <wp:inline distT="0" distB="0" distL="0" distR="0">
            <wp:extent cx="2242763" cy="894081"/>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4">
                      <a:extLst/>
                    </a:blip>
                    <a:stretch>
                      <a:fillRect/>
                    </a:stretch>
                  </pic:blipFill>
                  <pic:spPr>
                    <a:xfrm>
                      <a:off x="0" y="0"/>
                      <a:ext cx="2242763" cy="894081"/>
                    </a:xfrm>
                    <a:prstGeom prst="rect">
                      <a:avLst/>
                    </a:prstGeom>
                    <a:ln w="12700" cap="flat">
                      <a:noFill/>
                      <a:miter lim="400000"/>
                    </a:ln>
                    <a:effectLst/>
                  </pic:spPr>
                </pic:pic>
              </a:graphicData>
            </a:graphic>
          </wp:inline>
        </w:drawing>
      </w:r>
    </w:p>
    <w:p>
      <w:pPr>
        <w:pStyle w:val="Body"/>
        <w:bidi w:val="0"/>
        <w:ind w:left="0" w:right="0" w:firstLine="0"/>
        <w:jc w:val="center"/>
        <w:rPr>
          <w:rStyle w:val="None"/>
          <w:rFonts w:ascii="Arial" w:hAnsi="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Style w:val="None"/>
          <w:rFonts w:ascii="Arial" w:hAnsi="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Style w:val="None"/>
          <w:rFonts w:ascii="Arial" w:cs="Arial" w:hAnsi="Arial" w:eastAsia="Arial"/>
          <w:b w:val="1"/>
          <w:bCs w:val="1"/>
          <w:outline w:val="0"/>
          <w:color w:val="000000"/>
          <w:sz w:val="28"/>
          <w:szCs w:val="28"/>
          <w:u w:color="000000"/>
          <w:rtl w:val="0"/>
          <w:lang w:val="en-US"/>
          <w14:textFill>
            <w14:solidFill>
              <w14:srgbClr w14:val="000000"/>
            </w14:solidFill>
          </w14:textFill>
        </w:rPr>
      </w:pPr>
      <w:r>
        <w:rPr>
          <w:rStyle w:val="None"/>
          <w:rFonts w:ascii="Arial" w:hAnsi="Arial"/>
          <w:b w:val="1"/>
          <w:bCs w:val="1"/>
          <w:outline w:val="0"/>
          <w:color w:val="000000"/>
          <w:sz w:val="28"/>
          <w:szCs w:val="28"/>
          <w:u w:color="000000"/>
          <w:rtl w:val="0"/>
          <w:lang w:val="en-US"/>
          <w14:textFill>
            <w14:solidFill>
              <w14:srgbClr w14:val="000000"/>
            </w14:solidFill>
          </w14:textFill>
        </w:rPr>
        <w:t>University of Wales Trinity St Davids, Swansea</w:t>
      </w:r>
    </w:p>
    <w:p>
      <w:pPr>
        <w:pStyle w:val="Body"/>
        <w:bidi w:val="0"/>
        <w:ind w:left="0" w:right="0" w:firstLine="0"/>
        <w:jc w:val="center"/>
        <w:rPr>
          <w:rStyle w:val="None"/>
          <w:rFonts w:ascii="Arial" w:cs="Arial" w:hAnsi="Arial" w:eastAsia="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Style w:val="None"/>
          <w:rFonts w:ascii="Arial" w:cs="Arial" w:hAnsi="Arial" w:eastAsia="Arial"/>
          <w:b w:val="1"/>
          <w:bCs w:val="1"/>
          <w:outline w:val="0"/>
          <w:color w:val="000000"/>
          <w:sz w:val="28"/>
          <w:szCs w:val="28"/>
          <w:u w:color="000000"/>
          <w:rtl w:val="0"/>
          <w:lang w:val="en-US"/>
          <w14:textFill>
            <w14:solidFill>
              <w14:srgbClr w14:val="000000"/>
            </w14:solidFill>
          </w14:textFill>
        </w:rPr>
      </w:pPr>
      <w:r>
        <w:rPr>
          <w:rStyle w:val="None"/>
          <w:rFonts w:ascii="Arial" w:hAnsi="Arial"/>
          <w:b w:val="1"/>
          <w:bCs w:val="1"/>
          <w:outline w:val="0"/>
          <w:color w:val="000000"/>
          <w:sz w:val="28"/>
          <w:szCs w:val="28"/>
          <w:u w:color="000000"/>
          <w:rtl w:val="0"/>
          <w:lang w:val="en-US"/>
          <w14:textFill>
            <w14:solidFill>
              <w14:srgbClr w14:val="000000"/>
            </w14:solidFill>
          </w14:textFill>
        </w:rPr>
        <w:t>Research on ageing-friendly barrier-free experience design</w:t>
      </w:r>
    </w:p>
    <w:p>
      <w:pPr>
        <w:pStyle w:val="Body"/>
        <w:bidi w:val="0"/>
        <w:ind w:left="0" w:right="0" w:firstLine="0"/>
        <w:jc w:val="left"/>
        <w:rPr>
          <w:rStyle w:val="None"/>
          <w:rFonts w:ascii="Arial" w:cs="Arial" w:hAnsi="Arial" w:eastAsia="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left"/>
        <w:rPr>
          <w:rStyle w:val="None"/>
          <w:rFonts w:ascii="Times New Roman" w:cs="Times New Roman" w:hAnsi="Times New Roman" w:eastAsia="Times New Roman"/>
          <w:outline w:val="0"/>
          <w:color w:val="000000"/>
          <w:sz w:val="28"/>
          <w:szCs w:val="28"/>
          <w:u w:color="000000"/>
          <w:rtl w:val="0"/>
          <w:lang w:val="en-US"/>
          <w14:textFill>
            <w14:solidFill>
              <w14:srgbClr w14:val="000000"/>
            </w14:solidFill>
          </w14:textFill>
        </w:rPr>
      </w:pPr>
      <w:r>
        <w:rPr>
          <w:rStyle w:val="None"/>
          <w:rFonts w:ascii="Times New Roman" w:hAnsi="Times New Roman"/>
          <w:outline w:val="0"/>
          <w:color w:val="000000"/>
          <w:sz w:val="28"/>
          <w:szCs w:val="28"/>
          <w:u w:color="000000"/>
          <w:rtl w:val="0"/>
          <w:lang w:val="en-US"/>
          <w14:textFill>
            <w14:solidFill>
              <w14:srgbClr w14:val="000000"/>
            </w14:solidFill>
          </w14:textFill>
        </w:rPr>
        <w:t>Weidong Li</w:t>
      </w:r>
    </w:p>
    <w:p>
      <w:pPr>
        <w:pStyle w:val="Body"/>
        <w:bidi w:val="0"/>
        <w:ind w:left="0" w:right="0" w:firstLine="0"/>
        <w:jc w:val="left"/>
        <w:rPr>
          <w:rStyle w:val="None"/>
          <w:rFonts w:ascii="Times New Roman" w:cs="Times New Roman" w:hAnsi="Times New Roman" w:eastAsia="Times New Roman"/>
          <w:outline w:val="0"/>
          <w:color w:val="000000"/>
          <w:sz w:val="24"/>
          <w:szCs w:val="24"/>
          <w:u w:color="000000"/>
          <w:rtl w:val="0"/>
          <w:lang w:val="en-US"/>
          <w14:textFill>
            <w14:solidFill>
              <w14:srgbClr w14:val="000000"/>
            </w14:solidFill>
          </w14:textFill>
        </w:rPr>
      </w:pPr>
      <w:r>
        <w:rPr>
          <w:rFonts w:ascii="Times New Roman" w:hAnsi="Times New Roman"/>
          <w:sz w:val="24"/>
          <w:szCs w:val="24"/>
          <w:u w:color="000000"/>
          <w:rtl w:val="0"/>
          <w:lang w:val="zh-CN" w:eastAsia="zh-CN"/>
        </w:rPr>
        <w:t>Timi O'Nell</w:t>
      </w:r>
    </w:p>
    <w:p>
      <w:pPr>
        <w:pStyle w:val="Body"/>
        <w:bidi w:val="0"/>
        <w:ind w:left="0" w:right="0" w:firstLine="0"/>
        <w:jc w:val="left"/>
        <w:rPr>
          <w:rStyle w:val="None"/>
          <w:rFonts w:ascii="Times New Roman" w:cs="Times New Roman" w:hAnsi="Times New Roman" w:eastAsia="Times New Roman"/>
          <w:outline w:val="0"/>
          <w:color w:val="000000"/>
          <w:sz w:val="24"/>
          <w:szCs w:val="24"/>
          <w:u w:color="000000"/>
          <w:rtl w:val="0"/>
          <w:lang w:val="en-US"/>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timi.oneill@uwtsd.ac.uk, Swansea College of Art, University of Wales TrinitySaint David</w:t>
      </w:r>
      <w:r>
        <w:rPr>
          <w:rStyle w:val="None"/>
          <w:rFonts w:ascii="Arial Unicode MS" w:cs="Arial Unicode MS" w:hAnsi="Arial Unicode MS" w:eastAsia="Arial Unicode MS" w:hint="eastAsia"/>
          <w:b w:val="0"/>
          <w:bCs w:val="0"/>
          <w:i w:val="0"/>
          <w:iCs w:val="0"/>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Swansea</w:t>
      </w: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nl-NL"/>
        </w:rPr>
        <w:t xml:space="preserve">Chapter </w:t>
      </w:r>
      <w:r>
        <w:rPr>
          <w:rFonts w:ascii="Times New Roman" w:hAnsi="Times New Roman"/>
          <w:b w:val="1"/>
          <w:bCs w:val="1"/>
          <w:sz w:val="24"/>
          <w:szCs w:val="24"/>
          <w:rtl w:val="0"/>
          <w:lang w:val="en-US"/>
        </w:rPr>
        <w:t xml:space="preserve">1. </w:t>
      </w:r>
      <w:r>
        <w:rPr>
          <w:rFonts w:ascii="Times New Roman" w:hAnsi="Times New Roman"/>
          <w:b w:val="1"/>
          <w:bCs w:val="1"/>
          <w:sz w:val="24"/>
          <w:szCs w:val="24"/>
          <w:rtl w:val="0"/>
          <w:lang w:val="en-US"/>
        </w:rPr>
        <w:t xml:space="preserve">Background and </w:t>
      </w:r>
      <w:r>
        <w:rPr>
          <w:rFonts w:ascii="Times New Roman" w:hAnsi="Times New Roman"/>
          <w:b w:val="1"/>
          <w:bCs w:val="1"/>
          <w:sz w:val="24"/>
          <w:szCs w:val="24"/>
          <w:rtl w:val="0"/>
          <w:lang w:val="en-US"/>
        </w:rPr>
        <w:t>o</w:t>
      </w:r>
      <w:r>
        <w:rPr>
          <w:rFonts w:ascii="Times New Roman" w:hAnsi="Times New Roman"/>
          <w:b w:val="1"/>
          <w:bCs w:val="1"/>
          <w:sz w:val="24"/>
          <w:szCs w:val="24"/>
          <w:rtl w:val="0"/>
          <w:lang w:val="fr-FR"/>
        </w:rPr>
        <w:t>bjectives</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As the number of elderly mobile Internet users continues to grow, the aging demand for mobile social application software among urban elderly is increasing day by day. As the urban elderly grow older, their cognitive ability and media adaptability gradually weaken, while the design and application of mobile social application software for the physiological and psychological needs of the elderly are still in the initial stage, and scientific, effective and perfect design principles and norms have not yet been formed. The existing design is far from being able to adapt to the experience and demands of urban elderly people for socialising nowadays, and this problem is becoming more and more prominent, which has become a social proposition to be solved by the design community nowadays.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Based on the above background, the research in this paper is based on a phenomenological perspective, with the premise of examining the impact of today's experience design issues. This paper tries to elevate the research level of experience design from the natural science thinking level and social science thinking level to the spiritual science level or philosophical level, so as to provide a new vision and methodological reference for the theoretical research of experience design. The thought of phenomenology is profound and broad, and the theory of experience design is colourful. The author embarks on a journey of philosophy and art design, and strives to come up with scientific and pragmatic research results and practices of practical significance. To provide new ideas and paths for the research and practice of experience design for ageing applications.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Chapter 2</w:t>
      </w:r>
      <w:r>
        <w:rPr>
          <w:rFonts w:ascii="Times New Roman" w:hAnsi="Times New Roman"/>
          <w:b w:val="1"/>
          <w:bCs w:val="1"/>
          <w:sz w:val="24"/>
          <w:szCs w:val="24"/>
          <w:rtl w:val="0"/>
          <w:lang w:val="en-US"/>
        </w:rPr>
        <w:t xml:space="preserve">. </w:t>
      </w:r>
      <w:r>
        <w:rPr>
          <w:rFonts w:ascii="Times New Roman" w:hAnsi="Times New Roman"/>
          <w:b w:val="1"/>
          <w:bCs w:val="1"/>
          <w:sz w:val="24"/>
          <w:szCs w:val="24"/>
          <w:rtl w:val="0"/>
          <w:lang w:val="en-US"/>
        </w:rPr>
        <w:t>Formation of Experience and Directions for Future Practice</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Experience is an extremely rich and personalised mental experience for the user, and designers cannot ask the user to produce any kind of experience, but they can ask themselves to understand the user with empathetic experience. Therefore, for experience designers, it is very necessary to understand the formation mechanism of experience and the goal of experience.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2.1 Experience as a Unified Consciousness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Phenomenology reveals that human experience is the unifying grip of human consciousness on intentional objects. Our experience of the living world is not a "blank slate" reflection, but rather an a priori unifying ability to construct the world as our living world. We all have experiences in our lives, but we are not particularly interested in how they are formed. A phenomenological approach can be extremely useful in gaining a deeper understanding of the mechanisms that shape experience.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2.2 Designing for the "original impression experience"</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 proto-impression is an impression experienced by one's consciousness in the present moment. The retention of the original impression is memory, and the preoccupation of the original impression is expectation. In the customer experience, the customer in the use of products and services in the process of handing over each contact, the formation of the original impression. The original impression generated and retained during the first contact is equivalent to what we often call the first impression. Users based on the first impression of the product and service to make the overall feeling and judgement. The first impression remains in the customer's memory and affects the current experience and future experience expectations. Therefore, it is crucial to give users a good first impression. People tend to place an asymmetrical value on first impressions, i.e., they value the first impression that others leave on them and place less importance on the first impression they leave on others. Many product and service providers tend to place less importance on the first impression they make on their customers. A phenomenological perspective allows us to consciously see that "first impressions" are the object of experience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"First impressions" are the object of experience design.</w:t>
      </w:r>
    </w:p>
    <w:p>
      <w:pPr>
        <w:pStyle w:val="Body"/>
        <w:jc w:val="both"/>
        <w:rPr>
          <w:rFonts w:ascii="Times New Roman" w:cs="Times New Roman" w:hAnsi="Times New Roman" w:eastAsia="Times New Roman"/>
          <w:b w:val="1"/>
          <w:bCs w:val="1"/>
          <w:sz w:val="24"/>
          <w:szCs w:val="24"/>
        </w:rPr>
      </w:pPr>
    </w:p>
    <w:p>
      <w:pPr>
        <w:pStyle w:val="Body"/>
        <w:jc w:val="both"/>
        <w:rPr>
          <w:rStyle w:val="None"/>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Treating "first impressions" as the object of experience design is a concept that needs to be developed by product and service providers. A particularly good advocate of this concept is Bruce Loeffler's </w:t>
      </w:r>
      <w:r>
        <w:rPr>
          <w:rFonts w:ascii="Times New Roman" w:hAnsi="Times New Roman"/>
          <w:sz w:val="24"/>
          <w:szCs w:val="24"/>
          <w:rtl w:val="0"/>
          <w:lang w:val="en-US"/>
        </w:rPr>
        <w:t>(201</w:t>
      </w:r>
      <w:r>
        <w:rPr>
          <w:rFonts w:ascii="Times New Roman" w:hAnsi="Times New Roman"/>
          <w:sz w:val="24"/>
          <w:szCs w:val="24"/>
          <w:rtl w:val="0"/>
          <w:lang w:val="zh-CN" w:eastAsia="zh-CN"/>
        </w:rPr>
        <w:t>5</w:t>
      </w:r>
      <w:r>
        <w:rPr>
          <w:rFonts w:ascii="Times New Roman" w:hAnsi="Times New Roman"/>
          <w:sz w:val="24"/>
          <w:szCs w:val="24"/>
          <w:rtl w:val="0"/>
          <w:lang w:val="en-US"/>
        </w:rPr>
        <w:t xml:space="preserve">) </w:t>
      </w:r>
      <w:r>
        <w:rPr>
          <w:rStyle w:val="None"/>
          <w:rFonts w:ascii="Times New Roman" w:hAnsi="Times New Roman"/>
          <w:i w:val="1"/>
          <w:iCs w:val="1"/>
          <w:sz w:val="24"/>
          <w:szCs w:val="24"/>
          <w:rtl w:val="0"/>
          <w:lang w:val="zh-CN" w:eastAsia="zh-CN"/>
        </w:rPr>
        <w:t>The</w:t>
      </w:r>
      <w:r>
        <w:rPr>
          <w:rStyle w:val="None"/>
          <w:rFonts w:ascii="Times New Roman" w:hAnsi="Times New Roman"/>
          <w:i w:val="1"/>
          <w:iCs w:val="1"/>
          <w:sz w:val="24"/>
          <w:szCs w:val="24"/>
          <w:rtl w:val="0"/>
          <w:lang w:val="en-US"/>
        </w:rPr>
        <w:t xml:space="preserve"> Experiences</w:t>
      </w:r>
      <w:r>
        <w:rPr>
          <w:rFonts w:ascii="Times New Roman" w:hAnsi="Times New Roman"/>
          <w:sz w:val="24"/>
          <w:szCs w:val="24"/>
          <w:rtl w:val="0"/>
          <w:lang w:val="en-US"/>
        </w:rPr>
        <w:t xml:space="preserve">, which states: "Impressions, and our ability to create them, are one of the most powerful tools at our disposal. We don't usually realise that we are constantly creating impressions every day - both our own and those of our businesses. Those first impressions allow us to create either a good or bad image in the user's mind. Impressions leave an indelible mark, i.e., the user develops an ingrained perception." </w:t>
      </w:r>
    </w:p>
    <w:p>
      <w:pPr>
        <w:pStyle w:val="Body"/>
        <w:jc w:val="both"/>
        <w:rPr>
          <w:rStyle w:val="None"/>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That is, people, objects, places, and services all make a first impression, and all are first impressions that need to be carefully created. So how do you create a good first impression? They state.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"You don't get a second chance to make a first impression". And it's true. When we truly understand, as the saying goes, how important it is, we learn to treat the first impression as a unique opportunity to set the tone for the relevance of the experience we are trying to create. You must set yourself up as the only point of contact for the client, consumer or visitor. Right here, right now, there is no one else but you. If executed correctly, you can open the door to the desired "experience"; if not, the experience will be compromised and there is little chance of remedying the situation</w:t>
      </w:r>
      <w:r>
        <w:rPr>
          <w:rFonts w:ascii="Times New Roman" w:hAnsi="Times New Roman"/>
          <w:sz w:val="24"/>
          <w:szCs w:val="24"/>
          <w:rtl w:val="0"/>
          <w:lang w:val="en-US"/>
        </w:rPr>
        <w:t xml:space="preserve"> (</w:t>
      </w:r>
      <w:r>
        <w:rPr>
          <w:rFonts w:ascii="Times New Roman" w:hAnsi="Times New Roman"/>
          <w:sz w:val="24"/>
          <w:szCs w:val="24"/>
          <w:rtl w:val="0"/>
          <w:lang w:val="zh-CN" w:eastAsia="zh-CN"/>
        </w:rPr>
        <w:t>Loeffler B</w:t>
      </w:r>
      <w:r>
        <w:rPr>
          <w:rFonts w:ascii="Times New Roman" w:hAnsi="Times New Roman"/>
          <w:sz w:val="24"/>
          <w:szCs w:val="24"/>
          <w:rtl w:val="0"/>
          <w:lang w:val="en-US"/>
        </w:rPr>
        <w:t xml:space="preserve">, </w:t>
      </w:r>
      <w:r>
        <w:rPr>
          <w:rFonts w:ascii="Times New Roman" w:hAnsi="Times New Roman"/>
          <w:sz w:val="24"/>
          <w:szCs w:val="24"/>
          <w:rtl w:val="0"/>
          <w:lang w:val="zh-CN" w:eastAsia="zh-CN"/>
        </w:rPr>
        <w:t>2015</w:t>
      </w:r>
      <w:r>
        <w:rPr>
          <w:rFonts w:ascii="Times New Roman" w:hAnsi="Times New Roman"/>
          <w:sz w:val="24"/>
          <w:szCs w:val="24"/>
          <w:rtl w:val="0"/>
          <w:lang w:val="en-US"/>
        </w:rPr>
        <w:t>)</w:t>
      </w:r>
      <w:r>
        <w:rPr>
          <w:rFonts w:ascii="Times New Roman" w:hAnsi="Times New Roman"/>
          <w:sz w:val="24"/>
          <w:szCs w:val="24"/>
          <w:rtl w:val="0"/>
        </w:rPr>
        <w: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 Phenomenological approaches to "first impression"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general approach to experience design described above tends to give the impression that first impressions are made once, and that there is no remedy if they are missed. This approach needs to be understood at a phenomenological level in order for it to be truly effective.</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phenomenon is common not only in interpersonal interactions, but also in human-computer interactions. For example, when making a mobile phone transfer, people are asked to select a business category according to the prompts, and each category is divided into many subcategories underneath, one level after another, and if they can't find it or can't hear it, they have to go back to the previous level, to the previous level after the previous level, in order to make a new selection. From the content framework of the process prompts within the APP, it is very organised. But on the side of the user, especially the elderly, what he feels is that he is pushed to the next link again and again, and his experience of helplessness, hopelessness and disappointment is deepening. Therefore, it is important to understand that "you must set yourself up as the only contact person for the user, the consumer or the visitor. Right now, there is no one else but you", the key to understanding the sentence is to understand the word </w:t>
      </w:r>
      <w:r>
        <w:rPr>
          <w:rFonts w:ascii="Times New Roman" w:hAnsi="Times New Roman" w:hint="default"/>
          <w:sz w:val="24"/>
          <w:szCs w:val="24"/>
          <w:rtl w:val="0"/>
          <w:lang w:val="en-US"/>
        </w:rPr>
        <w:t>“</w:t>
      </w:r>
      <w:r>
        <w:rPr>
          <w:rFonts w:ascii="Times New Roman" w:hAnsi="Times New Roman"/>
          <w:sz w:val="24"/>
          <w:szCs w:val="24"/>
          <w:rtl w:val="0"/>
        </w:rPr>
        <w:t>set</w:t>
      </w:r>
      <w:r>
        <w:rPr>
          <w:rFonts w:ascii="Times New Roman" w:hAnsi="Times New Roman" w:hint="default"/>
          <w:sz w:val="24"/>
          <w:szCs w:val="24"/>
          <w:rtl w:val="0"/>
          <w:lang w:val="en-US"/>
        </w:rPr>
        <w:t>”</w:t>
      </w:r>
      <w:r>
        <w:rPr>
          <w:rFonts w:ascii="Times New Roman" w:hAnsi="Times New Roman"/>
          <w:sz w:val="24"/>
          <w:szCs w:val="24"/>
          <w:rtl w:val="0"/>
        </w:rPr>
        <w: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the end, a discounted "first impression" experience is not "irreparable". Because the interaction of the interface creates a first impression for the user at any time, the "first impression" is not a static point that is always distinct in the stream of consciousness of the experience, but is constantly superimposed on the "original impression" of the later. Second and third impressions also modify the first impression in the human experience. A good first impression, of course, "opens the door to the experience", but after the door, if you do not continue to create a good impression as in the beginning, the user will feel deceived by the first impression, thus doubling the resentment. And if the first impression is poor, but subsequent impressions improve, the user will also feel that the experience is getting better, and create expectations for a better experience. Even users who are driven away by a bad first impression may be influenced by the good experiences of other users and become willing to re-engage.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2.3 Full-touch design thinking</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interface design, there is also the issue of touchpoint design. Both interfaces and touchpoints describe the area in which a product or service interacts with the user. However, interface is literally a "surface" - a "surface" that offers the possibility of contact, while touchpoint is a "point" - a real contact "point". "A touchpoint is a "point" - a realistic point of contact. For example, the appearance of a product such as a rice cooker is an interface, and the button icons for each person in the operating area are points of contact. Inspired by Husserl's idea of spatial intuition, in a similar way to the interface becoming a generalised interface, the point of contact becomes the "full point of contact" we are not only touching at the point of contact, but also at the non-point of contact. This may sound paradoxical. How can we make contact on non-contacts? The real meaning is that contact is not only on the specified contacts, but also on the non-specified contacts, and the non-contacts become contacts by contacting, so it is a full contact.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example, nowadays the all-in-one computer pursues the simple style, increasing the area, reducing the volume, and reducing the connecting wires, so that people can save space, labour, visual attention, and the operation becomes easier. But what is meant by simplicity? Simplicity should be reflected not only in the user's frequently operated contacts, but also in all aspects. If the screen to the user is concise, but the face behind the screen is cumbersome. Then, when the user operates, he has "seen" the complexity of the back through the screen, and what appears in his consciousness is not simple. Similarly, if an APP design becomes complicated in specific settings or functions, the fear and anxiety of the elderly for using it will also rise sharply.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2.4 "Easy disappearance" of linguistic symbols in the interface</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miracle of language is that it can be forgotten: I look at the lines on the paper, and from the moment I focus on the meaning of the lines, I no longer see the notes. The paper, the words written on it, my eyes and my body, are but the minimum conditions necessary for some invisible activity. Expression disappears before what is expressed</w:t>
      </w:r>
      <w:r>
        <w:rPr>
          <w:rFonts w:ascii="Times New Roman" w:hAnsi="Times New Roman"/>
          <w:sz w:val="24"/>
          <w:szCs w:val="24"/>
          <w:rtl w:val="0"/>
          <w:lang w:val="en-US"/>
        </w:rPr>
        <w:t xml:space="preserve"> (</w:t>
      </w:r>
      <w:r>
        <w:rPr>
          <w:rFonts w:ascii="Times New Roman" w:hAnsi="Times New Roman"/>
          <w:sz w:val="24"/>
          <w:szCs w:val="24"/>
          <w:rtl w:val="0"/>
          <w:lang w:val="de-DE"/>
        </w:rPr>
        <w:t>Merleau-Ponty</w:t>
      </w:r>
      <w:r>
        <w:rPr>
          <w:rFonts w:ascii="Times New Roman" w:hAnsi="Times New Roman"/>
          <w:sz w:val="24"/>
          <w:szCs w:val="24"/>
          <w:rtl w:val="0"/>
          <w:lang w:val="en-US"/>
        </w:rPr>
        <w:t>, 2001)</w:t>
      </w:r>
      <w:r>
        <w:rPr>
          <w:rFonts w:ascii="Times New Roman" w:hAnsi="Times New Roman"/>
          <w:sz w:val="24"/>
          <w:szCs w:val="24"/>
          <w:rtl w:val="0"/>
        </w:rPr>
        <w: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We often have to deal with linguistic symbols in our life world. Visual communication design such as typography, graphic symbol design, logo design, etc. is about optimising the visual form of human linguistic symbols. Graphic designers usually like to emphasise visual impact and design text, logos, and graphic symbols in a striking way to reflect professionalism. However, we usually don't notice that there is another side to things. That is, we design all kinds of symbols so that it can better fulfil the instructional function of the interface, not so that it can attract people's attention. A good symbol is one that is quickly recognised by people in the fastest possible time, fulfils its instructional function, and then quickly disappears from people's attention. For example, if we go to the washroom, the icons for the men's and women's washrooms should be so clear that we can see them at a glance and we don't need to look at them a second time. Because our purpose is to find the washroom. If the icon symbol of the washroom is not well designed, it will stop our attention on it. You can imagine that when we are in a hurry to use the washroom, we have to stop and ponder over the washroom symbol to understand its meaning correctly, that is how unbearable it is. In interface design, many interfaces are designed with artful icons or buttons that are instantly recognisable and at the same time disappear in front of people. From the perspective of artistic expression, this design is a successful design, which is unforgettable. From the perspective of the messaging experience, it wastes too much of the user's attention, and can cause confusion or even misunderstanding.</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2.5 User-Interface Interpretation Relationships</w:t>
      </w: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To be useful, an interface should be "transparent", i.e. the "user-interface" relationship is an embodied one. This is the idea that Kuo Benson got from Heidegger. However, according to the post-phenomenological theory of the Ideological school, there are times when a useful interface is not "transparent". This opacity can be classified into three types, namely, the "user-interface" interpretive relationship, the "user-interface" other-alternative relationship, and the "user-interface" other-alternative relationship. The "user-interface" interpretive relationship, the "user-interface" other relationship, and the "user-interface" contextual relationship.</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"user-interface" interpretive relationship means that</w:t>
      </w:r>
      <w:r>
        <w:rPr>
          <w:rFonts w:ascii="Times New Roman" w:hAnsi="Times New Roman"/>
          <w:sz w:val="24"/>
          <w:szCs w:val="24"/>
          <w:rtl w:val="0"/>
          <w:lang w:val="en-US"/>
        </w:rPr>
        <w:t xml:space="preserve"> </w:t>
      </w:r>
      <w:r>
        <w:rPr>
          <w:rFonts w:ascii="Times New Roman" w:hAnsi="Times New Roman"/>
          <w:sz w:val="24"/>
          <w:szCs w:val="24"/>
          <w:rtl w:val="0"/>
          <w:lang w:val="en-US"/>
        </w:rPr>
        <w:t>the user relies on his or her own understanding to 'interpret' an aspect of the world through the service interface</w:t>
      </w:r>
      <w:r>
        <w:rPr>
          <w:rFonts w:ascii="Times New Roman" w:hAnsi="Times New Roman"/>
          <w:sz w:val="24"/>
          <w:szCs w:val="24"/>
          <w:rtl w:val="0"/>
          <w:lang w:val="en-US"/>
        </w:rPr>
        <w:t xml:space="preserve"> (</w:t>
      </w:r>
      <w:r>
        <w:rPr>
          <w:rFonts w:ascii="Times New Roman" w:hAnsi="Times New Roman"/>
          <w:sz w:val="24"/>
          <w:szCs w:val="24"/>
          <w:rtl w:val="0"/>
        </w:rPr>
        <w:t>Sekmandi, F</w:t>
      </w:r>
      <w:r>
        <w:rPr>
          <w:rFonts w:ascii="Times New Roman" w:hAnsi="Times New Roman"/>
          <w:sz w:val="24"/>
          <w:szCs w:val="24"/>
          <w:rtl w:val="0"/>
          <w:lang w:val="en-US"/>
        </w:rPr>
        <w:t>, 2015)</w:t>
      </w:r>
      <w:r>
        <w:rPr>
          <w:rFonts w:ascii="Times New Roman" w:hAnsi="Times New Roman"/>
          <w:sz w:val="24"/>
          <w:szCs w:val="24"/>
          <w:rtl w:val="0"/>
        </w:rPr>
        <w:t>.</w:t>
      </w:r>
      <w:r>
        <w:rPr>
          <w:rFonts w:ascii="Times New Roman" w:hAnsi="Times New Roman"/>
          <w:sz w:val="24"/>
          <w:szCs w:val="24"/>
          <w:rtl w:val="0"/>
          <w:lang w:val="en-US"/>
        </w:rPr>
        <w:t xml:space="preserve"> </w:t>
      </w:r>
      <w:r>
        <w:rPr>
          <w:rFonts w:ascii="Times New Roman" w:hAnsi="Times New Roman"/>
          <w:sz w:val="24"/>
          <w:szCs w:val="24"/>
          <w:rtl w:val="0"/>
          <w:lang w:val="en-US"/>
        </w:rPr>
        <w:t>Unlike the embodied relationship in which the interface is assimilated into the senses, in the interpretive relationship, the interface becomes the object of the user's perception and the window through which the user interprets the world.</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service interface design, various information dissemination platforms such as websites, paper media, and mobile media belong to the interface of interpretive relationship. If the service interface of embodied relationship can solve the problem of disconnection between service providers and users, then the interface of interpretive relationship can effectively solve the problem of information symmetry between the two sides. The provider's information platform should not be regarded as an auxiliary appendage, but as a self-explanatory logical world. Interpretive interfaces are a failure if the customer does not read them well enough to keep returning to the empirical world for the provider's explanations.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book </w:t>
      </w:r>
      <w:r>
        <w:rPr>
          <w:rStyle w:val="None"/>
          <w:rFonts w:ascii="Times New Roman" w:hAnsi="Times New Roman"/>
          <w:i w:val="1"/>
          <w:iCs w:val="1"/>
          <w:sz w:val="24"/>
          <w:szCs w:val="24"/>
          <w:rtl w:val="0"/>
          <w:lang w:val="en-US"/>
        </w:rPr>
        <w:t>Subject to change: Creating great products and services for an uncertain world</w:t>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de-DE"/>
        </w:rPr>
        <w:t>Peter Merholz</w:t>
      </w:r>
      <w:r>
        <w:rPr>
          <w:rFonts w:ascii="Times New Roman" w:hAnsi="Times New Roman"/>
          <w:sz w:val="24"/>
          <w:szCs w:val="24"/>
          <w:rtl w:val="0"/>
          <w:lang w:val="en-US"/>
        </w:rPr>
        <w:t xml:space="preserve">, </w:t>
      </w:r>
      <w:r>
        <w:rPr>
          <w:rFonts w:ascii="Times New Roman" w:hAnsi="Times New Roman"/>
          <w:sz w:val="24"/>
          <w:szCs w:val="24"/>
          <w:rtl w:val="0"/>
          <w:lang w:val="zh-CN" w:eastAsia="zh-CN"/>
        </w:rPr>
        <w:t>2008</w:t>
      </w:r>
      <w:r>
        <w:rPr>
          <w:rFonts w:ascii="Times New Roman" w:hAnsi="Times New Roman"/>
          <w:sz w:val="24"/>
          <w:szCs w:val="24"/>
          <w:rtl w:val="0"/>
          <w:lang w:val="en-US"/>
        </w:rPr>
        <w:t xml:space="preserve">), </w:t>
      </w:r>
      <w:r>
        <w:rPr>
          <w:rFonts w:ascii="Times New Roman" w:hAnsi="Times New Roman"/>
          <w:sz w:val="24"/>
          <w:szCs w:val="24"/>
          <w:rtl w:val="0"/>
          <w:lang w:val="en-US"/>
        </w:rPr>
        <w:t>an example is mentioned of a financial services company that provides a platform for distributing information such as monthly newsletters, user websites, call centres, offices, planning guides, and so on. However, its interface is not easily interpreted by users. For example, its monthly financial reports run to 20 pages, and much of the data is of no core value to users, who "just look at the first page to make sure the numbers are pretty much what they think they are, and then stop reading". In addition, the platforms are isolated from each other and lack connection. "The people who designed the reports did not communicate and collaborate with the people who designed the website</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sz w:val="24"/>
          <w:szCs w:val="24"/>
          <w:rtl w:val="0"/>
          <w:lang w:val="en-US"/>
        </w:rPr>
        <w:t xml:space="preserve"> Even when the website offers money transfers and stock trading, users do not use the website but call their personal advisors. The situation shown in this example is also common in our lives. It occurs not only in banks but also in other industries. Interpretive interfaces have to establish a good interpretive relationship with the user, which is something that needs to be considered in experience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2.6 Otherness of "user-interface" relationships</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"user-interface" otherness relationship refers to "the user's participation in the service interface through direct interaction with it"</w:t>
      </w:r>
      <w:r>
        <w:rPr>
          <w:rFonts w:ascii="Times New Roman" w:hAnsi="Times New Roman"/>
          <w:sz w:val="24"/>
          <w:szCs w:val="24"/>
          <w:rtl w:val="0"/>
          <w:lang w:val="en-US"/>
        </w:rPr>
        <w:t xml:space="preserve"> (</w:t>
      </w:r>
      <w:r>
        <w:rPr>
          <w:rFonts w:ascii="Times New Roman" w:hAnsi="Times New Roman"/>
          <w:sz w:val="24"/>
          <w:szCs w:val="24"/>
          <w:rtl w:val="0"/>
        </w:rPr>
        <w:t>Sekmandi, F</w:t>
      </w:r>
      <w:r>
        <w:rPr>
          <w:rFonts w:ascii="Times New Roman" w:hAnsi="Times New Roman"/>
          <w:sz w:val="24"/>
          <w:szCs w:val="24"/>
          <w:rtl w:val="0"/>
          <w:lang w:val="en-US"/>
        </w:rPr>
        <w:t>, 2015)</w:t>
      </w:r>
      <w:r>
        <w:rPr>
          <w:rFonts w:ascii="Times New Roman" w:hAnsi="Times New Roman"/>
          <w:sz w:val="24"/>
          <w:szCs w:val="24"/>
          <w:rtl w:val="0"/>
          <w:lang w:val="en-US"/>
        </w:rPr>
        <w:t>. In this relationship, the interface is not part of the user's bodily perceptual capabilities</w:t>
      </w:r>
      <w:r>
        <w:rPr>
          <w:rFonts w:ascii="Times New Roman" w:hAnsi="Times New Roman"/>
          <w:sz w:val="24"/>
          <w:szCs w:val="24"/>
          <w:rtl w:val="0"/>
          <w:lang w:val="en-US"/>
        </w:rPr>
        <w:t xml:space="preserve"> </w:t>
      </w:r>
      <w:r>
        <w:rPr>
          <w:rFonts w:ascii="Times New Roman" w:hAnsi="Times New Roman"/>
          <w:sz w:val="24"/>
          <w:szCs w:val="24"/>
          <w:rtl w:val="0"/>
          <w:lang w:val="en-US"/>
        </w:rPr>
        <w:t>"embodied relationship", nor is it a self-evident world that the user can perceive "interpretive relationship",</w:t>
      </w:r>
      <w:r>
        <w:rPr>
          <w:rFonts w:ascii="Times New Roman" w:hAnsi="Times New Roman"/>
          <w:sz w:val="24"/>
          <w:szCs w:val="24"/>
          <w:rtl w:val="0"/>
          <w:lang w:val="en-US"/>
        </w:rPr>
        <w:t xml:space="preserve"> </w:t>
      </w:r>
      <w:r>
        <w:rPr>
          <w:rFonts w:ascii="Times New Roman" w:hAnsi="Times New Roman"/>
          <w:sz w:val="24"/>
          <w:szCs w:val="24"/>
          <w:rtl w:val="0"/>
          <w:lang w:val="en-US"/>
        </w:rPr>
        <w:t>but rather the user is required to passively engage with it and satisfy the user's own needs in doing so. The interface in the otherness relationship is in opposition to the user, as if it were the opposite of the embodied relationship, but the opposition is a positive one, with the interface acting like a coach rather than an enemy.</w:t>
      </w:r>
    </w:p>
    <w:p>
      <w:pPr>
        <w:pStyle w:val="Body"/>
        <w:jc w:val="both"/>
        <w:rPr>
          <w:rFonts w:ascii="Times New Roman" w:cs="Times New Roman" w:hAnsi="Times New Roman" w:eastAsia="Times New Roman"/>
          <w:sz w:val="24"/>
          <w:szCs w:val="24"/>
        </w:rPr>
      </w:pPr>
    </w:p>
    <w:p>
      <w:pPr>
        <w:pStyle w:val="Body"/>
        <w:jc w:val="both"/>
        <w:rPr>
          <w:rStyle w:val="None"/>
          <w:rFonts w:ascii="Times New Roman" w:cs="Times New Roman" w:hAnsi="Times New Roman" w:eastAsia="Times New Roman"/>
          <w:b w:val="1"/>
          <w:bCs w:val="1"/>
          <w:sz w:val="24"/>
          <w:szCs w:val="24"/>
        </w:rPr>
      </w:pPr>
      <w:r>
        <w:rPr>
          <w:rFonts w:ascii="Times New Roman" w:hAnsi="Times New Roman"/>
          <w:sz w:val="24"/>
          <w:szCs w:val="24"/>
          <w:rtl w:val="0"/>
          <w:lang w:val="en-US"/>
        </w:rPr>
        <w:t>If the embodied relationship of "user-interface" can make users feel very comfortable and form their habits, the other-alternative relationship of "user-interface" can make users feel very comfortable and form their habits, while the other-alternative relationship of "user-interface" can make users feel very comfortable and form their habits. If the "user-interface" embodied relationship makes users feel very comfortable and forms their habits, then the "user-interface" other relationship makes users feel inconvenient and their habits are challenged. Generally speaking, people like to move along with their habits and are less willing to face unfamiliar situations. But this is only one side of the problem, there is another side: there is always a curiosity to keep exploring the unfamiliar, and a boredom with the commonplace. As a designer</w:t>
      </w:r>
      <w:r>
        <w:rPr>
          <w:rFonts w:ascii="Times New Roman" w:hAnsi="Times New Roman"/>
          <w:sz w:val="24"/>
          <w:szCs w:val="24"/>
          <w:rtl w:val="0"/>
          <w:lang w:val="en-US"/>
        </w:rPr>
        <w:t xml:space="preserve"> (Zhang Dai, 2016) </w:t>
      </w:r>
      <w:r>
        <w:rPr>
          <w:rFonts w:ascii="Times New Roman" w:hAnsi="Times New Roman"/>
          <w:sz w:val="24"/>
          <w:szCs w:val="24"/>
          <w:rtl w:val="0"/>
          <w:lang w:val="en-US"/>
        </w:rPr>
        <w:t>said:</w:t>
      </w:r>
      <w:r>
        <w:rPr>
          <w:rFonts w:ascii="Times New Roman" w:hAnsi="Times New Roman"/>
          <w:sz w:val="24"/>
          <w:szCs w:val="24"/>
          <w:rtl w:val="0"/>
          <w:lang w:val="en-US"/>
        </w:rPr>
        <w:t xml:space="preserve"> </w:t>
      </w:r>
      <w:r>
        <w:rPr>
          <w:rFonts w:ascii="Times New Roman" w:hAnsi="Times New Roman"/>
          <w:sz w:val="24"/>
          <w:szCs w:val="24"/>
          <w:rtl w:val="0"/>
          <w:lang w:val="en-US"/>
        </w:rPr>
        <w:t>No matter how good a product is, no matter how good it looks, after a year or two, many users will become aesthetically fatigued, bored, and want to change their tastes. Perhaps because of this, a variety of products will be developed to a certain extent when a relatively big change, so that people feel some difference. For example, we often read the home page of the news site, basically once a year will change the version, although each time I feel uncomfortable, sometimes do not feel more convenient to read, but if there is no change for a long time, it does make people a little tired.</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Of course, changing user habits and providing users with fresh products and services is not about keeping users in a constant sense of it being different. Rather, it is to enable users to gain a sense of embodiment as soon as possible, to be able to get started, and to expand the user's world of experience and meaning. The product and service provider in the process of serving the customer is both a humble person who aims at the interests of the user, and at the same time a defender of the ideal of human values. In order to promote the continuous realisation of human values, providers need to proactively create incentives to improve the quality of users. It takes effort for users to learn and comply with new interfaces. But customers know that it is worth doing and is in their long-term interest. Without user acceptance and support, the service interface of his heteronormative relationship will repel the user, as well as the older person, and become the antithesis of the embodied relationship. With every new product and service, providers are designing a new otherness interface and should not be deterred from doing so for fear of converting it into a non-embodied relationship. And, of course, the positive effects of otherness cannot be changed to ignore the possibility of its transformation into an anti-embodiment relationship.</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nl-NL"/>
        </w:rPr>
        <w:t>Chapter 3</w:t>
      </w:r>
      <w:r>
        <w:rPr>
          <w:rFonts w:ascii="Times New Roman" w:hAnsi="Times New Roman"/>
          <w:b w:val="1"/>
          <w:bCs w:val="1"/>
          <w:sz w:val="24"/>
          <w:szCs w:val="24"/>
          <w:rtl w:val="0"/>
          <w:lang w:val="en-US"/>
        </w:rPr>
        <w:t>.</w:t>
      </w:r>
      <w:r>
        <w:rPr>
          <w:rFonts w:ascii="Times New Roman" w:hAnsi="Times New Roman"/>
          <w:b w:val="1"/>
          <w:bCs w:val="1"/>
          <w:sz w:val="24"/>
          <w:szCs w:val="24"/>
          <w:rtl w:val="0"/>
          <w:lang w:val="en-US"/>
        </w:rPr>
        <w:t xml:space="preserve"> Planning of the design methodology and its impact on the residual exhibition</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If I look out towards the </w:t>
      </w:r>
      <w:r>
        <w:rPr>
          <w:rFonts w:ascii="Times New Roman" w:hAnsi="Times New Roman"/>
          <w:sz w:val="24"/>
          <w:szCs w:val="24"/>
          <w:rtl w:val="0"/>
          <w:lang w:val="en-US"/>
        </w:rPr>
        <w:t>Residuum</w:t>
      </w:r>
      <w:r>
        <w:rPr>
          <w:rFonts w:ascii="Times New Roman" w:hAnsi="Times New Roman"/>
          <w:sz w:val="24"/>
          <w:szCs w:val="24"/>
          <w:rtl w:val="0"/>
          <w:lang w:val="en-US"/>
        </w:rPr>
        <w:t xml:space="preserve"> exhibition in Paris, it's easy to see how this work attempts to address the conundrum of how user experience and my philosophy are intertwined.</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pt-PT"/>
        </w:rPr>
        <w:t xml:space="preserve">A </w:t>
      </w:r>
      <w:r>
        <w:rPr>
          <w:rFonts w:ascii="Times New Roman" w:hAnsi="Times New Roman"/>
          <w:b w:val="1"/>
          <w:bCs w:val="1"/>
          <w:sz w:val="24"/>
          <w:szCs w:val="24"/>
          <w:rtl w:val="0"/>
          <w:lang w:val="zh-CN" w:eastAsia="zh-CN"/>
        </w:rPr>
        <w:t>d</w:t>
      </w:r>
      <w:r>
        <w:rPr>
          <w:rFonts w:ascii="Times New Roman" w:hAnsi="Times New Roman"/>
          <w:b w:val="1"/>
          <w:bCs w:val="1"/>
          <w:sz w:val="24"/>
          <w:szCs w:val="24"/>
          <w:rtl w:val="0"/>
          <w:lang w:val="en-US"/>
        </w:rPr>
        <w:t xml:space="preserve">esign </w:t>
      </w:r>
      <w:r>
        <w:rPr>
          <w:rFonts w:ascii="Times New Roman" w:hAnsi="Times New Roman"/>
          <w:b w:val="1"/>
          <w:bCs w:val="1"/>
          <w:sz w:val="24"/>
          <w:szCs w:val="24"/>
          <w:rtl w:val="0"/>
          <w:lang w:val="zh-CN" w:eastAsia="zh-CN"/>
        </w:rPr>
        <w:t>a</w:t>
      </w:r>
      <w:r>
        <w:rPr>
          <w:rFonts w:ascii="Times New Roman" w:hAnsi="Times New Roman"/>
          <w:b w:val="1"/>
          <w:bCs w:val="1"/>
          <w:sz w:val="24"/>
          <w:szCs w:val="24"/>
          <w:rtl w:val="0"/>
          <w:lang w:val="en-US"/>
        </w:rPr>
        <w:t xml:space="preserve">pproach to </w:t>
      </w:r>
      <w:r>
        <w:rPr>
          <w:rFonts w:ascii="Times New Roman" w:hAnsi="Times New Roman"/>
          <w:b w:val="1"/>
          <w:bCs w:val="1"/>
          <w:sz w:val="24"/>
          <w:szCs w:val="24"/>
          <w:rtl w:val="0"/>
          <w:lang w:val="zh-CN" w:eastAsia="zh-CN"/>
        </w:rPr>
        <w:t>s</w:t>
      </w:r>
      <w:r>
        <w:rPr>
          <w:rFonts w:ascii="Times New Roman" w:hAnsi="Times New Roman"/>
          <w:b w:val="1"/>
          <w:bCs w:val="1"/>
          <w:sz w:val="24"/>
          <w:szCs w:val="24"/>
          <w:rtl w:val="0"/>
          <w:lang w:val="pt-PT"/>
        </w:rPr>
        <w:t xml:space="preserve">piritual </w:t>
      </w:r>
      <w:r>
        <w:rPr>
          <w:rFonts w:ascii="Times New Roman" w:hAnsi="Times New Roman"/>
          <w:b w:val="1"/>
          <w:bCs w:val="1"/>
          <w:sz w:val="24"/>
          <w:szCs w:val="24"/>
          <w:rtl w:val="0"/>
          <w:lang w:val="zh-CN" w:eastAsia="zh-CN"/>
        </w:rPr>
        <w:t>i</w:t>
      </w:r>
      <w:r>
        <w:rPr>
          <w:rFonts w:ascii="Times New Roman" w:hAnsi="Times New Roman"/>
          <w:b w:val="1"/>
          <w:bCs w:val="1"/>
          <w:sz w:val="24"/>
          <w:szCs w:val="24"/>
          <w:rtl w:val="0"/>
          <w:lang w:val="en-US"/>
        </w:rPr>
        <w:t xml:space="preserve">nteraction </w:t>
      </w:r>
      <w:r>
        <w:rPr>
          <w:rFonts w:ascii="Times New Roman" w:hAnsi="Times New Roman"/>
          <w:b w:val="1"/>
          <w:bCs w:val="1"/>
          <w:sz w:val="24"/>
          <w:szCs w:val="24"/>
          <w:rtl w:val="0"/>
          <w:lang w:val="zh-CN" w:eastAsia="zh-CN"/>
        </w:rPr>
        <w:t>e</w:t>
      </w:r>
      <w:r>
        <w:rPr>
          <w:rFonts w:ascii="Times New Roman" w:hAnsi="Times New Roman"/>
          <w:b w:val="1"/>
          <w:bCs w:val="1"/>
          <w:sz w:val="24"/>
          <w:szCs w:val="24"/>
          <w:rtl w:val="0"/>
          <w:lang w:val="en-US"/>
        </w:rPr>
        <w:t>xperiences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design approach to spiritual interaction experiences begins with the construction of empathy. Although the importance of empathy is widely recognised in current design research, it is very difficult to truly cultivate empathy. Empathy is understood as a "tool" for user research, but this understanding can be deepened using a phenomenological approach.</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3.1 Fostering empathy based on the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I &amp; </w:t>
      </w:r>
      <w:r>
        <w:rPr>
          <w:rFonts w:ascii="Times New Roman" w:hAnsi="Times New Roman"/>
          <w:b w:val="1"/>
          <w:bCs w:val="1"/>
          <w:sz w:val="24"/>
          <w:szCs w:val="24"/>
          <w:rtl w:val="0"/>
          <w:lang w:val="zh-CN" w:eastAsia="zh-CN"/>
        </w:rPr>
        <w:t>Thou</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relationship</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de-DE"/>
        </w:rPr>
        <w:t>Martin Buber</w:t>
      </w:r>
      <w:r>
        <w:rPr>
          <w:rFonts w:ascii="Times New Roman" w:hAnsi="Times New Roman"/>
          <w:sz w:val="24"/>
          <w:szCs w:val="24"/>
          <w:rtl w:val="0"/>
          <w:lang w:val="en-US"/>
        </w:rPr>
        <w:t xml:space="preserve"> (2012)</w:t>
      </w:r>
      <w:r>
        <w:rPr>
          <w:rFonts w:ascii="Times New Roman" w:hAnsi="Times New Roman"/>
          <w:sz w:val="24"/>
          <w:szCs w:val="24"/>
          <w:rtl w:val="0"/>
          <w:lang w:val="en-US"/>
        </w:rPr>
        <w:t xml:space="preserve"> refers to this spiritual dialogue as an "I-</w:t>
      </w:r>
      <w:r>
        <w:rPr>
          <w:rFonts w:ascii="Times New Roman" w:hAnsi="Times New Roman"/>
          <w:sz w:val="24"/>
          <w:szCs w:val="24"/>
          <w:rtl w:val="0"/>
          <w:lang w:val="zh-CN" w:eastAsia="zh-CN"/>
        </w:rPr>
        <w:t>Th</w:t>
      </w:r>
      <w:r>
        <w:rPr>
          <w:rFonts w:ascii="Times New Roman" w:hAnsi="Times New Roman"/>
          <w:sz w:val="24"/>
          <w:szCs w:val="24"/>
          <w:rtl w:val="0"/>
          <w:lang w:val="en-US"/>
        </w:rPr>
        <w:t>ou</w:t>
      </w:r>
      <w:r>
        <w:rPr>
          <w:rFonts w:ascii="Times New Roman" w:hAnsi="Times New Roman"/>
          <w:sz w:val="24"/>
          <w:szCs w:val="24"/>
          <w:rtl w:val="0"/>
          <w:lang w:val="en-US"/>
        </w:rPr>
        <w:t>" relationship. From this idea, the author's future outputs will explore the deep roots of empathy, which will enable the cultivation of empathy in user research and form the design principles of spiritual interactive experience, based on which researchers can expand many design methods.</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From Buber's two "original words", we can gain insight into the mystery of empathy in experience design. True empathy is the emotion that naturally arises when "I" see the other person as a "you" who is intimately related to me and needs my full attention. It is sympathy, but not pity for the weak; it is empathy, but not acting from reason; it is resonance, but not asking the other person to resonate.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3.2 The spirit of "humility" as a foundation for a "pain point" design approach</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spirit of humility has inspired the author to gain a deeper understanding of user "pain points". Designers, product and service providers have specialised knowledge, technology and resources to define their products and services, which constitutes a kind of advantage or authority over users. However, designers and service providers must bend over backwards to accommodate users, empathise with their struggles, and identify and work to solve their "pain points".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For example, when people transfer money in the online banking interface, they have to enter the account number of the payee, the name of the depository bank, the address of the depository bank. But the name of the bank account can actually be identified by the system according to the account number seems to be, do not have to be input by the user, the address of the bank account is a pain point for the user. Because people usually do not remember the detailed address information of the depository bank, not to mention that online banking was originally designed to free users from the physical shop transactions, the realisation of digital finance, and no need to enter the address of the physical shop. Nowadays, the last two inputs have been cancelled in most online banking interfaces.</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However, for the elderly group, how to more simple and direct operation of the key steps instead of the full process of operation is worth the designer's future work of deep thought.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3.3 "Guilt" as a foundation for a "fault-tolerant" design approach </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 fault-tolerant mindset is valuable for experience design. In order to create a good experience, it is important not only to take full responsibility for the user's stipulations, but also to take ownership of the user's faults, treating them as if they were your own and willingly paying for them. This is very difficult, but the trend in experience design is moving more and more in this direction.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For example, Amazon's extremely convenient returns feature gives consumers a good user experience. Returns can be made for any reason within a specified period of time. Although it has also happened that some consumers have taken advantage of the situation through frequent returns, it still can't shake this belief of Amazon. Moreover, in 2016, Amazon further introduced a new return policy is to simplify the process and improve the return experience for consumers and sellers. Another example, in human-computer interaction, there is a "Look BeforeYou Leap" to "Easier To Ask For Forgiveness Than Permission" difference. The former is that the user must first confirm that he or she has seen the product clearly when operating it, and after operating it, he or she will not be able to regret it. In the latter case, the user does not need to confirm the operation, but can cancel the operation after the operation. For example, when deleting a file, no confirmation is prompted, but the deletion can be undone immediately after deletion (Zhang Dai, 2016). The latter is becoming more common. This kind of design thinking is more helpful in eliminating the anxiety and helplessness that older people feel about the operation of some products.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3.4 The spirit of "forgiveness" as a foundation for the "extra-permissive" design approach</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Man is not God; man is limited. The spirit of forgiveness is a deep understanding of and help for the limitations of human beings. People do make mistakes, and not punishing users for their mistakes, but paying for them, is "fault-tolerant" design thinking. It embodies the essence of forgiveness in its most radical form. In addition, it is also common that people and their needs are subject to exceptions. We are generally committed to eliminating exceptions on the grounds that, "What if everyone was like you?" But it is precisely this exception that tests the attitude of "I" towards "you". Whether I ignore you or value you is the key. The former is the absence of empathy, while the latter is the manifestation of empathy. To value "you", we must forgive "your" "exceptions". Modern design thinking recognises that people are faced with uncertainty, but in the midst of that uncertainty we still need to maintain the certainty of the "I-Thou" relationship in order to appreciate the changing needs of users. Experience design must pay attention to the "exception" design thinking.</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Although the "exceptions" are individual user needs, they are still real needs, and the phenomenological approach can be used to visualise the potential needs of all users. Accessible ageing design is a typical example of "exception" design thinking. Modern design is increasingly focusing on the needs of niches, which are exceptions to the masses, but not the antithesis of the masses, because everyone can be a niche in terms of their uniqueness. In addition, current user profiling methods in user research tend to ignore the exceptions. Researchers are trying to compensate for this through dynamic user profiling. Dynamic user profiles are descriptions of possible users that require designers to use their design judgement to see and describe potential user needs. These are all manifestations of "exceptional" design thinking, grounded in the spirit of forgiveness. Constructing a spiritual experience based on the "I-Thou" relationship is the real secret of user experience design for the elderly.</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3.5 User Research Using Suspension</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order to deepen the user research, the author needs to restore the concept of user by phenomenological method.</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First of all, the user, the user's "use", "then use" to be suspended, can be intuitively "use" is "people to meet the needs of the process of", and "demand satisfaction" includes both material satisfaction and spiritual satisfaction. "The "satisfaction of needs" includes both material and spiritual satisfaction. Therefore, "use" is not merely useful, but also includes good use and wanting to use. This is the reason why the principle of "usefulness" as people used to understand it has now become the principle of "useful, usable, desirable". As Buchanan puts it, "While the form, function, materials, and mode of production of a product are still important, we have the opportunity to gain a new understanding of products by studying what makes them useful, usable, and desirable</w:t>
      </w:r>
      <w:r>
        <w:rPr>
          <w:rFonts w:ascii="Times New Roman" w:hAnsi="Times New Roman"/>
          <w:sz w:val="24"/>
          <w:szCs w:val="24"/>
          <w:rtl w:val="0"/>
          <w:lang w:val="en-US"/>
        </w:rPr>
        <w:t xml:space="preserve"> (</w:t>
      </w:r>
      <w:r>
        <w:rPr>
          <w:rFonts w:ascii="Times New Roman" w:hAnsi="Times New Roman"/>
          <w:sz w:val="24"/>
          <w:szCs w:val="24"/>
          <w:rtl w:val="0"/>
          <w:lang w:val="de-DE"/>
        </w:rPr>
        <w:t>Norberg-Schulz</w:t>
      </w:r>
      <w:r>
        <w:rPr>
          <w:rFonts w:ascii="Times New Roman" w:hAnsi="Times New Roman"/>
          <w:sz w:val="24"/>
          <w:szCs w:val="24"/>
          <w:rtl w:val="0"/>
          <w:lang w:val="en-US"/>
        </w:rPr>
        <w:t>, 1</w:t>
      </w:r>
      <w:r>
        <w:rPr>
          <w:rFonts w:ascii="Times New Roman" w:hAnsi="Times New Roman"/>
          <w:sz w:val="24"/>
          <w:szCs w:val="24"/>
          <w:rtl w:val="0"/>
          <w:lang w:val="zh-CN" w:eastAsia="zh-CN"/>
        </w:rPr>
        <w:t>996</w:t>
      </w:r>
      <w:r>
        <w:rPr>
          <w:rFonts w:ascii="Times New Roman" w:hAnsi="Times New Roman"/>
          <w:sz w:val="24"/>
          <w:szCs w:val="24"/>
          <w:rtl w:val="0"/>
          <w:lang w:val="en-US"/>
        </w:rPr>
        <w:t>)</w:t>
      </w:r>
      <w:r>
        <w:rPr>
          <w:rFonts w:ascii="Times New Roman" w:hAnsi="Times New Roman"/>
          <w:sz w:val="24"/>
          <w:szCs w:val="24"/>
          <w:rtl w:val="0"/>
        </w:rPr>
        <w:t>.</w:t>
      </w:r>
      <w:r>
        <w:rPr>
          <w:rStyle w:val="None"/>
          <w:rFonts w:ascii="Times New Roman" w:hAnsi="Times New Roman"/>
          <w:b w:val="1"/>
          <w:bCs w:val="1"/>
          <w:sz w:val="24"/>
          <w:szCs w:val="24"/>
          <w:rtl w:val="0"/>
        </w:rPr>
        <w:t xml:space="preserve"> </w:t>
      </w:r>
      <w:r>
        <w:rPr>
          <w:rFonts w:ascii="Times New Roman" w:hAnsi="Times New Roman"/>
          <w:sz w:val="24"/>
          <w:szCs w:val="24"/>
          <w:rtl w:val="0"/>
          <w:lang w:val="en-US"/>
        </w:rPr>
        <w:t>This research actually takes the study of the user to the study of deeper human needs.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 will then suspend the "process of satisfying needs", which reduces "customers, users, clients, users-consumers" to "people". I am dealing with people, not with the end points of products and services. Providing value to people is not the goal, but the goal is to enable people to be continuously improved as human beings, i.e., "enabling". In "enabling" activities, both the provider and the user can experience the freedom, dignity and happiness that belong to human beings. Anyone who understands human beings as "machines for consumption", just like understanding human beings as "talking animals" or "talking machines", is destroying human nature not only for the user's human nature, but also for the provider's human nature. This is not only the destruction of the user's humanity, but also the destruction of the provider's humanity. Finally, the geographical, ethnic, racial, and physical attributes of human beings are also suspended, and the author intuits the essence of human beings: spirituality. This is an important foundation for future works.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At the level of mental interaction experience design, the author's understanding of users, organisations and designers needs to change. This still requires a phenomenological insight. Spiritual Interaction Experience Design is a systematic activity to create a better living world, which cannot be done by designers alone in the traditional sense. Deeper user research, changes in organisational culture, and the repositioning of designers have all become meaningful topics. The exploration of these issues will surely drive the in-depth development of this topic.</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Final Outlook</w:t>
      </w:r>
    </w:p>
    <w:p>
      <w:pPr>
        <w:pStyle w:val="Body"/>
        <w:jc w:val="both"/>
        <w:rPr>
          <w:rFonts w:ascii="Times New Roman" w:cs="Times New Roman" w:hAnsi="Times New Roman" w:eastAsia="Times New Roman"/>
          <w:sz w:val="24"/>
          <w:szCs w:val="24"/>
        </w:rPr>
      </w:pPr>
    </w:p>
    <w:p>
      <w:pPr>
        <w:pStyle w:val="Body"/>
        <w:jc w:val="both"/>
      </w:pPr>
      <w:r>
        <w:rPr>
          <w:rFonts w:ascii="Times New Roman" w:hAnsi="Times New Roman"/>
          <w:sz w:val="24"/>
          <w:szCs w:val="24"/>
          <w:rtl w:val="0"/>
          <w:lang w:val="en-US"/>
        </w:rPr>
        <w:t>Experience design is designed to enhance human experience, while phenomenology studies how people experience and what kind of universal structure they have. On the common object of experience, experience design and phenomenology are bound to meet. Experience design wants people to experience the meaning of the lifeworld, while phenomenology wants to restore the meaning of the lifeworld. On the issue of giving meaning, experience design and phenomenology are bound to work hand in hand. Once experience design and phenomenology meet and join hands, what phenomenology brings to experience design will be a shocking impetus and foundational support. The experience design research exhibited in Paris in the future will have a solid philosophical foundation.</w:t>
      </w:r>
      <w:r>
        <w:rPr>
          <w:rFonts w:ascii="Arial Unicode MS" w:cs="Arial Unicode MS" w:hAnsi="Arial Unicode MS" w:eastAsia="Arial Unicode MS"/>
          <w:b w:val="0"/>
          <w:bCs w:val="0"/>
          <w:i w:val="0"/>
          <w:iCs w:val="0"/>
          <w:sz w:val="24"/>
          <w:szCs w:val="24"/>
        </w:rPr>
        <w:br w:type="page"/>
      </w:r>
    </w:p>
    <w:p>
      <w:pPr>
        <w:pStyle w:val="Default"/>
        <w:bidi w:val="0"/>
        <w:spacing w:before="0" w:line="240" w:lineRule="auto"/>
        <w:ind w:left="0" w:right="0" w:firstLine="0"/>
        <w:jc w:val="both"/>
        <w:rPr>
          <w:rFonts w:ascii="Times New Roman" w:cs="Times New Roman" w:hAnsi="Times New Roman" w:eastAsia="Times New Roman"/>
          <w:b w:val="1"/>
          <w:bCs w:val="1"/>
          <w:rtl w:val="0"/>
        </w:rPr>
      </w:pPr>
      <w:r>
        <w:rPr>
          <w:rFonts w:ascii="Times New Roman" w:hAnsi="Times New Roman"/>
          <w:b w:val="1"/>
          <w:bCs w:val="1"/>
          <w:rtl w:val="0"/>
          <w:lang w:val="zh-CN" w:eastAsia="zh-CN"/>
        </w:rPr>
        <w:t>Reference</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Buber, M. and Lescault, J. (2012) </w:t>
      </w:r>
      <w:r>
        <w:rPr>
          <w:rStyle w:val="None"/>
          <w:rFonts w:ascii="Times New Roman" w:hAnsi="Times New Roman"/>
          <w:i w:val="1"/>
          <w:iCs w:val="1"/>
          <w:rtl w:val="0"/>
          <w:lang w:val="en-US"/>
        </w:rPr>
        <w:t>I and thou</w:t>
      </w:r>
      <w:r>
        <w:rPr>
          <w:rFonts w:ascii="Times New Roman" w:hAnsi="Times New Roman"/>
          <w:rtl w:val="0"/>
          <w:lang w:val="it-IT"/>
        </w:rPr>
        <w:t>. Blackstone Audio Incorporated.</w:t>
      </w:r>
      <w:r>
        <w:rPr>
          <w:rFonts w:ascii="Times New Roman" w:hAnsi="Times New Roman"/>
          <w:rtl w:val="0"/>
          <w:lang w:val="en-US"/>
        </w:rPr>
        <w:t xml:space="preserve"> pp. 21-22.</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zh-CN" w:eastAsia="zh-CN"/>
        </w:rPr>
        <w:t>C</w:t>
      </w:r>
      <w:r>
        <w:rPr>
          <w:rFonts w:ascii="Times New Roman" w:hAnsi="Times New Roman"/>
          <w:rtl w:val="0"/>
          <w:lang w:val="en-US"/>
        </w:rPr>
        <w:t xml:space="preserve">hurch, B. and Loeffler, B. (2015) in </w:t>
      </w:r>
      <w:r>
        <w:rPr>
          <w:rStyle w:val="None"/>
          <w:rFonts w:ascii="Times New Roman" w:hAnsi="Times New Roman"/>
          <w:i w:val="1"/>
          <w:iCs w:val="1"/>
          <w:rtl w:val="0"/>
          <w:lang w:val="en-US"/>
        </w:rPr>
        <w:t>The experience: The 5 principles of Disney Service and relationship excellence</w:t>
      </w:r>
      <w:r>
        <w:rPr>
          <w:rFonts w:ascii="Times New Roman" w:hAnsi="Times New Roman"/>
          <w:rtl w:val="0"/>
        </w:rPr>
        <w:t>. Hoboken, NJ: Wiley, pp. 306</w:t>
      </w:r>
      <w:r>
        <w:rPr>
          <w:rFonts w:ascii="Times New Roman" w:hAnsi="Times New Roman" w:hint="default"/>
          <w:rtl w:val="0"/>
        </w:rPr>
        <w:t>–</w:t>
      </w:r>
      <w:r>
        <w:rPr>
          <w:rFonts w:ascii="Times New Roman" w:hAnsi="Times New Roman"/>
          <w:rtl w:val="0"/>
        </w:rPr>
        <w:t>307.</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Cui, X. (20</w:t>
      </w:r>
      <w:r>
        <w:rPr>
          <w:rFonts w:ascii="Times New Roman" w:hAnsi="Times New Roman"/>
          <w:rtl w:val="0"/>
          <w:lang w:val="en-US"/>
        </w:rPr>
        <w:t>22</w:t>
      </w:r>
      <w:r>
        <w:rPr>
          <w:rFonts w:ascii="Times New Roman" w:hAnsi="Times New Roman"/>
          <w:rtl w:val="0"/>
        </w:rPr>
        <w:t xml:space="preserve">). </w:t>
      </w:r>
      <w:r>
        <w:rPr>
          <w:rStyle w:val="None"/>
          <w:rFonts w:ascii="Times New Roman" w:hAnsi="Times New Roman"/>
          <w:i w:val="1"/>
          <w:iCs w:val="1"/>
          <w:rtl w:val="0"/>
          <w:lang w:val="en-US"/>
        </w:rPr>
        <w:t>Research on the Design of Mobile Social Networking Applications for Urban Elderly</w:t>
      </w:r>
      <w:r>
        <w:rPr>
          <w:rFonts w:ascii="Times New Roman" w:hAnsi="Times New Roman"/>
          <w:rtl w:val="0"/>
        </w:rPr>
        <w:t xml:space="preserve">. </w:t>
      </w:r>
      <w:r>
        <w:rPr>
          <w:rFonts w:ascii="Times New Roman" w:hAnsi="Times New Roman"/>
          <w:rtl w:val="0"/>
          <w:lang w:val="en-US"/>
        </w:rPr>
        <w:t xml:space="preserve">pp. </w:t>
      </w:r>
      <w:r>
        <w:rPr>
          <w:rFonts w:ascii="Times New Roman" w:hAnsi="Times New Roman"/>
          <w:rtl w:val="0"/>
        </w:rPr>
        <w:t>44-50.</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Florida, R.L. (2019) in The rise of the creative class: Revisited. New York: Basic Books, pp. 330</w:t>
      </w:r>
      <w:r>
        <w:rPr>
          <w:rFonts w:ascii="Times New Roman" w:hAnsi="Times New Roman" w:hint="default"/>
          <w:rtl w:val="0"/>
        </w:rPr>
        <w:t>–</w:t>
      </w:r>
      <w:r>
        <w:rPr>
          <w:rFonts w:ascii="Times New Roman" w:hAnsi="Times New Roman"/>
          <w:rtl w:val="0"/>
        </w:rPr>
        <w:t>331.</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Madison, G.B. and Ric</w:t>
      </w:r>
      <w:r>
        <w:rPr>
          <w:rFonts w:ascii="Times New Roman" w:hAnsi="Times New Roman" w:hint="default"/>
          <w:rtl w:val="0"/>
          <w:lang w:val="fr-FR"/>
        </w:rPr>
        <w:t>œ</w:t>
      </w:r>
      <w:r>
        <w:rPr>
          <w:rFonts w:ascii="Times New Roman" w:hAnsi="Times New Roman"/>
          <w:rtl w:val="0"/>
          <w:lang w:val="fr-FR"/>
        </w:rPr>
        <w:t>ur, P.</w:t>
      </w:r>
      <w:r>
        <w:rPr>
          <w:rFonts w:ascii="Times New Roman" w:hAnsi="Times New Roman"/>
          <w:rtl w:val="0"/>
          <w:lang w:val="en-US"/>
        </w:rPr>
        <w:t xml:space="preserve"> </w:t>
      </w:r>
      <w:r>
        <w:rPr>
          <w:rFonts w:ascii="Times New Roman" w:hAnsi="Times New Roman"/>
          <w:rtl w:val="0"/>
        </w:rPr>
        <w:t xml:space="preserve">(1981) </w:t>
      </w:r>
      <w:r>
        <w:rPr>
          <w:rStyle w:val="None"/>
          <w:rFonts w:ascii="Times New Roman" w:hAnsi="Times New Roman"/>
          <w:i w:val="1"/>
          <w:iCs w:val="1"/>
          <w:rtl w:val="0"/>
          <w:lang w:val="en-US"/>
        </w:rPr>
        <w:t>The phenomenology of merleau-ponty: A search for the limits of consciousness</w:t>
      </w:r>
      <w:r>
        <w:rPr>
          <w:rFonts w:ascii="Times New Roman" w:hAnsi="Times New Roman"/>
          <w:rtl w:val="0"/>
          <w:lang w:val="en-US"/>
        </w:rPr>
        <w:t>. Athens: Ohio University Press.</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fr-FR"/>
        </w:rPr>
        <w:t>Maurice Merleau-Ponty</w:t>
      </w:r>
      <w:r>
        <w:rPr>
          <w:rFonts w:ascii="Times New Roman" w:hAnsi="Times New Roman"/>
          <w:rtl w:val="0"/>
          <w:lang w:val="en-US"/>
        </w:rPr>
        <w:t>. (2001)</w:t>
      </w:r>
      <w:r>
        <w:rPr>
          <w:rFonts w:ascii="Times New Roman" w:hAnsi="Times New Roman"/>
          <w:rtl w:val="0"/>
          <w:lang w:val="zh-CN" w:eastAsia="zh-CN"/>
        </w:rPr>
        <w:t xml:space="preserve"> </w:t>
      </w:r>
      <w:r>
        <w:rPr>
          <w:rStyle w:val="None"/>
          <w:rFonts w:ascii="Times New Roman" w:hAnsi="Times New Roman"/>
          <w:i w:val="1"/>
          <w:iCs w:val="1"/>
          <w:rtl w:val="0"/>
          <w:lang w:val="en-US"/>
        </w:rPr>
        <w:t>Phenomenology of Perception</w:t>
      </w:r>
      <w:r>
        <w:rPr>
          <w:rFonts w:ascii="Times New Roman" w:hAnsi="Times New Roman"/>
          <w:rtl w:val="0"/>
        </w:rPr>
        <w:t>.</w:t>
      </w:r>
      <w:r>
        <w:rPr>
          <w:rFonts w:ascii="Times New Roman" w:hAnsi="Times New Roman"/>
          <w:rtl w:val="0"/>
          <w:lang w:val="en-US"/>
        </w:rPr>
        <w:t xml:space="preserve"> pp. 189-190.</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Merholz, P., Wilkens, T. and Brandon, S. (2008) in </w:t>
      </w:r>
      <w:r>
        <w:rPr>
          <w:rStyle w:val="None"/>
          <w:rFonts w:ascii="Times New Roman" w:hAnsi="Times New Roman"/>
          <w:i w:val="1"/>
          <w:iCs w:val="1"/>
          <w:rtl w:val="0"/>
          <w:lang w:val="en-US"/>
        </w:rPr>
        <w:t>Subject to change: Creating great products and services for an uncertain world</w:t>
      </w:r>
      <w:r>
        <w:rPr>
          <w:rFonts w:ascii="Times New Roman" w:hAnsi="Times New Roman"/>
          <w:rtl w:val="0"/>
        </w:rPr>
        <w:t>. Sebastopol, CA: O</w:t>
      </w:r>
      <w:r>
        <w:rPr>
          <w:rFonts w:ascii="Times New Roman" w:hAnsi="Times New Roman" w:hint="default"/>
          <w:rtl w:val="1"/>
        </w:rPr>
        <w:t>’</w:t>
      </w:r>
      <w:r>
        <w:rPr>
          <w:rFonts w:ascii="Times New Roman" w:hAnsi="Times New Roman"/>
          <w:rtl w:val="0"/>
          <w:lang w:val="en-US"/>
        </w:rPr>
        <w:t>Reilly Media, pp. 66</w:t>
      </w:r>
      <w:r>
        <w:rPr>
          <w:rFonts w:ascii="Times New Roman" w:hAnsi="Times New Roman" w:hint="default"/>
          <w:rtl w:val="0"/>
        </w:rPr>
        <w:t>–</w:t>
      </w:r>
      <w:r>
        <w:rPr>
          <w:rFonts w:ascii="Times New Roman" w:hAnsi="Times New Roman"/>
          <w:rtl w:val="0"/>
        </w:rPr>
        <w:t>67.</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Norberg-Schulz, C. (1996) in Genius loci: Towards a phenomenology of Architecture. New York: Rizzoli, pp. 3</w:t>
      </w:r>
      <w:r>
        <w:rPr>
          <w:rFonts w:ascii="Times New Roman" w:hAnsi="Times New Roman" w:hint="default"/>
          <w:rtl w:val="0"/>
        </w:rPr>
        <w:t>–</w:t>
      </w:r>
      <w:r>
        <w:rPr>
          <w:rFonts w:ascii="Times New Roman" w:hAnsi="Times New Roman"/>
          <w:rtl w:val="0"/>
        </w:rPr>
        <w:t>4.</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 xml:space="preserve">Sekmandi, F. (2015) </w:t>
      </w:r>
      <w:r>
        <w:rPr>
          <w:rFonts w:ascii="Times New Roman" w:hAnsi="Times New Roman" w:hint="default"/>
          <w:rtl w:val="1"/>
        </w:rPr>
        <w:t>‘</w:t>
      </w:r>
      <w:r>
        <w:rPr>
          <w:rFonts w:ascii="Times New Roman" w:hAnsi="Times New Roman"/>
          <w:rtl w:val="0"/>
          <w:lang w:val="en-US"/>
        </w:rPr>
        <w:t>Service Interface Design: A Post-Phenomenological Approach</w:t>
      </w:r>
      <w:r>
        <w:rPr>
          <w:rFonts w:ascii="Times New Roman" w:hAnsi="Times New Roman" w:hint="default"/>
          <w:rtl w:val="1"/>
        </w:rPr>
        <w:t>’</w:t>
      </w:r>
      <w:r>
        <w:rPr>
          <w:rFonts w:ascii="Times New Roman" w:hAnsi="Times New Roman"/>
          <w:rtl w:val="0"/>
        </w:rPr>
        <w:t xml:space="preserve">, </w:t>
      </w:r>
      <w:r>
        <w:rPr>
          <w:rStyle w:val="None"/>
          <w:rFonts w:ascii="Times New Roman" w:hAnsi="Times New Roman"/>
          <w:i w:val="1"/>
          <w:iCs w:val="1"/>
          <w:rtl w:val="0"/>
          <w:lang w:val="en-US"/>
        </w:rPr>
        <w:t>Creativity &amp; Design</w:t>
      </w:r>
      <w:r>
        <w:rPr>
          <w:rFonts w:ascii="Times New Roman" w:hAnsi="Times New Roman"/>
          <w:rtl w:val="0"/>
        </w:rPr>
        <w:t>, pp. 4</w:t>
      </w:r>
      <w:r>
        <w:rPr>
          <w:rFonts w:ascii="Times New Roman" w:hAnsi="Times New Roman" w:hint="default"/>
          <w:rtl w:val="0"/>
        </w:rPr>
        <w:t>–</w:t>
      </w:r>
      <w:r>
        <w:rPr>
          <w:rFonts w:ascii="Times New Roman" w:hAnsi="Times New Roman"/>
          <w:rtl w:val="0"/>
        </w:rPr>
        <w:t>9.</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Style w:val="None"/>
          <w:rFonts w:ascii="Times Roman" w:hAnsi="Times Roman"/>
          <w:rtl w:val="0"/>
          <w:lang w:val="it-IT"/>
        </w:rPr>
        <w:t xml:space="preserve">Secomandi, F., &amp; Snelders, D. (2013). </w:t>
      </w:r>
      <w:r>
        <w:rPr>
          <w:rStyle w:val="None"/>
          <w:rFonts w:ascii="Times Roman" w:hAnsi="Times Roman"/>
          <w:i w:val="1"/>
          <w:iCs w:val="1"/>
          <w:rtl w:val="0"/>
          <w:lang w:val="en-US"/>
        </w:rPr>
        <w:t>Interface Design in Services: A Postphenomenological Approach.</w:t>
      </w:r>
      <w:r>
        <w:rPr>
          <w:rStyle w:val="None"/>
          <w:rFonts w:ascii="Times Roman" w:hAnsi="Times Roman"/>
          <w:rtl w:val="0"/>
          <w:lang w:val="en-US"/>
        </w:rPr>
        <w:t xml:space="preserve"> Design Issues</w:t>
      </w:r>
      <w:r>
        <w:rPr>
          <w:rStyle w:val="None"/>
          <w:rFonts w:ascii="Times Roman" w:hAnsi="Times Roman"/>
          <w:rtl w:val="0"/>
          <w:lang w:val="en-US"/>
        </w:rPr>
        <w:t xml:space="preserve">. pp. </w:t>
      </w:r>
      <w:r>
        <w:rPr>
          <w:rStyle w:val="None"/>
          <w:rFonts w:ascii="Times Roman" w:hAnsi="Times Roman"/>
          <w:rtl w:val="0"/>
        </w:rPr>
        <w:t>3-15.</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 xml:space="preserve">Zhang, D. (2016) in </w:t>
      </w:r>
      <w:r>
        <w:rPr>
          <w:rStyle w:val="None"/>
          <w:rFonts w:ascii="Times New Roman" w:hAnsi="Times New Roman"/>
          <w:i w:val="1"/>
          <w:iCs w:val="1"/>
          <w:rtl w:val="0"/>
          <w:lang w:val="en-US"/>
        </w:rPr>
        <w:t>Experience design white book</w:t>
      </w:r>
      <w:r>
        <w:rPr>
          <w:rFonts w:ascii="Times New Roman" w:hAnsi="Times New Roman"/>
          <w:rtl w:val="0"/>
          <w:lang w:val="en-US"/>
        </w:rPr>
        <w:t>. Beijing: People</w:t>
      </w:r>
      <w:r>
        <w:rPr>
          <w:rFonts w:ascii="Times New Roman" w:hAnsi="Times New Roman" w:hint="default"/>
          <w:rtl w:val="1"/>
        </w:rPr>
        <w:t>’</w:t>
      </w:r>
      <w:r>
        <w:rPr>
          <w:rFonts w:ascii="Times New Roman" w:hAnsi="Times New Roman"/>
          <w:rtl w:val="0"/>
          <w:lang w:val="en-US"/>
        </w:rPr>
        <w:t>s Posts and Telecommunications Publishing House, pp. 47</w:t>
      </w:r>
      <w:r>
        <w:rPr>
          <w:rFonts w:ascii="Times New Roman" w:hAnsi="Times New Roman" w:hint="default"/>
          <w:rtl w:val="0"/>
        </w:rPr>
        <w:t>–</w:t>
      </w:r>
      <w:r>
        <w:rPr>
          <w:rFonts w:ascii="Times New Roman" w:hAnsi="Times New Roman"/>
          <w:rtl w:val="0"/>
        </w:rPr>
        <w:t>48.</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1"/>
        </w:rPr>
        <w:t>‘</w:t>
      </w:r>
      <w:r>
        <w:rPr>
          <w:rFonts w:ascii="Times New Roman" w:hAnsi="Times New Roman"/>
          <w:rtl w:val="0"/>
          <w:lang w:val="en-US"/>
        </w:rPr>
        <w:t>Experience design</w:t>
      </w:r>
      <w:r>
        <w:rPr>
          <w:rFonts w:ascii="Times New Roman" w:hAnsi="Times New Roman" w:hint="default"/>
          <w:rtl w:val="1"/>
        </w:rPr>
        <w:t xml:space="preserve">’ </w:t>
      </w:r>
      <w:r>
        <w:rPr>
          <w:rFonts w:ascii="Times New Roman" w:hAnsi="Times New Roman"/>
          <w:rtl w:val="0"/>
          <w:lang w:val="en-US"/>
        </w:rPr>
        <w:t>(2014) Basics Interactive Design: User Experience Design, pp. 68</w:t>
      </w:r>
      <w:r>
        <w:rPr>
          <w:rFonts w:ascii="Times New Roman" w:hAnsi="Times New Roman" w:hint="default"/>
          <w:rtl w:val="0"/>
        </w:rPr>
        <w:t>–</w:t>
      </w:r>
      <w:r>
        <w:rPr>
          <w:rFonts w:ascii="Times New Roman" w:hAnsi="Times New Roman"/>
          <w:rtl w:val="0"/>
        </w:rPr>
        <w:t>105.</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1"/>
        </w:rPr>
        <w:t>‘</w:t>
      </w:r>
      <w:r>
        <w:rPr>
          <w:rFonts w:ascii="Times New Roman" w:hAnsi="Times New Roman"/>
          <w:rtl w:val="0"/>
          <w:lang w:val="en-US"/>
        </w:rPr>
        <w:t>Supplemental material for evidence of preserved audience design with aging in interactive conversation</w:t>
      </w:r>
      <w:r>
        <w:rPr>
          <w:rFonts w:ascii="Times New Roman" w:hAnsi="Times New Roman" w:hint="default"/>
          <w:rtl w:val="1"/>
        </w:rPr>
        <w:t xml:space="preserve">’ </w:t>
      </w:r>
      <w:r>
        <w:rPr>
          <w:rFonts w:ascii="Times New Roman" w:hAnsi="Times New Roman"/>
          <w:rtl w:val="0"/>
        </w:rPr>
        <w:t xml:space="preserve">(2019) </w:t>
      </w:r>
      <w:r>
        <w:rPr>
          <w:rStyle w:val="None"/>
          <w:rFonts w:ascii="Times New Roman" w:hAnsi="Times New Roman"/>
          <w:i w:val="1"/>
          <w:iCs w:val="1"/>
          <w:rtl w:val="0"/>
          <w:lang w:val="en-US"/>
        </w:rPr>
        <w:t>Psychology and Aging</w:t>
      </w:r>
      <w:r>
        <w:rPr>
          <w:rFonts w:ascii="Times New Roman" w:hAnsi="Times New Roman"/>
          <w:rtl w:val="0"/>
        </w:rPr>
        <w:t>, pp. 5</w:t>
      </w:r>
      <w:r>
        <w:rPr>
          <w:rFonts w:ascii="Times New Roman" w:hAnsi="Times New Roman" w:hint="default"/>
          <w:rtl w:val="0"/>
        </w:rPr>
        <w:t>–</w:t>
      </w:r>
      <w:r>
        <w:rPr>
          <w:rFonts w:ascii="Times New Roman" w:hAnsi="Times New Roman"/>
          <w:rtl w:val="0"/>
        </w:rPr>
        <w:t>6.</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tl w:val="0"/>
        </w:rPr>
      </w:pPr>
      <w:r>
        <w:rPr>
          <w:rFonts w:ascii="Times New Roman" w:cs="Times New Roman" w:hAnsi="Times New Roman" w:eastAsia="Times New Roman"/>
          <w:rtl w:val="0"/>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None">
    <w:name w:val="None"/>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zh-CN" w:eastAsia="zh-CN"/>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