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8ED7FB7" w14:textId="77777777" w:rsidR="000D7323" w:rsidRPr="00291898" w:rsidRDefault="00516B0E" w:rsidP="00C61F21">
      <w:pPr>
        <w:jc w:val="center"/>
        <w:rPr>
          <w:b/>
          <w:sz w:val="28"/>
        </w:rPr>
      </w:pPr>
      <w:r w:rsidRPr="00291898">
        <w:rPr>
          <w:b/>
          <w:sz w:val="28"/>
        </w:rPr>
        <w:t>Interpretation of Roman communities concerning growing ill or approaching death and mourning the dead.</w:t>
      </w:r>
    </w:p>
    <w:p w14:paraId="6A493E02" w14:textId="77777777" w:rsidR="00516B0E" w:rsidRPr="002A74E3" w:rsidRDefault="00516B0E"/>
    <w:p w14:paraId="46018378" w14:textId="2F62C2B5" w:rsidR="00C61F21" w:rsidRPr="00C61F21" w:rsidRDefault="00C61F21" w:rsidP="00C61F21">
      <w:pPr>
        <w:ind w:firstLine="720"/>
      </w:pPr>
      <w:r>
        <w:t xml:space="preserve">This essay aims to discuss briefly the ordinary, but very religious, life of inhabitants of the Roman Empire. It will include an introduction to their pious life by highlighting language development, social structure and stratification and divine nature within Roman thought. From there, the religious connections to becoming ill and mourning those who have died are discussed. Personal thoughts have been included and within the conclusion, these will be elaborated on to </w:t>
      </w:r>
      <w:proofErr w:type="gramStart"/>
      <w:r>
        <w:t>demonstrate</w:t>
      </w:r>
      <w:proofErr w:type="gramEnd"/>
      <w:r>
        <w:t xml:space="preserve"> how my personal thinking has developed alongside my studies of religion within the Roman Empire.</w:t>
      </w:r>
    </w:p>
    <w:p w14:paraId="2F6CB374" w14:textId="1F7890CB" w:rsidR="00C56208" w:rsidRDefault="00516B0E" w:rsidP="00C61F21">
      <w:pPr>
        <w:ind w:firstLine="720"/>
      </w:pPr>
      <w:r w:rsidRPr="002A74E3">
        <w:t>Ancient Roman religion was embedded into the society</w:t>
      </w:r>
      <w:r w:rsidR="00C61F21">
        <w:t>,</w:t>
      </w:r>
      <w:r w:rsidRPr="002A74E3">
        <w:t xml:space="preserve"> with every aspect of daily life being affected by religious activity or the divine. Although the term ‘religion’ is used for modern understanding, religion was not separated from state activities as we know today and the etymological roots for the word stems from ‘</w:t>
      </w:r>
      <w:r w:rsidRPr="00C61F21">
        <w:rPr>
          <w:i/>
        </w:rPr>
        <w:t>religio</w:t>
      </w:r>
      <w:r w:rsidRPr="002A74E3">
        <w:t>’ meaning customary practice. This word evolved during the 2</w:t>
      </w:r>
      <w:r w:rsidRPr="002A74E3">
        <w:rPr>
          <w:vertAlign w:val="superscript"/>
        </w:rPr>
        <w:t>nd</w:t>
      </w:r>
      <w:r w:rsidRPr="002A74E3">
        <w:t xml:space="preserve"> century AD to mean worship towards a specific deity, and living a </w:t>
      </w:r>
      <w:proofErr w:type="gramStart"/>
      <w:r w:rsidRPr="002A74E3">
        <w:t>particular way</w:t>
      </w:r>
      <w:proofErr w:type="gramEnd"/>
      <w:r w:rsidRPr="002A74E3">
        <w:t xml:space="preserve"> of life</w:t>
      </w:r>
      <w:r w:rsidR="00A57A2B" w:rsidRPr="002A74E3">
        <w:rPr>
          <w:rStyle w:val="FootnoteReference"/>
        </w:rPr>
        <w:footnoteReference w:id="1"/>
      </w:r>
      <w:r w:rsidRPr="002A74E3">
        <w:t xml:space="preserve">. Furthermore, religion in Rome and her provinces was extremely subjective with no enforced doctrine, moral </w:t>
      </w:r>
      <w:proofErr w:type="gramStart"/>
      <w:r w:rsidRPr="002A74E3">
        <w:t>codes</w:t>
      </w:r>
      <w:proofErr w:type="gramEnd"/>
      <w:r w:rsidRPr="002A74E3">
        <w:t xml:space="preserve"> or authoritative figure</w:t>
      </w:r>
      <w:r w:rsidR="006D6548">
        <w:t xml:space="preserve">. This view was not new to me due to </w:t>
      </w:r>
      <w:r w:rsidR="00C61F21">
        <w:t>earlier</w:t>
      </w:r>
      <w:r w:rsidR="006D6548">
        <w:t xml:space="preserve"> study of Greek religion and how it was organised yet after specific Roman study, there is clear distinctions between the two cultures. </w:t>
      </w:r>
    </w:p>
    <w:p w14:paraId="782D4500" w14:textId="7020B264" w:rsidR="00516B0E" w:rsidRPr="002A74E3" w:rsidRDefault="00516B0E">
      <w:r w:rsidRPr="002A74E3">
        <w:t xml:space="preserve">The social structure of the Empire was supported by </w:t>
      </w:r>
      <w:proofErr w:type="spellStart"/>
      <w:r w:rsidRPr="002A74E3">
        <w:t>euergetism</w:t>
      </w:r>
      <w:proofErr w:type="spellEnd"/>
      <w:r w:rsidRPr="002A74E3">
        <w:t>, the relationship between the wealthy elite and thankful non-elites</w:t>
      </w:r>
      <w:r w:rsidR="003F1DA1" w:rsidRPr="002A74E3">
        <w:rPr>
          <w:rStyle w:val="FootnoteReference"/>
        </w:rPr>
        <w:footnoteReference w:id="2"/>
      </w:r>
      <w:r w:rsidRPr="002A74E3">
        <w:t>. This was supported</w:t>
      </w:r>
      <w:r w:rsidR="005D335B">
        <w:t xml:space="preserve"> by</w:t>
      </w:r>
      <w:r w:rsidRPr="002A74E3">
        <w:t xml:space="preserve"> the requirement that the</w:t>
      </w:r>
      <w:r w:rsidR="00291898">
        <w:t xml:space="preserve"> elite</w:t>
      </w:r>
      <w:r w:rsidRPr="002A74E3">
        <w:t xml:space="preserve"> paid for festivities. These were </w:t>
      </w:r>
      <w:r w:rsidR="00C56208">
        <w:t xml:space="preserve">important and frequent </w:t>
      </w:r>
      <w:r w:rsidRPr="002A74E3">
        <w:t xml:space="preserve">events that were fantastic opportunities for </w:t>
      </w:r>
      <w:r w:rsidR="003F1DA1" w:rsidRPr="002A74E3">
        <w:t>relaxation, socialisation,</w:t>
      </w:r>
      <w:r w:rsidRPr="002A74E3">
        <w:t xml:space="preserve"> and trade</w:t>
      </w:r>
      <w:r w:rsidR="003F1DA1" w:rsidRPr="002A74E3">
        <w:rPr>
          <w:rStyle w:val="FootnoteReference"/>
        </w:rPr>
        <w:footnoteReference w:id="3"/>
      </w:r>
      <w:r w:rsidRPr="002A74E3">
        <w:t>. The festivals were important rituals that followed the cycle of the year and celebrated deities and the dead.</w:t>
      </w:r>
      <w:r w:rsidR="005D335B">
        <w:t xml:space="preserve"> </w:t>
      </w:r>
      <w:r w:rsidRPr="002A74E3">
        <w:t>Festivals effected daily life</w:t>
      </w:r>
      <w:r w:rsidR="002A74E3" w:rsidRPr="002A74E3">
        <w:t>, even without direct participation,</w:t>
      </w:r>
      <w:r w:rsidRPr="002A74E3">
        <w:t xml:space="preserve"> due to the vast processions and </w:t>
      </w:r>
      <w:r w:rsidR="002A74E3" w:rsidRPr="002A74E3">
        <w:t xml:space="preserve">use of </w:t>
      </w:r>
      <w:r w:rsidRPr="002A74E3">
        <w:t>temples</w:t>
      </w:r>
      <w:r w:rsidR="002A74E3" w:rsidRPr="002A74E3">
        <w:t xml:space="preserve"> which </w:t>
      </w:r>
      <w:r w:rsidRPr="002A74E3">
        <w:t>were the backbone to the city organisation</w:t>
      </w:r>
      <w:r w:rsidR="002A74E3" w:rsidRPr="002A74E3">
        <w:rPr>
          <w:rStyle w:val="FootnoteReference"/>
          <w:rFonts w:ascii="Bahnschrift SemiLight" w:hAnsi="Bahnschrift SemiLight"/>
        </w:rPr>
        <w:footnoteReference w:id="4"/>
      </w:r>
      <w:r w:rsidRPr="002A74E3">
        <w:t xml:space="preserve">. The Forum, for example, was a space for business, </w:t>
      </w:r>
      <w:r w:rsidR="003F1DA1" w:rsidRPr="002A74E3">
        <w:t>pleasure,</w:t>
      </w:r>
      <w:r w:rsidRPr="002A74E3">
        <w:t xml:space="preserve"> and worship as it </w:t>
      </w:r>
      <w:proofErr w:type="gramStart"/>
      <w:r w:rsidRPr="002A74E3">
        <w:t>provided</w:t>
      </w:r>
      <w:proofErr w:type="gramEnd"/>
      <w:r w:rsidRPr="002A74E3">
        <w:t xml:space="preserve"> a visual representation of the relationship between the people, divine and </w:t>
      </w:r>
      <w:r w:rsidR="00291898">
        <w:t xml:space="preserve">the </w:t>
      </w:r>
      <w:r w:rsidRPr="002A74E3">
        <w:t>emperor.</w:t>
      </w:r>
      <w:r w:rsidR="003F1DA1" w:rsidRPr="002A74E3">
        <w:t xml:space="preserve"> </w:t>
      </w:r>
      <w:r w:rsidR="006D6548">
        <w:t xml:space="preserve">When first approaching the festivals, I was confused on how they were organised and what their importance was. This thought developed after learning festivals were how the calendar was organised and that although the word festival is used, the celebrations were public rituals that were to </w:t>
      </w:r>
      <w:r w:rsidR="00C56208">
        <w:t>affect</w:t>
      </w:r>
      <w:r w:rsidR="006D6548">
        <w:t xml:space="preserve"> the entirety of the city </w:t>
      </w:r>
      <w:proofErr w:type="gramStart"/>
      <w:r w:rsidR="006D6548">
        <w:t>similar to</w:t>
      </w:r>
      <w:proofErr w:type="gramEnd"/>
      <w:r w:rsidR="006D6548">
        <w:t xml:space="preserve"> how household rituals were for the family unit within their walls. The intricacy of rituals within the festivals, and the involvement of all that followed polytheistic belief was another form of community. </w:t>
      </w:r>
      <w:r w:rsidR="003F1DA1" w:rsidRPr="002A74E3">
        <w:t>A sense of community was important to the Roman people and this is clear from the voluntary associations that formed. There are 3 divisions of associations, those who are linked ethnically, vocationally and by cultic activity</w:t>
      </w:r>
      <w:r w:rsidR="00C56208">
        <w:t>, yet these must be state approved and follow social norms</w:t>
      </w:r>
      <w:r w:rsidR="00C61F21">
        <w:t xml:space="preserve"> as Cicero highlights that gods must not be taken up unless they “have been recognised by the state”</w:t>
      </w:r>
      <w:r w:rsidR="00C61F21">
        <w:rPr>
          <w:rStyle w:val="FootnoteReference"/>
        </w:rPr>
        <w:footnoteReference w:id="5"/>
      </w:r>
      <w:r w:rsidR="00C61F21">
        <w:t xml:space="preserve">. </w:t>
      </w:r>
    </w:p>
    <w:p w14:paraId="1D839E13" w14:textId="631910F4" w:rsidR="006D6548" w:rsidRDefault="00516B0E">
      <w:r w:rsidRPr="002A74E3">
        <w:t>The gods themselves were viewed as omnipresent</w:t>
      </w:r>
      <w:r w:rsidR="003F1DA1" w:rsidRPr="002A74E3">
        <w:rPr>
          <w:rStyle w:val="FootnoteReference"/>
        </w:rPr>
        <w:footnoteReference w:id="6"/>
      </w:r>
      <w:r w:rsidR="00A57A2B" w:rsidRPr="002A74E3">
        <w:t>, anthropomorphic personifications of the natural wor</w:t>
      </w:r>
      <w:r w:rsidR="00A64158">
        <w:t>l</w:t>
      </w:r>
      <w:r w:rsidR="00A57A2B" w:rsidRPr="002A74E3">
        <w:t>d that were</w:t>
      </w:r>
      <w:r w:rsidRPr="002A74E3">
        <w:t xml:space="preserve"> able to </w:t>
      </w:r>
      <w:r w:rsidR="00A57A2B" w:rsidRPr="002A74E3">
        <w:t>affect</w:t>
      </w:r>
      <w:r w:rsidRPr="002A74E3">
        <w:t xml:space="preserve"> </w:t>
      </w:r>
      <w:proofErr w:type="gramStart"/>
      <w:r w:rsidR="003F1DA1" w:rsidRPr="002A74E3">
        <w:t>everyone’s</w:t>
      </w:r>
      <w:proofErr w:type="gramEnd"/>
      <w:r w:rsidRPr="002A74E3">
        <w:t xml:space="preserve"> lives daily</w:t>
      </w:r>
      <w:r w:rsidR="00A57A2B" w:rsidRPr="002A74E3">
        <w:rPr>
          <w:rStyle w:val="FootnoteReference"/>
        </w:rPr>
        <w:footnoteReference w:id="7"/>
      </w:r>
      <w:r w:rsidRPr="002A74E3">
        <w:t xml:space="preserve">. </w:t>
      </w:r>
      <w:proofErr w:type="gramStart"/>
      <w:r w:rsidRPr="002A74E3">
        <w:t>In order to</w:t>
      </w:r>
      <w:proofErr w:type="gramEnd"/>
      <w:r w:rsidRPr="002A74E3">
        <w:t xml:space="preserve"> ensure positive effect, </w:t>
      </w:r>
      <w:r w:rsidRPr="002A74E3">
        <w:lastRenderedPageBreak/>
        <w:t xml:space="preserve">people were to sacrifice and participate in rituals whether that be within the household or the wider village/polis community. </w:t>
      </w:r>
      <w:r w:rsidR="006D6548" w:rsidRPr="002A74E3">
        <w:t>Aristotle</w:t>
      </w:r>
      <w:r w:rsidRPr="002A74E3">
        <w:t xml:space="preserve"> states that communities arose due to satisfying natural needs</w:t>
      </w:r>
      <w:r w:rsidR="003F1DA1" w:rsidRPr="002A74E3">
        <w:rPr>
          <w:rStyle w:val="FootnoteReference"/>
        </w:rPr>
        <w:footnoteReference w:id="8"/>
      </w:r>
      <w:r w:rsidRPr="002A74E3">
        <w:t xml:space="preserve">. The household had the extended community of the village and these villages could </w:t>
      </w:r>
      <w:r w:rsidR="009A4CC8" w:rsidRPr="002A74E3">
        <w:t>amalgamate</w:t>
      </w:r>
      <w:r w:rsidRPr="002A74E3">
        <w:t xml:space="preserve"> to form a polis with a patron </w:t>
      </w:r>
      <w:r w:rsidR="009A4CC8" w:rsidRPr="002A74E3">
        <w:t>deity</w:t>
      </w:r>
      <w:r w:rsidRPr="002A74E3">
        <w:t>. Identity was often closely linked to this deity</w:t>
      </w:r>
      <w:bookmarkStart w:id="0" w:name="_Hlk496714187"/>
      <w:r w:rsidR="003F1DA1" w:rsidRPr="002A74E3">
        <w:rPr>
          <w:rStyle w:val="FootnoteReference"/>
        </w:rPr>
        <w:footnoteReference w:id="9"/>
      </w:r>
      <w:bookmarkEnd w:id="0"/>
      <w:r w:rsidRPr="002A74E3">
        <w:t xml:space="preserve"> which</w:t>
      </w:r>
      <w:r w:rsidR="003F1DA1" w:rsidRPr="002A74E3">
        <w:t xml:space="preserve"> “reveals an intertwining of civic pride, economic interest and religious devotion”</w:t>
      </w:r>
      <w:r w:rsidR="003F1DA1" w:rsidRPr="002A74E3">
        <w:rPr>
          <w:rStyle w:val="FootnoteReference"/>
        </w:rPr>
        <w:footnoteReference w:id="10"/>
      </w:r>
      <w:r w:rsidRPr="002A74E3">
        <w:t xml:space="preserve">. </w:t>
      </w:r>
      <w:r w:rsidR="00A57A2B" w:rsidRPr="002A74E3">
        <w:t>There was</w:t>
      </w:r>
      <w:r w:rsidR="00C56208">
        <w:t xml:space="preserve"> </w:t>
      </w:r>
      <w:r w:rsidR="00A57A2B" w:rsidRPr="002A74E3">
        <w:t xml:space="preserve">a mutual understanding that the gods existed and were able </w:t>
      </w:r>
      <w:r w:rsidR="003F1DA1" w:rsidRPr="002A74E3">
        <w:t>give</w:t>
      </w:r>
      <w:r w:rsidR="00A57A2B" w:rsidRPr="002A74E3">
        <w:t xml:space="preserve"> safety and justice for humanity</w:t>
      </w:r>
      <w:r w:rsidR="00C56208">
        <w:t xml:space="preserve"> although the practices and attributes could vary regionally</w:t>
      </w:r>
      <w:r w:rsidR="00A57A2B" w:rsidRPr="002A74E3">
        <w:t xml:space="preserve">. Material evidence shows that the gods were approached with ‘stereotyped expressions’, </w:t>
      </w:r>
      <w:r w:rsidR="003F1DA1" w:rsidRPr="002A74E3">
        <w:t>a term coined by Rives to explain the</w:t>
      </w:r>
      <w:r w:rsidR="00A57A2B" w:rsidRPr="002A74E3">
        <w:t xml:space="preserve"> followed </w:t>
      </w:r>
      <w:r w:rsidR="003F1DA1" w:rsidRPr="002A74E3">
        <w:t>formulae</w:t>
      </w:r>
      <w:r w:rsidR="00A57A2B" w:rsidRPr="002A74E3">
        <w:t xml:space="preserve"> of dedication</w:t>
      </w:r>
      <w:r w:rsidR="003F1DA1" w:rsidRPr="002A74E3">
        <w:t xml:space="preserve">. This was often done </w:t>
      </w:r>
      <w:r w:rsidR="00A57A2B" w:rsidRPr="002A74E3">
        <w:t>when people lacked the power, for example ensuring that their crops grew or asking for aid concerning their health</w:t>
      </w:r>
      <w:r w:rsidR="003F1DA1" w:rsidRPr="002A74E3">
        <w:rPr>
          <w:rStyle w:val="FootnoteReference"/>
        </w:rPr>
        <w:footnoteReference w:id="11"/>
      </w:r>
      <w:r w:rsidR="00A57A2B" w:rsidRPr="002A74E3">
        <w:t xml:space="preserve">. </w:t>
      </w:r>
      <w:r w:rsidR="003F1DA1" w:rsidRPr="002A74E3">
        <w:t xml:space="preserve">Certain gods were tied to topographical locations </w:t>
      </w:r>
      <w:r w:rsidR="003F1DA1" w:rsidRPr="002A74E3">
        <w:rPr>
          <w:rFonts w:cs="Times New Roman"/>
          <w:bCs/>
        </w:rPr>
        <w:t>such as mountains in the Near East and woodland groves within Europe</w:t>
      </w:r>
      <w:r w:rsidR="003F1DA1" w:rsidRPr="002A74E3">
        <w:rPr>
          <w:rStyle w:val="FootnoteReference"/>
        </w:rPr>
        <w:footnoteReference w:id="12"/>
      </w:r>
      <w:r w:rsidR="003F1DA1" w:rsidRPr="002A74E3">
        <w:rPr>
          <w:rFonts w:cs="Times New Roman"/>
          <w:bCs/>
        </w:rPr>
        <w:t xml:space="preserve">. </w:t>
      </w:r>
      <w:r w:rsidR="003F1DA1" w:rsidRPr="002A74E3">
        <w:t>These sacred locations were also landscape markers, and they helped shape the view of the world</w:t>
      </w:r>
      <w:r w:rsidR="003F1DA1" w:rsidRPr="002A74E3">
        <w:rPr>
          <w:rStyle w:val="FootnoteReference"/>
        </w:rPr>
        <w:footnoteReference w:id="13"/>
      </w:r>
      <w:r w:rsidR="003F1DA1" w:rsidRPr="002A74E3">
        <w:t xml:space="preserve"> but also </w:t>
      </w:r>
      <w:proofErr w:type="gramStart"/>
      <w:r w:rsidR="003F1DA1" w:rsidRPr="002A74E3">
        <w:t>provided</w:t>
      </w:r>
      <w:proofErr w:type="gramEnd"/>
      <w:r w:rsidR="003F1DA1" w:rsidRPr="002A74E3">
        <w:t xml:space="preserve"> places for those who were looking for specific deities to go to worship</w:t>
      </w:r>
      <w:r w:rsidR="002A74E3" w:rsidRPr="002A74E3">
        <w:t xml:space="preserve"> for example healing gods often had shrines that become pilgrimage markers for those desiring a cure</w:t>
      </w:r>
      <w:r w:rsidR="002A74E3" w:rsidRPr="002A74E3">
        <w:rPr>
          <w:rStyle w:val="FootnoteReference"/>
        </w:rPr>
        <w:footnoteReference w:id="14"/>
      </w:r>
      <w:r w:rsidR="002A74E3" w:rsidRPr="002A74E3">
        <w:t>.</w:t>
      </w:r>
      <w:r w:rsidR="00C56208">
        <w:t xml:space="preserve"> The understanding of gods and their nature was also not new due to </w:t>
      </w:r>
      <w:proofErr w:type="gramStart"/>
      <w:r w:rsidR="00C56208">
        <w:t>previous</w:t>
      </w:r>
      <w:proofErr w:type="gramEnd"/>
      <w:r w:rsidR="00C56208">
        <w:t xml:space="preserve"> Greek-related study, nor was the link of identity and patron gods and how they were dedicated to. What is interesting is the fact that Romans had heavy Greek and Etruscan influence which is </w:t>
      </w:r>
      <w:proofErr w:type="gramStart"/>
      <w:r w:rsidR="00C56208">
        <w:t>clearly evident</w:t>
      </w:r>
      <w:proofErr w:type="gramEnd"/>
      <w:r w:rsidR="00C56208">
        <w:t xml:space="preserve"> within this particular paragraph. Within specific Roman study, however, it would be important to note that regional practices were extremely varied across the empire yet there </w:t>
      </w:r>
      <w:r w:rsidR="00E768C6">
        <w:t xml:space="preserve">were Roman specifications concerning traditions that needed to be met and not all were accepting of foreign cults, as seen by Dionysius of Halicarnassus when he </w:t>
      </w:r>
      <w:proofErr w:type="gramStart"/>
      <w:r w:rsidR="00E768C6">
        <w:t>states</w:t>
      </w:r>
      <w:proofErr w:type="gramEnd"/>
      <w:r w:rsidR="00E768C6">
        <w:t xml:space="preserve"> that “even though Rome has introduced certain rites… she celebrates them in accordance with her own traditions, discarding all the mumbo jumbo”</w:t>
      </w:r>
      <w:r w:rsidR="00E768C6">
        <w:rPr>
          <w:rStyle w:val="FootnoteReference"/>
        </w:rPr>
        <w:footnoteReference w:id="15"/>
      </w:r>
      <w:r w:rsidR="00E768C6">
        <w:t>. Another example is Cicero</w:t>
      </w:r>
      <w:r w:rsidR="00E768C6">
        <w:rPr>
          <w:rStyle w:val="FootnoteReference"/>
        </w:rPr>
        <w:footnoteReference w:id="16"/>
      </w:r>
      <w:r w:rsidR="00E768C6">
        <w:t xml:space="preserve"> who acknowledges foreign cults and their practices but identifies them as ‘alien’. While this language is not technically incorrect, it is not positive. Although he appears to be against foreign cult practices, he also seemingly understands the importance of ancestor cults but specifies that they must be worshipped “privately” with the correct forms of worship for those rites. His statement shows a high amount of openness when dealing with new gods but enforces the strict Roman sense of authority by highlighting that cults </w:t>
      </w:r>
      <w:proofErr w:type="gramStart"/>
      <w:r w:rsidR="00E768C6">
        <w:t>are required to</w:t>
      </w:r>
      <w:proofErr w:type="gramEnd"/>
      <w:r w:rsidR="00E768C6">
        <w:t xml:space="preserve"> be recognised by the state. Due to the language used, I would conclude that although Cicero is accepting of unknown gods, he is a firm believer of the Roman culture and </w:t>
      </w:r>
      <w:proofErr w:type="gramStart"/>
      <w:r w:rsidR="00E768C6">
        <w:t>it’s</w:t>
      </w:r>
      <w:proofErr w:type="gramEnd"/>
      <w:r w:rsidR="00E768C6">
        <w:t xml:space="preserve"> correct practice and traditions. </w:t>
      </w:r>
    </w:p>
    <w:p w14:paraId="795AFB56" w14:textId="63D5299C" w:rsidR="000B46C3" w:rsidRDefault="00E768C6" w:rsidP="00C61F21">
      <w:pPr>
        <w:ind w:firstLine="720"/>
      </w:pPr>
      <w:r>
        <w:t xml:space="preserve">Due to religion being embedded within the culture, even being ill was connected to the divine. </w:t>
      </w:r>
      <w:r w:rsidR="009F6E57" w:rsidRPr="00593519">
        <w:t>People blamed malevolent spirits for bad health, especially mental health.</w:t>
      </w:r>
      <w:r w:rsidR="009F6E57" w:rsidRPr="00593519">
        <w:rPr>
          <w:rStyle w:val="FootnoteReference"/>
        </w:rPr>
        <w:footnoteReference w:id="17"/>
      </w:r>
      <w:r w:rsidR="009F6E57" w:rsidRPr="00593519">
        <w:t xml:space="preserve"> </w:t>
      </w:r>
      <w:r>
        <w:t xml:space="preserve">Dedications were often connected to health and well-being, and the imported god </w:t>
      </w:r>
      <w:r w:rsidR="00C61F21">
        <w:t xml:space="preserve">of healing </w:t>
      </w:r>
      <w:r>
        <w:t>Aesculapius</w:t>
      </w:r>
      <w:r w:rsidR="00C61F21">
        <w:rPr>
          <w:rStyle w:val="FootnoteReference"/>
        </w:rPr>
        <w:footnoteReference w:id="18"/>
      </w:r>
      <w:r>
        <w:t xml:space="preserve"> </w:t>
      </w:r>
      <w:r w:rsidR="000B46C3">
        <w:t>was very popular for those who grew ill</w:t>
      </w:r>
      <w:r w:rsidR="00EE6EB3">
        <w:t>,</w:t>
      </w:r>
      <w:r w:rsidR="002E62DA">
        <w:t xml:space="preserve"> going so far to being named “saviour of the world”</w:t>
      </w:r>
      <w:r w:rsidR="002E62DA">
        <w:rPr>
          <w:rStyle w:val="FootnoteReference"/>
        </w:rPr>
        <w:footnoteReference w:id="19"/>
      </w:r>
      <w:r w:rsidR="002E62DA">
        <w:t xml:space="preserve"> in a Greek inscription from </w:t>
      </w:r>
      <w:proofErr w:type="spellStart"/>
      <w:r w:rsidR="002E62DA">
        <w:t>Odessus</w:t>
      </w:r>
      <w:proofErr w:type="spellEnd"/>
      <w:r w:rsidR="002E62DA">
        <w:t>.</w:t>
      </w:r>
      <w:r w:rsidR="000B46C3">
        <w:t xml:space="preserve"> His cult was widespread, and people travelled miles to stay at his shrines which </w:t>
      </w:r>
      <w:r w:rsidR="000B46C3" w:rsidRPr="00593519">
        <w:t>often had accommodation near-by due to their popularity.</w:t>
      </w:r>
      <w:r w:rsidR="000B46C3" w:rsidRPr="00593519">
        <w:rPr>
          <w:rStyle w:val="FootnoteReference"/>
        </w:rPr>
        <w:footnoteReference w:id="20"/>
      </w:r>
      <w:r w:rsidR="000B46C3">
        <w:t xml:space="preserve"> It was said that </w:t>
      </w:r>
      <w:r w:rsidR="000B46C3">
        <w:lastRenderedPageBreak/>
        <w:t>during your stay</w:t>
      </w:r>
      <w:r w:rsidR="002E62DA">
        <w:t xml:space="preserve"> in a specific sacred hall beside the temple</w:t>
      </w:r>
      <w:r w:rsidR="000B46C3">
        <w:t>, he would visit the ill in their dreams</w:t>
      </w:r>
      <w:r w:rsidR="002E62DA">
        <w:t xml:space="preserve"> during a rite named incubation</w:t>
      </w:r>
      <w:r w:rsidR="000B46C3">
        <w:t>.</w:t>
      </w:r>
      <w:r w:rsidR="000B46C3" w:rsidRPr="000B46C3">
        <w:rPr>
          <w:rStyle w:val="FootnoteReference"/>
        </w:rPr>
        <w:t xml:space="preserve"> </w:t>
      </w:r>
      <w:r w:rsidR="000B46C3" w:rsidRPr="002A74E3">
        <w:rPr>
          <w:rStyle w:val="FootnoteReference"/>
        </w:rPr>
        <w:footnoteReference w:id="21"/>
      </w:r>
      <w:r w:rsidR="000B46C3">
        <w:t xml:space="preserve"> It is said by Anon that Aesculapius was brought to Rome from Epidaurus and the envoy was greeted by a snake but this was “an object of veneration, not of horror”</w:t>
      </w:r>
      <w:r w:rsidR="009F6E57">
        <w:rPr>
          <w:rStyle w:val="FootnoteReference"/>
        </w:rPr>
        <w:footnoteReference w:id="22"/>
      </w:r>
      <w:r w:rsidR="000B46C3">
        <w:t xml:space="preserve"> thus showing an immediate knowledge of the divine and how they manifested. This enables an open-mind concerning treatments. To me, the idea of a god visiting my dreams </w:t>
      </w:r>
      <w:proofErr w:type="gramStart"/>
      <w:r w:rsidR="000B46C3">
        <w:t>in order to</w:t>
      </w:r>
      <w:proofErr w:type="gramEnd"/>
      <w:r w:rsidR="000B46C3">
        <w:t xml:space="preserve"> fix my health misfortunes is too good to be true but for the ancients this would have been an extraordinary feat of a deity.</w:t>
      </w:r>
      <w:r w:rsidR="00FF6539">
        <w:t xml:space="preserve"> Not only this, </w:t>
      </w:r>
      <w:proofErr w:type="gramStart"/>
      <w:r w:rsidR="00FF6539">
        <w:t>Anon</w:t>
      </w:r>
      <w:proofErr w:type="gramEnd"/>
      <w:r w:rsidR="00FF6539">
        <w:t xml:space="preserve"> states that the unfortunate plague-ridden Romans were granted positivity from the god after their invocation; “the pestilence subsided with amazing speed”</w:t>
      </w:r>
      <w:r w:rsidR="00FF6539">
        <w:rPr>
          <w:rStyle w:val="FootnoteReference"/>
        </w:rPr>
        <w:footnoteReference w:id="23"/>
      </w:r>
      <w:r w:rsidR="00FF6539">
        <w:t xml:space="preserve">. Not only does this display the gods power and ability, it also could be a form of literary dedication, a form of </w:t>
      </w:r>
      <w:r w:rsidR="00FF6539" w:rsidRPr="00FF6539">
        <w:rPr>
          <w:i/>
        </w:rPr>
        <w:t xml:space="preserve">ex </w:t>
      </w:r>
      <w:proofErr w:type="spellStart"/>
      <w:r w:rsidR="00FF6539" w:rsidRPr="00FF6539">
        <w:rPr>
          <w:i/>
        </w:rPr>
        <w:t>voto</w:t>
      </w:r>
      <w:proofErr w:type="spellEnd"/>
      <w:r w:rsidR="00FF6539">
        <w:t xml:space="preserve"> perhaps. </w:t>
      </w:r>
      <w:r w:rsidR="002E62DA">
        <w:t xml:space="preserve">When considering this, I did not find it hard to relate or understand due to thanking </w:t>
      </w:r>
      <w:r w:rsidR="002E62DA" w:rsidRPr="002E62DA">
        <w:rPr>
          <w:i/>
        </w:rPr>
        <w:t>something</w:t>
      </w:r>
      <w:r w:rsidR="002E62DA">
        <w:t xml:space="preserve"> when a family member recovers from illness. It is important to note that there were other healing gods, and health sanctuaries were often positioned near lakes, much life modern spas</w:t>
      </w:r>
      <w:r w:rsidR="002E62DA">
        <w:rPr>
          <w:rStyle w:val="FootnoteReference"/>
        </w:rPr>
        <w:footnoteReference w:id="24"/>
      </w:r>
      <w:r w:rsidR="002E62DA">
        <w:t xml:space="preserve"> which show that humanity has not changed as much as they would like</w:t>
      </w:r>
      <w:r w:rsidR="00A64158">
        <w:t xml:space="preserve"> to think</w:t>
      </w:r>
      <w:r w:rsidR="002E62DA">
        <w:t xml:space="preserve">. </w:t>
      </w:r>
    </w:p>
    <w:p w14:paraId="17835812" w14:textId="77777777" w:rsidR="002A74E3" w:rsidRPr="002A74E3" w:rsidRDefault="009A4CC8" w:rsidP="005D335B">
      <w:pPr>
        <w:ind w:firstLine="720"/>
      </w:pPr>
      <w:r w:rsidRPr="002A74E3">
        <w:t>The household, as mentioned, deal</w:t>
      </w:r>
      <w:r w:rsidR="000B46C3">
        <w:t>t</w:t>
      </w:r>
      <w:r w:rsidRPr="002A74E3">
        <w:t xml:space="preserve"> with the cultic worship of the dead and ensures that they are cared for appropriately and correctly. This stems from a fear that the dead could harm the living</w:t>
      </w:r>
      <w:r w:rsidR="000B46C3" w:rsidRPr="00593519">
        <w:rPr>
          <w:rStyle w:val="FootnoteReference"/>
        </w:rPr>
        <w:footnoteReference w:id="25"/>
      </w:r>
      <w:r w:rsidRPr="002A74E3">
        <w:t xml:space="preserve">. </w:t>
      </w:r>
      <w:r w:rsidR="002A74E3" w:rsidRPr="002A74E3">
        <w:t xml:space="preserve">They needed to </w:t>
      </w:r>
      <w:proofErr w:type="gramStart"/>
      <w:r w:rsidR="002A74E3" w:rsidRPr="002A74E3">
        <w:t>provide</w:t>
      </w:r>
      <w:proofErr w:type="gramEnd"/>
      <w:r w:rsidR="002A74E3" w:rsidRPr="002A74E3">
        <w:t xml:space="preserve"> proper burial and funeral, offerings at the grave, and participate in the </w:t>
      </w:r>
      <w:proofErr w:type="spellStart"/>
      <w:r w:rsidR="002A74E3" w:rsidRPr="002A74E3">
        <w:t>Parentalia</w:t>
      </w:r>
      <w:proofErr w:type="spellEnd"/>
      <w:r w:rsidR="002A74E3" w:rsidRPr="002A74E3">
        <w:t>, a Roman festival for family cults. There must also be offerings on birthdays and the pouring of libations.</w:t>
      </w:r>
      <w:bookmarkStart w:id="1" w:name="_Hlk496714775"/>
      <w:r w:rsidR="002A74E3" w:rsidRPr="002A74E3">
        <w:rPr>
          <w:rStyle w:val="FootnoteReference"/>
        </w:rPr>
        <w:footnoteReference w:id="26"/>
      </w:r>
      <w:bookmarkEnd w:id="1"/>
      <w:r w:rsidR="002A74E3" w:rsidRPr="002A74E3">
        <w:t xml:space="preserve"> </w:t>
      </w:r>
      <w:proofErr w:type="gramStart"/>
      <w:r w:rsidR="009F6E57">
        <w:t>An indication</w:t>
      </w:r>
      <w:proofErr w:type="gramEnd"/>
      <w:r w:rsidR="009F6E57">
        <w:t xml:space="preserve"> of their importance is offered by Cicero, when he states that “the rights of the gods of the dead shall be sacred. Consider dead kinsfolk as gods”</w:t>
      </w:r>
      <w:r w:rsidR="009F6E57">
        <w:rPr>
          <w:rStyle w:val="FootnoteReference"/>
        </w:rPr>
        <w:footnoteReference w:id="27"/>
      </w:r>
      <w:r w:rsidR="009F6E57">
        <w:t>. This extract itself gives evidence to how the dead were viewed and why their graves were sacred. This seems odd to me due to the traditions concerning death I was brought up with however once removing the modern social conditioning, I can understand the need to see the dead as divine, to never forget their importance and keep the spirits of the dead happy although Ovid does point out that “the gods that inhabit the depths of the Styx are not greedy</w:t>
      </w:r>
      <w:r w:rsidR="00BC24EF">
        <w:t>”</w:t>
      </w:r>
      <w:r w:rsidR="00BC24EF">
        <w:rPr>
          <w:rStyle w:val="FootnoteReference"/>
        </w:rPr>
        <w:footnoteReference w:id="28"/>
      </w:r>
      <w:r w:rsidR="009F6E57">
        <w:t>.</w:t>
      </w:r>
      <w:r w:rsidR="00BC24EF">
        <w:t xml:space="preserve"> Ovid, within the same extract, discusses in detail the ritual which includes “a tile covered with a wreath of garlands, a sprinkling of grain, a small pinch of salt, bread soaked in wine, and some loose violets”</w:t>
      </w:r>
      <w:r w:rsidR="00FF6539">
        <w:rPr>
          <w:rStyle w:val="FootnoteReference"/>
        </w:rPr>
        <w:footnoteReference w:id="29"/>
      </w:r>
      <w:r w:rsidR="00BC24EF">
        <w:t xml:space="preserve"> which are all objects intended on pleasing and sating the dead, a feat encouraged by the alters being “free of incense”</w:t>
      </w:r>
      <w:r w:rsidR="00FF6539">
        <w:rPr>
          <w:rStyle w:val="FootnoteReference"/>
        </w:rPr>
        <w:footnoteReference w:id="30"/>
      </w:r>
      <w:r w:rsidR="00BC24EF">
        <w:t xml:space="preserve"> with no fires. These practices seem peculiar due to my background knowledge of incense and fire being used a lot during religious rituals especially those</w:t>
      </w:r>
      <w:r w:rsidR="00FF6539">
        <w:t xml:space="preserve"> concerning</w:t>
      </w:r>
      <w:r w:rsidR="00BC24EF">
        <w:t xml:space="preserve"> contacting the dead. However, having thought about it more I raise the question: do they not burn incense or fires on the alters so to avoid </w:t>
      </w:r>
      <w:r w:rsidR="00FF6539">
        <w:t>direct communication? This is something I can understand as spirits are unpredictable at best.</w:t>
      </w:r>
      <w:r w:rsidR="009F6E57">
        <w:t xml:space="preserve"> </w:t>
      </w:r>
      <w:r w:rsidR="000B46C3">
        <w:t>The lack of a welfare state saw the rise of social clubs, or voluntary associations</w:t>
      </w:r>
      <w:r w:rsidR="00BC24EF">
        <w:t>,</w:t>
      </w:r>
      <w:r w:rsidR="000B46C3">
        <w:t xml:space="preserve"> that were organised ethnically, vocationally and by cultic activity. These clubs </w:t>
      </w:r>
      <w:r w:rsidR="00BC24EF">
        <w:t>gave</w:t>
      </w:r>
      <w:r w:rsidR="000B46C3">
        <w:t xml:space="preserve"> a sense of community, a place for communal worship </w:t>
      </w:r>
      <w:proofErr w:type="gramStart"/>
      <w:r w:rsidR="000B46C3">
        <w:t>and also</w:t>
      </w:r>
      <w:proofErr w:type="gramEnd"/>
      <w:r w:rsidR="000B46C3">
        <w:t xml:space="preserve"> assistance concerning burials. This </w:t>
      </w:r>
      <w:r w:rsidR="00BC24EF">
        <w:t xml:space="preserve">further </w:t>
      </w:r>
      <w:proofErr w:type="gramStart"/>
      <w:r w:rsidR="000B46C3">
        <w:t>indicates</w:t>
      </w:r>
      <w:proofErr w:type="gramEnd"/>
      <w:r w:rsidR="000B46C3">
        <w:t xml:space="preserve"> just how important burial practice was for the Romans</w:t>
      </w:r>
      <w:r w:rsidR="00FF6539">
        <w:t xml:space="preserve"> while also highlighting the social stresses that came with religion. Even in my modern eyes, I can understand this due to the financial burden that comes with the death of a loved one. The voluntary associations would have been able to aid those who could </w:t>
      </w:r>
      <w:r w:rsidR="00FF6539">
        <w:lastRenderedPageBreak/>
        <w:t>not cover everything they needed to. This is a thought that further enhances the sense of community within a group.</w:t>
      </w:r>
    </w:p>
    <w:p w14:paraId="4DA55F5A" w14:textId="11B3B797" w:rsidR="009A4CC8" w:rsidRDefault="005D335B">
      <w:r>
        <w:tab/>
        <w:t xml:space="preserve">To conclude, it is </w:t>
      </w:r>
      <w:proofErr w:type="gramStart"/>
      <w:r>
        <w:t>evident</w:t>
      </w:r>
      <w:proofErr w:type="gramEnd"/>
      <w:r>
        <w:t xml:space="preserve"> to me that religion, used here only for modern terminology convenience, was such an important aspect to daily life that separating spiritual and secular is near-impossible. The fluidity, acceptance and variation within religion is inspiring and it continues to confuse me that Christianity managed to take over.</w:t>
      </w:r>
      <w:r w:rsidR="00DD6622">
        <w:t xml:space="preserve"> Previous studies of Greek civilisation and religion enabled me to have a backbone of understanding concerning Roman ideology upon beginning my studies, although I had always spurned Roman history due to an ignorant belief that it was the Greek religious system but contained more aggression due to the founder’s</w:t>
      </w:r>
      <w:bookmarkStart w:id="2" w:name="_GoBack"/>
      <w:bookmarkEnd w:id="2"/>
      <w:r w:rsidR="00DD6622">
        <w:t xml:space="preserve"> father settling on the Italian peninsula after a </w:t>
      </w:r>
      <w:proofErr w:type="gramStart"/>
      <w:r w:rsidR="00DD6622">
        <w:t>ten year</w:t>
      </w:r>
      <w:proofErr w:type="gramEnd"/>
      <w:r w:rsidR="00DD6622">
        <w:t xml:space="preserve"> war. However, this opinion has </w:t>
      </w:r>
      <w:proofErr w:type="gramStart"/>
      <w:r w:rsidR="00DD6622">
        <w:t>developed</w:t>
      </w:r>
      <w:proofErr w:type="gramEnd"/>
      <w:r w:rsidR="00DD6622">
        <w:t xml:space="preserve"> and I can now see that although Greek influence was heavy, the Romans were an </w:t>
      </w:r>
      <w:r w:rsidR="00291898">
        <w:t xml:space="preserve">impressive </w:t>
      </w:r>
      <w:r w:rsidR="00DD6622">
        <w:t xml:space="preserve">entity by themselves. Roman ideology was focused around orthopraxy, not orthodoxy and this is a way of understanding the cosmos and respecting those within it that I can understand. From discussing illness and death, one can also see that human thought has not evolved as much as expected and to believe we have would be ignorant to past societies’ belief systems and their impact on modern society. This is due to connections the desire to be included within a community and unforgotten by family after death, including the vast amounts of effort people were/are willing to go to </w:t>
      </w:r>
      <w:proofErr w:type="gramStart"/>
      <w:r w:rsidR="00DD6622">
        <w:t>in order to</w:t>
      </w:r>
      <w:proofErr w:type="gramEnd"/>
      <w:r w:rsidR="00DD6622">
        <w:t xml:space="preserve"> ensure peace, prosperity and health for themselves and their families. For modern </w:t>
      </w:r>
      <w:r w:rsidR="003A06BC">
        <w:t>interpreters</w:t>
      </w:r>
      <w:r w:rsidR="00DD6622">
        <w:t xml:space="preserve">, Roman ideology and every day life could be dismissed as barbaric paganism due to the Christian influence that has tarnished thoughts towards polytheistic religions. However, as someone who is personally attracted to this ideology, I can appreciate that Roman religion was inclusive, </w:t>
      </w:r>
      <w:r w:rsidR="003A06BC">
        <w:t>subjective,</w:t>
      </w:r>
      <w:r w:rsidR="00DD6622">
        <w:t xml:space="preserve"> and accepting. I would also draw the conclusion that leaving polytheistic religion that was intricately interwoven into society was a step back from man-kinds progress towards achieving our highest level of humanity</w:t>
      </w:r>
      <w:r w:rsidR="003A06BC">
        <w:t xml:space="preserve">. This is due to the acceptance and syncretism of cultures that were able to co-exist with peace, prosperity, </w:t>
      </w:r>
      <w:r w:rsidR="00291898">
        <w:t>innovation,</w:t>
      </w:r>
      <w:r w:rsidR="003A06BC">
        <w:t xml:space="preserve"> and intellectual investigation. Religion was not a cause for war, so why is it now? </w:t>
      </w:r>
      <w:r w:rsidR="00291898">
        <w:t xml:space="preserve">The past was littered with magic, beauty and the divine while </w:t>
      </w:r>
      <w:proofErr w:type="gramStart"/>
      <w:r w:rsidR="00291898">
        <w:t>maintaining</w:t>
      </w:r>
      <w:proofErr w:type="gramEnd"/>
      <w:r w:rsidR="00291898">
        <w:t xml:space="preserve"> scientific innovation but now, our connection to spirituality and the divine has been lost to secularisation to a point where our ordinary lives are just that; ordinary and mundane.  </w:t>
      </w:r>
    </w:p>
    <w:p w14:paraId="04C0199A" w14:textId="58A2D813" w:rsidR="003A06BC" w:rsidRDefault="003A06BC"/>
    <w:p w14:paraId="7A483467" w14:textId="1CAD97CC" w:rsidR="003A06BC" w:rsidRPr="003A06BC" w:rsidRDefault="003A06BC">
      <w:pPr>
        <w:rPr>
          <w:b/>
          <w:sz w:val="28"/>
          <w:u w:val="single"/>
        </w:rPr>
      </w:pPr>
      <w:r w:rsidRPr="003A06BC">
        <w:rPr>
          <w:b/>
          <w:sz w:val="28"/>
          <w:u w:val="single"/>
        </w:rPr>
        <w:t>Reference and Bibliography</w:t>
      </w:r>
    </w:p>
    <w:p w14:paraId="02B02EE5" w14:textId="77777777" w:rsidR="003A06BC" w:rsidRPr="002A74E3" w:rsidRDefault="003A06BC" w:rsidP="003A06BC">
      <w:r w:rsidRPr="003A06BC">
        <w:t xml:space="preserve">Rives, J. (2007). </w:t>
      </w:r>
      <w:r w:rsidRPr="003A06BC">
        <w:rPr>
          <w:i/>
        </w:rPr>
        <w:t>Religion in the Roman Empire</w:t>
      </w:r>
      <w:r w:rsidRPr="003A06BC">
        <w:t>. Malden, Mass.: Blackwell.</w:t>
      </w:r>
    </w:p>
    <w:p w14:paraId="39AC0899" w14:textId="77777777" w:rsidR="003A06BC" w:rsidRPr="00347345" w:rsidRDefault="003A06BC" w:rsidP="003A06BC">
      <w:r w:rsidRPr="00313F5B">
        <w:t xml:space="preserve">Warrior, V. (2002). </w:t>
      </w:r>
      <w:r w:rsidRPr="00313F5B">
        <w:rPr>
          <w:i/>
        </w:rPr>
        <w:t>Roman Religion: A Sourcebook</w:t>
      </w:r>
      <w:r w:rsidRPr="00313F5B">
        <w:t>. Newburyport: Focus Publishing.</w:t>
      </w:r>
    </w:p>
    <w:sectPr w:rsidR="003A06BC" w:rsidRPr="00347345">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CB6EEEC" w14:textId="77777777" w:rsidR="00291898" w:rsidRDefault="00291898" w:rsidP="00A57A2B">
      <w:pPr>
        <w:spacing w:after="0" w:line="240" w:lineRule="auto"/>
      </w:pPr>
      <w:r>
        <w:separator/>
      </w:r>
    </w:p>
  </w:endnote>
  <w:endnote w:type="continuationSeparator" w:id="0">
    <w:p w14:paraId="5E335D11" w14:textId="77777777" w:rsidR="00291898" w:rsidRDefault="00291898" w:rsidP="00A57A2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mbria">
    <w:panose1 w:val="02040503050406030204"/>
    <w:charset w:val="00"/>
    <w:family w:val="roman"/>
    <w:pitch w:val="variable"/>
    <w:sig w:usb0="E00006FF" w:usb1="400004FF" w:usb2="00000000" w:usb3="00000000" w:csb0="0000019F" w:csb1="00000000"/>
  </w:font>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Nirmala UI Semilight">
    <w:panose1 w:val="020B0402040204020203"/>
    <w:charset w:val="00"/>
    <w:family w:val="swiss"/>
    <w:pitch w:val="variable"/>
    <w:sig w:usb0="80FF8023" w:usb1="0000004A" w:usb2="00000200" w:usb3="00000000" w:csb0="00000001" w:csb1="00000000"/>
  </w:font>
  <w:font w:name="Bahnschrift SemiLight">
    <w:panose1 w:val="020B0502040204020203"/>
    <w:charset w:val="00"/>
    <w:family w:val="swiss"/>
    <w:pitch w:val="variable"/>
    <w:sig w:usb0="80000047" w:usb1="00000000" w:usb2="00000000" w:usb3="00000000" w:csb0="00000001" w:csb1="00000000"/>
  </w:font>
  <w:font w:name="Calibri Light">
    <w:panose1 w:val="020F0302020204030204"/>
    <w:charset w:val="00"/>
    <w:family w:val="swiss"/>
    <w:pitch w:val="variable"/>
    <w:sig w:usb0="A0002AEF" w:usb1="4000207B" w:usb2="00000000"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01111422"/>
      <w:docPartObj>
        <w:docPartGallery w:val="Page Numbers (Bottom of Page)"/>
        <w:docPartUnique/>
      </w:docPartObj>
    </w:sdtPr>
    <w:sdtEndPr>
      <w:rPr>
        <w:noProof/>
      </w:rPr>
    </w:sdtEndPr>
    <w:sdtContent>
      <w:p w14:paraId="19D64C41" w14:textId="3C025DD3" w:rsidR="00291898" w:rsidRDefault="00291898">
        <w:pPr>
          <w:pStyle w:val="Footer"/>
          <w:jc w:val="center"/>
        </w:pPr>
        <w:r>
          <w:fldChar w:fldCharType="begin"/>
        </w:r>
        <w:r>
          <w:instrText xml:space="preserve"> PAGE   \* MERGEFORMAT </w:instrText>
        </w:r>
        <w:r>
          <w:fldChar w:fldCharType="separate"/>
        </w:r>
        <w:r w:rsidR="00496A6F">
          <w:rPr>
            <w:noProof/>
          </w:rPr>
          <w:t>4</w:t>
        </w:r>
        <w:r>
          <w:rPr>
            <w:noProof/>
          </w:rPr>
          <w:fldChar w:fldCharType="end"/>
        </w:r>
      </w:p>
    </w:sdtContent>
  </w:sdt>
  <w:p w14:paraId="36AF4E17" w14:textId="77777777" w:rsidR="00291898" w:rsidRDefault="002918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C4668D5" w14:textId="77777777" w:rsidR="00291898" w:rsidRDefault="00291898" w:rsidP="00A57A2B">
      <w:pPr>
        <w:spacing w:after="0" w:line="240" w:lineRule="auto"/>
      </w:pPr>
      <w:r>
        <w:separator/>
      </w:r>
    </w:p>
  </w:footnote>
  <w:footnote w:type="continuationSeparator" w:id="0">
    <w:p w14:paraId="37D41601" w14:textId="77777777" w:rsidR="00291898" w:rsidRDefault="00291898" w:rsidP="00A57A2B">
      <w:pPr>
        <w:spacing w:after="0" w:line="240" w:lineRule="auto"/>
      </w:pPr>
      <w:r>
        <w:continuationSeparator/>
      </w:r>
    </w:p>
  </w:footnote>
  <w:footnote w:id="1">
    <w:p w14:paraId="0B607290" w14:textId="4E187C70" w:rsidR="00291898" w:rsidRPr="00291898" w:rsidRDefault="00291898" w:rsidP="00A57A2B">
      <w:pPr>
        <w:pStyle w:val="FootnoteText"/>
        <w:rPr>
          <w:color w:val="auto"/>
        </w:rPr>
      </w:pPr>
      <w:r w:rsidRPr="00291898">
        <w:rPr>
          <w:rStyle w:val="FootnoteReference"/>
          <w:color w:val="auto"/>
        </w:rPr>
        <w:footnoteRef/>
      </w:r>
      <w:r w:rsidRPr="00291898">
        <w:rPr>
          <w:color w:val="auto"/>
        </w:rPr>
        <w:t xml:space="preserve"> Rives, J. (2007). </w:t>
      </w:r>
      <w:r w:rsidRPr="00291898">
        <w:rPr>
          <w:i/>
          <w:color w:val="auto"/>
        </w:rPr>
        <w:t>Religion in the Roman Empire</w:t>
      </w:r>
      <w:r w:rsidRPr="00291898">
        <w:rPr>
          <w:color w:val="auto"/>
        </w:rPr>
        <w:t>. Malden, Mass.: Blackwell.</w:t>
      </w:r>
      <w:r>
        <w:rPr>
          <w:color w:val="auto"/>
        </w:rPr>
        <w:t xml:space="preserve"> </w:t>
      </w:r>
      <w:r w:rsidRPr="00291898">
        <w:rPr>
          <w:color w:val="auto"/>
        </w:rPr>
        <w:t>pp.14</w:t>
      </w:r>
    </w:p>
  </w:footnote>
  <w:footnote w:id="2">
    <w:p w14:paraId="0E17AC66"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pp.107</w:t>
      </w:r>
    </w:p>
  </w:footnote>
  <w:footnote w:id="3">
    <w:p w14:paraId="3D3D6D5E"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pp.112</w:t>
      </w:r>
    </w:p>
  </w:footnote>
  <w:footnote w:id="4">
    <w:p w14:paraId="78997E58" w14:textId="77777777" w:rsidR="00291898" w:rsidRPr="00291898" w:rsidRDefault="00291898" w:rsidP="002A74E3">
      <w:pPr>
        <w:pStyle w:val="FootnoteText"/>
        <w:rPr>
          <w:color w:val="auto"/>
        </w:rPr>
      </w:pPr>
      <w:r w:rsidRPr="00291898">
        <w:rPr>
          <w:rStyle w:val="FootnoteReference"/>
          <w:color w:val="auto"/>
        </w:rPr>
        <w:footnoteRef/>
      </w:r>
      <w:r w:rsidRPr="00291898">
        <w:rPr>
          <w:color w:val="auto"/>
        </w:rPr>
        <w:t xml:space="preserve"> Rives, 2007, pp.113</w:t>
      </w:r>
    </w:p>
  </w:footnote>
  <w:footnote w:id="5">
    <w:p w14:paraId="253A86F6" w14:textId="13145A99"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V. (2002). </w:t>
      </w:r>
      <w:r w:rsidRPr="00291898">
        <w:rPr>
          <w:i/>
          <w:color w:val="auto"/>
        </w:rPr>
        <w:t>Roman Religion: A Sourcebook</w:t>
      </w:r>
      <w:r w:rsidRPr="00291898">
        <w:rPr>
          <w:color w:val="auto"/>
        </w:rPr>
        <w:t>. Newburyport: Focus Publishing.</w:t>
      </w:r>
      <w:r>
        <w:rPr>
          <w:color w:val="auto"/>
        </w:rPr>
        <w:t xml:space="preserve"> </w:t>
      </w:r>
      <w:r w:rsidRPr="00291898">
        <w:rPr>
          <w:color w:val="auto"/>
        </w:rPr>
        <w:t>pp.83</w:t>
      </w:r>
    </w:p>
  </w:footnote>
  <w:footnote w:id="6">
    <w:p w14:paraId="3390F5F3"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pp.35</w:t>
      </w:r>
    </w:p>
  </w:footnote>
  <w:footnote w:id="7">
    <w:p w14:paraId="5B38280B" w14:textId="77777777" w:rsidR="00291898" w:rsidRPr="00291898" w:rsidRDefault="00291898" w:rsidP="00A57A2B">
      <w:pPr>
        <w:pStyle w:val="FootnoteText"/>
        <w:rPr>
          <w:color w:val="auto"/>
        </w:rPr>
      </w:pPr>
      <w:r w:rsidRPr="00291898">
        <w:rPr>
          <w:rStyle w:val="FootnoteReference"/>
          <w:color w:val="auto"/>
        </w:rPr>
        <w:footnoteRef/>
      </w:r>
      <w:r w:rsidRPr="00291898">
        <w:rPr>
          <w:color w:val="auto"/>
        </w:rPr>
        <w:t xml:space="preserve"> Rives, 2007, pp.89</w:t>
      </w:r>
    </w:p>
  </w:footnote>
  <w:footnote w:id="8">
    <w:p w14:paraId="146513C0"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pp.106</w:t>
      </w:r>
    </w:p>
  </w:footnote>
  <w:footnote w:id="9">
    <w:p w14:paraId="04B379DB"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pp.108</w:t>
      </w:r>
    </w:p>
  </w:footnote>
  <w:footnote w:id="10">
    <w:p w14:paraId="74567683"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pp.110</w:t>
      </w:r>
    </w:p>
  </w:footnote>
  <w:footnote w:id="11">
    <w:p w14:paraId="340D6305"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pp.93</w:t>
      </w:r>
    </w:p>
  </w:footnote>
  <w:footnote w:id="12">
    <w:p w14:paraId="009C9228"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pp.91</w:t>
      </w:r>
    </w:p>
  </w:footnote>
  <w:footnote w:id="13">
    <w:p w14:paraId="119FCC1F" w14:textId="77777777" w:rsidR="00291898" w:rsidRPr="00291898" w:rsidRDefault="00291898" w:rsidP="003F1DA1">
      <w:pPr>
        <w:pStyle w:val="FootnoteText"/>
        <w:rPr>
          <w:color w:val="auto"/>
        </w:rPr>
      </w:pPr>
      <w:r w:rsidRPr="00291898">
        <w:rPr>
          <w:rStyle w:val="FootnoteReference"/>
          <w:color w:val="auto"/>
        </w:rPr>
        <w:footnoteRef/>
      </w:r>
      <w:r w:rsidRPr="00291898">
        <w:rPr>
          <w:color w:val="auto"/>
        </w:rPr>
        <w:t xml:space="preserve"> Rives, 2007, pp.92</w:t>
      </w:r>
    </w:p>
  </w:footnote>
  <w:footnote w:id="14">
    <w:p w14:paraId="3A666E98" w14:textId="77777777" w:rsidR="00291898" w:rsidRPr="00291898" w:rsidRDefault="00291898" w:rsidP="002A74E3">
      <w:pPr>
        <w:pStyle w:val="FootnoteText"/>
        <w:rPr>
          <w:color w:val="auto"/>
        </w:rPr>
      </w:pPr>
      <w:r w:rsidRPr="00291898">
        <w:rPr>
          <w:rStyle w:val="FootnoteReference"/>
          <w:color w:val="auto"/>
        </w:rPr>
        <w:footnoteRef/>
      </w:r>
      <w:r w:rsidRPr="00291898">
        <w:rPr>
          <w:color w:val="auto"/>
        </w:rPr>
        <w:t xml:space="preserve"> Rives, 2007, pp.96</w:t>
      </w:r>
    </w:p>
  </w:footnote>
  <w:footnote w:id="15">
    <w:p w14:paraId="06AD9E71"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pp.83</w:t>
      </w:r>
    </w:p>
  </w:footnote>
  <w:footnote w:id="16">
    <w:p w14:paraId="4DA40F58"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pp.83</w:t>
      </w:r>
    </w:p>
  </w:footnote>
  <w:footnote w:id="17">
    <w:p w14:paraId="29ED88F3" w14:textId="77777777" w:rsidR="00291898" w:rsidRPr="00291898" w:rsidRDefault="00291898" w:rsidP="009F6E57">
      <w:pPr>
        <w:pStyle w:val="FootnoteText"/>
        <w:rPr>
          <w:color w:val="auto"/>
        </w:rPr>
      </w:pPr>
      <w:r w:rsidRPr="00291898">
        <w:rPr>
          <w:rStyle w:val="FootnoteReference"/>
          <w:color w:val="auto"/>
        </w:rPr>
        <w:footnoteRef/>
      </w:r>
      <w:r w:rsidRPr="00291898">
        <w:rPr>
          <w:color w:val="auto"/>
        </w:rPr>
        <w:t xml:space="preserve"> Rives, 2007, pp.171</w:t>
      </w:r>
    </w:p>
  </w:footnote>
  <w:footnote w:id="18">
    <w:p w14:paraId="17964117" w14:textId="16756645" w:rsidR="00291898" w:rsidRPr="00291898" w:rsidRDefault="00291898">
      <w:pPr>
        <w:pStyle w:val="FootnoteText"/>
        <w:rPr>
          <w:color w:val="auto"/>
        </w:rPr>
      </w:pPr>
      <w:r w:rsidRPr="00291898">
        <w:rPr>
          <w:rStyle w:val="FootnoteReference"/>
          <w:color w:val="auto"/>
        </w:rPr>
        <w:footnoteRef/>
      </w:r>
      <w:r w:rsidRPr="00291898">
        <w:rPr>
          <w:color w:val="auto"/>
        </w:rPr>
        <w:t xml:space="preserve"> Rives, 2007, pp.211</w:t>
      </w:r>
    </w:p>
  </w:footnote>
  <w:footnote w:id="19">
    <w:p w14:paraId="3DFFA10F" w14:textId="19937815" w:rsidR="00291898" w:rsidRPr="00291898" w:rsidRDefault="00291898">
      <w:pPr>
        <w:pStyle w:val="FootnoteText"/>
        <w:rPr>
          <w:color w:val="auto"/>
        </w:rPr>
      </w:pPr>
      <w:r w:rsidRPr="00291898">
        <w:rPr>
          <w:rStyle w:val="FootnoteReference"/>
          <w:color w:val="auto"/>
        </w:rPr>
        <w:footnoteRef/>
      </w:r>
      <w:r w:rsidRPr="00291898">
        <w:rPr>
          <w:color w:val="auto"/>
        </w:rPr>
        <w:t xml:space="preserve"> Rives, 2007, pp.10</w:t>
      </w:r>
    </w:p>
  </w:footnote>
  <w:footnote w:id="20">
    <w:p w14:paraId="18AB8DEC" w14:textId="77777777" w:rsidR="00291898" w:rsidRPr="00291898" w:rsidRDefault="00291898" w:rsidP="000B46C3">
      <w:pPr>
        <w:pStyle w:val="FootnoteText"/>
        <w:rPr>
          <w:color w:val="auto"/>
        </w:rPr>
      </w:pPr>
      <w:r w:rsidRPr="00291898">
        <w:rPr>
          <w:rStyle w:val="FootnoteReference"/>
          <w:color w:val="auto"/>
        </w:rPr>
        <w:footnoteRef/>
      </w:r>
      <w:r w:rsidRPr="00291898">
        <w:rPr>
          <w:color w:val="auto"/>
        </w:rPr>
        <w:t xml:space="preserve"> Rives, 2007, pp.134-135</w:t>
      </w:r>
    </w:p>
  </w:footnote>
  <w:footnote w:id="21">
    <w:p w14:paraId="087060B1" w14:textId="77777777" w:rsidR="00291898" w:rsidRPr="00291898" w:rsidRDefault="00291898" w:rsidP="000B46C3">
      <w:pPr>
        <w:pStyle w:val="FootnoteText"/>
        <w:rPr>
          <w:color w:val="auto"/>
        </w:rPr>
      </w:pPr>
      <w:r w:rsidRPr="00291898">
        <w:rPr>
          <w:rStyle w:val="FootnoteReference"/>
          <w:color w:val="auto"/>
        </w:rPr>
        <w:footnoteRef/>
      </w:r>
      <w:r w:rsidRPr="00291898">
        <w:rPr>
          <w:color w:val="auto"/>
        </w:rPr>
        <w:t xml:space="preserve"> Rives, 2007, pp.96</w:t>
      </w:r>
    </w:p>
  </w:footnote>
  <w:footnote w:id="22">
    <w:p w14:paraId="5A3A247D"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pp.87</w:t>
      </w:r>
    </w:p>
  </w:footnote>
  <w:footnote w:id="23">
    <w:p w14:paraId="0396C67A"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pp.88</w:t>
      </w:r>
    </w:p>
  </w:footnote>
  <w:footnote w:id="24">
    <w:p w14:paraId="4BDC5D73" w14:textId="524A3327" w:rsidR="00291898" w:rsidRPr="00291898" w:rsidRDefault="00291898">
      <w:pPr>
        <w:pStyle w:val="FootnoteText"/>
        <w:rPr>
          <w:color w:val="auto"/>
        </w:rPr>
      </w:pPr>
      <w:r w:rsidRPr="00291898">
        <w:rPr>
          <w:rStyle w:val="FootnoteReference"/>
          <w:color w:val="auto"/>
        </w:rPr>
        <w:footnoteRef/>
      </w:r>
      <w:r w:rsidRPr="00291898">
        <w:rPr>
          <w:color w:val="auto"/>
        </w:rPr>
        <w:t xml:space="preserve"> Rives, 2007, pp.134</w:t>
      </w:r>
    </w:p>
  </w:footnote>
  <w:footnote w:id="25">
    <w:p w14:paraId="4A48DB7C" w14:textId="77777777" w:rsidR="00291898" w:rsidRPr="00291898" w:rsidRDefault="00291898" w:rsidP="000B46C3">
      <w:pPr>
        <w:pStyle w:val="FootnoteText"/>
        <w:rPr>
          <w:color w:val="auto"/>
        </w:rPr>
      </w:pPr>
      <w:r w:rsidRPr="00291898">
        <w:rPr>
          <w:rStyle w:val="FootnoteReference"/>
          <w:color w:val="auto"/>
        </w:rPr>
        <w:footnoteRef/>
      </w:r>
      <w:r w:rsidRPr="00291898">
        <w:rPr>
          <w:color w:val="auto"/>
        </w:rPr>
        <w:t xml:space="preserve"> Rives, 2007, pp.19</w:t>
      </w:r>
    </w:p>
  </w:footnote>
  <w:footnote w:id="26">
    <w:p w14:paraId="6819017B" w14:textId="77777777" w:rsidR="00291898" w:rsidRPr="00291898" w:rsidRDefault="00291898" w:rsidP="002A74E3">
      <w:pPr>
        <w:pStyle w:val="FootnoteText"/>
        <w:rPr>
          <w:color w:val="auto"/>
        </w:rPr>
      </w:pPr>
      <w:r w:rsidRPr="00291898">
        <w:rPr>
          <w:rStyle w:val="FootnoteReference"/>
          <w:color w:val="auto"/>
        </w:rPr>
        <w:footnoteRef/>
      </w:r>
      <w:r w:rsidRPr="00291898">
        <w:rPr>
          <w:color w:val="auto"/>
        </w:rPr>
        <w:t xml:space="preserve"> Rives, 2007, pp.117-8</w:t>
      </w:r>
    </w:p>
  </w:footnote>
  <w:footnote w:id="27">
    <w:p w14:paraId="225AB8EE"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pp.31</w:t>
      </w:r>
    </w:p>
  </w:footnote>
  <w:footnote w:id="28">
    <w:p w14:paraId="0D7555DC"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pp.31</w:t>
      </w:r>
    </w:p>
  </w:footnote>
  <w:footnote w:id="29">
    <w:p w14:paraId="696B92C4"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pp.31</w:t>
      </w:r>
    </w:p>
  </w:footnote>
  <w:footnote w:id="30">
    <w:p w14:paraId="5EEA4BBB" w14:textId="77777777" w:rsidR="00291898" w:rsidRPr="00291898" w:rsidRDefault="00291898">
      <w:pPr>
        <w:pStyle w:val="FootnoteText"/>
        <w:rPr>
          <w:color w:val="auto"/>
        </w:rPr>
      </w:pPr>
      <w:r w:rsidRPr="00291898">
        <w:rPr>
          <w:rStyle w:val="FootnoteReference"/>
          <w:color w:val="auto"/>
        </w:rPr>
        <w:footnoteRef/>
      </w:r>
      <w:r w:rsidRPr="00291898">
        <w:rPr>
          <w:color w:val="auto"/>
        </w:rPr>
        <w:t xml:space="preserve"> Warrior, 2002, pp.32</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4A1EF1A" w14:textId="404B5FB0" w:rsidR="00291898" w:rsidRDefault="00291898">
    <w:pPr>
      <w:pStyle w:val="Header"/>
    </w:pPr>
    <w:r>
      <w:t>Danielle Alexander: HPAH5001 City of Gods Examination.</w:t>
    </w:r>
    <w:r>
      <w:tab/>
      <w:t>19/01/2018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activeWritingStyle w:appName="MSWord" w:lang="en-GB" w:vendorID="64" w:dllVersion="0" w:nlCheck="1" w:checkStyle="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6B0E"/>
    <w:rsid w:val="000B46C3"/>
    <w:rsid w:val="000D7323"/>
    <w:rsid w:val="00291898"/>
    <w:rsid w:val="002A74E3"/>
    <w:rsid w:val="002E62DA"/>
    <w:rsid w:val="003A06BC"/>
    <w:rsid w:val="003F1DA1"/>
    <w:rsid w:val="00496A6F"/>
    <w:rsid w:val="00516B0E"/>
    <w:rsid w:val="005D335B"/>
    <w:rsid w:val="006D6548"/>
    <w:rsid w:val="007832DF"/>
    <w:rsid w:val="009A4CC8"/>
    <w:rsid w:val="009F6E57"/>
    <w:rsid w:val="00A57A2B"/>
    <w:rsid w:val="00A64158"/>
    <w:rsid w:val="00BC24EF"/>
    <w:rsid w:val="00C56208"/>
    <w:rsid w:val="00C61F21"/>
    <w:rsid w:val="00DD6622"/>
    <w:rsid w:val="00E768C6"/>
    <w:rsid w:val="00EE6EB3"/>
    <w:rsid w:val="00FF65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B05FD6"/>
  <w15:chartTrackingRefBased/>
  <w15:docId w15:val="{63D152E3-93AA-46AD-8121-A60790079A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Cambria" w:eastAsiaTheme="minorHAnsi" w:hAnsi="Cambria"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A57A2B"/>
    <w:pPr>
      <w:spacing w:after="0" w:line="240" w:lineRule="auto"/>
    </w:pPr>
    <w:rPr>
      <w:rFonts w:eastAsia="Calibri" w:cs="Nirmala UI Semilight"/>
      <w:color w:val="240048"/>
      <w:sz w:val="20"/>
      <w:szCs w:val="20"/>
    </w:rPr>
  </w:style>
  <w:style w:type="character" w:customStyle="1" w:styleId="FootnoteTextChar">
    <w:name w:val="Footnote Text Char"/>
    <w:basedOn w:val="DefaultParagraphFont"/>
    <w:link w:val="FootnoteText"/>
    <w:uiPriority w:val="99"/>
    <w:semiHidden/>
    <w:rsid w:val="00A57A2B"/>
    <w:rPr>
      <w:rFonts w:eastAsia="Calibri" w:cs="Nirmala UI Semilight"/>
      <w:color w:val="240048"/>
      <w:sz w:val="20"/>
      <w:szCs w:val="20"/>
    </w:rPr>
  </w:style>
  <w:style w:type="character" w:styleId="FootnoteReference">
    <w:name w:val="footnote reference"/>
    <w:uiPriority w:val="99"/>
    <w:semiHidden/>
    <w:unhideWhenUsed/>
    <w:rsid w:val="00A57A2B"/>
    <w:rPr>
      <w:vertAlign w:val="superscript"/>
    </w:rPr>
  </w:style>
  <w:style w:type="paragraph" w:styleId="Header">
    <w:name w:val="header"/>
    <w:basedOn w:val="Normal"/>
    <w:link w:val="HeaderChar"/>
    <w:uiPriority w:val="99"/>
    <w:unhideWhenUsed/>
    <w:rsid w:val="003A06BC"/>
    <w:pPr>
      <w:tabs>
        <w:tab w:val="center" w:pos="4513"/>
        <w:tab w:val="right" w:pos="9026"/>
      </w:tabs>
      <w:spacing w:after="0" w:line="240" w:lineRule="auto"/>
    </w:pPr>
  </w:style>
  <w:style w:type="character" w:customStyle="1" w:styleId="HeaderChar">
    <w:name w:val="Header Char"/>
    <w:basedOn w:val="DefaultParagraphFont"/>
    <w:link w:val="Header"/>
    <w:uiPriority w:val="99"/>
    <w:rsid w:val="003A06BC"/>
  </w:style>
  <w:style w:type="paragraph" w:styleId="Footer">
    <w:name w:val="footer"/>
    <w:basedOn w:val="Normal"/>
    <w:link w:val="FooterChar"/>
    <w:uiPriority w:val="99"/>
    <w:unhideWhenUsed/>
    <w:rsid w:val="003A06BC"/>
    <w:pPr>
      <w:tabs>
        <w:tab w:val="center" w:pos="4513"/>
        <w:tab w:val="right" w:pos="9026"/>
      </w:tabs>
      <w:spacing w:after="0" w:line="240" w:lineRule="auto"/>
    </w:pPr>
  </w:style>
  <w:style w:type="character" w:customStyle="1" w:styleId="FooterChar">
    <w:name w:val="Footer Char"/>
    <w:basedOn w:val="DefaultParagraphFont"/>
    <w:link w:val="Footer"/>
    <w:uiPriority w:val="99"/>
    <w:rsid w:val="003A06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4F712B-B261-486C-9F09-544B73CD21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231</TotalTime>
  <Pages>4</Pages>
  <Words>1979</Words>
  <Characters>11282</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Alexander (1600109)</dc:creator>
  <cp:keywords/>
  <dc:description/>
  <cp:lastModifiedBy>Danielle Alexander (1600109)</cp:lastModifiedBy>
  <cp:revision>2</cp:revision>
  <dcterms:created xsi:type="dcterms:W3CDTF">2018-01-19T12:28:00Z</dcterms:created>
  <dcterms:modified xsi:type="dcterms:W3CDTF">2018-01-19T16:31:00Z</dcterms:modified>
</cp:coreProperties>
</file>