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418A0" w14:textId="475665FC" w:rsidR="0052037B" w:rsidRDefault="0052037B" w:rsidP="0052037B">
      <w:pPr>
        <w:ind w:left="1416"/>
        <w:rPr>
          <w:b/>
          <w:bCs/>
          <w:sz w:val="30"/>
          <w:szCs w:val="30"/>
        </w:rPr>
      </w:pPr>
      <w:r>
        <w:rPr>
          <w:b/>
          <w:bCs/>
          <w:sz w:val="30"/>
          <w:szCs w:val="30"/>
        </w:rPr>
        <w:t xml:space="preserve">Assignment </w:t>
      </w:r>
      <w:r w:rsidR="003A4051">
        <w:rPr>
          <w:b/>
          <w:bCs/>
          <w:sz w:val="30"/>
          <w:szCs w:val="30"/>
        </w:rPr>
        <w:t>2: Scenario Question</w:t>
      </w:r>
    </w:p>
    <w:p w14:paraId="58935A73" w14:textId="17584A8B" w:rsidR="003A4051" w:rsidRDefault="003A4051" w:rsidP="0052037B">
      <w:pPr>
        <w:ind w:left="1416"/>
        <w:rPr>
          <w:b/>
          <w:bCs/>
          <w:sz w:val="30"/>
          <w:szCs w:val="30"/>
        </w:rPr>
      </w:pPr>
      <w:r>
        <w:rPr>
          <w:b/>
          <w:bCs/>
          <w:sz w:val="30"/>
          <w:szCs w:val="30"/>
        </w:rPr>
        <w:t xml:space="preserve">Lecturer: Laura </w:t>
      </w:r>
      <w:r w:rsidR="00C03171">
        <w:rPr>
          <w:b/>
          <w:bCs/>
          <w:sz w:val="30"/>
          <w:szCs w:val="30"/>
        </w:rPr>
        <w:t>Knight</w:t>
      </w:r>
    </w:p>
    <w:p w14:paraId="3130724A" w14:textId="5E50108B" w:rsidR="00C03171" w:rsidRDefault="00C03171" w:rsidP="0052037B">
      <w:pPr>
        <w:ind w:left="1416"/>
        <w:rPr>
          <w:b/>
          <w:bCs/>
          <w:sz w:val="30"/>
          <w:szCs w:val="30"/>
        </w:rPr>
      </w:pPr>
      <w:r>
        <w:rPr>
          <w:b/>
          <w:bCs/>
          <w:sz w:val="30"/>
          <w:szCs w:val="30"/>
        </w:rPr>
        <w:t>Submission deadline:13 January 2023</w:t>
      </w:r>
    </w:p>
    <w:p w14:paraId="37105A54" w14:textId="0BBEBC7C" w:rsidR="00E415AB" w:rsidRDefault="00E415AB" w:rsidP="0052037B">
      <w:pPr>
        <w:ind w:left="1416"/>
        <w:rPr>
          <w:b/>
          <w:bCs/>
          <w:sz w:val="30"/>
          <w:szCs w:val="30"/>
        </w:rPr>
      </w:pPr>
      <w:r>
        <w:rPr>
          <w:b/>
          <w:bCs/>
          <w:sz w:val="30"/>
          <w:szCs w:val="30"/>
        </w:rPr>
        <w:t>Module: Criminal Law</w:t>
      </w:r>
    </w:p>
    <w:p w14:paraId="2F519AF8" w14:textId="4BCA5F7C" w:rsidR="00E415AB" w:rsidRDefault="00E415AB" w:rsidP="0052037B">
      <w:pPr>
        <w:ind w:left="1416"/>
        <w:rPr>
          <w:b/>
          <w:bCs/>
          <w:sz w:val="30"/>
          <w:szCs w:val="30"/>
        </w:rPr>
      </w:pPr>
      <w:r>
        <w:rPr>
          <w:b/>
          <w:bCs/>
          <w:sz w:val="30"/>
          <w:szCs w:val="30"/>
        </w:rPr>
        <w:t xml:space="preserve">Student: Ioana-Valentina Huluta </w:t>
      </w:r>
    </w:p>
    <w:p w14:paraId="2DBDFDA7" w14:textId="002E662D" w:rsidR="00C94172" w:rsidRDefault="00E415AB" w:rsidP="0052037B">
      <w:pPr>
        <w:ind w:left="1416"/>
        <w:rPr>
          <w:b/>
          <w:bCs/>
          <w:sz w:val="30"/>
          <w:szCs w:val="30"/>
        </w:rPr>
      </w:pPr>
      <w:r>
        <w:rPr>
          <w:b/>
          <w:bCs/>
          <w:sz w:val="30"/>
          <w:szCs w:val="30"/>
        </w:rPr>
        <w:t xml:space="preserve">Student ID: </w:t>
      </w:r>
      <w:r w:rsidR="00833FA2">
        <w:rPr>
          <w:b/>
          <w:bCs/>
          <w:sz w:val="30"/>
          <w:szCs w:val="30"/>
        </w:rPr>
        <w:t>2134</w:t>
      </w:r>
      <w:r w:rsidR="00C94172">
        <w:rPr>
          <w:b/>
          <w:bCs/>
          <w:sz w:val="30"/>
          <w:szCs w:val="30"/>
        </w:rPr>
        <w:t>231</w:t>
      </w:r>
    </w:p>
    <w:p w14:paraId="0F126EE5" w14:textId="77777777" w:rsidR="00C94172" w:rsidRDefault="00C94172">
      <w:pPr>
        <w:rPr>
          <w:b/>
          <w:bCs/>
          <w:sz w:val="30"/>
          <w:szCs w:val="30"/>
        </w:rPr>
      </w:pPr>
      <w:r>
        <w:rPr>
          <w:b/>
          <w:bCs/>
          <w:sz w:val="30"/>
          <w:szCs w:val="30"/>
        </w:rPr>
        <w:br w:type="page"/>
      </w:r>
    </w:p>
    <w:p w14:paraId="6CA939E1" w14:textId="32C580B4" w:rsidR="00174AFC" w:rsidRDefault="00B84633" w:rsidP="00B84633">
      <w:pPr>
        <w:ind w:left="708"/>
      </w:pPr>
      <w:r>
        <w:lastRenderedPageBreak/>
        <w:t xml:space="preserve">  </w:t>
      </w:r>
      <w:r w:rsidR="00174AFC">
        <w:t>Based on the information provided  in the first case, I found that defendant, which is Hadley, in such of circumstances is liable for burglary contrary to S 9(1 )(a) under the Theft act 1968. This type of burglary is defined as entering into a building or part of a building with the motive of stealing, causing grievously bodily harm to any person inside that building, or causing criminal damage.</w:t>
      </w:r>
      <w:r>
        <w:t xml:space="preserve"> </w:t>
      </w:r>
      <w:r w:rsidR="00174AFC">
        <w:t xml:space="preserve">Furthermore, </w:t>
      </w:r>
      <w:r w:rsidR="00FA719C">
        <w:t xml:space="preserve">Hadley is liable for </w:t>
      </w:r>
      <w:r w:rsidR="00174AFC">
        <w:t xml:space="preserve"> burglary </w:t>
      </w:r>
      <w:r w:rsidR="007F328F">
        <w:t>contrary to</w:t>
      </w:r>
      <w:r w:rsidR="00174AFC">
        <w:t xml:space="preserve"> S9(1)(b) under the Theft Act 1968, and explains that the defendant is liable for burglary if he came into a building or component of a building as a trespasser and he steal or inflict to any person inside that building grievously bodily harm or the attempt of mentioned offences will suffice. In this case Hadley fulfills the actus reus and mens rea elements of Burglary both contrary to s9(1)(a) and s9(1)(b) under the Theft Act 1968: entering, into the building, as a trespasser, these being the elements found in both sections.  The extra element that the defendant fulfills which is found only in s9(1)(a) is the intention to cause criminal damage as it sets on fire the bin inside the house, causing arson</w:t>
      </w:r>
      <w:r w:rsidR="00C4170D">
        <w:t xml:space="preserve">. </w:t>
      </w:r>
      <w:r w:rsidR="00174AFC">
        <w:t xml:space="preserve"> On the other side, fulfills the element specific of the offence contrary to s9(1)(b) because he steals the ,kolex’ watch.</w:t>
      </w:r>
    </w:p>
    <w:p w14:paraId="09D2A03C" w14:textId="4070B717" w:rsidR="00174AFC" w:rsidRDefault="00174AFC" w:rsidP="00B84633">
      <w:pPr>
        <w:ind w:left="708"/>
      </w:pPr>
      <w:r>
        <w:t>The first element of both s9(1)(a) and s9(1)(b) ,,D entered’’ is</w:t>
      </w:r>
      <w:r w:rsidR="008379F4">
        <w:t xml:space="preserve"> </w:t>
      </w:r>
      <w:r>
        <w:t>defined by Common Law</w:t>
      </w:r>
      <w:r w:rsidR="00815E12">
        <w:t xml:space="preserve">: </w:t>
      </w:r>
      <w:r>
        <w:t>an insertion of any part of the body will be sufficient</w:t>
      </w:r>
      <w:r w:rsidR="00D266CF">
        <w:t xml:space="preserve">. </w:t>
      </w:r>
      <w:r>
        <w:t>A relevant case is Davies[1823] a finger of the defendant inserted through a window amounted to an entry. Furthermore, the defendant used the bamboo stick to hook the keys and then opened the door to get inside, accordingly, the case of Horncastle[2006], in which the defendant used two bamboo sticks with hooks to hook the keys in the hallway, this amount to an effective entry as the defendant used the object as an extension of his body, which is similar with the Hadley’s actions.</w:t>
      </w:r>
    </w:p>
    <w:p w14:paraId="7059D0D2" w14:textId="1A7C2EFA" w:rsidR="00174AFC" w:rsidRDefault="00174AFC" w:rsidP="00174AFC">
      <w:pPr>
        <w:ind w:left="708"/>
      </w:pPr>
      <w:r>
        <w:t xml:space="preserve">The second  element is </w:t>
      </w:r>
      <w:proofErr w:type="spellStart"/>
      <w:r>
        <w:t>established</w:t>
      </w:r>
      <w:proofErr w:type="spellEnd"/>
      <w:r>
        <w:t xml:space="preserve"> by the building that has no statutory definition.</w:t>
      </w:r>
      <w:r w:rsidR="00766ECE">
        <w:t xml:space="preserve"> The </w:t>
      </w:r>
      <w:r>
        <w:t>Theft Act 1968 explains that a wooden structure will suffice and is not required to be a certain brick construction, therefore the structure that the defendant entered in was clearly a building.</w:t>
      </w:r>
    </w:p>
    <w:p w14:paraId="40ACFCE1" w14:textId="07196F4F" w:rsidR="00174AFC" w:rsidRDefault="00174AFC" w:rsidP="00A04542">
      <w:pPr>
        <w:ind w:left="708"/>
      </w:pPr>
      <w:r>
        <w:t xml:space="preserve">The third element is , as a trespasser’, and the Hadley never had the permission to </w:t>
      </w:r>
      <w:proofErr w:type="spellStart"/>
      <w:r>
        <w:t>enter</w:t>
      </w:r>
      <w:proofErr w:type="spellEnd"/>
      <w:r>
        <w:t xml:space="preserve"> </w:t>
      </w:r>
      <w:proofErr w:type="spellStart"/>
      <w:r>
        <w:t>into</w:t>
      </w:r>
      <w:proofErr w:type="spellEnd"/>
      <w:r>
        <w:t xml:space="preserve"> that building, he never </w:t>
      </w:r>
      <w:proofErr w:type="spellStart"/>
      <w:r>
        <w:t>had</w:t>
      </w:r>
      <w:proofErr w:type="spellEnd"/>
      <w:r>
        <w:t xml:space="preserve"> the </w:t>
      </w:r>
      <w:proofErr w:type="spellStart"/>
      <w:r>
        <w:t>authority</w:t>
      </w:r>
      <w:proofErr w:type="spellEnd"/>
      <w:r w:rsidR="00A04542">
        <w:t xml:space="preserve"> </w:t>
      </w:r>
      <w:r>
        <w:t xml:space="preserve"> and that </w:t>
      </w:r>
      <w:proofErr w:type="spellStart"/>
      <w:r>
        <w:t>makes</w:t>
      </w:r>
      <w:proofErr w:type="spellEnd"/>
      <w:r>
        <w:t xml:space="preserve"> him a trespasser. </w:t>
      </w:r>
    </w:p>
    <w:p w14:paraId="476E0F7E" w14:textId="77777777" w:rsidR="00174AFC" w:rsidRDefault="00174AFC" w:rsidP="00174AFC">
      <w:pPr>
        <w:ind w:left="708"/>
      </w:pPr>
      <w:r>
        <w:t xml:space="preserve">And the last element is inferred by the stealing the ,Kolex’ watch, therefore the theft is committed and this element is underlined only by s9(1)(b) offence. </w:t>
      </w:r>
    </w:p>
    <w:p w14:paraId="645520C0" w14:textId="207FA62F" w:rsidR="00174AFC" w:rsidRDefault="00174AFC" w:rsidP="00174AFC">
      <w:pPr>
        <w:ind w:left="708"/>
      </w:pPr>
      <w:r>
        <w:t>The mens rea elements for both burglary contrary to s9(1)(a) and s9(1)(b) are outlined by the fact that</w:t>
      </w:r>
      <w:r w:rsidR="00823445">
        <w:t xml:space="preserve"> </w:t>
      </w:r>
      <w:r>
        <w:t xml:space="preserve"> the defendant had the direct intention as he knew that the owner of the property will not be home at that time, he had no permission to get into that property and the structure that he entered in is </w:t>
      </w:r>
      <w:proofErr w:type="spellStart"/>
      <w:r>
        <w:t>simply</w:t>
      </w:r>
      <w:proofErr w:type="spellEnd"/>
      <w:r>
        <w:t xml:space="preserve"> </w:t>
      </w:r>
      <w:proofErr w:type="spellStart"/>
      <w:r>
        <w:t>recognizing</w:t>
      </w:r>
      <w:proofErr w:type="spellEnd"/>
      <w:r>
        <w:t xml:space="preserve"> a building. However, the defendant also had the mens rea for </w:t>
      </w:r>
      <w:proofErr w:type="spellStart"/>
      <w:r>
        <w:t>theft</w:t>
      </w:r>
      <w:proofErr w:type="spellEnd"/>
      <w:r>
        <w:t xml:space="preserve"> as th</w:t>
      </w:r>
      <w:r w:rsidR="00FC750A">
        <w:t>is</w:t>
      </w:r>
      <w:r>
        <w:t xml:space="preserve"> </w:t>
      </w:r>
      <w:proofErr w:type="spellStart"/>
      <w:r>
        <w:t>was</w:t>
      </w:r>
      <w:proofErr w:type="spellEnd"/>
      <w:r>
        <w:t xml:space="preserve"> </w:t>
      </w:r>
      <w:proofErr w:type="spellStart"/>
      <w:r>
        <w:t>his</w:t>
      </w:r>
      <w:proofErr w:type="spellEnd"/>
      <w:r>
        <w:t xml:space="preserve"> main purpose, therefo</w:t>
      </w:r>
      <w:r w:rsidR="00271F72">
        <w:t>re</w:t>
      </w:r>
      <w:r>
        <w:t xml:space="preserve"> Harley’s dishonesty can also be proven by Ivey[2017] test. The fact the he had succeed the permanently depriving victim of the property proves the intention to do that. </w:t>
      </w:r>
    </w:p>
    <w:p w14:paraId="30D646A2" w14:textId="30E3A241" w:rsidR="00174AFC" w:rsidRDefault="00174AFC" w:rsidP="00174AFC">
      <w:pPr>
        <w:ind w:left="708"/>
      </w:pPr>
      <w:r>
        <w:t>The extra element required only by burglary contrary to s9(1)(a) is the intention to cause the criminal damage. Therefore,</w:t>
      </w:r>
      <w:r w:rsidR="00680183">
        <w:t xml:space="preserve"> </w:t>
      </w:r>
      <w:r>
        <w:t>when committed arson</w:t>
      </w:r>
      <w:r w:rsidR="006C4770">
        <w:t xml:space="preserve">, </w:t>
      </w:r>
      <w:r>
        <w:t>he had direct intention as this was his aim or desire.</w:t>
      </w:r>
    </w:p>
    <w:p w14:paraId="2760895F" w14:textId="2F470CC9" w:rsidR="00174AFC" w:rsidRDefault="00B84633" w:rsidP="0025360A">
      <w:pPr>
        <w:ind w:left="708"/>
      </w:pPr>
      <w:r>
        <w:t xml:space="preserve">  </w:t>
      </w:r>
      <w:r w:rsidR="00174AFC">
        <w:t xml:space="preserve"> The second offence that Hadley is liable for is Criminal Damage which is defined in s1(1)  Criminal Damage Act 1971: an individual is liable for such of offence if destroys or damage a property belonging to another person with intention or being reckless about that. </w:t>
      </w:r>
      <w:r w:rsidR="00DF0695">
        <w:t xml:space="preserve">The </w:t>
      </w:r>
      <w:r w:rsidR="00174AFC">
        <w:t>defendant committed arson when he destroyed by fire the bin belonging</w:t>
      </w:r>
      <w:r w:rsidR="0025360A">
        <w:t xml:space="preserve"> to </w:t>
      </w:r>
      <w:r w:rsidR="00174AFC">
        <w:t xml:space="preserve"> victim without a licit excuse-this being </w:t>
      </w:r>
      <w:proofErr w:type="spellStart"/>
      <w:r w:rsidR="00174AFC">
        <w:t>defined</w:t>
      </w:r>
      <w:proofErr w:type="spellEnd"/>
      <w:r w:rsidR="00174AFC">
        <w:t xml:space="preserve"> by s1(3)</w:t>
      </w:r>
      <w:proofErr w:type="spellStart"/>
      <w:r w:rsidR="00174AFC">
        <w:t>under</w:t>
      </w:r>
      <w:proofErr w:type="spellEnd"/>
      <w:r w:rsidR="00174AFC">
        <w:t xml:space="preserve"> the</w:t>
      </w:r>
      <w:r w:rsidR="001832C0">
        <w:t xml:space="preserve"> s1(2)</w:t>
      </w:r>
      <w:r w:rsidR="00174AFC">
        <w:t xml:space="preserve"> Criminal </w:t>
      </w:r>
      <w:proofErr w:type="spellStart"/>
      <w:r w:rsidR="00174AFC">
        <w:t>Damage</w:t>
      </w:r>
      <w:proofErr w:type="spellEnd"/>
      <w:r w:rsidR="00174AFC">
        <w:t xml:space="preserve"> Act 1971</w:t>
      </w:r>
      <w:r w:rsidR="004F453D">
        <w:t xml:space="preserve">, </w:t>
      </w:r>
      <w:proofErr w:type="spellStart"/>
      <w:r w:rsidR="004F453D">
        <w:t>which</w:t>
      </w:r>
      <w:proofErr w:type="spellEnd"/>
      <w:r w:rsidR="004F453D">
        <w:t xml:space="preserve"> is an </w:t>
      </w:r>
      <w:proofErr w:type="spellStart"/>
      <w:r w:rsidR="004F453D">
        <w:t>aggravated</w:t>
      </w:r>
      <w:proofErr w:type="spellEnd"/>
      <w:r w:rsidR="004F453D">
        <w:t xml:space="preserve"> </w:t>
      </w:r>
      <w:proofErr w:type="spellStart"/>
      <w:r w:rsidR="004F453D">
        <w:t>offence</w:t>
      </w:r>
      <w:proofErr w:type="spellEnd"/>
      <w:r w:rsidR="004F453D">
        <w:t xml:space="preserve">. </w:t>
      </w:r>
    </w:p>
    <w:p w14:paraId="3D82D728" w14:textId="417A6EF4" w:rsidR="00174AFC" w:rsidRDefault="00174AFC" w:rsidP="00174AFC">
      <w:pPr>
        <w:ind w:left="708"/>
      </w:pPr>
      <w:r>
        <w:t xml:space="preserve">The defendant fulfills all the actus reus elements for both s1(1) and s1(3) CDA, the first one being property. The S10(1) under the Criminal damage act 1971 defines properties as tangible items, real or personal,  that have been reduced to possession. Accordingly, </w:t>
      </w:r>
      <w:r w:rsidR="003951D7">
        <w:t>both bin and bench are palpa</w:t>
      </w:r>
      <w:r w:rsidR="00094564">
        <w:t>ble .</w:t>
      </w:r>
    </w:p>
    <w:p w14:paraId="08430EAA" w14:textId="19D47026" w:rsidR="00174AFC" w:rsidRDefault="00174AFC" w:rsidP="00B84633">
      <w:pPr>
        <w:ind w:left="708"/>
      </w:pPr>
      <w:r>
        <w:t>The second element is Belonging to another: the S10(2) CDA explains that the property belongs to another if that</w:t>
      </w:r>
      <w:r w:rsidR="00B84633">
        <w:t xml:space="preserve"> </w:t>
      </w:r>
      <w:r>
        <w:t>individual has control of it or custody of that item, therefore the bin that was in the Ronan’s property belong to the victim.</w:t>
      </w:r>
    </w:p>
    <w:p w14:paraId="0F964902" w14:textId="77777777" w:rsidR="00174AFC" w:rsidRDefault="00174AFC" w:rsidP="00174AFC">
      <w:pPr>
        <w:ind w:left="708"/>
      </w:pPr>
      <w:r>
        <w:lastRenderedPageBreak/>
        <w:t>The third element is physical damage and is outlined in the Roe v Kingerlee[1986] case that explains that the physical damage can be permanent or temporary, as the defendant in this situation threw mud on the police station cell which cost up to 7£ to clean up, accordingly, Hadley had set on fire the bin which results in destroying that bin permanently. Furthermore, when he snapped the wooden bench in half he permanently impaired the usefulness of the bench, this being outlined in Morphitis v Salmon [1990] case, which held that the scratches on scaffolding pole does not fulfill a damage.</w:t>
      </w:r>
    </w:p>
    <w:p w14:paraId="137B7C83" w14:textId="4CBB9C98" w:rsidR="00174AFC" w:rsidRDefault="00174AFC" w:rsidP="00174AFC">
      <w:pPr>
        <w:ind w:left="708"/>
      </w:pPr>
      <w:r>
        <w:t>Another element is Without lawful excuse- here the defences S5(2)(a) and A5(2)(b) CDS 1971 are not applicable for Ronan as he did not had the consent  of the owner [s5(2)(a)] and he did not damage that bin in order to protect other item in the house [s5(2)(b)], therefore the defendant had no lawful excuse.</w:t>
      </w:r>
    </w:p>
    <w:p w14:paraId="410B8B63" w14:textId="660304CC" w:rsidR="00174AFC" w:rsidRDefault="00174AFC" w:rsidP="003F030F">
      <w:pPr>
        <w:ind w:left="708"/>
      </w:pPr>
      <w:r>
        <w:t xml:space="preserve">Mens </w:t>
      </w:r>
      <w:r w:rsidR="00DC57D1">
        <w:t>rea</w:t>
      </w:r>
      <w:r>
        <w:t xml:space="preserve"> is formed by pouring the aftershave into the bin and setting it on fire amount to the direct intention of the defendant as this was his purpose, therefore he meets the mens rea element intending to destroy or damage property belonging to another. On the other hand, when he jumped on the wooden bench he was reckless, as he knew that his action would lead to that result and unreasonably took the</w:t>
      </w:r>
      <w:r w:rsidR="003F030F">
        <w:t xml:space="preserve"> risk.</w:t>
      </w:r>
    </w:p>
    <w:p w14:paraId="72EF1E18" w14:textId="178B97D8" w:rsidR="00174AFC" w:rsidRDefault="00174AFC" w:rsidP="00174AFC">
      <w:pPr>
        <w:ind w:left="708"/>
      </w:pPr>
      <w:r>
        <w:t>The second element of mens rea is fulfilled by the fact that defendant was aware that h</w:t>
      </w:r>
      <w:r w:rsidR="00AB48C7">
        <w:t>is</w:t>
      </w:r>
      <w:r>
        <w:t xml:space="preserve"> conduct will damage the property belonging to another. </w:t>
      </w:r>
    </w:p>
    <w:p w14:paraId="1E0F74B0" w14:textId="73017412" w:rsidR="00B84633" w:rsidRDefault="00174AFC" w:rsidP="00EE3307">
      <w:pPr>
        <w:ind w:left="708"/>
      </w:pPr>
      <w:r>
        <w:t xml:space="preserve">The extra element </w:t>
      </w:r>
      <w:proofErr w:type="spellStart"/>
      <w:r>
        <w:t>required</w:t>
      </w:r>
      <w:proofErr w:type="spellEnd"/>
      <w:r>
        <w:t xml:space="preserve"> by </w:t>
      </w:r>
      <w:proofErr w:type="spellStart"/>
      <w:r>
        <w:t>arson</w:t>
      </w:r>
      <w:proofErr w:type="spellEnd"/>
      <w:r>
        <w:t xml:space="preserve">, is that </w:t>
      </w:r>
      <w:proofErr w:type="spellStart"/>
      <w:r>
        <w:t>defendant</w:t>
      </w:r>
      <w:proofErr w:type="spellEnd"/>
      <w:r>
        <w:t xml:space="preserve"> had the direct intention to destroy the bin by fire</w:t>
      </w:r>
      <w:r w:rsidR="00B74923">
        <w:t xml:space="preserve">, and </w:t>
      </w:r>
      <w:proofErr w:type="spellStart"/>
      <w:r w:rsidR="00B74923">
        <w:t>his</w:t>
      </w:r>
      <w:proofErr w:type="spellEnd"/>
      <w:r w:rsidR="00B74923">
        <w:t xml:space="preserve"> </w:t>
      </w:r>
      <w:proofErr w:type="spellStart"/>
      <w:r w:rsidR="00B74923">
        <w:t>conduct</w:t>
      </w:r>
      <w:proofErr w:type="spellEnd"/>
      <w:r w:rsidR="00B74923">
        <w:t xml:space="preserve"> </w:t>
      </w:r>
      <w:proofErr w:type="spellStart"/>
      <w:r w:rsidR="00B74923">
        <w:t>was</w:t>
      </w:r>
      <w:proofErr w:type="spellEnd"/>
      <w:r w:rsidR="00B74923">
        <w:t xml:space="preserve"> </w:t>
      </w:r>
      <w:proofErr w:type="spellStart"/>
      <w:r w:rsidR="00B74923">
        <w:t>reckless</w:t>
      </w:r>
      <w:proofErr w:type="spellEnd"/>
      <w:r w:rsidR="00B74923">
        <w:t xml:space="preserve"> that </w:t>
      </w:r>
      <w:proofErr w:type="spellStart"/>
      <w:r w:rsidR="00B74923">
        <w:t>might</w:t>
      </w:r>
      <w:proofErr w:type="spellEnd"/>
      <w:r w:rsidR="00B74923">
        <w:t xml:space="preserve"> </w:t>
      </w:r>
      <w:proofErr w:type="spellStart"/>
      <w:r w:rsidR="00B74923">
        <w:t>e</w:t>
      </w:r>
      <w:r w:rsidR="004E6D4F">
        <w:t>ndanger</w:t>
      </w:r>
      <w:proofErr w:type="spellEnd"/>
      <w:r w:rsidR="004E6D4F">
        <w:t xml:space="preserve"> </w:t>
      </w:r>
      <w:proofErr w:type="spellStart"/>
      <w:r w:rsidR="004E6D4F">
        <w:t>someone’s</w:t>
      </w:r>
      <w:proofErr w:type="spellEnd"/>
      <w:r w:rsidR="004E6D4F">
        <w:t xml:space="preserve"> life. </w:t>
      </w:r>
    </w:p>
    <w:p w14:paraId="60C7E302" w14:textId="77777777" w:rsidR="00B65FCF" w:rsidRDefault="00B65FCF" w:rsidP="00224545">
      <w:pPr>
        <w:ind w:left="708"/>
      </w:pPr>
    </w:p>
    <w:p w14:paraId="4F04561F" w14:textId="77777777" w:rsidR="00B65FCF" w:rsidRDefault="00B65FCF" w:rsidP="00224545">
      <w:pPr>
        <w:ind w:left="708"/>
      </w:pPr>
    </w:p>
    <w:p w14:paraId="74CEB636" w14:textId="77777777" w:rsidR="00B65FCF" w:rsidRDefault="00B65FCF" w:rsidP="00224545">
      <w:pPr>
        <w:ind w:left="708"/>
      </w:pPr>
    </w:p>
    <w:p w14:paraId="30FE7E9F" w14:textId="77777777" w:rsidR="00B65FCF" w:rsidRDefault="00B65FCF" w:rsidP="00224545">
      <w:pPr>
        <w:ind w:left="708"/>
      </w:pPr>
    </w:p>
    <w:p w14:paraId="1D6F2DEF" w14:textId="2E795514" w:rsidR="00224545" w:rsidRDefault="00224545" w:rsidP="00224545">
      <w:pPr>
        <w:ind w:left="708"/>
      </w:pPr>
      <w:r>
        <w:t xml:space="preserve">In the second case presented I assume that the offence that Freya has committed is Assault Occasioning Actual Bodily Harm defined by s47 OAPA 1861. Accordingly she committed battery when she punched Mike causing to the victim a black eye, resulting the actual bodily harm offence. </w:t>
      </w:r>
    </w:p>
    <w:p w14:paraId="2A87741E" w14:textId="726B7D98" w:rsidR="00224545" w:rsidRDefault="005F3DAA" w:rsidP="00467A22">
      <w:pPr>
        <w:ind w:left="708"/>
      </w:pPr>
      <w:proofErr w:type="spellStart"/>
      <w:r>
        <w:t>Alcohol</w:t>
      </w:r>
      <w:proofErr w:type="spellEnd"/>
      <w:r>
        <w:t xml:space="preserve"> </w:t>
      </w:r>
      <w:r w:rsidR="00224545">
        <w:t xml:space="preserve">is a </w:t>
      </w:r>
      <w:proofErr w:type="spellStart"/>
      <w:r w:rsidR="00224545">
        <w:t>trigger</w:t>
      </w:r>
      <w:proofErr w:type="spellEnd"/>
      <w:r w:rsidR="00224545">
        <w:t xml:space="preserve"> element for </w:t>
      </w:r>
      <w:proofErr w:type="spellStart"/>
      <w:r w:rsidR="00224545">
        <w:t>seizures</w:t>
      </w:r>
      <w:proofErr w:type="spellEnd"/>
      <w:r w:rsidR="00224545">
        <w:t xml:space="preserve"> and also proved that a patient is unlikely to  relapse after 10 years. Therefore, this information demonstrates that her behaviour was reckless; accordingly, being reckless and consuming large amounts of alcohol lead this offence to basic intent crime. The </w:t>
      </w:r>
      <w:proofErr w:type="spellStart"/>
      <w:r w:rsidR="00224545">
        <w:t>Majewski</w:t>
      </w:r>
      <w:proofErr w:type="spellEnd"/>
      <w:r w:rsidR="00224545">
        <w:t xml:space="preserve"> [1976] case </w:t>
      </w:r>
      <w:proofErr w:type="spellStart"/>
      <w:r w:rsidR="00224545">
        <w:t>explains</w:t>
      </w:r>
      <w:proofErr w:type="spellEnd"/>
      <w:r w:rsidR="00224545">
        <w:t xml:space="preserve"> that </w:t>
      </w:r>
      <w:proofErr w:type="spellStart"/>
      <w:r w:rsidR="00224545">
        <w:t>voluntary</w:t>
      </w:r>
      <w:proofErr w:type="spellEnd"/>
      <w:r w:rsidR="00224545">
        <w:t xml:space="preserve"> </w:t>
      </w:r>
      <w:proofErr w:type="spellStart"/>
      <w:r w:rsidR="00224545">
        <w:t>intoxication</w:t>
      </w:r>
      <w:proofErr w:type="spellEnd"/>
      <w:r w:rsidR="00224545">
        <w:t xml:space="preserve"> is not a defence for basic intent crimes. In this case the </w:t>
      </w:r>
      <w:proofErr w:type="spellStart"/>
      <w:r w:rsidR="00224545">
        <w:t>defendant</w:t>
      </w:r>
      <w:proofErr w:type="spellEnd"/>
      <w:r w:rsidR="00224545">
        <w:t xml:space="preserve"> </w:t>
      </w:r>
      <w:proofErr w:type="spellStart"/>
      <w:r w:rsidR="00224545">
        <w:t>committed</w:t>
      </w:r>
      <w:proofErr w:type="spellEnd"/>
      <w:r w:rsidR="00224545">
        <w:t xml:space="preserve"> </w:t>
      </w:r>
      <w:proofErr w:type="spellStart"/>
      <w:r w:rsidR="00224545">
        <w:t>assault</w:t>
      </w:r>
      <w:proofErr w:type="spellEnd"/>
      <w:r w:rsidR="00224545">
        <w:t xml:space="preserve"> after attacking four persons being intoxicated with alcohol and drugs. In terms of intoxication, the Freya has knowingly abuses alcohol therefore she voluntarily intoxicated herself, however she had lack of mens rea due to the epilepsy, thus this will amount to a defence of an offence in respect of specific intent crimes.  </w:t>
      </w:r>
      <w:r w:rsidR="00C13D32">
        <w:t xml:space="preserve">For </w:t>
      </w:r>
      <w:proofErr w:type="spellStart"/>
      <w:r w:rsidR="0095513C">
        <w:t>offences</w:t>
      </w:r>
      <w:proofErr w:type="spellEnd"/>
      <w:r w:rsidR="0095513C">
        <w:t xml:space="preserve"> with </w:t>
      </w:r>
      <w:proofErr w:type="spellStart"/>
      <w:r w:rsidR="0095513C">
        <w:t>basic</w:t>
      </w:r>
      <w:proofErr w:type="spellEnd"/>
      <w:r w:rsidR="0095513C">
        <w:t xml:space="preserve"> </w:t>
      </w:r>
      <w:proofErr w:type="spellStart"/>
      <w:r w:rsidR="0095513C">
        <w:t>intent</w:t>
      </w:r>
      <w:proofErr w:type="spellEnd"/>
      <w:r w:rsidR="0095513C">
        <w:t xml:space="preserve">, </w:t>
      </w:r>
      <w:proofErr w:type="spellStart"/>
      <w:r w:rsidR="0095513C">
        <w:t>self-induction</w:t>
      </w:r>
      <w:proofErr w:type="spellEnd"/>
      <w:r w:rsidR="0095513C">
        <w:t xml:space="preserve"> </w:t>
      </w:r>
      <w:proofErr w:type="spellStart"/>
      <w:r w:rsidR="0095513C">
        <w:t>intoxi</w:t>
      </w:r>
      <w:r w:rsidR="000D18A7">
        <w:t>cation</w:t>
      </w:r>
      <w:proofErr w:type="spellEnd"/>
      <w:r w:rsidR="000D18A7">
        <w:t xml:space="preserve"> is no </w:t>
      </w:r>
      <w:proofErr w:type="spellStart"/>
      <w:r w:rsidR="000D18A7">
        <w:t>defence</w:t>
      </w:r>
      <w:proofErr w:type="spellEnd"/>
      <w:r w:rsidR="000D18A7">
        <w:t xml:space="preserve">. </w:t>
      </w:r>
    </w:p>
    <w:p w14:paraId="5847BCBE" w14:textId="3C12B6E1" w:rsidR="00683A3C" w:rsidRDefault="001B4CED" w:rsidP="00174AFC">
      <w:pPr>
        <w:ind w:left="708"/>
      </w:pPr>
      <w:r>
        <w:t xml:space="preserve">In </w:t>
      </w:r>
      <w:proofErr w:type="spellStart"/>
      <w:r>
        <w:t>Bratty</w:t>
      </w:r>
      <w:proofErr w:type="spellEnd"/>
      <w:r>
        <w:t xml:space="preserve"> v AG for </w:t>
      </w:r>
      <w:r w:rsidR="00074AFE">
        <w:t xml:space="preserve">Northern Ireland </w:t>
      </w:r>
      <w:r w:rsidR="00D20995">
        <w:t xml:space="preserve">(1963) </w:t>
      </w:r>
      <w:proofErr w:type="spellStart"/>
      <w:r w:rsidR="00D20995">
        <w:t>atomatism</w:t>
      </w:r>
      <w:proofErr w:type="spellEnd"/>
      <w:r w:rsidR="00D20995">
        <w:t xml:space="preserve"> </w:t>
      </w:r>
      <w:r w:rsidR="00224545">
        <w:t xml:space="preserve">is </w:t>
      </w:r>
      <w:proofErr w:type="spellStart"/>
      <w:r w:rsidR="00224545">
        <w:t>defined</w:t>
      </w:r>
      <w:proofErr w:type="spellEnd"/>
      <w:r w:rsidR="00224545">
        <w:t xml:space="preserve"> by </w:t>
      </w:r>
      <w:proofErr w:type="spellStart"/>
      <w:r w:rsidR="00224545">
        <w:t>unconscious</w:t>
      </w:r>
      <w:proofErr w:type="spellEnd"/>
      <w:r w:rsidR="00224545">
        <w:t xml:space="preserve"> </w:t>
      </w:r>
      <w:proofErr w:type="spellStart"/>
      <w:r w:rsidR="00224545">
        <w:t>actions</w:t>
      </w:r>
      <w:proofErr w:type="spellEnd"/>
      <w:r w:rsidR="00224545">
        <w:t xml:space="preserve"> of a person caused by an external factor. The external factor which triggered the automatism is the drinking a large amount of alcohol by the defendant. I have to appreciate the fact that Freya did not took into account that, before becoming an automaton, her conduct would result into assaulting or endangering someone’s life, therefore she did not appreciated the risk. Therefore, the Halsbury’s Law of England explains that self-induced automatism is a defence even to a basic intent crime if the defendant did not appreciated the risk that his conduct will make him aggressive. Furthermore, the heavily drinking had lead to an epileptic episode which is an internal factor for insanity. However, the epilepsy had been caused by an external factor, therefore it was not an internal illness which affected the mind, accordingly the defendant can not rely on Insanity defence. A linked case to this which became a rule is M’Naghten(1843) when the defendant was found not guilty after shooting the victim fatally relying on the defense of insanity. The fact that the external factor of automatism triggered the internal factor of the Insanity, therefore such malfunctioning of her mind as there was, </w:t>
      </w:r>
      <w:r w:rsidR="00224545">
        <w:lastRenderedPageBreak/>
        <w:t xml:space="preserve">was caused by an external factor and not by a bodily disorder in the nature of a disease which disturbed the working of her mind, resulting the non-insane automatism. A similar case here is Quick (1973) where the defendant triggered the hyperglycemia by the external factor such as insulin, this resulting in assaulting the victim. Court held that the external factor caused the conduct therefore the defence was non-insane automatism. On the other side, a case that explains the insanity is Hennesy(1989) where the defendant had a hyperglycaemic attack caused by diabetes due to a high level of sugar in blood, which is an infernal factor and is cause internally, resulting in Insanity. Another element of the automatism is the results in involuntary conduct by defendant and Freya had no control of her actions due to the seizure this is appreciated in Ryan’s (1967) case where the defendant ,was conscious at the time of incident , and has been found guilty after he voluntarily pushed the trigger of a gun which killed the victim because the pointing the gun and placing the finger on the trigger are voluntary acts which made the victim responsible for in law and not an analogous act done in convulsions or in a epileptic </w:t>
      </w:r>
      <w:proofErr w:type="spellStart"/>
      <w:r w:rsidR="00224545">
        <w:t>seizure</w:t>
      </w:r>
      <w:proofErr w:type="spellEnd"/>
      <w:r w:rsidR="00224545">
        <w:t>.</w:t>
      </w:r>
      <w:r w:rsidR="0029014A">
        <w:t xml:space="preserve"> </w:t>
      </w:r>
      <w:proofErr w:type="spellStart"/>
      <w:r w:rsidR="009D433A">
        <w:t>Freya</w:t>
      </w:r>
      <w:proofErr w:type="spellEnd"/>
      <w:r w:rsidR="00AD0DC3">
        <w:t xml:space="preserve"> </w:t>
      </w:r>
      <w:r w:rsidR="00EF43B5">
        <w:t xml:space="preserve">self </w:t>
      </w:r>
      <w:proofErr w:type="spellStart"/>
      <w:r w:rsidR="00EF43B5">
        <w:t>induced</w:t>
      </w:r>
      <w:proofErr w:type="spellEnd"/>
      <w:r w:rsidR="00EF43B5">
        <w:t xml:space="preserve"> automatism by</w:t>
      </w:r>
      <w:r w:rsidR="009D433A">
        <w:t xml:space="preserve"> </w:t>
      </w:r>
      <w:proofErr w:type="spellStart"/>
      <w:r w:rsidR="009D433A">
        <w:t>consumed</w:t>
      </w:r>
      <w:proofErr w:type="spellEnd"/>
      <w:r w:rsidR="009D433A">
        <w:t xml:space="preserve"> </w:t>
      </w:r>
      <w:proofErr w:type="spellStart"/>
      <w:r w:rsidR="009D433A">
        <w:t>alcohol</w:t>
      </w:r>
      <w:proofErr w:type="spellEnd"/>
      <w:r w:rsidR="009D433A">
        <w:t xml:space="preserve"> </w:t>
      </w:r>
      <w:r w:rsidR="008A54E0">
        <w:t>a</w:t>
      </w:r>
      <w:r w:rsidR="00EB2175">
        <w:t xml:space="preserve">nd </w:t>
      </w:r>
      <w:proofErr w:type="spellStart"/>
      <w:r w:rsidR="00EB2175">
        <w:t>Freya</w:t>
      </w:r>
      <w:proofErr w:type="spellEnd"/>
      <w:r w:rsidR="00EB2175">
        <w:t xml:space="preserve"> </w:t>
      </w:r>
      <w:proofErr w:type="spellStart"/>
      <w:r w:rsidR="00EB2175">
        <w:t>did</w:t>
      </w:r>
      <w:proofErr w:type="spellEnd"/>
      <w:r w:rsidR="00EB2175">
        <w:t xml:space="preserve"> not know that her </w:t>
      </w:r>
      <w:proofErr w:type="spellStart"/>
      <w:r w:rsidR="00EB2175">
        <w:t>action</w:t>
      </w:r>
      <w:proofErr w:type="spellEnd"/>
      <w:r w:rsidR="00EB2175">
        <w:t xml:space="preserve"> </w:t>
      </w:r>
      <w:proofErr w:type="spellStart"/>
      <w:r w:rsidR="00EB2175">
        <w:t>will</w:t>
      </w:r>
      <w:proofErr w:type="spellEnd"/>
      <w:r w:rsidR="00EB2175">
        <w:t xml:space="preserve"> make he</w:t>
      </w:r>
      <w:r w:rsidR="008C34DA">
        <w:t xml:space="preserve">r epileptic (Bailey(1983)). </w:t>
      </w:r>
    </w:p>
    <w:p w14:paraId="6FC02EB8" w14:textId="77777777" w:rsidR="00683A3C" w:rsidRDefault="00683A3C">
      <w:r>
        <w:br w:type="page"/>
      </w:r>
    </w:p>
    <w:p w14:paraId="4FC81894" w14:textId="63DE09A4" w:rsidR="00B84633" w:rsidRDefault="00683A3C" w:rsidP="00174AFC">
      <w:pPr>
        <w:ind w:left="708"/>
      </w:pPr>
      <w:r>
        <w:lastRenderedPageBreak/>
        <w:t xml:space="preserve">Reference list: </w:t>
      </w:r>
    </w:p>
    <w:p w14:paraId="6BCD8B32" w14:textId="046728DD" w:rsidR="00D84045" w:rsidRDefault="00D84045" w:rsidP="00D84045">
      <w:r>
        <w:t>FENWICK P (1990) Automatism, medicine and the law. Psychol Med 20.</w:t>
      </w:r>
    </w:p>
    <w:p w14:paraId="1205F625" w14:textId="544B037D" w:rsidR="00D84045" w:rsidRDefault="00D84045" w:rsidP="00D84045">
      <w:r>
        <w:t>2. FITZWALTER BUTLER TR (1962) The Criminal Appeal Reports, volume 46, part 1, H.L.1 pp. 7</w:t>
      </w:r>
      <w:r w:rsidR="005628BB">
        <w:t>08</w:t>
      </w:r>
      <w:r>
        <w:t>. Sweet and</w:t>
      </w:r>
      <w:r w:rsidR="005628BB">
        <w:t xml:space="preserve"> </w:t>
      </w:r>
      <w:r>
        <w:t>Maxwell, London.</w:t>
      </w:r>
    </w:p>
    <w:p w14:paraId="3DEECDEE" w14:textId="760E5F49" w:rsidR="00D84045" w:rsidRDefault="00D84045" w:rsidP="00D84045">
      <w:r>
        <w:t>3. FENWICK P, FENWICK E (1985) Epilepsy and the Law. Royal Society of Medicine International Congress and</w:t>
      </w:r>
      <w:r w:rsidR="005628BB">
        <w:t xml:space="preserve"> </w:t>
      </w:r>
      <w:r>
        <w:t>Symposium Series, No. 81. Royal Society of Medicine, London.</w:t>
      </w:r>
    </w:p>
    <w:p w14:paraId="5824C586" w14:textId="43950FC8" w:rsidR="00D84045" w:rsidRDefault="00D84045" w:rsidP="00D84045">
      <w:r>
        <w:t>4. YAFFE G (2013) Neurologic disorder and criminal responsibility</w:t>
      </w:r>
      <w:r w:rsidR="00A365B4">
        <w:t xml:space="preserve"> pp 45-56</w:t>
      </w:r>
      <w:r>
        <w:t>. Handb Clin Neurol</w:t>
      </w:r>
      <w:r w:rsidR="00A365B4">
        <w:t>.</w:t>
      </w:r>
    </w:p>
    <w:p w14:paraId="488B46EC" w14:textId="55CA4ED3" w:rsidR="00A365B4" w:rsidRPr="00174AFC" w:rsidRDefault="00A365B4" w:rsidP="00D84045">
      <w:r>
        <w:t xml:space="preserve">5. </w:t>
      </w:r>
      <w:r w:rsidR="001C0ECF" w:rsidRPr="001C0ECF">
        <w:t>LexisPSL Corporate Crime Practical Guidance (</w:t>
      </w:r>
      <w:r w:rsidR="00213BE9">
        <w:t>2018</w:t>
      </w:r>
      <w:r w:rsidR="001C0ECF" w:rsidRPr="001C0ECF">
        <w:t>) Online legal research tools: Lexis+, LexisNexis. Available at: https://www.lexisnexis.com/en-us/products/lexis-plus.page (Accessed: January 8, 2023).</w:t>
      </w:r>
    </w:p>
    <w:sectPr w:rsidR="00A365B4" w:rsidRPr="00174AF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37B"/>
    <w:rsid w:val="00007F08"/>
    <w:rsid w:val="000673BD"/>
    <w:rsid w:val="00074AFE"/>
    <w:rsid w:val="00094564"/>
    <w:rsid w:val="000B3448"/>
    <w:rsid w:val="000D18A7"/>
    <w:rsid w:val="000D19A3"/>
    <w:rsid w:val="00137819"/>
    <w:rsid w:val="00174AFC"/>
    <w:rsid w:val="001832C0"/>
    <w:rsid w:val="001B4CED"/>
    <w:rsid w:val="001C0ECF"/>
    <w:rsid w:val="001D052A"/>
    <w:rsid w:val="00213BE9"/>
    <w:rsid w:val="00224545"/>
    <w:rsid w:val="0025360A"/>
    <w:rsid w:val="00271F72"/>
    <w:rsid w:val="0029014A"/>
    <w:rsid w:val="002C7024"/>
    <w:rsid w:val="003951D7"/>
    <w:rsid w:val="003A4051"/>
    <w:rsid w:val="003D13E9"/>
    <w:rsid w:val="003F030F"/>
    <w:rsid w:val="00463C8B"/>
    <w:rsid w:val="00467A22"/>
    <w:rsid w:val="004E6D4F"/>
    <w:rsid w:val="004F453D"/>
    <w:rsid w:val="0052037B"/>
    <w:rsid w:val="005628BB"/>
    <w:rsid w:val="00563E29"/>
    <w:rsid w:val="005F3DAA"/>
    <w:rsid w:val="00680183"/>
    <w:rsid w:val="00683A3C"/>
    <w:rsid w:val="006C4770"/>
    <w:rsid w:val="006D1F1F"/>
    <w:rsid w:val="007022AE"/>
    <w:rsid w:val="00766ECE"/>
    <w:rsid w:val="00797BBB"/>
    <w:rsid w:val="007F328F"/>
    <w:rsid w:val="00815E12"/>
    <w:rsid w:val="00823445"/>
    <w:rsid w:val="00833FA2"/>
    <w:rsid w:val="008379F4"/>
    <w:rsid w:val="008A54E0"/>
    <w:rsid w:val="008C34DA"/>
    <w:rsid w:val="00947822"/>
    <w:rsid w:val="0095513C"/>
    <w:rsid w:val="009B702A"/>
    <w:rsid w:val="009D433A"/>
    <w:rsid w:val="00A04542"/>
    <w:rsid w:val="00A065A4"/>
    <w:rsid w:val="00A365B4"/>
    <w:rsid w:val="00AB48C7"/>
    <w:rsid w:val="00AC5007"/>
    <w:rsid w:val="00AD0DC3"/>
    <w:rsid w:val="00B25CAE"/>
    <w:rsid w:val="00B3393F"/>
    <w:rsid w:val="00B40404"/>
    <w:rsid w:val="00B65FCF"/>
    <w:rsid w:val="00B74923"/>
    <w:rsid w:val="00B84633"/>
    <w:rsid w:val="00C03171"/>
    <w:rsid w:val="00C13D32"/>
    <w:rsid w:val="00C4170D"/>
    <w:rsid w:val="00C52291"/>
    <w:rsid w:val="00C94172"/>
    <w:rsid w:val="00D20995"/>
    <w:rsid w:val="00D266CF"/>
    <w:rsid w:val="00D84045"/>
    <w:rsid w:val="00DB4D20"/>
    <w:rsid w:val="00DC57D1"/>
    <w:rsid w:val="00DF0695"/>
    <w:rsid w:val="00E415AB"/>
    <w:rsid w:val="00EB2175"/>
    <w:rsid w:val="00EC6AC2"/>
    <w:rsid w:val="00EE3307"/>
    <w:rsid w:val="00EF43B5"/>
    <w:rsid w:val="00F1368C"/>
    <w:rsid w:val="00F44086"/>
    <w:rsid w:val="00FA719C"/>
    <w:rsid w:val="00FC750A"/>
    <w:rsid w:val="00FF1F5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6F934170"/>
  <w15:chartTrackingRefBased/>
  <w15:docId w15:val="{DD4CB8FC-DD99-CF4A-915F-F624C5446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ro-RO" w:eastAsia="ro-RO"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897141">
      <w:bodyDiv w:val="1"/>
      <w:marLeft w:val="0"/>
      <w:marRight w:val="0"/>
      <w:marTop w:val="0"/>
      <w:marBottom w:val="0"/>
      <w:divBdr>
        <w:top w:val="none" w:sz="0" w:space="0" w:color="auto"/>
        <w:left w:val="none" w:sz="0" w:space="0" w:color="auto"/>
        <w:bottom w:val="none" w:sz="0" w:space="0" w:color="auto"/>
        <w:right w:val="none" w:sz="0" w:space="0" w:color="auto"/>
      </w:divBdr>
    </w:div>
    <w:div w:id="794105214">
      <w:bodyDiv w:val="1"/>
      <w:marLeft w:val="0"/>
      <w:marRight w:val="0"/>
      <w:marTop w:val="0"/>
      <w:marBottom w:val="0"/>
      <w:divBdr>
        <w:top w:val="none" w:sz="0" w:space="0" w:color="auto"/>
        <w:left w:val="none" w:sz="0" w:space="0" w:color="auto"/>
        <w:bottom w:val="none" w:sz="0" w:space="0" w:color="auto"/>
        <w:right w:val="none" w:sz="0" w:space="0" w:color="auto"/>
      </w:divBdr>
    </w:div>
    <w:div w:id="1784810673">
      <w:bodyDiv w:val="1"/>
      <w:marLeft w:val="0"/>
      <w:marRight w:val="0"/>
      <w:marTop w:val="0"/>
      <w:marBottom w:val="0"/>
      <w:divBdr>
        <w:top w:val="none" w:sz="0" w:space="0" w:color="auto"/>
        <w:left w:val="none" w:sz="0" w:space="0" w:color="auto"/>
        <w:bottom w:val="none" w:sz="0" w:space="0" w:color="auto"/>
        <w:right w:val="none" w:sz="0" w:space="0" w:color="auto"/>
      </w:divBdr>
    </w:div>
    <w:div w:id="1891568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1561</Words>
  <Characters>9055</Characters>
  <Application>Microsoft Office Word</Application>
  <DocSecurity>0</DocSecurity>
  <Lines>75</Lines>
  <Paragraphs>21</Paragraphs>
  <ScaleCrop>false</ScaleCrop>
  <Company/>
  <LinksUpToDate>false</LinksUpToDate>
  <CharactersWithSpaces>10595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Valentina Huluta</dc:creator>
  <cp:keywords/>
  <dc:description/>
  <cp:lastModifiedBy>Ioana Valentina Huluta</cp:lastModifiedBy>
  <cp:revision>2</cp:revision>
  <dcterms:created xsi:type="dcterms:W3CDTF">2023-01-11T17:59:00Z</dcterms:created>
  <dcterms:modified xsi:type="dcterms:W3CDTF">2023-01-11T17:59:00Z</dcterms:modified>
</cp:coreProperties>
</file>