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05C05" w14:textId="77777777" w:rsidR="00574383" w:rsidRDefault="00574383" w:rsidP="00574383">
      <w:pPr>
        <w:pStyle w:val="cpe1"/>
        <w:numPr>
          <w:ilvl w:val="12"/>
          <w:numId w:val="0"/>
        </w:numPr>
        <w:rPr>
          <w:rFonts w:ascii="Arial" w:hAnsi="Arial"/>
        </w:rPr>
      </w:pPr>
      <w:r>
        <w:rPr>
          <w:rFonts w:ascii="Arial" w:hAnsi="Arial"/>
        </w:rPr>
        <w:t>Part Two - Interests in Land</w:t>
      </w:r>
    </w:p>
    <w:p w14:paraId="3066DFDB" w14:textId="77777777" w:rsidR="00574383" w:rsidRDefault="00574383" w:rsidP="00574383">
      <w:pPr>
        <w:pStyle w:val="cpe2"/>
        <w:numPr>
          <w:ilvl w:val="12"/>
          <w:numId w:val="0"/>
        </w:numPr>
        <w:rPr>
          <w:rFonts w:ascii="Arial" w:hAnsi="Arial"/>
        </w:rPr>
      </w:pPr>
    </w:p>
    <w:p w14:paraId="75A6A0F2" w14:textId="77777777" w:rsidR="00574383" w:rsidRDefault="00574383" w:rsidP="00574383">
      <w:pPr>
        <w:pStyle w:val="cpe2"/>
        <w:numPr>
          <w:ilvl w:val="12"/>
          <w:numId w:val="0"/>
        </w:numPr>
        <w:rPr>
          <w:rFonts w:ascii="Arial" w:hAnsi="Arial"/>
        </w:rPr>
      </w:pPr>
      <w:bookmarkStart w:id="0" w:name="_Toc367590924"/>
      <w:bookmarkStart w:id="1" w:name="_Toc367600884"/>
      <w:bookmarkStart w:id="2" w:name="_Toc461089932"/>
      <w:bookmarkStart w:id="3" w:name="_Toc14535530"/>
      <w:r>
        <w:rPr>
          <w:rFonts w:ascii="Arial" w:hAnsi="Arial"/>
        </w:rPr>
        <w:t>Leases</w:t>
      </w:r>
      <w:bookmarkEnd w:id="0"/>
      <w:bookmarkEnd w:id="1"/>
      <w:bookmarkEnd w:id="2"/>
      <w:bookmarkEnd w:id="3"/>
    </w:p>
    <w:p w14:paraId="147957F2" w14:textId="77777777" w:rsidR="00574383" w:rsidRDefault="00574383" w:rsidP="00574383">
      <w:pPr>
        <w:numPr>
          <w:ilvl w:val="12"/>
          <w:numId w:val="0"/>
        </w:numPr>
      </w:pPr>
    </w:p>
    <w:p w14:paraId="0E2F89B4" w14:textId="77777777" w:rsidR="00574383" w:rsidRDefault="00574383" w:rsidP="00574383">
      <w:pPr>
        <w:pStyle w:val="cpe3"/>
        <w:numPr>
          <w:ilvl w:val="12"/>
          <w:numId w:val="0"/>
        </w:numPr>
        <w:pBdr>
          <w:top w:val="single" w:sz="4" w:space="1" w:color="auto"/>
          <w:left w:val="single" w:sz="4" w:space="4" w:color="auto"/>
          <w:bottom w:val="single" w:sz="4" w:space="1" w:color="auto"/>
          <w:right w:val="single" w:sz="4" w:space="4" w:color="auto"/>
        </w:pBdr>
        <w:rPr>
          <w:rFonts w:ascii="Arial" w:hAnsi="Arial"/>
        </w:rPr>
      </w:pPr>
      <w:bookmarkStart w:id="4" w:name="_Toc345815742"/>
      <w:bookmarkStart w:id="5" w:name="_Toc347025867"/>
      <w:bookmarkStart w:id="6" w:name="_Toc348837244"/>
      <w:bookmarkStart w:id="7" w:name="_Toc350654814"/>
      <w:bookmarkStart w:id="8" w:name="_Toc350654993"/>
      <w:bookmarkStart w:id="9" w:name="_Toc367590925"/>
      <w:bookmarkStart w:id="10" w:name="_Toc367600885"/>
      <w:bookmarkStart w:id="11" w:name="_Toc461089933"/>
      <w:bookmarkStart w:id="12" w:name="_Toc14535531"/>
    </w:p>
    <w:p w14:paraId="50C26700" w14:textId="77777777" w:rsidR="00574383" w:rsidRDefault="00574383" w:rsidP="00574383">
      <w:pPr>
        <w:pStyle w:val="cpe3"/>
        <w:numPr>
          <w:ilvl w:val="12"/>
          <w:numId w:val="0"/>
        </w:numPr>
        <w:pBdr>
          <w:top w:val="single" w:sz="4" w:space="1" w:color="auto"/>
          <w:left w:val="single" w:sz="4" w:space="4" w:color="auto"/>
          <w:bottom w:val="single" w:sz="4" w:space="1" w:color="auto"/>
          <w:right w:val="single" w:sz="4" w:space="4" w:color="auto"/>
        </w:pBdr>
        <w:rPr>
          <w:rFonts w:ascii="Arial" w:hAnsi="Arial"/>
        </w:rPr>
      </w:pPr>
      <w:r>
        <w:rPr>
          <w:rFonts w:ascii="Arial" w:hAnsi="Arial"/>
        </w:rPr>
        <w:t>Terminology</w:t>
      </w:r>
      <w:bookmarkEnd w:id="4"/>
      <w:bookmarkEnd w:id="5"/>
      <w:bookmarkEnd w:id="6"/>
      <w:bookmarkEnd w:id="7"/>
      <w:bookmarkEnd w:id="8"/>
      <w:bookmarkEnd w:id="9"/>
      <w:bookmarkEnd w:id="10"/>
      <w:bookmarkEnd w:id="11"/>
      <w:bookmarkEnd w:id="12"/>
    </w:p>
    <w:p w14:paraId="4CF65612" w14:textId="77777777" w:rsidR="00574383" w:rsidRDefault="00574383" w:rsidP="00574383">
      <w:pPr>
        <w:pStyle w:val="cpe3"/>
        <w:numPr>
          <w:ilvl w:val="12"/>
          <w:numId w:val="0"/>
        </w:numPr>
        <w:pBdr>
          <w:top w:val="single" w:sz="4" w:space="1" w:color="auto"/>
          <w:left w:val="single" w:sz="4" w:space="4" w:color="auto"/>
          <w:bottom w:val="single" w:sz="4" w:space="1" w:color="auto"/>
          <w:right w:val="single" w:sz="4" w:space="4" w:color="auto"/>
        </w:pBdr>
        <w:rPr>
          <w:rFonts w:ascii="Arial" w:hAnsi="Arial"/>
        </w:rPr>
      </w:pPr>
    </w:p>
    <w:p w14:paraId="2150E009" w14:textId="77777777" w:rsidR="00574383" w:rsidRDefault="00574383" w:rsidP="00574383">
      <w:pPr>
        <w:pStyle w:val="cpe3"/>
        <w:numPr>
          <w:ilvl w:val="12"/>
          <w:numId w:val="0"/>
        </w:numPr>
        <w:pBdr>
          <w:top w:val="single" w:sz="4" w:space="1" w:color="auto"/>
          <w:left w:val="single" w:sz="4" w:space="4" w:color="auto"/>
          <w:bottom w:val="single" w:sz="4" w:space="1" w:color="auto"/>
          <w:right w:val="single" w:sz="4" w:space="4" w:color="auto"/>
        </w:pBdr>
        <w:rPr>
          <w:rFonts w:ascii="Arial" w:hAnsi="Arial"/>
        </w:rPr>
      </w:pPr>
      <w:bookmarkStart w:id="13" w:name="_Toc14535532"/>
      <w:r>
        <w:rPr>
          <w:rFonts w:ascii="Arial" w:hAnsi="Arial"/>
        </w:rPr>
        <w:t>The terminology used for leases can be confusing - there are often several different terms for the same thing.</w:t>
      </w:r>
      <w:bookmarkEnd w:id="13"/>
      <w:r>
        <w:rPr>
          <w:rFonts w:ascii="Arial" w:hAnsi="Arial"/>
        </w:rPr>
        <w:t xml:space="preserve">  </w:t>
      </w:r>
    </w:p>
    <w:p w14:paraId="36AF7789" w14:textId="77777777" w:rsidR="00574383" w:rsidRDefault="00574383" w:rsidP="00574383">
      <w:pPr>
        <w:pStyle w:val="cpe3"/>
        <w:numPr>
          <w:ilvl w:val="12"/>
          <w:numId w:val="0"/>
        </w:numPr>
        <w:pBdr>
          <w:top w:val="single" w:sz="4" w:space="1" w:color="auto"/>
          <w:left w:val="single" w:sz="4" w:space="4" w:color="auto"/>
          <w:bottom w:val="single" w:sz="4" w:space="1" w:color="auto"/>
          <w:right w:val="single" w:sz="4" w:space="4" w:color="auto"/>
        </w:pBdr>
        <w:rPr>
          <w:rFonts w:ascii="Arial" w:hAnsi="Arial"/>
        </w:rPr>
      </w:pPr>
    </w:p>
    <w:p w14:paraId="04899A71"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“Term of years absolute”, “term of years”, “leasehold”, “lease” and “tenancy” are all the same.</w:t>
      </w:r>
    </w:p>
    <w:p w14:paraId="2DF68218"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64E9B087"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Landlord / lessor / freeholder = person who grants the lease.</w:t>
      </w:r>
    </w:p>
    <w:p w14:paraId="742614C4"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73F7885A"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Tenant / lessee / leaseholder = person who takes the lease.</w:t>
      </w:r>
    </w:p>
    <w:p w14:paraId="7A36ED49"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283A0ED2"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Reversioner = person to whom the property will return at the end of the term - usually same as landlord, etc., but may not be in the case of what are called sub-leases.</w:t>
      </w:r>
    </w:p>
    <w:p w14:paraId="56574729"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6D51C490"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Grant = creation of a brand new lease, or sub-lease.</w:t>
      </w:r>
    </w:p>
    <w:p w14:paraId="74EEABE4"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0345331B"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Assignment = transfer of what is left of an existing lease or sub-lease.</w:t>
      </w:r>
    </w:p>
    <w:p w14:paraId="10C64E3B"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22B3E27D" w14:textId="77777777" w:rsidR="00574383" w:rsidRDefault="00574383" w:rsidP="00574383">
      <w:pPr>
        <w:pStyle w:val="cpe3"/>
        <w:numPr>
          <w:ilvl w:val="12"/>
          <w:numId w:val="0"/>
        </w:numPr>
        <w:rPr>
          <w:rFonts w:ascii="Arial" w:hAnsi="Arial"/>
        </w:rPr>
      </w:pPr>
      <w:bookmarkStart w:id="14" w:name="_Toc345815743"/>
      <w:bookmarkStart w:id="15" w:name="_Toc347025868"/>
      <w:bookmarkStart w:id="16" w:name="_Toc348837245"/>
      <w:bookmarkStart w:id="17" w:name="_Toc350654815"/>
      <w:bookmarkStart w:id="18" w:name="_Toc350654994"/>
      <w:bookmarkStart w:id="19" w:name="_Toc367590926"/>
      <w:bookmarkStart w:id="20" w:name="_Toc367600886"/>
      <w:bookmarkStart w:id="21" w:name="_Toc461089934"/>
    </w:p>
    <w:p w14:paraId="6A04909A" w14:textId="77777777" w:rsidR="00574383" w:rsidRDefault="00574383" w:rsidP="00574383">
      <w:pPr>
        <w:pStyle w:val="cpe3"/>
        <w:numPr>
          <w:ilvl w:val="12"/>
          <w:numId w:val="0"/>
        </w:numPr>
        <w:rPr>
          <w:rFonts w:ascii="Arial" w:hAnsi="Arial"/>
        </w:rPr>
      </w:pPr>
      <w:bookmarkStart w:id="22" w:name="_Toc14535533"/>
      <w:r>
        <w:rPr>
          <w:rFonts w:ascii="Arial" w:hAnsi="Arial"/>
        </w:rPr>
        <w:t>Historic Aspect</w:t>
      </w:r>
      <w:bookmarkEnd w:id="14"/>
      <w:bookmarkEnd w:id="15"/>
      <w:bookmarkEnd w:id="16"/>
      <w:bookmarkEnd w:id="17"/>
      <w:bookmarkEnd w:id="18"/>
      <w:bookmarkEnd w:id="19"/>
      <w:bookmarkEnd w:id="20"/>
      <w:bookmarkEnd w:id="21"/>
      <w:bookmarkEnd w:id="22"/>
    </w:p>
    <w:p w14:paraId="4C2C50D1" w14:textId="77777777" w:rsidR="00574383" w:rsidRDefault="00574383" w:rsidP="00574383">
      <w:pPr>
        <w:pStyle w:val="cpe3"/>
        <w:numPr>
          <w:ilvl w:val="12"/>
          <w:numId w:val="0"/>
        </w:numPr>
        <w:rPr>
          <w:rFonts w:ascii="Arial" w:hAnsi="Arial"/>
        </w:rPr>
      </w:pPr>
    </w:p>
    <w:p w14:paraId="5B2538D7" w14:textId="77777777" w:rsidR="00574383" w:rsidRDefault="00574383" w:rsidP="00574383">
      <w:pPr>
        <w:numPr>
          <w:ilvl w:val="12"/>
          <w:numId w:val="0"/>
        </w:numPr>
        <w:rPr>
          <w:sz w:val="24"/>
        </w:rPr>
      </w:pPr>
      <w:r>
        <w:rPr>
          <w:sz w:val="24"/>
        </w:rPr>
        <w:t xml:space="preserve">Nowadays a lease is regarded as an interest in land, but traditionally it was viewed as </w:t>
      </w:r>
      <w:proofErr w:type="spellStart"/>
      <w:r>
        <w:rPr>
          <w:sz w:val="24"/>
        </w:rPr>
        <w:t>personalty</w:t>
      </w:r>
      <w:proofErr w:type="spellEnd"/>
      <w:r>
        <w:rPr>
          <w:sz w:val="24"/>
        </w:rPr>
        <w:t xml:space="preserve"> - based on contract, E.g., the lease was a right under contract to occupy land for a defined period.  A pure contractual right could not be a right in land.</w:t>
      </w:r>
    </w:p>
    <w:p w14:paraId="3E0284EB" w14:textId="77777777" w:rsidR="00574383" w:rsidRDefault="00574383" w:rsidP="00574383">
      <w:pPr>
        <w:numPr>
          <w:ilvl w:val="12"/>
          <w:numId w:val="0"/>
        </w:numPr>
        <w:rPr>
          <w:sz w:val="24"/>
        </w:rPr>
      </w:pPr>
    </w:p>
    <w:p w14:paraId="01B20C08" w14:textId="77777777" w:rsidR="00574383" w:rsidRDefault="00574383" w:rsidP="00574383">
      <w:pPr>
        <w:numPr>
          <w:ilvl w:val="12"/>
          <w:numId w:val="0"/>
        </w:numPr>
        <w:rPr>
          <w:sz w:val="24"/>
        </w:rPr>
      </w:pPr>
      <w:r>
        <w:rPr>
          <w:sz w:val="24"/>
        </w:rPr>
        <w:t>In the late middle ages leases evolved into a species of property right. This is important for many reasons including remedies.</w:t>
      </w:r>
    </w:p>
    <w:p w14:paraId="26844E86" w14:textId="77777777" w:rsidR="00574383" w:rsidRDefault="00574383" w:rsidP="00574383">
      <w:pPr>
        <w:numPr>
          <w:ilvl w:val="12"/>
          <w:numId w:val="0"/>
        </w:numPr>
        <w:rPr>
          <w:sz w:val="24"/>
        </w:rPr>
      </w:pPr>
    </w:p>
    <w:p w14:paraId="3CC52653" w14:textId="77777777" w:rsidR="00574383" w:rsidRDefault="00574383" w:rsidP="00574383">
      <w:pPr>
        <w:numPr>
          <w:ilvl w:val="12"/>
          <w:numId w:val="0"/>
        </w:numPr>
        <w:rPr>
          <w:sz w:val="24"/>
        </w:rPr>
      </w:pPr>
      <w:r>
        <w:rPr>
          <w:sz w:val="24"/>
        </w:rPr>
        <w:t>However, the contractual aspect is still important.  One important difference between freehold and leasehold interests is the ongoing relationship - see later.</w:t>
      </w:r>
    </w:p>
    <w:p w14:paraId="725C1F1B" w14:textId="77777777" w:rsidR="00574383" w:rsidRDefault="00574383" w:rsidP="00574383">
      <w:pPr>
        <w:numPr>
          <w:ilvl w:val="12"/>
          <w:numId w:val="0"/>
        </w:numPr>
        <w:rPr>
          <w:sz w:val="24"/>
        </w:rPr>
      </w:pPr>
    </w:p>
    <w:p w14:paraId="532250A9" w14:textId="77777777" w:rsidR="00574383" w:rsidRDefault="00574383" w:rsidP="00574383">
      <w:pPr>
        <w:pStyle w:val="cpe3"/>
        <w:numPr>
          <w:ilvl w:val="12"/>
          <w:numId w:val="0"/>
        </w:numPr>
        <w:rPr>
          <w:rFonts w:ascii="Arial" w:hAnsi="Arial"/>
        </w:rPr>
      </w:pPr>
      <w:bookmarkStart w:id="23" w:name="_Toc345815744"/>
      <w:bookmarkStart w:id="24" w:name="_Toc347025869"/>
      <w:bookmarkStart w:id="25" w:name="_Toc348837246"/>
      <w:bookmarkStart w:id="26" w:name="_Toc350654816"/>
      <w:bookmarkStart w:id="27" w:name="_Toc350654995"/>
      <w:bookmarkStart w:id="28" w:name="_Toc367590927"/>
      <w:bookmarkStart w:id="29" w:name="_Toc367600887"/>
      <w:bookmarkStart w:id="30" w:name="_Toc461089935"/>
      <w:bookmarkStart w:id="31" w:name="_Toc14535534"/>
      <w:r>
        <w:rPr>
          <w:rFonts w:ascii="Arial" w:hAnsi="Arial"/>
        </w:rPr>
        <w:t>Types of Lease</w:t>
      </w:r>
      <w:bookmarkEnd w:id="23"/>
      <w:bookmarkEnd w:id="24"/>
      <w:bookmarkEnd w:id="25"/>
      <w:bookmarkEnd w:id="26"/>
      <w:bookmarkEnd w:id="27"/>
      <w:bookmarkEnd w:id="28"/>
      <w:bookmarkEnd w:id="29"/>
      <w:bookmarkEnd w:id="30"/>
      <w:bookmarkEnd w:id="31"/>
    </w:p>
    <w:p w14:paraId="667D34FD" w14:textId="77777777" w:rsidR="00574383" w:rsidRDefault="00574383" w:rsidP="00574383">
      <w:pPr>
        <w:pStyle w:val="cpe3"/>
        <w:numPr>
          <w:ilvl w:val="12"/>
          <w:numId w:val="0"/>
        </w:numPr>
        <w:rPr>
          <w:rFonts w:ascii="Arial" w:hAnsi="Arial"/>
        </w:rPr>
      </w:pPr>
    </w:p>
    <w:p w14:paraId="6C66C6B1" w14:textId="77777777" w:rsidR="00574383" w:rsidRDefault="00574383" w:rsidP="00574383">
      <w:pPr>
        <w:numPr>
          <w:ilvl w:val="12"/>
          <w:numId w:val="0"/>
        </w:numPr>
        <w:rPr>
          <w:sz w:val="24"/>
        </w:rPr>
      </w:pPr>
      <w:r>
        <w:rPr>
          <w:sz w:val="24"/>
        </w:rPr>
        <w:t xml:space="preserve">A lease can be of almost any duration, and can be of any sort of property, E.g. residential, commercial and agricultural.  </w:t>
      </w:r>
    </w:p>
    <w:p w14:paraId="3DE16D03" w14:textId="77777777" w:rsidR="00574383" w:rsidRDefault="00574383" w:rsidP="00574383">
      <w:pPr>
        <w:numPr>
          <w:ilvl w:val="12"/>
          <w:numId w:val="0"/>
        </w:numPr>
        <w:rPr>
          <w:sz w:val="24"/>
        </w:rPr>
      </w:pPr>
    </w:p>
    <w:p w14:paraId="0C1FD78C" w14:textId="77777777" w:rsidR="00574383" w:rsidRDefault="00574383" w:rsidP="00574383">
      <w:pPr>
        <w:numPr>
          <w:ilvl w:val="12"/>
          <w:numId w:val="0"/>
        </w:numPr>
        <w:rPr>
          <w:sz w:val="24"/>
        </w:rPr>
      </w:pPr>
      <w:r>
        <w:rPr>
          <w:sz w:val="24"/>
        </w:rPr>
        <w:t>Difficulties arise from this: how do you compare the tenant who pays £50 per week for his bedsit with the company which rents office space for £1,000,000 per year?</w:t>
      </w:r>
    </w:p>
    <w:p w14:paraId="3C9CC5F7" w14:textId="77777777" w:rsidR="00574383" w:rsidRDefault="00574383" w:rsidP="00574383">
      <w:pPr>
        <w:numPr>
          <w:ilvl w:val="12"/>
          <w:numId w:val="0"/>
        </w:numPr>
        <w:rPr>
          <w:sz w:val="24"/>
        </w:rPr>
      </w:pPr>
    </w:p>
    <w:p w14:paraId="65635FBB" w14:textId="77777777" w:rsidR="00574383" w:rsidRDefault="00574383" w:rsidP="00574383">
      <w:pPr>
        <w:numPr>
          <w:ilvl w:val="12"/>
          <w:numId w:val="0"/>
        </w:numPr>
        <w:rPr>
          <w:sz w:val="24"/>
        </w:rPr>
      </w:pPr>
    </w:p>
    <w:p w14:paraId="305C8252" w14:textId="77777777" w:rsidR="00574383" w:rsidRDefault="00574383" w:rsidP="00574383">
      <w:pPr>
        <w:numPr>
          <w:ilvl w:val="12"/>
          <w:numId w:val="0"/>
        </w:numPr>
        <w:rPr>
          <w:sz w:val="24"/>
        </w:rPr>
      </w:pPr>
      <w:r>
        <w:rPr>
          <w:sz w:val="24"/>
        </w:rPr>
        <w:t xml:space="preserve">The basic types of lease are: </w:t>
      </w:r>
    </w:p>
    <w:p w14:paraId="68004127" w14:textId="77777777" w:rsidR="00574383" w:rsidRDefault="00574383" w:rsidP="00574383">
      <w:pPr>
        <w:numPr>
          <w:ilvl w:val="12"/>
          <w:numId w:val="0"/>
        </w:numPr>
        <w:rPr>
          <w:sz w:val="24"/>
        </w:rPr>
      </w:pPr>
    </w:p>
    <w:p w14:paraId="6CD06C4D" w14:textId="77777777" w:rsidR="00574383" w:rsidRDefault="00574383" w:rsidP="00574383">
      <w:pPr>
        <w:numPr>
          <w:ilvl w:val="12"/>
          <w:numId w:val="0"/>
        </w:numPr>
        <w:rPr>
          <w:sz w:val="24"/>
        </w:rPr>
      </w:pPr>
      <w:r>
        <w:rPr>
          <w:sz w:val="24"/>
        </w:rPr>
        <w:lastRenderedPageBreak/>
        <w:t>FIXED TERM - any length, but fixed at the outset.  Long leases are common, particularly residential.</w:t>
      </w:r>
    </w:p>
    <w:p w14:paraId="12D7BED6" w14:textId="77777777" w:rsidR="00574383" w:rsidRDefault="00574383" w:rsidP="00574383">
      <w:pPr>
        <w:numPr>
          <w:ilvl w:val="12"/>
          <w:numId w:val="0"/>
        </w:numPr>
        <w:rPr>
          <w:sz w:val="24"/>
        </w:rPr>
      </w:pPr>
    </w:p>
    <w:p w14:paraId="79C0CAC4" w14:textId="77777777" w:rsidR="00574383" w:rsidRDefault="00574383" w:rsidP="00574383">
      <w:pPr>
        <w:numPr>
          <w:ilvl w:val="12"/>
          <w:numId w:val="0"/>
        </w:numPr>
        <w:rPr>
          <w:sz w:val="24"/>
        </w:rPr>
      </w:pPr>
      <w:r>
        <w:rPr>
          <w:sz w:val="24"/>
        </w:rPr>
        <w:t xml:space="preserve">PERIODIC TENANCY - here the end date is not fixed at the outset.  The tenancy continues indefinitely until terminated by service of a notice. </w:t>
      </w:r>
    </w:p>
    <w:p w14:paraId="742FB5CA" w14:textId="77777777" w:rsidR="00574383" w:rsidRDefault="00574383" w:rsidP="00574383">
      <w:pPr>
        <w:numPr>
          <w:ilvl w:val="12"/>
          <w:numId w:val="0"/>
        </w:numPr>
        <w:rPr>
          <w:sz w:val="24"/>
        </w:rPr>
      </w:pPr>
    </w:p>
    <w:p w14:paraId="655DF87F" w14:textId="77777777" w:rsidR="00574383" w:rsidRDefault="00574383" w:rsidP="00574383">
      <w:pPr>
        <w:numPr>
          <w:ilvl w:val="12"/>
          <w:numId w:val="0"/>
        </w:numPr>
        <w:rPr>
          <w:i/>
          <w:sz w:val="24"/>
        </w:rPr>
      </w:pPr>
      <w:r>
        <w:rPr>
          <w:sz w:val="24"/>
        </w:rPr>
        <w:t>TENANCY AT WILL - an arrangement of indefinite occupation, but either party can end arrangement without notice.  According to Gray and Gray; Elements of Land Law, “</w:t>
      </w:r>
      <w:r>
        <w:rPr>
          <w:i/>
          <w:sz w:val="24"/>
        </w:rPr>
        <w:t>the ‘tenancy at will’ occupies an obscurely defined no-man’s land between the periodic tenancy and the mere licence.”</w:t>
      </w:r>
    </w:p>
    <w:p w14:paraId="6113128D" w14:textId="77777777" w:rsidR="00574383" w:rsidRDefault="00574383" w:rsidP="00574383">
      <w:pPr>
        <w:pStyle w:val="cpe3"/>
        <w:numPr>
          <w:ilvl w:val="12"/>
          <w:numId w:val="0"/>
        </w:numPr>
        <w:rPr>
          <w:rFonts w:ascii="Arial" w:hAnsi="Arial"/>
        </w:rPr>
      </w:pPr>
      <w:bookmarkStart w:id="32" w:name="_Toc345815745"/>
      <w:bookmarkStart w:id="33" w:name="_Toc347025870"/>
      <w:bookmarkStart w:id="34" w:name="_Toc348837247"/>
      <w:bookmarkStart w:id="35" w:name="_Toc350654817"/>
      <w:bookmarkStart w:id="36" w:name="_Toc350654996"/>
      <w:bookmarkStart w:id="37" w:name="_Toc367590928"/>
      <w:bookmarkStart w:id="38" w:name="_Toc367600888"/>
      <w:bookmarkStart w:id="39" w:name="_Toc461089936"/>
      <w:bookmarkStart w:id="40" w:name="_Toc14535535"/>
    </w:p>
    <w:p w14:paraId="33BB9313" w14:textId="77777777" w:rsidR="00574383" w:rsidRDefault="00574383" w:rsidP="00574383">
      <w:pPr>
        <w:pStyle w:val="cpe3"/>
        <w:numPr>
          <w:ilvl w:val="12"/>
          <w:numId w:val="0"/>
        </w:numPr>
        <w:rPr>
          <w:rFonts w:ascii="Arial" w:hAnsi="Arial"/>
        </w:rPr>
      </w:pPr>
      <w:r>
        <w:rPr>
          <w:rFonts w:ascii="Arial" w:hAnsi="Arial"/>
        </w:rPr>
        <w:t>Requirements of a lease</w:t>
      </w:r>
      <w:bookmarkEnd w:id="32"/>
      <w:bookmarkEnd w:id="33"/>
      <w:bookmarkEnd w:id="34"/>
      <w:bookmarkEnd w:id="35"/>
      <w:bookmarkEnd w:id="36"/>
      <w:bookmarkEnd w:id="37"/>
      <w:bookmarkEnd w:id="38"/>
      <w:bookmarkEnd w:id="39"/>
      <w:bookmarkEnd w:id="40"/>
    </w:p>
    <w:p w14:paraId="3E06104D" w14:textId="77777777" w:rsidR="00574383" w:rsidRDefault="00574383" w:rsidP="00574383">
      <w:pPr>
        <w:pStyle w:val="cpe3"/>
        <w:numPr>
          <w:ilvl w:val="12"/>
          <w:numId w:val="0"/>
        </w:numPr>
        <w:rPr>
          <w:rFonts w:ascii="Arial" w:hAnsi="Arial"/>
        </w:rPr>
      </w:pPr>
    </w:p>
    <w:p w14:paraId="09AC2FFE" w14:textId="77777777" w:rsidR="00574383" w:rsidRDefault="00574383" w:rsidP="00574383">
      <w:pPr>
        <w:numPr>
          <w:ilvl w:val="12"/>
          <w:numId w:val="0"/>
        </w:numPr>
        <w:rPr>
          <w:sz w:val="24"/>
        </w:rPr>
      </w:pPr>
      <w:r>
        <w:rPr>
          <w:sz w:val="24"/>
        </w:rPr>
        <w:t xml:space="preserve">An arrangement </w:t>
      </w:r>
      <w:proofErr w:type="spellStart"/>
      <w:r>
        <w:rPr>
          <w:sz w:val="24"/>
        </w:rPr>
        <w:t>can not</w:t>
      </w:r>
      <w:proofErr w:type="spellEnd"/>
      <w:r>
        <w:rPr>
          <w:sz w:val="24"/>
        </w:rPr>
        <w:t xml:space="preserve"> be called a lease unless it satisfies the following criteria.  Whether it can be called a lease or not is of great practical importance - see later.  If not a lease, normally the arrangement will be construed as a licence, so not a right in land, but one conferring personal, contractual rights only.</w:t>
      </w:r>
    </w:p>
    <w:p w14:paraId="2DB9EAD5" w14:textId="77777777" w:rsidR="00574383" w:rsidRDefault="00574383" w:rsidP="00574383">
      <w:pPr>
        <w:numPr>
          <w:ilvl w:val="12"/>
          <w:numId w:val="0"/>
        </w:numPr>
        <w:rPr>
          <w:sz w:val="24"/>
        </w:rPr>
      </w:pPr>
    </w:p>
    <w:p w14:paraId="5072B2C3" w14:textId="77777777" w:rsidR="00574383" w:rsidRDefault="00574383" w:rsidP="00574383">
      <w:pPr>
        <w:numPr>
          <w:ilvl w:val="12"/>
          <w:numId w:val="0"/>
        </w:numPr>
        <w:rPr>
          <w:sz w:val="24"/>
        </w:rPr>
      </w:pPr>
      <w:r>
        <w:rPr>
          <w:sz w:val="24"/>
        </w:rPr>
        <w:t>Requirements are:</w:t>
      </w:r>
    </w:p>
    <w:p w14:paraId="5B40C452" w14:textId="77777777" w:rsidR="00574383" w:rsidRDefault="00574383" w:rsidP="00574383">
      <w:pPr>
        <w:numPr>
          <w:ilvl w:val="12"/>
          <w:numId w:val="0"/>
        </w:numPr>
        <w:rPr>
          <w:sz w:val="24"/>
        </w:rPr>
      </w:pPr>
    </w:p>
    <w:p w14:paraId="5EB863B1" w14:textId="77777777" w:rsidR="00574383" w:rsidRDefault="00574383" w:rsidP="00574383">
      <w:pPr>
        <w:pStyle w:val="cpe4"/>
        <w:numPr>
          <w:ilvl w:val="0"/>
          <w:numId w:val="2"/>
        </w:numPr>
        <w:rPr>
          <w:rFonts w:ascii="Arial" w:hAnsi="Arial"/>
        </w:rPr>
      </w:pPr>
      <w:bookmarkStart w:id="41" w:name="_Toc345815746"/>
      <w:bookmarkStart w:id="42" w:name="_Toc347025871"/>
      <w:bookmarkStart w:id="43" w:name="_Toc348837248"/>
      <w:bookmarkStart w:id="44" w:name="_Toc350654818"/>
      <w:bookmarkStart w:id="45" w:name="_Toc350654997"/>
      <w:bookmarkStart w:id="46" w:name="_Toc367590929"/>
      <w:bookmarkStart w:id="47" w:name="_Toc367600889"/>
      <w:r>
        <w:rPr>
          <w:rFonts w:ascii="Arial" w:hAnsi="Arial"/>
        </w:rPr>
        <w:t>Parties must be legally competent</w:t>
      </w:r>
      <w:bookmarkEnd w:id="41"/>
      <w:bookmarkEnd w:id="42"/>
      <w:bookmarkEnd w:id="43"/>
      <w:bookmarkEnd w:id="44"/>
      <w:bookmarkEnd w:id="45"/>
      <w:bookmarkEnd w:id="46"/>
      <w:bookmarkEnd w:id="47"/>
    </w:p>
    <w:p w14:paraId="62D55856" w14:textId="77777777" w:rsidR="00574383" w:rsidRDefault="00574383" w:rsidP="00574383">
      <w:pPr>
        <w:rPr>
          <w:sz w:val="24"/>
        </w:rPr>
      </w:pPr>
    </w:p>
    <w:p w14:paraId="2DAACFAF" w14:textId="77777777" w:rsidR="00574383" w:rsidRDefault="00574383" w:rsidP="00574383">
      <w:pPr>
        <w:numPr>
          <w:ilvl w:val="12"/>
          <w:numId w:val="0"/>
        </w:numPr>
        <w:rPr>
          <w:sz w:val="24"/>
        </w:rPr>
      </w:pPr>
      <w:r>
        <w:rPr>
          <w:sz w:val="24"/>
        </w:rPr>
        <w:t>So made by parties with legal identity and power.</w:t>
      </w:r>
    </w:p>
    <w:p w14:paraId="0CEE2A65" w14:textId="77777777" w:rsidR="00574383" w:rsidRDefault="00574383" w:rsidP="00574383">
      <w:pPr>
        <w:numPr>
          <w:ilvl w:val="12"/>
          <w:numId w:val="0"/>
        </w:numPr>
        <w:rPr>
          <w:sz w:val="24"/>
        </w:rPr>
      </w:pPr>
    </w:p>
    <w:p w14:paraId="27DD128D" w14:textId="77777777" w:rsidR="00574383" w:rsidRDefault="00574383" w:rsidP="00574383">
      <w:pPr>
        <w:pStyle w:val="cpe4"/>
        <w:numPr>
          <w:ilvl w:val="0"/>
          <w:numId w:val="2"/>
        </w:numPr>
        <w:rPr>
          <w:rFonts w:ascii="Arial" w:hAnsi="Arial"/>
        </w:rPr>
      </w:pPr>
      <w:bookmarkStart w:id="48" w:name="_Toc345815747"/>
      <w:bookmarkStart w:id="49" w:name="_Toc347025872"/>
      <w:bookmarkStart w:id="50" w:name="_Toc348837249"/>
      <w:bookmarkStart w:id="51" w:name="_Toc350654819"/>
      <w:bookmarkStart w:id="52" w:name="_Toc350654998"/>
      <w:bookmarkStart w:id="53" w:name="_Toc367590930"/>
      <w:bookmarkStart w:id="54" w:name="_Toc367600890"/>
      <w:r>
        <w:rPr>
          <w:rFonts w:ascii="Arial" w:hAnsi="Arial"/>
        </w:rPr>
        <w:t>Lease must have a fixed maximum duration</w:t>
      </w:r>
      <w:bookmarkEnd w:id="48"/>
      <w:bookmarkEnd w:id="49"/>
      <w:bookmarkEnd w:id="50"/>
      <w:bookmarkEnd w:id="51"/>
      <w:bookmarkEnd w:id="52"/>
      <w:bookmarkEnd w:id="53"/>
      <w:bookmarkEnd w:id="54"/>
    </w:p>
    <w:p w14:paraId="671D64FE" w14:textId="77777777" w:rsidR="00574383" w:rsidRDefault="00574383" w:rsidP="00574383">
      <w:pPr>
        <w:rPr>
          <w:sz w:val="24"/>
        </w:rPr>
      </w:pPr>
    </w:p>
    <w:p w14:paraId="6DB83FD5" w14:textId="77777777" w:rsidR="00574383" w:rsidRDefault="00574383" w:rsidP="00574383">
      <w:pPr>
        <w:numPr>
          <w:ilvl w:val="12"/>
          <w:numId w:val="0"/>
        </w:numPr>
        <w:rPr>
          <w:sz w:val="24"/>
        </w:rPr>
      </w:pPr>
      <w:r>
        <w:rPr>
          <w:sz w:val="24"/>
        </w:rPr>
        <w:t>Implications:</w:t>
      </w:r>
    </w:p>
    <w:p w14:paraId="5075CD3B" w14:textId="77777777" w:rsidR="00574383" w:rsidRDefault="00574383" w:rsidP="00574383">
      <w:pPr>
        <w:numPr>
          <w:ilvl w:val="12"/>
          <w:numId w:val="0"/>
        </w:numPr>
        <w:rPr>
          <w:sz w:val="24"/>
        </w:rPr>
      </w:pPr>
    </w:p>
    <w:p w14:paraId="524F3E34" w14:textId="77777777" w:rsidR="00574383" w:rsidRDefault="00574383" w:rsidP="00574383">
      <w:pPr>
        <w:numPr>
          <w:ilvl w:val="12"/>
          <w:numId w:val="0"/>
        </w:numPr>
        <w:ind w:left="360"/>
        <w:rPr>
          <w:sz w:val="24"/>
        </w:rPr>
      </w:pPr>
      <w:r>
        <w:rPr>
          <w:sz w:val="24"/>
        </w:rPr>
        <w:t xml:space="preserve">a) </w:t>
      </w:r>
      <w:r>
        <w:rPr>
          <w:sz w:val="24"/>
        </w:rPr>
        <w:tab/>
        <w:t>Reversion must always exist;</w:t>
      </w:r>
    </w:p>
    <w:p w14:paraId="45122EB3" w14:textId="77777777" w:rsidR="00574383" w:rsidRDefault="00574383" w:rsidP="00574383">
      <w:pPr>
        <w:numPr>
          <w:ilvl w:val="12"/>
          <w:numId w:val="0"/>
        </w:numPr>
        <w:ind w:left="360"/>
        <w:rPr>
          <w:sz w:val="24"/>
        </w:rPr>
      </w:pPr>
    </w:p>
    <w:p w14:paraId="659672C0" w14:textId="77777777" w:rsidR="00574383" w:rsidRDefault="00574383" w:rsidP="00574383">
      <w:pPr>
        <w:numPr>
          <w:ilvl w:val="12"/>
          <w:numId w:val="0"/>
        </w:numPr>
        <w:ind w:left="360"/>
        <w:rPr>
          <w:sz w:val="24"/>
        </w:rPr>
      </w:pPr>
      <w:r>
        <w:rPr>
          <w:sz w:val="24"/>
        </w:rPr>
        <w:t xml:space="preserve">b) </w:t>
      </w:r>
      <w:r>
        <w:rPr>
          <w:sz w:val="24"/>
        </w:rPr>
        <w:tab/>
        <w:t xml:space="preserve">Commencement date must be certain - fixed or easily ascertainable.  A lease to take effect in the future is acceptable provided the date for it to take effect is not more than 21 years hence, otherwise it will be void </w:t>
      </w:r>
      <w:r>
        <w:rPr>
          <w:i/>
          <w:sz w:val="24"/>
        </w:rPr>
        <w:t>LPA 1925; s149(3)</w:t>
      </w:r>
      <w:r>
        <w:rPr>
          <w:sz w:val="24"/>
        </w:rPr>
        <w:t>.  These are called “reversionary leases”;</w:t>
      </w:r>
    </w:p>
    <w:p w14:paraId="57BD14E7" w14:textId="77777777" w:rsidR="00574383" w:rsidRDefault="00574383" w:rsidP="00574383">
      <w:pPr>
        <w:numPr>
          <w:ilvl w:val="12"/>
          <w:numId w:val="0"/>
        </w:numPr>
        <w:ind w:left="360"/>
        <w:rPr>
          <w:sz w:val="24"/>
        </w:rPr>
      </w:pPr>
    </w:p>
    <w:p w14:paraId="0BD7C401" w14:textId="77777777" w:rsidR="00574383" w:rsidRDefault="00574383" w:rsidP="00574383">
      <w:pPr>
        <w:numPr>
          <w:ilvl w:val="12"/>
          <w:numId w:val="0"/>
        </w:numPr>
        <w:ind w:left="360"/>
        <w:rPr>
          <w:sz w:val="24"/>
        </w:rPr>
      </w:pPr>
      <w:r>
        <w:rPr>
          <w:sz w:val="24"/>
        </w:rPr>
        <w:t xml:space="preserve">c) </w:t>
      </w:r>
      <w:r>
        <w:rPr>
          <w:sz w:val="24"/>
        </w:rPr>
        <w:tab/>
        <w:t>Term may be of any length;</w:t>
      </w:r>
    </w:p>
    <w:p w14:paraId="6F8704EC" w14:textId="77777777" w:rsidR="00574383" w:rsidRDefault="00574383" w:rsidP="00574383">
      <w:pPr>
        <w:numPr>
          <w:ilvl w:val="12"/>
          <w:numId w:val="0"/>
        </w:numPr>
        <w:ind w:left="360"/>
        <w:rPr>
          <w:sz w:val="24"/>
        </w:rPr>
      </w:pPr>
    </w:p>
    <w:p w14:paraId="29D4B22B" w14:textId="77777777" w:rsidR="00574383" w:rsidRDefault="00574383" w:rsidP="00574383">
      <w:pPr>
        <w:numPr>
          <w:ilvl w:val="12"/>
          <w:numId w:val="0"/>
        </w:numPr>
        <w:ind w:left="360"/>
        <w:rPr>
          <w:sz w:val="24"/>
        </w:rPr>
      </w:pPr>
      <w:r>
        <w:rPr>
          <w:sz w:val="24"/>
        </w:rPr>
        <w:t xml:space="preserve">d) </w:t>
      </w:r>
      <w:r>
        <w:rPr>
          <w:sz w:val="24"/>
        </w:rPr>
        <w:tab/>
        <w:t xml:space="preserve">Maximum duration must be ascertainable.  If it is not the lease is void.  </w:t>
      </w:r>
    </w:p>
    <w:p w14:paraId="5FC3ECC4" w14:textId="77777777" w:rsidR="00574383" w:rsidRDefault="00574383" w:rsidP="00574383">
      <w:pPr>
        <w:numPr>
          <w:ilvl w:val="12"/>
          <w:numId w:val="0"/>
        </w:numPr>
        <w:ind w:left="360"/>
        <w:rPr>
          <w:sz w:val="24"/>
        </w:rPr>
      </w:pPr>
    </w:p>
    <w:p w14:paraId="7A5F108A" w14:textId="77777777" w:rsidR="00574383" w:rsidRDefault="00574383" w:rsidP="00574383">
      <w:pPr>
        <w:numPr>
          <w:ilvl w:val="12"/>
          <w:numId w:val="0"/>
        </w:numPr>
        <w:ind w:left="360"/>
        <w:rPr>
          <w:sz w:val="24"/>
        </w:rPr>
      </w:pPr>
      <w:r>
        <w:rPr>
          <w:sz w:val="24"/>
        </w:rPr>
        <w:t xml:space="preserve">For example in </w:t>
      </w:r>
      <w:r>
        <w:rPr>
          <w:b/>
          <w:i/>
          <w:sz w:val="24"/>
        </w:rPr>
        <w:t xml:space="preserve">Lace v </w:t>
      </w:r>
      <w:proofErr w:type="spellStart"/>
      <w:r>
        <w:rPr>
          <w:b/>
          <w:i/>
          <w:sz w:val="24"/>
        </w:rPr>
        <w:t>Chantler</w:t>
      </w:r>
      <w:proofErr w:type="spellEnd"/>
      <w:r>
        <w:rPr>
          <w:sz w:val="24"/>
        </w:rPr>
        <w:t xml:space="preserve"> [1944] KB 368, a lease “for the duration of the war” was void and in </w:t>
      </w:r>
      <w:r>
        <w:rPr>
          <w:b/>
          <w:i/>
          <w:sz w:val="24"/>
        </w:rPr>
        <w:t>Prudential Assurance Co Ltd v London Residuary Body</w:t>
      </w:r>
      <w:r>
        <w:rPr>
          <w:sz w:val="24"/>
        </w:rPr>
        <w:t xml:space="preserve"> [1992] 2 AC 386, a lease of a parcel of land “until needed for widening the road” was not valid but could take effect as a tenancy from year to year.</w:t>
      </w:r>
    </w:p>
    <w:p w14:paraId="2C0A6935" w14:textId="77777777" w:rsidR="00574383" w:rsidRDefault="00574383" w:rsidP="00574383">
      <w:pPr>
        <w:numPr>
          <w:ilvl w:val="12"/>
          <w:numId w:val="0"/>
        </w:numPr>
        <w:rPr>
          <w:sz w:val="24"/>
        </w:rPr>
      </w:pPr>
    </w:p>
    <w:p w14:paraId="2672DF76" w14:textId="77777777" w:rsidR="00574383" w:rsidRDefault="00574383" w:rsidP="00574383">
      <w:pPr>
        <w:pStyle w:val="Footer"/>
        <w:numPr>
          <w:ilvl w:val="12"/>
          <w:numId w:val="0"/>
        </w:numPr>
        <w:rPr>
          <w:sz w:val="24"/>
          <w:szCs w:val="24"/>
        </w:rPr>
      </w:pPr>
      <w:r>
        <w:rPr>
          <w:sz w:val="24"/>
          <w:szCs w:val="24"/>
        </w:rPr>
        <w:t xml:space="preserve">Therefore: </w:t>
      </w:r>
    </w:p>
    <w:p w14:paraId="1FF3771A" w14:textId="77777777" w:rsidR="00574383" w:rsidRDefault="00574383" w:rsidP="00574383">
      <w:pPr>
        <w:pStyle w:val="Footer"/>
        <w:numPr>
          <w:ilvl w:val="12"/>
          <w:numId w:val="0"/>
        </w:numPr>
        <w:rPr>
          <w:sz w:val="24"/>
          <w:szCs w:val="24"/>
        </w:rPr>
      </w:pPr>
    </w:p>
    <w:p w14:paraId="5A2CF3FD" w14:textId="77777777" w:rsidR="00574383" w:rsidRDefault="00574383" w:rsidP="00574383">
      <w:pPr>
        <w:numPr>
          <w:ilvl w:val="12"/>
          <w:numId w:val="0"/>
        </w:numPr>
        <w:ind w:left="1080"/>
        <w:rPr>
          <w:sz w:val="24"/>
        </w:rPr>
      </w:pPr>
      <w:proofErr w:type="spellStart"/>
      <w:r>
        <w:rPr>
          <w:sz w:val="24"/>
        </w:rPr>
        <w:t>i</w:t>
      </w:r>
      <w:proofErr w:type="spellEnd"/>
      <w:r>
        <w:rPr>
          <w:sz w:val="24"/>
        </w:rPr>
        <w:t xml:space="preserve">) </w:t>
      </w:r>
      <w:r>
        <w:rPr>
          <w:sz w:val="24"/>
        </w:rPr>
        <w:tab/>
        <w:t>A lease for life is prima facie void, but is rescued by statute to take effect as a lease for 90 years (</w:t>
      </w:r>
      <w:r>
        <w:rPr>
          <w:i/>
          <w:sz w:val="24"/>
        </w:rPr>
        <w:t>LPA 1925; s149(6)</w:t>
      </w:r>
      <w:r>
        <w:rPr>
          <w:sz w:val="24"/>
        </w:rPr>
        <w:t>);</w:t>
      </w:r>
    </w:p>
    <w:p w14:paraId="09991F0F" w14:textId="77777777" w:rsidR="00574383" w:rsidRDefault="00574383" w:rsidP="00574383">
      <w:pPr>
        <w:numPr>
          <w:ilvl w:val="12"/>
          <w:numId w:val="0"/>
        </w:numPr>
        <w:ind w:left="1080"/>
        <w:rPr>
          <w:sz w:val="24"/>
        </w:rPr>
      </w:pPr>
    </w:p>
    <w:p w14:paraId="52493660" w14:textId="77777777" w:rsidR="00574383" w:rsidRDefault="00574383" w:rsidP="00574383">
      <w:pPr>
        <w:numPr>
          <w:ilvl w:val="12"/>
          <w:numId w:val="0"/>
        </w:numPr>
        <w:ind w:left="1080"/>
        <w:rPr>
          <w:sz w:val="24"/>
        </w:rPr>
      </w:pPr>
      <w:r>
        <w:rPr>
          <w:sz w:val="24"/>
        </w:rPr>
        <w:lastRenderedPageBreak/>
        <w:t xml:space="preserve">ii) </w:t>
      </w:r>
      <w:r>
        <w:rPr>
          <w:sz w:val="24"/>
        </w:rPr>
        <w:tab/>
        <w:t>A lease until marriage or the formation of a civil partnership is similarly saved;</w:t>
      </w:r>
    </w:p>
    <w:p w14:paraId="5DB7D5FE" w14:textId="77777777" w:rsidR="00574383" w:rsidRDefault="00574383" w:rsidP="00574383">
      <w:pPr>
        <w:numPr>
          <w:ilvl w:val="12"/>
          <w:numId w:val="0"/>
        </w:numPr>
        <w:ind w:left="1080"/>
        <w:rPr>
          <w:sz w:val="24"/>
        </w:rPr>
      </w:pPr>
    </w:p>
    <w:p w14:paraId="7099584C" w14:textId="77777777" w:rsidR="00574383" w:rsidRDefault="00574383" w:rsidP="00574383">
      <w:pPr>
        <w:numPr>
          <w:ilvl w:val="12"/>
          <w:numId w:val="0"/>
        </w:numPr>
        <w:ind w:left="1080"/>
        <w:rPr>
          <w:sz w:val="24"/>
        </w:rPr>
      </w:pPr>
      <w:r>
        <w:rPr>
          <w:sz w:val="24"/>
        </w:rPr>
        <w:t>iii)  A perpetually renewable lease is converted to term of 2000 years.</w:t>
      </w:r>
    </w:p>
    <w:p w14:paraId="45DD5272" w14:textId="77777777" w:rsidR="00574383" w:rsidRDefault="00574383" w:rsidP="00574383">
      <w:pPr>
        <w:numPr>
          <w:ilvl w:val="12"/>
          <w:numId w:val="0"/>
        </w:numPr>
        <w:ind w:left="360"/>
        <w:rPr>
          <w:sz w:val="24"/>
        </w:rPr>
      </w:pPr>
    </w:p>
    <w:p w14:paraId="56B0BC8D" w14:textId="77777777" w:rsidR="00574383" w:rsidRDefault="00574383" w:rsidP="00574383">
      <w:pPr>
        <w:numPr>
          <w:ilvl w:val="0"/>
          <w:numId w:val="2"/>
        </w:numPr>
        <w:rPr>
          <w:b/>
          <w:i/>
          <w:sz w:val="24"/>
        </w:rPr>
      </w:pPr>
      <w:r>
        <w:rPr>
          <w:b/>
          <w:i/>
          <w:sz w:val="24"/>
        </w:rPr>
        <w:t>Premises must be identified with certainty;</w:t>
      </w:r>
    </w:p>
    <w:p w14:paraId="553E3E98" w14:textId="77777777" w:rsidR="00574383" w:rsidRDefault="00574383" w:rsidP="00574383">
      <w:pPr>
        <w:ind w:left="360"/>
        <w:rPr>
          <w:b/>
          <w:i/>
          <w:sz w:val="24"/>
        </w:rPr>
      </w:pPr>
    </w:p>
    <w:p w14:paraId="4FF43119" w14:textId="77777777" w:rsidR="00574383" w:rsidRDefault="00574383" w:rsidP="00574383">
      <w:pPr>
        <w:numPr>
          <w:ilvl w:val="0"/>
          <w:numId w:val="2"/>
        </w:numPr>
        <w:rPr>
          <w:b/>
          <w:i/>
          <w:sz w:val="24"/>
        </w:rPr>
      </w:pPr>
      <w:r>
        <w:rPr>
          <w:b/>
          <w:i/>
          <w:sz w:val="24"/>
        </w:rPr>
        <w:t xml:space="preserve">The lease must confer a right of “exclusive possession”.  </w:t>
      </w:r>
    </w:p>
    <w:p w14:paraId="660C6ACA" w14:textId="77777777" w:rsidR="00574383" w:rsidRDefault="00574383" w:rsidP="00574383">
      <w:pPr>
        <w:pStyle w:val="ListParagraph"/>
        <w:rPr>
          <w:sz w:val="24"/>
        </w:rPr>
      </w:pPr>
    </w:p>
    <w:p w14:paraId="0569B801" w14:textId="77777777" w:rsidR="00574383" w:rsidRDefault="00574383" w:rsidP="00574383">
      <w:pPr>
        <w:ind w:left="720"/>
        <w:rPr>
          <w:b/>
          <w:i/>
          <w:sz w:val="24"/>
        </w:rPr>
      </w:pPr>
      <w:r>
        <w:rPr>
          <w:sz w:val="24"/>
        </w:rPr>
        <w:t>This is perhaps the single most important area and, therefore, much case law exists</w:t>
      </w:r>
      <w:r>
        <w:rPr>
          <w:b/>
          <w:i/>
          <w:sz w:val="24"/>
        </w:rPr>
        <w:t>.</w:t>
      </w:r>
    </w:p>
    <w:p w14:paraId="43C4B210" w14:textId="77777777" w:rsidR="00574383" w:rsidRDefault="00574383" w:rsidP="00574383">
      <w:pPr>
        <w:numPr>
          <w:ilvl w:val="12"/>
          <w:numId w:val="0"/>
        </w:numPr>
        <w:rPr>
          <w:sz w:val="24"/>
        </w:rPr>
      </w:pPr>
    </w:p>
    <w:p w14:paraId="6BEFF663" w14:textId="77777777" w:rsidR="00574383" w:rsidRDefault="00574383" w:rsidP="00574383">
      <w:pPr>
        <w:numPr>
          <w:ilvl w:val="12"/>
          <w:numId w:val="0"/>
        </w:numPr>
        <w:rPr>
          <w:sz w:val="24"/>
        </w:rPr>
      </w:pPr>
    </w:p>
    <w:p w14:paraId="6FCC275A" w14:textId="77777777" w:rsidR="00574383" w:rsidRDefault="00574383" w:rsidP="00574383">
      <w:pPr>
        <w:pStyle w:val="cpe4"/>
        <w:numPr>
          <w:ilvl w:val="12"/>
          <w:numId w:val="0"/>
        </w:numPr>
        <w:rPr>
          <w:rFonts w:ascii="Arial" w:hAnsi="Arial"/>
        </w:rPr>
      </w:pPr>
      <w:bookmarkStart w:id="55" w:name="_Toc345815748"/>
      <w:bookmarkStart w:id="56" w:name="_Toc347025873"/>
      <w:bookmarkStart w:id="57" w:name="_Toc348837250"/>
      <w:bookmarkStart w:id="58" w:name="_Toc350654820"/>
      <w:bookmarkStart w:id="59" w:name="_Toc350654999"/>
      <w:bookmarkStart w:id="60" w:name="_Toc367590931"/>
      <w:bookmarkStart w:id="61" w:name="_Toc367600891"/>
      <w:r>
        <w:rPr>
          <w:rFonts w:ascii="Arial" w:hAnsi="Arial"/>
        </w:rPr>
        <w:t>Exclusive Possession</w:t>
      </w:r>
      <w:bookmarkEnd w:id="55"/>
      <w:bookmarkEnd w:id="56"/>
      <w:bookmarkEnd w:id="57"/>
      <w:bookmarkEnd w:id="58"/>
      <w:bookmarkEnd w:id="59"/>
      <w:bookmarkEnd w:id="60"/>
      <w:bookmarkEnd w:id="61"/>
    </w:p>
    <w:p w14:paraId="060E9D69" w14:textId="77777777" w:rsidR="00574383" w:rsidRDefault="00574383" w:rsidP="00574383">
      <w:pPr>
        <w:pStyle w:val="cpe4"/>
        <w:numPr>
          <w:ilvl w:val="12"/>
          <w:numId w:val="0"/>
        </w:numPr>
        <w:rPr>
          <w:rFonts w:ascii="Arial" w:hAnsi="Arial"/>
        </w:rPr>
      </w:pPr>
    </w:p>
    <w:p w14:paraId="79B98667" w14:textId="77777777" w:rsidR="00574383" w:rsidRDefault="00574383" w:rsidP="00574383">
      <w:pPr>
        <w:numPr>
          <w:ilvl w:val="12"/>
          <w:numId w:val="0"/>
        </w:numPr>
        <w:rPr>
          <w:sz w:val="24"/>
        </w:rPr>
      </w:pPr>
      <w:r>
        <w:rPr>
          <w:sz w:val="24"/>
        </w:rPr>
        <w:t xml:space="preserve">Why is this important? </w:t>
      </w:r>
    </w:p>
    <w:p w14:paraId="5D6625A3" w14:textId="77777777" w:rsidR="00574383" w:rsidRDefault="00574383" w:rsidP="00574383">
      <w:pPr>
        <w:numPr>
          <w:ilvl w:val="12"/>
          <w:numId w:val="0"/>
        </w:numPr>
        <w:rPr>
          <w:sz w:val="24"/>
        </w:rPr>
      </w:pPr>
    </w:p>
    <w:p w14:paraId="32BEC0BF" w14:textId="77777777" w:rsidR="00574383" w:rsidRDefault="00574383" w:rsidP="00574383">
      <w:pPr>
        <w:numPr>
          <w:ilvl w:val="12"/>
          <w:numId w:val="0"/>
        </w:numPr>
        <w:rPr>
          <w:sz w:val="24"/>
        </w:rPr>
      </w:pPr>
      <w:r>
        <w:rPr>
          <w:sz w:val="24"/>
        </w:rPr>
        <w:t>Because if there is no exclusive possession there is no lease, and if there is no lease the tenant will not have statutory protection (</w:t>
      </w:r>
      <w:r>
        <w:rPr>
          <w:i/>
          <w:sz w:val="24"/>
        </w:rPr>
        <w:t>Rent Act 1977</w:t>
      </w:r>
      <w:r>
        <w:rPr>
          <w:sz w:val="24"/>
        </w:rPr>
        <w:t xml:space="preserve">, </w:t>
      </w:r>
      <w:r>
        <w:rPr>
          <w:i/>
          <w:sz w:val="24"/>
        </w:rPr>
        <w:t>Housing Acts</w:t>
      </w:r>
      <w:r>
        <w:rPr>
          <w:sz w:val="24"/>
        </w:rPr>
        <w:t xml:space="preserve"> </w:t>
      </w:r>
      <w:r>
        <w:rPr>
          <w:i/>
          <w:sz w:val="24"/>
        </w:rPr>
        <w:t>1988</w:t>
      </w:r>
      <w:r>
        <w:rPr>
          <w:sz w:val="24"/>
        </w:rPr>
        <w:t xml:space="preserve"> and </w:t>
      </w:r>
      <w:r>
        <w:rPr>
          <w:i/>
          <w:sz w:val="24"/>
        </w:rPr>
        <w:t>1996</w:t>
      </w:r>
      <w:r>
        <w:rPr>
          <w:sz w:val="24"/>
        </w:rPr>
        <w:t xml:space="preserve"> for residential premises and the </w:t>
      </w:r>
      <w:r>
        <w:rPr>
          <w:i/>
          <w:sz w:val="24"/>
        </w:rPr>
        <w:t>Landlord and Tenant Act 1954</w:t>
      </w:r>
      <w:r>
        <w:rPr>
          <w:sz w:val="24"/>
        </w:rPr>
        <w:t xml:space="preserve"> for business premises).</w:t>
      </w:r>
    </w:p>
    <w:p w14:paraId="5AF533C1" w14:textId="77777777" w:rsidR="00574383" w:rsidRDefault="00574383" w:rsidP="00574383">
      <w:pPr>
        <w:numPr>
          <w:ilvl w:val="12"/>
          <w:numId w:val="0"/>
        </w:numPr>
        <w:rPr>
          <w:sz w:val="24"/>
        </w:rPr>
      </w:pPr>
    </w:p>
    <w:p w14:paraId="0BCF6130" w14:textId="77777777" w:rsidR="00574383" w:rsidRDefault="00574383" w:rsidP="00574383">
      <w:pPr>
        <w:numPr>
          <w:ilvl w:val="12"/>
          <w:numId w:val="0"/>
        </w:numPr>
        <w:rPr>
          <w:b/>
          <w:sz w:val="24"/>
        </w:rPr>
      </w:pPr>
      <w:r>
        <w:rPr>
          <w:b/>
          <w:sz w:val="24"/>
        </w:rPr>
        <w:t>Cases on exclusive possession - the lease / licence distinction</w:t>
      </w:r>
    </w:p>
    <w:p w14:paraId="2DD01B65" w14:textId="77777777" w:rsidR="00574383" w:rsidRDefault="00574383" w:rsidP="00574383">
      <w:pPr>
        <w:numPr>
          <w:ilvl w:val="12"/>
          <w:numId w:val="0"/>
        </w:numPr>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278"/>
      </w:tblGrid>
      <w:tr w:rsidR="00574383" w14:paraId="267BF3A3" w14:textId="77777777">
        <w:tc>
          <w:tcPr>
            <w:tcW w:w="10278" w:type="dxa"/>
            <w:tcBorders>
              <w:top w:val="single" w:sz="4" w:space="0" w:color="auto"/>
              <w:left w:val="single" w:sz="4" w:space="0" w:color="auto"/>
              <w:bottom w:val="single" w:sz="4" w:space="0" w:color="auto"/>
              <w:right w:val="single" w:sz="4" w:space="0" w:color="auto"/>
            </w:tcBorders>
          </w:tcPr>
          <w:p w14:paraId="23B7CAEF" w14:textId="77777777" w:rsidR="00574383" w:rsidRDefault="00574383">
            <w:pPr>
              <w:numPr>
                <w:ilvl w:val="12"/>
                <w:numId w:val="0"/>
              </w:numPr>
              <w:rPr>
                <w:sz w:val="24"/>
              </w:rPr>
            </w:pPr>
          </w:p>
          <w:p w14:paraId="5CF0F31C" w14:textId="77777777" w:rsidR="00574383" w:rsidRDefault="00574383">
            <w:pPr>
              <w:numPr>
                <w:ilvl w:val="12"/>
                <w:numId w:val="0"/>
              </w:numPr>
              <w:rPr>
                <w:sz w:val="24"/>
              </w:rPr>
            </w:pPr>
            <w:r>
              <w:rPr>
                <w:sz w:val="24"/>
              </w:rPr>
              <w:t>The one essential requirement of a lease is that the occupier must have exclusive possession of the property.  Even if no rent is paid, an occupation could be deemed to be a lease, with disastrous consequences for the landlord.</w:t>
            </w:r>
          </w:p>
          <w:p w14:paraId="22AB7388" w14:textId="77777777" w:rsidR="00574383" w:rsidRDefault="00574383">
            <w:pPr>
              <w:numPr>
                <w:ilvl w:val="12"/>
                <w:numId w:val="0"/>
              </w:numPr>
              <w:rPr>
                <w:sz w:val="24"/>
              </w:rPr>
            </w:pPr>
          </w:p>
        </w:tc>
      </w:tr>
    </w:tbl>
    <w:p w14:paraId="7C3E75C6" w14:textId="77777777" w:rsidR="00574383" w:rsidRDefault="00574383" w:rsidP="00574383">
      <w:pPr>
        <w:numPr>
          <w:ilvl w:val="12"/>
          <w:numId w:val="0"/>
        </w:numPr>
        <w:rPr>
          <w:sz w:val="24"/>
        </w:rPr>
      </w:pPr>
    </w:p>
    <w:p w14:paraId="03392AAA" w14:textId="77777777" w:rsidR="00574383" w:rsidRDefault="00574383" w:rsidP="00574383">
      <w:pPr>
        <w:numPr>
          <w:ilvl w:val="12"/>
          <w:numId w:val="0"/>
        </w:numPr>
        <w:rPr>
          <w:sz w:val="24"/>
        </w:rPr>
      </w:pPr>
      <w:r>
        <w:rPr>
          <w:sz w:val="24"/>
        </w:rPr>
        <w:t xml:space="preserve">Exclusive possession is difficult to judge, and has exercised the courts over the years.  Until the end of the 1970's, exclusive possession was taken as a conclusive indication of a lease.  </w:t>
      </w:r>
    </w:p>
    <w:p w14:paraId="43266771" w14:textId="77777777" w:rsidR="00574383" w:rsidRDefault="00574383" w:rsidP="00574383">
      <w:pPr>
        <w:numPr>
          <w:ilvl w:val="12"/>
          <w:numId w:val="0"/>
        </w:numPr>
        <w:rPr>
          <w:sz w:val="24"/>
        </w:rPr>
      </w:pPr>
    </w:p>
    <w:p w14:paraId="335B2FEC" w14:textId="77777777" w:rsidR="00574383" w:rsidRDefault="00574383" w:rsidP="00574383">
      <w:pPr>
        <w:numPr>
          <w:ilvl w:val="12"/>
          <w:numId w:val="0"/>
        </w:numPr>
        <w:rPr>
          <w:sz w:val="24"/>
        </w:rPr>
      </w:pPr>
      <w:r>
        <w:rPr>
          <w:sz w:val="24"/>
        </w:rPr>
        <w:t xml:space="preserve">In </w:t>
      </w:r>
      <w:proofErr w:type="spellStart"/>
      <w:r>
        <w:rPr>
          <w:b/>
          <w:i/>
          <w:sz w:val="24"/>
        </w:rPr>
        <w:t>Facchini</w:t>
      </w:r>
      <w:proofErr w:type="spellEnd"/>
      <w:r>
        <w:rPr>
          <w:b/>
          <w:i/>
          <w:sz w:val="24"/>
        </w:rPr>
        <w:t xml:space="preserve"> v Bryson</w:t>
      </w:r>
      <w:r>
        <w:rPr>
          <w:sz w:val="24"/>
        </w:rPr>
        <w:t xml:space="preserve"> [1952] 1 TLR 1386, Lord Denning took the view that, other than in certain limited exceptions, exclusive possession indicated a lease.</w:t>
      </w:r>
    </w:p>
    <w:p w14:paraId="4C4A415B" w14:textId="77777777" w:rsidR="00574383" w:rsidRDefault="00574383" w:rsidP="00574383">
      <w:pPr>
        <w:numPr>
          <w:ilvl w:val="12"/>
          <w:numId w:val="0"/>
        </w:numPr>
        <w:rPr>
          <w:sz w:val="24"/>
        </w:rPr>
      </w:pPr>
    </w:p>
    <w:p w14:paraId="57BA2AFB" w14:textId="77777777" w:rsidR="00574383" w:rsidRDefault="00574383" w:rsidP="00574383">
      <w:pPr>
        <w:numPr>
          <w:ilvl w:val="12"/>
          <w:numId w:val="0"/>
        </w:numPr>
        <w:rPr>
          <w:sz w:val="24"/>
        </w:rPr>
      </w:pPr>
      <w:r>
        <w:rPr>
          <w:sz w:val="24"/>
        </w:rPr>
        <w:t>Those limited exceptions included:</w:t>
      </w:r>
    </w:p>
    <w:p w14:paraId="1C0FC0BE" w14:textId="77777777" w:rsidR="00574383" w:rsidRDefault="00574383" w:rsidP="00574383">
      <w:pPr>
        <w:numPr>
          <w:ilvl w:val="12"/>
          <w:numId w:val="0"/>
        </w:numPr>
        <w:rPr>
          <w:sz w:val="24"/>
        </w:rPr>
      </w:pPr>
    </w:p>
    <w:p w14:paraId="2361FF88" w14:textId="77777777" w:rsidR="00574383" w:rsidRDefault="00574383" w:rsidP="00574383">
      <w:pPr>
        <w:numPr>
          <w:ilvl w:val="0"/>
          <w:numId w:val="3"/>
        </w:numPr>
        <w:ind w:firstLine="0"/>
        <w:rPr>
          <w:sz w:val="24"/>
        </w:rPr>
      </w:pPr>
      <w:r>
        <w:rPr>
          <w:sz w:val="24"/>
        </w:rPr>
        <w:t>family arrangements; and</w:t>
      </w:r>
    </w:p>
    <w:p w14:paraId="0194DB54" w14:textId="77777777" w:rsidR="00574383" w:rsidRDefault="00574383" w:rsidP="00574383">
      <w:pPr>
        <w:ind w:left="360"/>
        <w:rPr>
          <w:sz w:val="24"/>
        </w:rPr>
      </w:pPr>
    </w:p>
    <w:p w14:paraId="46AECD9A" w14:textId="77777777" w:rsidR="00574383" w:rsidRDefault="00574383" w:rsidP="00574383">
      <w:pPr>
        <w:numPr>
          <w:ilvl w:val="0"/>
          <w:numId w:val="3"/>
        </w:numPr>
        <w:ind w:firstLine="0"/>
        <w:rPr>
          <w:sz w:val="24"/>
        </w:rPr>
      </w:pPr>
      <w:r>
        <w:rPr>
          <w:sz w:val="24"/>
        </w:rPr>
        <w:t>acts of generosity.</w:t>
      </w:r>
    </w:p>
    <w:p w14:paraId="3B126D9B" w14:textId="77777777" w:rsidR="00574383" w:rsidRDefault="00574383" w:rsidP="00574383">
      <w:pPr>
        <w:rPr>
          <w:sz w:val="24"/>
        </w:rPr>
      </w:pPr>
    </w:p>
    <w:p w14:paraId="4D039E63" w14:textId="77777777" w:rsidR="00574383" w:rsidRDefault="00574383" w:rsidP="00574383">
      <w:pPr>
        <w:rPr>
          <w:sz w:val="24"/>
        </w:rPr>
      </w:pPr>
      <w:r>
        <w:rPr>
          <w:sz w:val="24"/>
        </w:rPr>
        <w:t>In these two cases, the occupier would only have a licence despite exclusive possession.</w:t>
      </w:r>
    </w:p>
    <w:p w14:paraId="1EE015F5" w14:textId="77777777" w:rsidR="00574383" w:rsidRDefault="00574383" w:rsidP="00574383">
      <w:pPr>
        <w:rPr>
          <w:sz w:val="24"/>
        </w:rPr>
      </w:pPr>
    </w:p>
    <w:p w14:paraId="15B71141" w14:textId="77777777" w:rsidR="00574383" w:rsidRDefault="00574383" w:rsidP="00574383">
      <w:pPr>
        <w:rPr>
          <w:sz w:val="24"/>
        </w:rPr>
      </w:pPr>
      <w:r>
        <w:rPr>
          <w:sz w:val="24"/>
        </w:rPr>
        <w:t xml:space="preserve">The law changed temporarily in 1978 in the case of </w:t>
      </w:r>
      <w:r>
        <w:rPr>
          <w:b/>
          <w:i/>
          <w:sz w:val="24"/>
        </w:rPr>
        <w:t xml:space="preserve">Somma v </w:t>
      </w:r>
      <w:proofErr w:type="spellStart"/>
      <w:r>
        <w:rPr>
          <w:b/>
          <w:i/>
          <w:sz w:val="24"/>
        </w:rPr>
        <w:t>Hazelhurst</w:t>
      </w:r>
      <w:proofErr w:type="spellEnd"/>
      <w:r>
        <w:rPr>
          <w:b/>
          <w:i/>
          <w:sz w:val="24"/>
        </w:rPr>
        <w:t xml:space="preserve"> and Savelli</w:t>
      </w:r>
      <w:r>
        <w:rPr>
          <w:sz w:val="24"/>
        </w:rPr>
        <w:t xml:space="preserve"> [1978] 1 WLR 1014.</w:t>
      </w:r>
    </w:p>
    <w:p w14:paraId="2B1D9566" w14:textId="77777777" w:rsidR="00574383" w:rsidRDefault="00574383" w:rsidP="00574383">
      <w:pPr>
        <w:rPr>
          <w:sz w:val="24"/>
        </w:rPr>
      </w:pPr>
    </w:p>
    <w:p w14:paraId="28F93908" w14:textId="77777777" w:rsidR="00574383" w:rsidRDefault="00574383" w:rsidP="00574383">
      <w:pPr>
        <w:rPr>
          <w:sz w:val="24"/>
        </w:rPr>
      </w:pPr>
      <w:r>
        <w:rPr>
          <w:sz w:val="24"/>
        </w:rPr>
        <w:t>What were the facts of that case?</w:t>
      </w:r>
    </w:p>
    <w:p w14:paraId="7C0DAC9D" w14:textId="77777777" w:rsidR="00574383" w:rsidRDefault="00574383" w:rsidP="00574383">
      <w:pPr>
        <w:rPr>
          <w:sz w:val="24"/>
        </w:rPr>
      </w:pPr>
    </w:p>
    <w:p w14:paraId="33A3F288" w14:textId="77777777" w:rsidR="00574383" w:rsidRDefault="00574383" w:rsidP="00574383">
      <w:pPr>
        <w:rPr>
          <w:sz w:val="24"/>
        </w:rPr>
      </w:pPr>
      <w:r>
        <w:rPr>
          <w:sz w:val="24"/>
        </w:rPr>
        <w:t>What was the decision?</w:t>
      </w:r>
    </w:p>
    <w:p w14:paraId="339C09AC" w14:textId="77777777" w:rsidR="00574383" w:rsidRDefault="00574383" w:rsidP="00574383">
      <w:pPr>
        <w:rPr>
          <w:sz w:val="24"/>
        </w:rPr>
      </w:pPr>
    </w:p>
    <w:p w14:paraId="042BE328" w14:textId="77777777" w:rsidR="00574383" w:rsidRDefault="00574383" w:rsidP="00574383">
      <w:pPr>
        <w:rPr>
          <w:sz w:val="24"/>
        </w:rPr>
      </w:pPr>
      <w:r>
        <w:rPr>
          <w:sz w:val="24"/>
        </w:rPr>
        <w:t>Why did the court reach that decision?</w:t>
      </w:r>
    </w:p>
    <w:p w14:paraId="22B61694" w14:textId="77777777" w:rsidR="00574383" w:rsidRDefault="00574383" w:rsidP="00574383">
      <w:pPr>
        <w:rPr>
          <w:sz w:val="24"/>
        </w:rPr>
      </w:pPr>
    </w:p>
    <w:p w14:paraId="3E8CE337" w14:textId="77777777" w:rsidR="00574383" w:rsidRDefault="00574383" w:rsidP="00574383">
      <w:pPr>
        <w:rPr>
          <w:sz w:val="24"/>
        </w:rPr>
      </w:pPr>
      <w:r>
        <w:rPr>
          <w:sz w:val="24"/>
        </w:rPr>
        <w:t>(Put the case in the context of statutory activity at the time!).</w:t>
      </w:r>
    </w:p>
    <w:p w14:paraId="3DF57857" w14:textId="77777777" w:rsidR="00574383" w:rsidRDefault="00574383" w:rsidP="00574383">
      <w:pPr>
        <w:rPr>
          <w:sz w:val="24"/>
        </w:rPr>
      </w:pPr>
    </w:p>
    <w:p w14:paraId="0D1686C3" w14:textId="77777777" w:rsidR="00574383" w:rsidRDefault="00574383" w:rsidP="00574383">
      <w:pPr>
        <w:rPr>
          <w:sz w:val="24"/>
        </w:rPr>
      </w:pPr>
      <w:r>
        <w:rPr>
          <w:sz w:val="24"/>
        </w:rPr>
        <w:t xml:space="preserve">In </w:t>
      </w:r>
      <w:r>
        <w:rPr>
          <w:b/>
          <w:i/>
          <w:sz w:val="24"/>
        </w:rPr>
        <w:t>Street v Mountford</w:t>
      </w:r>
      <w:r>
        <w:rPr>
          <w:sz w:val="24"/>
        </w:rPr>
        <w:t xml:space="preserve"> [1985] AC 809, the House of Lords attempted to clarify the situation.  </w:t>
      </w:r>
    </w:p>
    <w:p w14:paraId="343CA28F" w14:textId="77777777" w:rsidR="00574383" w:rsidRDefault="00574383" w:rsidP="00574383">
      <w:pPr>
        <w:rPr>
          <w:sz w:val="24"/>
        </w:rPr>
      </w:pPr>
    </w:p>
    <w:p w14:paraId="153518E0" w14:textId="77777777" w:rsidR="00574383" w:rsidRDefault="00574383" w:rsidP="00574383">
      <w:pPr>
        <w:rPr>
          <w:sz w:val="24"/>
        </w:rPr>
      </w:pPr>
      <w:r>
        <w:rPr>
          <w:sz w:val="24"/>
        </w:rPr>
        <w:t>Subsequent cases arguably have only muddied the water!</w:t>
      </w:r>
    </w:p>
    <w:p w14:paraId="31080372" w14:textId="77777777" w:rsidR="00574383" w:rsidRDefault="00574383" w:rsidP="00574383">
      <w:pPr>
        <w:rPr>
          <w:sz w:val="24"/>
        </w:rPr>
      </w:pPr>
    </w:p>
    <w:p w14:paraId="1B78FD7D" w14:textId="77777777" w:rsidR="00574383" w:rsidRDefault="00574383" w:rsidP="00574383">
      <w:pPr>
        <w:rPr>
          <w:sz w:val="24"/>
        </w:rPr>
      </w:pPr>
      <w:r>
        <w:rPr>
          <w:sz w:val="24"/>
        </w:rPr>
        <w:t>Consider:</w:t>
      </w:r>
    </w:p>
    <w:p w14:paraId="0BA16C6B" w14:textId="77777777" w:rsidR="00574383" w:rsidRDefault="00574383" w:rsidP="00574383">
      <w:pPr>
        <w:rPr>
          <w:sz w:val="24"/>
        </w:rPr>
      </w:pPr>
    </w:p>
    <w:p w14:paraId="4AC90DB3" w14:textId="77777777" w:rsidR="00574383" w:rsidRDefault="00574383" w:rsidP="00574383">
      <w:pPr>
        <w:rPr>
          <w:sz w:val="24"/>
        </w:rPr>
      </w:pPr>
      <w:r>
        <w:rPr>
          <w:b/>
          <w:i/>
          <w:sz w:val="24"/>
        </w:rPr>
        <w:t xml:space="preserve">AG Securities v Vaughan, </w:t>
      </w:r>
      <w:proofErr w:type="spellStart"/>
      <w:r>
        <w:rPr>
          <w:b/>
          <w:i/>
          <w:sz w:val="24"/>
        </w:rPr>
        <w:t>Antoniades</w:t>
      </w:r>
      <w:proofErr w:type="spellEnd"/>
      <w:r>
        <w:rPr>
          <w:b/>
          <w:i/>
          <w:sz w:val="24"/>
        </w:rPr>
        <w:t xml:space="preserve"> v Villiers</w:t>
      </w:r>
      <w:r>
        <w:rPr>
          <w:sz w:val="24"/>
        </w:rPr>
        <w:t xml:space="preserve"> [1988] 3 WLR 1205.  These were conjoined applications with very different facts.  Reading the two judgments should assist in an understating of “exclusive possession” and how it applies in the situation where there is more than one occupier.</w:t>
      </w:r>
    </w:p>
    <w:p w14:paraId="1E1F7B26" w14:textId="77777777" w:rsidR="00574383" w:rsidRDefault="00574383" w:rsidP="00574383">
      <w:pPr>
        <w:rPr>
          <w:sz w:val="24"/>
        </w:rPr>
      </w:pPr>
    </w:p>
    <w:p w14:paraId="38C42298" w14:textId="77777777" w:rsidR="00574383" w:rsidRDefault="00574383" w:rsidP="00574383">
      <w:pPr>
        <w:rPr>
          <w:rFonts w:cs="Arial"/>
          <w:sz w:val="24"/>
          <w:szCs w:val="24"/>
          <w:lang w:val="en-US"/>
        </w:rPr>
      </w:pPr>
      <w:r>
        <w:rPr>
          <w:rFonts w:cs="Arial"/>
          <w:b/>
          <w:i/>
          <w:sz w:val="24"/>
          <w:szCs w:val="24"/>
        </w:rPr>
        <w:t>Otter v Norman</w:t>
      </w:r>
      <w:r>
        <w:rPr>
          <w:rFonts w:cs="Arial"/>
          <w:sz w:val="24"/>
          <w:szCs w:val="24"/>
        </w:rPr>
        <w:t xml:space="preserve"> [1989] AC 129.  This was a House of Lords case.  The court decided that </w:t>
      </w:r>
      <w:r>
        <w:rPr>
          <w:rFonts w:cs="Arial"/>
          <w:sz w:val="24"/>
          <w:szCs w:val="24"/>
          <w:lang w:val="en-US"/>
        </w:rPr>
        <w:t>where a landlord provided a continental breakfast to each of his “tenants” to be eaten in a communal room, this was enough to constitute “board” and, accordingly, there was no lease. The House expressly rejected the submission that “board” required at least the provision of one main meal in addition to breakfast.</w:t>
      </w:r>
    </w:p>
    <w:p w14:paraId="576FE720" w14:textId="77777777" w:rsidR="00574383" w:rsidRDefault="00574383" w:rsidP="00574383">
      <w:pPr>
        <w:rPr>
          <w:rFonts w:cs="Arial"/>
          <w:sz w:val="24"/>
          <w:szCs w:val="24"/>
          <w:lang w:val="en-US"/>
        </w:rPr>
      </w:pPr>
    </w:p>
    <w:p w14:paraId="7B02A285" w14:textId="77777777" w:rsidR="00574383" w:rsidRDefault="00574383" w:rsidP="00574383">
      <w:pPr>
        <w:rPr>
          <w:rFonts w:cs="Arial"/>
          <w:sz w:val="24"/>
          <w:szCs w:val="24"/>
          <w:lang w:val="en-US"/>
        </w:rPr>
      </w:pPr>
      <w:r>
        <w:rPr>
          <w:b/>
          <w:i/>
          <w:sz w:val="24"/>
        </w:rPr>
        <w:t>Marchant v Charters</w:t>
      </w:r>
      <w:r>
        <w:rPr>
          <w:sz w:val="24"/>
        </w:rPr>
        <w:t xml:space="preserve"> [1977] 3 All </w:t>
      </w:r>
      <w:r>
        <w:rPr>
          <w:rFonts w:cs="Arial"/>
          <w:sz w:val="24"/>
          <w:szCs w:val="24"/>
        </w:rPr>
        <w:t xml:space="preserve">ER 918 in this pre </w:t>
      </w:r>
      <w:r>
        <w:rPr>
          <w:b/>
          <w:i/>
          <w:sz w:val="24"/>
        </w:rPr>
        <w:t>Street v Mountford</w:t>
      </w:r>
      <w:r>
        <w:rPr>
          <w:sz w:val="24"/>
        </w:rPr>
        <w:t xml:space="preserve"> case, </w:t>
      </w:r>
      <w:r>
        <w:rPr>
          <w:rFonts w:cs="Arial"/>
          <w:sz w:val="24"/>
          <w:szCs w:val="24"/>
        </w:rPr>
        <w:t>a bedsitting room was occupied on terms that the landlord cleaned the rooms daily and provided clean linen each week.</w:t>
      </w:r>
      <w:r>
        <w:rPr>
          <w:sz w:val="24"/>
        </w:rPr>
        <w:t xml:space="preserve">  The occupier was viewed as a licensee.</w:t>
      </w:r>
    </w:p>
    <w:p w14:paraId="2F21B7BC" w14:textId="77777777" w:rsidR="00574383" w:rsidRDefault="00574383" w:rsidP="00574383">
      <w:pPr>
        <w:rPr>
          <w:b/>
          <w:i/>
          <w:sz w:val="24"/>
        </w:rPr>
      </w:pPr>
    </w:p>
    <w:p w14:paraId="3B928508" w14:textId="77777777" w:rsidR="00574383" w:rsidRDefault="00574383" w:rsidP="00574383">
      <w:pPr>
        <w:rPr>
          <w:sz w:val="24"/>
        </w:rPr>
      </w:pPr>
      <w:r>
        <w:rPr>
          <w:sz w:val="24"/>
        </w:rPr>
        <w:t>See also:</w:t>
      </w:r>
    </w:p>
    <w:p w14:paraId="7F0666A9" w14:textId="77777777" w:rsidR="00574383" w:rsidRDefault="00574383" w:rsidP="00574383">
      <w:pPr>
        <w:rPr>
          <w:sz w:val="24"/>
        </w:rPr>
      </w:pPr>
      <w:r>
        <w:rPr>
          <w:b/>
          <w:i/>
          <w:sz w:val="24"/>
        </w:rPr>
        <w:t>Stribling v Wickham</w:t>
      </w:r>
      <w:r>
        <w:rPr>
          <w:sz w:val="24"/>
        </w:rPr>
        <w:t xml:space="preserve"> [1989] 27 EG 81.</w:t>
      </w:r>
    </w:p>
    <w:p w14:paraId="339D4AAB" w14:textId="77777777" w:rsidR="00574383" w:rsidRDefault="00574383" w:rsidP="00574383">
      <w:pPr>
        <w:rPr>
          <w:sz w:val="24"/>
        </w:rPr>
      </w:pPr>
      <w:proofErr w:type="spellStart"/>
      <w:r>
        <w:rPr>
          <w:b/>
          <w:i/>
          <w:sz w:val="24"/>
        </w:rPr>
        <w:t>Mikeover</w:t>
      </w:r>
      <w:proofErr w:type="spellEnd"/>
      <w:r>
        <w:rPr>
          <w:b/>
          <w:i/>
          <w:sz w:val="24"/>
        </w:rPr>
        <w:t xml:space="preserve"> v Brady</w:t>
      </w:r>
      <w:r>
        <w:rPr>
          <w:sz w:val="24"/>
        </w:rPr>
        <w:t xml:space="preserve"> [1989] 3 All ER 618.</w:t>
      </w:r>
    </w:p>
    <w:p w14:paraId="344663E7" w14:textId="77777777" w:rsidR="00574383" w:rsidRDefault="00574383" w:rsidP="00574383">
      <w:pPr>
        <w:rPr>
          <w:sz w:val="24"/>
        </w:rPr>
      </w:pPr>
      <w:r>
        <w:rPr>
          <w:b/>
          <w:i/>
          <w:sz w:val="24"/>
        </w:rPr>
        <w:t>Aslan v Murphy</w:t>
      </w:r>
      <w:r>
        <w:rPr>
          <w:sz w:val="24"/>
        </w:rPr>
        <w:t xml:space="preserve"> [1990] 1 WLR 766.</w:t>
      </w:r>
    </w:p>
    <w:p w14:paraId="0B737056" w14:textId="77777777" w:rsidR="00574383" w:rsidRDefault="00574383" w:rsidP="00574383">
      <w:pPr>
        <w:rPr>
          <w:sz w:val="24"/>
        </w:rPr>
      </w:pPr>
      <w:r>
        <w:rPr>
          <w:b/>
          <w:i/>
          <w:sz w:val="24"/>
        </w:rPr>
        <w:t xml:space="preserve">Smith and Others v </w:t>
      </w:r>
      <w:proofErr w:type="spellStart"/>
      <w:r>
        <w:rPr>
          <w:b/>
          <w:i/>
          <w:sz w:val="24"/>
        </w:rPr>
        <w:t>Titarate</w:t>
      </w:r>
      <w:proofErr w:type="spellEnd"/>
      <w:r>
        <w:rPr>
          <w:b/>
          <w:i/>
          <w:sz w:val="24"/>
        </w:rPr>
        <w:t xml:space="preserve"> Ltd </w:t>
      </w:r>
      <w:r>
        <w:rPr>
          <w:sz w:val="24"/>
        </w:rPr>
        <w:t>[2005] 20 EG 262.</w:t>
      </w:r>
    </w:p>
    <w:p w14:paraId="66A9376E" w14:textId="77777777" w:rsidR="00574383" w:rsidRDefault="00574383" w:rsidP="00574383">
      <w:pPr>
        <w:rPr>
          <w:sz w:val="24"/>
        </w:rPr>
      </w:pPr>
    </w:p>
    <w:p w14:paraId="04C06CE7" w14:textId="77777777" w:rsidR="00574383" w:rsidRDefault="00574383" w:rsidP="00574383">
      <w:pPr>
        <w:rPr>
          <w:sz w:val="24"/>
        </w:rPr>
      </w:pPr>
      <w:r>
        <w:rPr>
          <w:sz w:val="24"/>
        </w:rPr>
        <w:t>As far as the cases concerning exceptions are concerned, look at:</w:t>
      </w:r>
    </w:p>
    <w:p w14:paraId="651E89A5" w14:textId="77777777" w:rsidR="00574383" w:rsidRDefault="00574383" w:rsidP="00574383">
      <w:pPr>
        <w:rPr>
          <w:sz w:val="24"/>
        </w:rPr>
      </w:pPr>
    </w:p>
    <w:p w14:paraId="5F9373D4" w14:textId="77777777" w:rsidR="00574383" w:rsidRDefault="00574383" w:rsidP="00574383">
      <w:pPr>
        <w:rPr>
          <w:sz w:val="24"/>
        </w:rPr>
      </w:pPr>
      <w:r>
        <w:rPr>
          <w:b/>
          <w:i/>
          <w:sz w:val="24"/>
        </w:rPr>
        <w:t>Family Housing Association v Jones</w:t>
      </w:r>
      <w:r>
        <w:rPr>
          <w:sz w:val="24"/>
        </w:rPr>
        <w:t xml:space="preserve"> [1990] 1 All ER 385.</w:t>
      </w:r>
    </w:p>
    <w:p w14:paraId="36CF73A4" w14:textId="77777777" w:rsidR="00574383" w:rsidRDefault="00574383" w:rsidP="00574383">
      <w:pPr>
        <w:rPr>
          <w:sz w:val="24"/>
        </w:rPr>
      </w:pPr>
      <w:r>
        <w:rPr>
          <w:b/>
          <w:i/>
          <w:sz w:val="24"/>
        </w:rPr>
        <w:t>Bostock v Bryant</w:t>
      </w:r>
      <w:r>
        <w:rPr>
          <w:sz w:val="24"/>
        </w:rPr>
        <w:t xml:space="preserve"> [1991] 61 P and CR 23.</w:t>
      </w:r>
    </w:p>
    <w:p w14:paraId="4F943C6F" w14:textId="77777777" w:rsidR="00574383" w:rsidRDefault="00574383" w:rsidP="00574383">
      <w:pPr>
        <w:rPr>
          <w:sz w:val="24"/>
        </w:rPr>
      </w:pPr>
      <w:r>
        <w:rPr>
          <w:b/>
          <w:i/>
          <w:sz w:val="24"/>
        </w:rPr>
        <w:t xml:space="preserve">Norris v </w:t>
      </w:r>
      <w:proofErr w:type="spellStart"/>
      <w:r>
        <w:rPr>
          <w:b/>
          <w:i/>
          <w:sz w:val="24"/>
        </w:rPr>
        <w:t>Checksfield</w:t>
      </w:r>
      <w:proofErr w:type="spellEnd"/>
      <w:r>
        <w:rPr>
          <w:sz w:val="24"/>
        </w:rPr>
        <w:t xml:space="preserve"> [1991] EGCS 45.</w:t>
      </w:r>
    </w:p>
    <w:p w14:paraId="04DF50B6" w14:textId="77777777" w:rsidR="00574383" w:rsidRDefault="00574383" w:rsidP="00574383">
      <w:pPr>
        <w:rPr>
          <w:sz w:val="24"/>
        </w:rPr>
      </w:pPr>
      <w:r>
        <w:rPr>
          <w:b/>
          <w:i/>
          <w:sz w:val="24"/>
        </w:rPr>
        <w:t>Westminster City Council v Clarke</w:t>
      </w:r>
      <w:r>
        <w:rPr>
          <w:sz w:val="24"/>
        </w:rPr>
        <w:t xml:space="preserve"> [1992] 1 All ER 695.</w:t>
      </w:r>
    </w:p>
    <w:p w14:paraId="0627F631" w14:textId="77777777" w:rsidR="00574383" w:rsidRDefault="00574383" w:rsidP="00574383">
      <w:pPr>
        <w:rPr>
          <w:sz w:val="24"/>
        </w:rPr>
      </w:pPr>
      <w:r>
        <w:rPr>
          <w:b/>
          <w:i/>
          <w:sz w:val="24"/>
        </w:rPr>
        <w:t xml:space="preserve">Gray v Taylor </w:t>
      </w:r>
      <w:r>
        <w:rPr>
          <w:sz w:val="24"/>
        </w:rPr>
        <w:t>[1998] 4 All ER 17.</w:t>
      </w:r>
    </w:p>
    <w:p w14:paraId="461C5F63" w14:textId="77777777" w:rsidR="00574383" w:rsidRDefault="00574383" w:rsidP="00574383">
      <w:pPr>
        <w:rPr>
          <w:sz w:val="24"/>
        </w:rPr>
      </w:pPr>
      <w:r>
        <w:rPr>
          <w:b/>
          <w:i/>
          <w:sz w:val="24"/>
        </w:rPr>
        <w:t>Bruton v London and Quadrant Housing Trust</w:t>
      </w:r>
      <w:r>
        <w:rPr>
          <w:sz w:val="24"/>
        </w:rPr>
        <w:t xml:space="preserve"> [1999] 3 All ER 481.</w:t>
      </w:r>
    </w:p>
    <w:p w14:paraId="49842B89" w14:textId="77777777" w:rsidR="00574383" w:rsidRDefault="00574383" w:rsidP="00574383">
      <w:pPr>
        <w:pStyle w:val="cpe3"/>
        <w:numPr>
          <w:ilvl w:val="12"/>
          <w:numId w:val="0"/>
        </w:numPr>
        <w:rPr>
          <w:rFonts w:ascii="Arial" w:hAnsi="Arial"/>
        </w:rPr>
      </w:pPr>
      <w:bookmarkStart w:id="62" w:name="_Toc461089937"/>
      <w:bookmarkStart w:id="63" w:name="_Toc14535536"/>
      <w:r>
        <w:rPr>
          <w:rFonts w:ascii="Arial" w:hAnsi="Arial"/>
        </w:rPr>
        <w:t>Contracts for leases</w:t>
      </w:r>
      <w:bookmarkEnd w:id="62"/>
      <w:bookmarkEnd w:id="63"/>
    </w:p>
    <w:p w14:paraId="6E87070D" w14:textId="77777777" w:rsidR="00574383" w:rsidRDefault="00574383" w:rsidP="00574383">
      <w:pPr>
        <w:numPr>
          <w:ilvl w:val="12"/>
          <w:numId w:val="0"/>
        </w:numPr>
        <w:rPr>
          <w:sz w:val="24"/>
        </w:rPr>
      </w:pPr>
    </w:p>
    <w:p w14:paraId="4D266739"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5552C5F4"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 xml:space="preserve">The creation of the lease itself must comply with </w:t>
      </w:r>
      <w:r>
        <w:rPr>
          <w:i/>
          <w:sz w:val="24"/>
        </w:rPr>
        <w:t>LPA 1925; s52</w:t>
      </w:r>
      <w:r>
        <w:rPr>
          <w:sz w:val="24"/>
        </w:rPr>
        <w:t xml:space="preserve"> - this basically means that the lease must be made as a deed. The exception to this is contained in </w:t>
      </w:r>
      <w:r>
        <w:rPr>
          <w:i/>
          <w:sz w:val="24"/>
        </w:rPr>
        <w:t>LPA 1925; s54(2)</w:t>
      </w:r>
      <w:r>
        <w:rPr>
          <w:sz w:val="24"/>
        </w:rPr>
        <w:t xml:space="preserve"> where the lease is for a period not exceeding three years at the best rent available without taking a fine (E.g., the tenant does not have to pay a lump </w:t>
      </w:r>
      <w:r>
        <w:rPr>
          <w:sz w:val="24"/>
        </w:rPr>
        <w:lastRenderedPageBreak/>
        <w:t>sum to obtain the property), there is no need for a deed here, the lease can be in writing or even oral and it will still take effect as a legal lease.</w:t>
      </w:r>
    </w:p>
    <w:p w14:paraId="63811015"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6952EBCA"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2D2C8F62"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 xml:space="preserve">Remember </w:t>
      </w:r>
      <w:r>
        <w:rPr>
          <w:i/>
          <w:sz w:val="24"/>
        </w:rPr>
        <w:t>LP(MP)A 1989; s2</w:t>
      </w:r>
      <w:r>
        <w:rPr>
          <w:sz w:val="24"/>
        </w:rPr>
        <w:t xml:space="preserve"> - the provisions of this section apply to leases just as to freeholds.  Therefore, any contract to create a lease must be in writing and signed by both parties (with the obvious exception of any lease covered by </w:t>
      </w:r>
      <w:r>
        <w:rPr>
          <w:i/>
          <w:sz w:val="24"/>
        </w:rPr>
        <w:t>s54(2)</w:t>
      </w:r>
      <w:r>
        <w:rPr>
          <w:sz w:val="24"/>
        </w:rPr>
        <w:t>).</w:t>
      </w:r>
    </w:p>
    <w:p w14:paraId="218564C4"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15777598" w14:textId="77777777" w:rsidR="00574383" w:rsidRDefault="00574383" w:rsidP="00574383">
      <w:pPr>
        <w:numPr>
          <w:ilvl w:val="12"/>
          <w:numId w:val="0"/>
        </w:numPr>
        <w:rPr>
          <w:sz w:val="24"/>
        </w:rPr>
      </w:pPr>
    </w:p>
    <w:p w14:paraId="22E6F926" w14:textId="77777777" w:rsidR="00574383" w:rsidRDefault="00574383" w:rsidP="00574383">
      <w:pPr>
        <w:numPr>
          <w:ilvl w:val="12"/>
          <w:numId w:val="0"/>
        </w:numPr>
        <w:rPr>
          <w:sz w:val="24"/>
        </w:rPr>
      </w:pPr>
      <w:r>
        <w:rPr>
          <w:sz w:val="24"/>
        </w:rPr>
        <w:t>Prior to 27</w:t>
      </w:r>
      <w:r>
        <w:rPr>
          <w:sz w:val="24"/>
          <w:vertAlign w:val="superscript"/>
        </w:rPr>
        <w:t>th</w:t>
      </w:r>
      <w:r>
        <w:rPr>
          <w:sz w:val="24"/>
        </w:rPr>
        <w:t xml:space="preserve"> September 1989, </w:t>
      </w:r>
      <w:r>
        <w:rPr>
          <w:i/>
          <w:sz w:val="24"/>
        </w:rPr>
        <w:t>LPA 1925; s40</w:t>
      </w:r>
      <w:r>
        <w:rPr>
          <w:sz w:val="24"/>
        </w:rPr>
        <w:t xml:space="preserve"> applied, whereby a contract for a lease could be valid if it was either in writing, or evidenced by a memorandum in writing, or subject to the doctrine of part performance.</w:t>
      </w:r>
    </w:p>
    <w:p w14:paraId="11F0F1BC" w14:textId="77777777" w:rsidR="00574383" w:rsidRDefault="00574383" w:rsidP="00574383">
      <w:pPr>
        <w:numPr>
          <w:ilvl w:val="12"/>
          <w:numId w:val="0"/>
        </w:numPr>
        <w:rPr>
          <w:sz w:val="24"/>
        </w:rPr>
      </w:pPr>
    </w:p>
    <w:p w14:paraId="63768559" w14:textId="77777777" w:rsidR="00574383" w:rsidRDefault="00574383" w:rsidP="00574383">
      <w:pPr>
        <w:pStyle w:val="cpe2"/>
        <w:numPr>
          <w:ilvl w:val="12"/>
          <w:numId w:val="0"/>
        </w:numPr>
        <w:rPr>
          <w:rFonts w:ascii="Arial" w:hAnsi="Arial"/>
          <w:caps/>
        </w:rPr>
      </w:pPr>
      <w:bookmarkStart w:id="64" w:name="_Toc347025874"/>
      <w:bookmarkStart w:id="65" w:name="_Toc348837251"/>
      <w:bookmarkStart w:id="66" w:name="_Toc350654821"/>
      <w:bookmarkStart w:id="67" w:name="_Toc350655000"/>
      <w:bookmarkStart w:id="68" w:name="_Toc367590932"/>
      <w:bookmarkStart w:id="69" w:name="_Toc367600892"/>
      <w:bookmarkStart w:id="70" w:name="_Toc461089938"/>
      <w:bookmarkStart w:id="71" w:name="_Toc14535537"/>
      <w:r>
        <w:rPr>
          <w:rFonts w:ascii="Arial" w:hAnsi="Arial"/>
        </w:rPr>
        <w:t>Enforceability of Covenants</w:t>
      </w:r>
      <w:bookmarkEnd w:id="64"/>
      <w:bookmarkEnd w:id="65"/>
      <w:bookmarkEnd w:id="66"/>
      <w:bookmarkEnd w:id="67"/>
      <w:bookmarkEnd w:id="68"/>
      <w:bookmarkEnd w:id="69"/>
      <w:r>
        <w:rPr>
          <w:rFonts w:ascii="Arial" w:hAnsi="Arial"/>
        </w:rPr>
        <w:t xml:space="preserve"> in Leases</w:t>
      </w:r>
      <w:bookmarkEnd w:id="70"/>
      <w:bookmarkEnd w:id="71"/>
    </w:p>
    <w:p w14:paraId="54E68F2F" w14:textId="77777777" w:rsidR="00574383" w:rsidRDefault="00574383" w:rsidP="00574383">
      <w:pPr>
        <w:pStyle w:val="cpe3"/>
        <w:numPr>
          <w:ilvl w:val="12"/>
          <w:numId w:val="0"/>
        </w:numPr>
        <w:rPr>
          <w:rFonts w:ascii="Arial" w:hAnsi="Arial"/>
        </w:rPr>
      </w:pPr>
    </w:p>
    <w:p w14:paraId="2C0FCE79" w14:textId="77777777" w:rsidR="00574383" w:rsidRDefault="00574383" w:rsidP="00574383">
      <w:pPr>
        <w:pStyle w:val="cpe3"/>
        <w:numPr>
          <w:ilvl w:val="12"/>
          <w:numId w:val="0"/>
        </w:numPr>
        <w:rPr>
          <w:rFonts w:ascii="Arial" w:hAnsi="Arial"/>
        </w:rPr>
      </w:pPr>
      <w:bookmarkStart w:id="72" w:name="_Toc347025875"/>
      <w:bookmarkStart w:id="73" w:name="_Toc348837252"/>
      <w:bookmarkStart w:id="74" w:name="_Toc350654822"/>
      <w:bookmarkStart w:id="75" w:name="_Toc350655001"/>
      <w:bookmarkStart w:id="76" w:name="_Toc367590933"/>
      <w:bookmarkStart w:id="77" w:name="_Toc367600893"/>
      <w:bookmarkStart w:id="78" w:name="_Toc461089939"/>
      <w:bookmarkStart w:id="79" w:name="_Toc14535538"/>
      <w:r>
        <w:rPr>
          <w:rFonts w:ascii="Arial" w:hAnsi="Arial"/>
        </w:rPr>
        <w:t>What is a covenant?</w:t>
      </w:r>
      <w:bookmarkEnd w:id="72"/>
      <w:bookmarkEnd w:id="73"/>
      <w:bookmarkEnd w:id="74"/>
      <w:bookmarkEnd w:id="75"/>
      <w:bookmarkEnd w:id="76"/>
      <w:bookmarkEnd w:id="77"/>
      <w:bookmarkEnd w:id="78"/>
      <w:bookmarkEnd w:id="79"/>
    </w:p>
    <w:p w14:paraId="7570CDF9" w14:textId="77777777" w:rsidR="00574383" w:rsidRDefault="00574383" w:rsidP="00574383">
      <w:pPr>
        <w:numPr>
          <w:ilvl w:val="12"/>
          <w:numId w:val="0"/>
        </w:numPr>
      </w:pPr>
    </w:p>
    <w:p w14:paraId="039AB761"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6179C9B2"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Covenants can apply to both freeholds and leaseholds - a covenant is a legally enforceable agreement between two parties, to do or not to do something.  To be a valid covenant, it must be contained in a deed - either a conveyance, a lease or a separate deed of covenant.  The major difference between the way the law treats freehold covenants and covenants in leases is that, broadly speaking, only negative covenants (promises NOT to do something) are freely enforceable in freeholds, whereas both positive and negative (to do and not to do) are freely enforceable in leaseholds.  This is why leases are often used for flats and other buildings where there is mutual dependence between the occupiers.  More on this later!</w:t>
      </w:r>
    </w:p>
    <w:p w14:paraId="183B9A1E"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41942C51"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Any covenant is a contract, so normal contractual rules apply.  The obligation is enforceable between the initial parties as a matter of general contract law, at least for as long as they each own their interest or estate in the property.  The difficult question arises when one or other party sells their interest or estate.  Then we have to ask ourselves whether the agreement is enforceable between subsequent parties.</w:t>
      </w:r>
    </w:p>
    <w:p w14:paraId="6C74FAD6"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5EC7D4A8"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r>
        <w:rPr>
          <w:sz w:val="24"/>
        </w:rPr>
        <w:t xml:space="preserve">Since 1 January 1996, the </w:t>
      </w:r>
      <w:r>
        <w:rPr>
          <w:i/>
          <w:sz w:val="24"/>
        </w:rPr>
        <w:t>Landlord</w:t>
      </w:r>
      <w:r>
        <w:rPr>
          <w:sz w:val="24"/>
        </w:rPr>
        <w:t xml:space="preserve"> </w:t>
      </w:r>
      <w:r>
        <w:rPr>
          <w:i/>
          <w:sz w:val="24"/>
        </w:rPr>
        <w:t>and Tenant (Covenants) Act 1995</w:t>
      </w:r>
      <w:r>
        <w:rPr>
          <w:sz w:val="24"/>
        </w:rPr>
        <w:t xml:space="preserve"> has radically changed the law relating to the enforceability of covenants in leases.  However, this Act is largely not retrospective, so leases granted before that date are still subject to the “old” law on enforceability - therefore you need to know both!</w:t>
      </w:r>
    </w:p>
    <w:p w14:paraId="3336270B" w14:textId="77777777" w:rsidR="00574383" w:rsidRDefault="00574383" w:rsidP="00574383">
      <w:pPr>
        <w:numPr>
          <w:ilvl w:val="12"/>
          <w:numId w:val="0"/>
        </w:numPr>
        <w:pBdr>
          <w:top w:val="single" w:sz="4" w:space="1" w:color="auto"/>
          <w:left w:val="single" w:sz="4" w:space="4" w:color="auto"/>
          <w:bottom w:val="single" w:sz="4" w:space="1" w:color="auto"/>
          <w:right w:val="single" w:sz="4" w:space="4" w:color="auto"/>
        </w:pBdr>
        <w:rPr>
          <w:sz w:val="24"/>
        </w:rPr>
      </w:pPr>
    </w:p>
    <w:p w14:paraId="3F84AE0F" w14:textId="77777777" w:rsidR="00574383" w:rsidRDefault="00574383" w:rsidP="00574383">
      <w:pPr>
        <w:pStyle w:val="cpe2"/>
        <w:numPr>
          <w:ilvl w:val="12"/>
          <w:numId w:val="0"/>
        </w:numPr>
        <w:rPr>
          <w:rFonts w:ascii="Arial" w:hAnsi="Arial"/>
          <w:sz w:val="24"/>
        </w:rPr>
      </w:pPr>
    </w:p>
    <w:p w14:paraId="60163FDA" w14:textId="77777777" w:rsidR="00574383" w:rsidRDefault="00574383" w:rsidP="00574383">
      <w:pPr>
        <w:pStyle w:val="cpe2"/>
        <w:numPr>
          <w:ilvl w:val="12"/>
          <w:numId w:val="0"/>
        </w:numPr>
        <w:rPr>
          <w:rFonts w:ascii="Arial" w:hAnsi="Arial"/>
          <w:sz w:val="24"/>
        </w:rPr>
      </w:pPr>
    </w:p>
    <w:p w14:paraId="509C7632" w14:textId="77777777" w:rsidR="00574383" w:rsidRDefault="00574383" w:rsidP="00574383">
      <w:pPr>
        <w:pStyle w:val="cpe2"/>
        <w:numPr>
          <w:ilvl w:val="12"/>
          <w:numId w:val="0"/>
        </w:numPr>
        <w:rPr>
          <w:rFonts w:ascii="Arial" w:hAnsi="Arial"/>
        </w:rPr>
      </w:pPr>
      <w:bookmarkStart w:id="80" w:name="_Toc348837257"/>
      <w:bookmarkStart w:id="81" w:name="_Toc350654827"/>
      <w:bookmarkStart w:id="82" w:name="_Toc350655006"/>
      <w:bookmarkStart w:id="83" w:name="_Toc367590938"/>
      <w:bookmarkStart w:id="84" w:name="_Toc367600898"/>
      <w:bookmarkStart w:id="85" w:name="_Toc461089940"/>
      <w:bookmarkStart w:id="86" w:name="_Toc14535539"/>
      <w:r>
        <w:rPr>
          <w:rFonts w:ascii="Arial" w:hAnsi="Arial"/>
        </w:rPr>
        <w:t>Covenants in Leases - the Old and New Law</w:t>
      </w:r>
      <w:bookmarkEnd w:id="80"/>
      <w:bookmarkEnd w:id="81"/>
      <w:bookmarkEnd w:id="82"/>
      <w:bookmarkEnd w:id="83"/>
      <w:bookmarkEnd w:id="84"/>
      <w:bookmarkEnd w:id="85"/>
      <w:bookmarkEnd w:id="86"/>
    </w:p>
    <w:p w14:paraId="1D6F3A80" w14:textId="77777777" w:rsidR="00574383" w:rsidRDefault="00574383" w:rsidP="00574383">
      <w:pPr>
        <w:numPr>
          <w:ilvl w:val="12"/>
          <w:numId w:val="0"/>
        </w:numPr>
      </w:pPr>
    </w:p>
    <w:p w14:paraId="4F240E46" w14:textId="77777777" w:rsidR="00574383" w:rsidRDefault="00574383" w:rsidP="00574383">
      <w:pPr>
        <w:numPr>
          <w:ilvl w:val="12"/>
          <w:numId w:val="0"/>
        </w:numPr>
        <w:rPr>
          <w:b/>
          <w:sz w:val="24"/>
          <w:szCs w:val="24"/>
        </w:rPr>
      </w:pPr>
      <w:r>
        <w:rPr>
          <w:b/>
          <w:sz w:val="24"/>
          <w:szCs w:val="24"/>
        </w:rPr>
        <w:t>Leasehold Covenants - Traditional Rules</w:t>
      </w:r>
    </w:p>
    <w:p w14:paraId="3544821A" w14:textId="77777777" w:rsidR="00574383" w:rsidRDefault="00574383" w:rsidP="00574383">
      <w:pPr>
        <w:numPr>
          <w:ilvl w:val="12"/>
          <w:numId w:val="0"/>
        </w:numPr>
        <w:rPr>
          <w:sz w:val="24"/>
          <w:szCs w:val="24"/>
        </w:rPr>
      </w:pPr>
    </w:p>
    <w:p w14:paraId="203FDDCA" w14:textId="77777777" w:rsidR="00574383" w:rsidRDefault="00574383" w:rsidP="00574383">
      <w:pPr>
        <w:numPr>
          <w:ilvl w:val="12"/>
          <w:numId w:val="0"/>
        </w:numPr>
        <w:rPr>
          <w:sz w:val="24"/>
        </w:rPr>
      </w:pPr>
      <w:r>
        <w:rPr>
          <w:sz w:val="24"/>
        </w:rPr>
        <w:t>These rules apply to any lease granted PRIOR to 1</w:t>
      </w:r>
      <w:r>
        <w:rPr>
          <w:sz w:val="24"/>
          <w:vertAlign w:val="superscript"/>
        </w:rPr>
        <w:t>st</w:t>
      </w:r>
      <w:r>
        <w:rPr>
          <w:sz w:val="24"/>
        </w:rPr>
        <w:t xml:space="preserve"> January 1996.</w:t>
      </w:r>
    </w:p>
    <w:p w14:paraId="4D2C46A7" w14:textId="77777777" w:rsidR="00574383" w:rsidRDefault="00574383" w:rsidP="00574383">
      <w:pPr>
        <w:numPr>
          <w:ilvl w:val="12"/>
          <w:numId w:val="0"/>
        </w:numPr>
        <w:rPr>
          <w:sz w:val="24"/>
        </w:rPr>
      </w:pPr>
    </w:p>
    <w:tbl>
      <w:tblPr>
        <w:tblW w:w="0" w:type="auto"/>
        <w:tblLayout w:type="fixed"/>
        <w:tblLook w:val="04A0" w:firstRow="1" w:lastRow="0" w:firstColumn="1" w:lastColumn="0" w:noHBand="0" w:noVBand="1"/>
      </w:tblPr>
      <w:tblGrid>
        <w:gridCol w:w="3348"/>
        <w:gridCol w:w="5310"/>
      </w:tblGrid>
      <w:tr w:rsidR="00574383" w14:paraId="56080031" w14:textId="77777777">
        <w:tc>
          <w:tcPr>
            <w:tcW w:w="3348" w:type="dxa"/>
          </w:tcPr>
          <w:p w14:paraId="369F5E51" w14:textId="5F77E233"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0" allowOverlap="1" wp14:anchorId="38FAAE62" wp14:editId="23A72D0C">
                      <wp:simplePos x="0" y="0"/>
                      <wp:positionH relativeFrom="column">
                        <wp:posOffset>45720</wp:posOffset>
                      </wp:positionH>
                      <wp:positionV relativeFrom="paragraph">
                        <wp:posOffset>203835</wp:posOffset>
                      </wp:positionV>
                      <wp:extent cx="635" cy="457835"/>
                      <wp:effectExtent l="7620" t="13335" r="10795" b="14605"/>
                      <wp:wrapNone/>
                      <wp:docPr id="60"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36A1B5" id="Straight Connector 6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6.05pt" to="3.65pt,5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" o:allowincell="f" strokeweight="1pt"/>
                  </w:pict>
                </mc:Fallback>
              </mc:AlternateContent>
            </w:r>
            <w:r>
              <w:rPr>
                <w:sz w:val="24"/>
              </w:rPr>
              <w:t>L (Landlord)</w:t>
            </w:r>
          </w:p>
          <w:p w14:paraId="1AF2279D" w14:textId="77777777" w:rsidR="00574383" w:rsidRDefault="00574383">
            <w:pPr>
              <w:numPr>
                <w:ilvl w:val="12"/>
                <w:numId w:val="0"/>
              </w:numPr>
              <w:rPr>
                <w:sz w:val="24"/>
              </w:rPr>
            </w:pPr>
          </w:p>
          <w:p w14:paraId="56E671DF" w14:textId="77777777" w:rsidR="00574383" w:rsidRDefault="00574383">
            <w:pPr>
              <w:numPr>
                <w:ilvl w:val="12"/>
                <w:numId w:val="0"/>
              </w:numPr>
              <w:rPr>
                <w:sz w:val="24"/>
              </w:rPr>
            </w:pPr>
          </w:p>
          <w:p w14:paraId="61AB6EEC" w14:textId="77777777" w:rsidR="00574383" w:rsidRDefault="00574383">
            <w:pPr>
              <w:numPr>
                <w:ilvl w:val="12"/>
                <w:numId w:val="0"/>
              </w:numPr>
              <w:rPr>
                <w:sz w:val="24"/>
              </w:rPr>
            </w:pPr>
          </w:p>
          <w:p w14:paraId="08CB37B1" w14:textId="77777777" w:rsidR="00574383" w:rsidRDefault="00574383">
            <w:pPr>
              <w:numPr>
                <w:ilvl w:val="12"/>
                <w:numId w:val="0"/>
              </w:numPr>
              <w:rPr>
                <w:sz w:val="24"/>
              </w:rPr>
            </w:pPr>
            <w:r>
              <w:rPr>
                <w:sz w:val="24"/>
              </w:rPr>
              <w:t>T (Tenant)</w:t>
            </w:r>
          </w:p>
          <w:p w14:paraId="7724409D" w14:textId="77777777" w:rsidR="00574383" w:rsidRDefault="00574383">
            <w:pPr>
              <w:numPr>
                <w:ilvl w:val="12"/>
                <w:numId w:val="0"/>
              </w:numPr>
              <w:rPr>
                <w:sz w:val="24"/>
              </w:rPr>
            </w:pPr>
          </w:p>
        </w:tc>
        <w:tc>
          <w:tcPr>
            <w:tcW w:w="5310" w:type="dxa"/>
          </w:tcPr>
          <w:p w14:paraId="44CFB388" w14:textId="77777777" w:rsidR="00574383" w:rsidRDefault="00574383">
            <w:pPr>
              <w:numPr>
                <w:ilvl w:val="12"/>
                <w:numId w:val="0"/>
              </w:numPr>
              <w:rPr>
                <w:sz w:val="24"/>
              </w:rPr>
            </w:pPr>
            <w:r>
              <w:rPr>
                <w:b/>
                <w:sz w:val="24"/>
              </w:rPr>
              <w:lastRenderedPageBreak/>
              <w:t>Privity of Contract</w:t>
            </w:r>
          </w:p>
          <w:p w14:paraId="6F2742D8" w14:textId="77777777" w:rsidR="00574383" w:rsidRDefault="00574383">
            <w:pPr>
              <w:numPr>
                <w:ilvl w:val="12"/>
                <w:numId w:val="0"/>
              </w:numPr>
              <w:rPr>
                <w:sz w:val="24"/>
              </w:rPr>
            </w:pPr>
          </w:p>
          <w:p w14:paraId="503C3B86" w14:textId="77777777" w:rsidR="00574383" w:rsidRDefault="00574383">
            <w:pPr>
              <w:numPr>
                <w:ilvl w:val="12"/>
                <w:numId w:val="0"/>
              </w:numPr>
              <w:rPr>
                <w:sz w:val="24"/>
              </w:rPr>
            </w:pPr>
            <w:r>
              <w:rPr>
                <w:sz w:val="24"/>
              </w:rPr>
              <w:lastRenderedPageBreak/>
              <w:t xml:space="preserve">All covenants are enforceable by the landlord against the tenant and vice versa for the whole duration of the lease unless agreed otherwise (“limited to seisin”) at the outset (but note </w:t>
            </w:r>
            <w:r>
              <w:rPr>
                <w:i/>
                <w:sz w:val="24"/>
              </w:rPr>
              <w:t>LPA 1925; s77</w:t>
            </w:r>
            <w:r>
              <w:rPr>
                <w:sz w:val="24"/>
              </w:rPr>
              <w:t xml:space="preserve"> re implied indemnity, and also </w:t>
            </w:r>
            <w:r>
              <w:rPr>
                <w:b/>
                <w:sz w:val="24"/>
              </w:rPr>
              <w:t>Moule v Garrett</w:t>
            </w:r>
            <w:r>
              <w:rPr>
                <w:sz w:val="24"/>
              </w:rPr>
              <w:t xml:space="preserve"> [1872] LR 7 EX 101 - quasi contractual right of indemnity).</w:t>
            </w:r>
          </w:p>
          <w:p w14:paraId="31C4629D" w14:textId="77777777" w:rsidR="00574383" w:rsidRDefault="00574383">
            <w:pPr>
              <w:numPr>
                <w:ilvl w:val="12"/>
                <w:numId w:val="0"/>
              </w:numPr>
              <w:rPr>
                <w:sz w:val="24"/>
              </w:rPr>
            </w:pPr>
          </w:p>
        </w:tc>
      </w:tr>
      <w:tr w:rsidR="00574383" w14:paraId="6DEF838F" w14:textId="77777777">
        <w:tc>
          <w:tcPr>
            <w:tcW w:w="3348" w:type="dxa"/>
          </w:tcPr>
          <w:p w14:paraId="0BFC4BDE" w14:textId="6B878722" w:rsidR="00574383" w:rsidRDefault="00574383">
            <w:pPr>
              <w:numPr>
                <w:ilvl w:val="12"/>
                <w:numId w:val="0"/>
              </w:numPr>
              <w:rPr>
                <w:sz w:val="24"/>
              </w:rPr>
            </w:pPr>
            <w:r>
              <w:rPr>
                <w:noProof/>
              </w:rPr>
              <w:lastRenderedPageBreak/>
              <mc:AlternateContent>
                <mc:Choice Requires="wps">
                  <w:drawing>
                    <wp:anchor distT="0" distB="0" distL="114300" distR="114300" simplePos="0" relativeHeight="251658240" behindDoc="0" locked="0" layoutInCell="0" allowOverlap="1" wp14:anchorId="0400C4D7" wp14:editId="0C8F2B94">
                      <wp:simplePos x="0" y="0"/>
                      <wp:positionH relativeFrom="column">
                        <wp:posOffset>46355</wp:posOffset>
                      </wp:positionH>
                      <wp:positionV relativeFrom="paragraph">
                        <wp:posOffset>158750</wp:posOffset>
                      </wp:positionV>
                      <wp:extent cx="1270" cy="533400"/>
                      <wp:effectExtent l="8255" t="15875" r="9525" b="12700"/>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70" cy="5334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18FB30" id="Straight Connector 59"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5pt,12.5pt" to="3.7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" o:allowincell="f" strokeweight="1pt"/>
                  </w:pict>
                </mc:Fallback>
              </mc:AlternateContent>
            </w:r>
            <w:r>
              <w:rPr>
                <w:noProof/>
              </w:rPr>
              <mc:AlternateContent>
                <mc:Choice Requires="wps">
                  <w:drawing>
                    <wp:anchor distT="0" distB="0" distL="114300" distR="114300" simplePos="0" relativeHeight="251658240" behindDoc="0" locked="0" layoutInCell="0" allowOverlap="1" wp14:anchorId="2C8C1A6A" wp14:editId="26DDDE90">
                      <wp:simplePos x="0" y="0"/>
                      <wp:positionH relativeFrom="column">
                        <wp:posOffset>137160</wp:posOffset>
                      </wp:positionH>
                      <wp:positionV relativeFrom="paragraph">
                        <wp:posOffset>142875</wp:posOffset>
                      </wp:positionV>
                      <wp:extent cx="732155" cy="549275"/>
                      <wp:effectExtent l="13335" t="9525" r="6985" b="12700"/>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549275"/>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B499FD" id="Straight Connector 5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1.25pt" to="68.4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" o:allowincell="f" strokeweight=".5pt"/>
                  </w:pict>
                </mc:Fallback>
              </mc:AlternateContent>
            </w:r>
            <w:r>
              <w:rPr>
                <w:noProof/>
              </w:rPr>
              <mc:AlternateContent>
                <mc:Choice Requires="wps">
                  <w:drawing>
                    <wp:anchor distT="0" distB="0" distL="114300" distR="114300" simplePos="0" relativeHeight="251658240" behindDoc="0" locked="0" layoutInCell="0" allowOverlap="1" wp14:anchorId="15DE11BA" wp14:editId="64FC03F8">
                      <wp:simplePos x="0" y="0"/>
                      <wp:positionH relativeFrom="column">
                        <wp:posOffset>137160</wp:posOffset>
                      </wp:positionH>
                      <wp:positionV relativeFrom="paragraph">
                        <wp:posOffset>782955</wp:posOffset>
                      </wp:positionV>
                      <wp:extent cx="732155" cy="635"/>
                      <wp:effectExtent l="13335" t="11430" r="6985" b="698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C785E4" id="Straight Connector 5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61.65pt" to="68.45pt,6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" o:allowincell="f" strokeweight="1pt"/>
                  </w:pict>
                </mc:Fallback>
              </mc:AlternateContent>
            </w:r>
            <w:r>
              <w:rPr>
                <w:sz w:val="24"/>
              </w:rPr>
              <w:t>L</w:t>
            </w:r>
          </w:p>
          <w:p w14:paraId="68F744FC" w14:textId="77777777" w:rsidR="00574383" w:rsidRDefault="00574383">
            <w:pPr>
              <w:numPr>
                <w:ilvl w:val="12"/>
                <w:numId w:val="0"/>
              </w:numPr>
              <w:rPr>
                <w:sz w:val="24"/>
              </w:rPr>
            </w:pPr>
            <w:r>
              <w:rPr>
                <w:sz w:val="24"/>
              </w:rPr>
              <w:t xml:space="preserve">                  A</w:t>
            </w:r>
            <w:r>
              <w:rPr>
                <w:sz w:val="24"/>
                <w:vertAlign w:val="superscript"/>
              </w:rPr>
              <w:t xml:space="preserve">1 </w:t>
            </w:r>
            <w:r>
              <w:rPr>
                <w:sz w:val="24"/>
              </w:rPr>
              <w:t>= Assignee</w:t>
            </w:r>
          </w:p>
          <w:p w14:paraId="711E605E" w14:textId="77777777" w:rsidR="00574383" w:rsidRDefault="00574383">
            <w:pPr>
              <w:numPr>
                <w:ilvl w:val="12"/>
                <w:numId w:val="0"/>
              </w:numPr>
              <w:rPr>
                <w:sz w:val="24"/>
              </w:rPr>
            </w:pPr>
          </w:p>
          <w:p w14:paraId="3563FAC6" w14:textId="77777777" w:rsidR="00574383" w:rsidRDefault="00574383">
            <w:pPr>
              <w:numPr>
                <w:ilvl w:val="12"/>
                <w:numId w:val="0"/>
              </w:numPr>
              <w:rPr>
                <w:sz w:val="24"/>
              </w:rPr>
            </w:pPr>
          </w:p>
          <w:p w14:paraId="579844E3" w14:textId="77777777" w:rsidR="00574383" w:rsidRDefault="00574383">
            <w:pPr>
              <w:numPr>
                <w:ilvl w:val="12"/>
                <w:numId w:val="0"/>
              </w:numPr>
              <w:rPr>
                <w:sz w:val="24"/>
                <w:vertAlign w:val="superscript"/>
              </w:rPr>
            </w:pPr>
            <w:r>
              <w:rPr>
                <w:sz w:val="24"/>
              </w:rPr>
              <w:t>T</w:t>
            </w:r>
            <w:r>
              <w:rPr>
                <w:sz w:val="24"/>
              </w:rPr>
              <w:tab/>
            </w:r>
            <w:r>
              <w:rPr>
                <w:sz w:val="24"/>
              </w:rPr>
              <w:tab/>
              <w:t>A</w:t>
            </w:r>
            <w:r>
              <w:rPr>
                <w:sz w:val="24"/>
                <w:vertAlign w:val="superscript"/>
              </w:rPr>
              <w:t>1</w:t>
            </w:r>
          </w:p>
          <w:p w14:paraId="079792D5" w14:textId="77777777" w:rsidR="00574383" w:rsidRDefault="00574383">
            <w:pPr>
              <w:numPr>
                <w:ilvl w:val="12"/>
                <w:numId w:val="0"/>
              </w:numPr>
              <w:rPr>
                <w:sz w:val="24"/>
              </w:rPr>
            </w:pPr>
          </w:p>
        </w:tc>
        <w:tc>
          <w:tcPr>
            <w:tcW w:w="5310" w:type="dxa"/>
          </w:tcPr>
          <w:p w14:paraId="5CE8AB1A" w14:textId="77777777" w:rsidR="00574383" w:rsidRDefault="00574383">
            <w:pPr>
              <w:numPr>
                <w:ilvl w:val="12"/>
                <w:numId w:val="0"/>
              </w:numPr>
              <w:rPr>
                <w:sz w:val="24"/>
              </w:rPr>
            </w:pPr>
            <w:r>
              <w:rPr>
                <w:b/>
                <w:sz w:val="24"/>
              </w:rPr>
              <w:t>Privity of Estate</w:t>
            </w:r>
          </w:p>
          <w:p w14:paraId="64F8E759" w14:textId="77777777" w:rsidR="00574383" w:rsidRDefault="00574383">
            <w:pPr>
              <w:numPr>
                <w:ilvl w:val="12"/>
                <w:numId w:val="0"/>
              </w:numPr>
              <w:rPr>
                <w:sz w:val="24"/>
              </w:rPr>
            </w:pPr>
          </w:p>
          <w:p w14:paraId="3BD0388B" w14:textId="77777777" w:rsidR="00574383" w:rsidRDefault="00574383">
            <w:pPr>
              <w:numPr>
                <w:ilvl w:val="12"/>
                <w:numId w:val="0"/>
              </w:numPr>
              <w:rPr>
                <w:sz w:val="24"/>
              </w:rPr>
            </w:pPr>
            <w:r>
              <w:rPr>
                <w:sz w:val="24"/>
              </w:rPr>
              <w:t>Only covenants which “touch and concern” are enforceable, for the duration of A</w:t>
            </w:r>
            <w:r>
              <w:rPr>
                <w:sz w:val="24"/>
                <w:vertAlign w:val="superscript"/>
              </w:rPr>
              <w:t>1’</w:t>
            </w:r>
            <w:r>
              <w:rPr>
                <w:sz w:val="24"/>
              </w:rPr>
              <w:t xml:space="preserve">s ownership (the rule in </w:t>
            </w:r>
            <w:r>
              <w:rPr>
                <w:b/>
                <w:i/>
                <w:sz w:val="24"/>
              </w:rPr>
              <w:t>Spencer’s Case</w:t>
            </w:r>
            <w:r>
              <w:rPr>
                <w:sz w:val="24"/>
              </w:rPr>
              <w:t>)</w:t>
            </w:r>
          </w:p>
          <w:p w14:paraId="3E1605F6" w14:textId="77777777" w:rsidR="00574383" w:rsidRDefault="00574383">
            <w:pPr>
              <w:numPr>
                <w:ilvl w:val="12"/>
                <w:numId w:val="0"/>
              </w:numPr>
              <w:rPr>
                <w:sz w:val="24"/>
              </w:rPr>
            </w:pPr>
          </w:p>
        </w:tc>
      </w:tr>
      <w:tr w:rsidR="00574383" w14:paraId="031DB485" w14:textId="77777777">
        <w:tc>
          <w:tcPr>
            <w:tcW w:w="3348" w:type="dxa"/>
          </w:tcPr>
          <w:p w14:paraId="1896F2F2" w14:textId="5EDFA9AB"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0" allowOverlap="1" wp14:anchorId="035ACF69" wp14:editId="7B394381">
                      <wp:simplePos x="0" y="0"/>
                      <wp:positionH relativeFrom="column">
                        <wp:posOffset>45720</wp:posOffset>
                      </wp:positionH>
                      <wp:positionV relativeFrom="paragraph">
                        <wp:posOffset>173355</wp:posOffset>
                      </wp:positionV>
                      <wp:extent cx="1905" cy="496570"/>
                      <wp:effectExtent l="7620" t="11430" r="9525" b="635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 cy="49657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D95F20" id="Straight Connector 5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3.65pt" to="3.75pt,5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" o:allowincell="f" strokeweight="1pt"/>
                  </w:pict>
                </mc:Fallback>
              </mc:AlternateContent>
            </w:r>
            <w:r>
              <w:rPr>
                <w:noProof/>
              </w:rPr>
              <mc:AlternateContent>
                <mc:Choice Requires="wps">
                  <w:drawing>
                    <wp:anchor distT="0" distB="0" distL="114300" distR="114300" simplePos="0" relativeHeight="251658240" behindDoc="0" locked="0" layoutInCell="0" allowOverlap="1" wp14:anchorId="4DD3A385" wp14:editId="738D083C">
                      <wp:simplePos x="0" y="0"/>
                      <wp:positionH relativeFrom="column">
                        <wp:posOffset>137160</wp:posOffset>
                      </wp:positionH>
                      <wp:positionV relativeFrom="paragraph">
                        <wp:posOffset>173355</wp:posOffset>
                      </wp:positionV>
                      <wp:extent cx="732155" cy="549275"/>
                      <wp:effectExtent l="13335" t="11430" r="6985" b="10795"/>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32155" cy="549275"/>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90584A" id="Straight Connector 55"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3.65pt" to="68.45pt,5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" o:allowincell="f" strokeweight=".5pt"/>
                  </w:pict>
                </mc:Fallback>
              </mc:AlternateContent>
            </w:r>
            <w:r>
              <w:rPr>
                <w:noProof/>
              </w:rPr>
              <mc:AlternateContent>
                <mc:Choice Requires="wps">
                  <w:drawing>
                    <wp:anchor distT="0" distB="0" distL="114300" distR="114300" simplePos="0" relativeHeight="251658240" behindDoc="0" locked="0" layoutInCell="0" allowOverlap="1" wp14:anchorId="4B34FDE2" wp14:editId="4440D258">
                      <wp:simplePos x="0" y="0"/>
                      <wp:positionH relativeFrom="column">
                        <wp:posOffset>137160</wp:posOffset>
                      </wp:positionH>
                      <wp:positionV relativeFrom="paragraph">
                        <wp:posOffset>81915</wp:posOffset>
                      </wp:positionV>
                      <wp:extent cx="732155" cy="635"/>
                      <wp:effectExtent l="13335" t="15240" r="6985" b="12700"/>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DE1BE4" id="Straight Connector 5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6.45pt" to="68.4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" o:allowincell="f" strokeweight="1pt"/>
                  </w:pict>
                </mc:Fallback>
              </mc:AlternateContent>
            </w:r>
            <w:r>
              <w:rPr>
                <w:sz w:val="24"/>
              </w:rPr>
              <w:t>L</w:t>
            </w:r>
            <w:r>
              <w:rPr>
                <w:sz w:val="24"/>
              </w:rPr>
              <w:tab/>
            </w:r>
            <w:r>
              <w:rPr>
                <w:sz w:val="24"/>
              </w:rPr>
              <w:tab/>
              <w:t>R</w:t>
            </w:r>
            <w:r>
              <w:rPr>
                <w:sz w:val="24"/>
                <w:vertAlign w:val="superscript"/>
              </w:rPr>
              <w:t>1</w:t>
            </w:r>
          </w:p>
          <w:p w14:paraId="71F2FA43" w14:textId="77777777" w:rsidR="00574383" w:rsidRDefault="00574383">
            <w:pPr>
              <w:numPr>
                <w:ilvl w:val="12"/>
                <w:numId w:val="0"/>
              </w:numPr>
              <w:rPr>
                <w:sz w:val="24"/>
              </w:rPr>
            </w:pPr>
          </w:p>
          <w:p w14:paraId="1177E011" w14:textId="77777777" w:rsidR="00574383" w:rsidRDefault="00574383">
            <w:pPr>
              <w:numPr>
                <w:ilvl w:val="12"/>
                <w:numId w:val="0"/>
              </w:numPr>
              <w:rPr>
                <w:sz w:val="24"/>
              </w:rPr>
            </w:pPr>
          </w:p>
          <w:p w14:paraId="3EDBAC3D" w14:textId="77777777" w:rsidR="00574383" w:rsidRDefault="00574383">
            <w:pPr>
              <w:numPr>
                <w:ilvl w:val="12"/>
                <w:numId w:val="0"/>
              </w:numPr>
              <w:rPr>
                <w:sz w:val="24"/>
              </w:rPr>
            </w:pPr>
          </w:p>
          <w:p w14:paraId="0C6B859E" w14:textId="77777777" w:rsidR="00574383" w:rsidRDefault="00574383">
            <w:pPr>
              <w:numPr>
                <w:ilvl w:val="12"/>
                <w:numId w:val="0"/>
              </w:numPr>
              <w:rPr>
                <w:sz w:val="24"/>
              </w:rPr>
            </w:pPr>
            <w:r>
              <w:rPr>
                <w:sz w:val="24"/>
              </w:rPr>
              <w:t>T</w:t>
            </w:r>
          </w:p>
          <w:p w14:paraId="13F1AFA1" w14:textId="77777777" w:rsidR="00574383" w:rsidRDefault="00574383">
            <w:pPr>
              <w:numPr>
                <w:ilvl w:val="12"/>
                <w:numId w:val="0"/>
              </w:numPr>
              <w:rPr>
                <w:sz w:val="24"/>
              </w:rPr>
            </w:pPr>
          </w:p>
          <w:p w14:paraId="39EB73ED" w14:textId="77777777" w:rsidR="00574383" w:rsidRDefault="00574383">
            <w:pPr>
              <w:numPr>
                <w:ilvl w:val="12"/>
                <w:numId w:val="0"/>
              </w:numPr>
              <w:rPr>
                <w:sz w:val="24"/>
              </w:rPr>
            </w:pPr>
            <w:r>
              <w:rPr>
                <w:sz w:val="24"/>
              </w:rPr>
              <w:t>R</w:t>
            </w:r>
            <w:r>
              <w:rPr>
                <w:sz w:val="24"/>
                <w:vertAlign w:val="superscript"/>
              </w:rPr>
              <w:t xml:space="preserve">1 </w:t>
            </w:r>
            <w:r>
              <w:rPr>
                <w:sz w:val="24"/>
              </w:rPr>
              <w:t>= Reversioner – person who has acquired the freehold interest in the land.</w:t>
            </w:r>
          </w:p>
        </w:tc>
        <w:tc>
          <w:tcPr>
            <w:tcW w:w="5310" w:type="dxa"/>
          </w:tcPr>
          <w:p w14:paraId="18CB2D08" w14:textId="77777777" w:rsidR="00574383" w:rsidRDefault="00574383">
            <w:pPr>
              <w:numPr>
                <w:ilvl w:val="12"/>
                <w:numId w:val="0"/>
              </w:numPr>
              <w:rPr>
                <w:b/>
                <w:sz w:val="24"/>
              </w:rPr>
            </w:pPr>
            <w:r>
              <w:rPr>
                <w:b/>
                <w:sz w:val="24"/>
              </w:rPr>
              <w:t>Privity of Estate</w:t>
            </w:r>
          </w:p>
          <w:p w14:paraId="458B4EE4" w14:textId="77777777" w:rsidR="00574383" w:rsidRDefault="00574383">
            <w:pPr>
              <w:numPr>
                <w:ilvl w:val="12"/>
                <w:numId w:val="0"/>
              </w:numPr>
              <w:rPr>
                <w:sz w:val="24"/>
              </w:rPr>
            </w:pPr>
          </w:p>
          <w:p w14:paraId="0C5E6982" w14:textId="77777777" w:rsidR="00574383" w:rsidRDefault="00574383">
            <w:pPr>
              <w:numPr>
                <w:ilvl w:val="12"/>
                <w:numId w:val="0"/>
              </w:numPr>
              <w:rPr>
                <w:sz w:val="24"/>
              </w:rPr>
            </w:pPr>
            <w:r>
              <w:rPr>
                <w:i/>
                <w:sz w:val="24"/>
              </w:rPr>
              <w:t>LPA 1925; s141(1)</w:t>
            </w:r>
            <w:r>
              <w:rPr>
                <w:sz w:val="24"/>
              </w:rPr>
              <w:t xml:space="preserve"> - sale of reversion by L to R</w:t>
            </w:r>
            <w:r>
              <w:rPr>
                <w:sz w:val="24"/>
                <w:vertAlign w:val="superscript"/>
              </w:rPr>
              <w:t>1</w:t>
            </w:r>
            <w:r>
              <w:rPr>
                <w:sz w:val="24"/>
              </w:rPr>
              <w:t xml:space="preserve"> passes the BENEFIT of all covenants given by T “which have reference to the subject matter of the lease.”</w:t>
            </w:r>
          </w:p>
          <w:p w14:paraId="1D024A30" w14:textId="77777777" w:rsidR="00574383" w:rsidRDefault="00574383">
            <w:pPr>
              <w:numPr>
                <w:ilvl w:val="12"/>
                <w:numId w:val="0"/>
              </w:numPr>
              <w:rPr>
                <w:sz w:val="24"/>
              </w:rPr>
            </w:pPr>
            <w:r>
              <w:rPr>
                <w:i/>
                <w:sz w:val="24"/>
              </w:rPr>
              <w:t>LPA 1925; s142(1)</w:t>
            </w:r>
            <w:r>
              <w:rPr>
                <w:sz w:val="24"/>
              </w:rPr>
              <w:t xml:space="preserve"> - sale of reversion by L to R</w:t>
            </w:r>
            <w:r>
              <w:rPr>
                <w:sz w:val="24"/>
                <w:vertAlign w:val="superscript"/>
              </w:rPr>
              <w:t>1</w:t>
            </w:r>
            <w:r>
              <w:rPr>
                <w:sz w:val="24"/>
              </w:rPr>
              <w:t xml:space="preserve"> passes the BURDEN of all covenants given by T “which have reference to the subject matter of the lease.”</w:t>
            </w:r>
          </w:p>
          <w:p w14:paraId="7BE4E27C" w14:textId="77777777" w:rsidR="00574383" w:rsidRDefault="00574383">
            <w:pPr>
              <w:numPr>
                <w:ilvl w:val="12"/>
                <w:numId w:val="0"/>
              </w:numPr>
              <w:rPr>
                <w:sz w:val="24"/>
              </w:rPr>
            </w:pPr>
            <w:r>
              <w:rPr>
                <w:sz w:val="24"/>
              </w:rPr>
              <w:t>This only applies to the period of R</w:t>
            </w:r>
            <w:r>
              <w:rPr>
                <w:sz w:val="24"/>
                <w:vertAlign w:val="superscript"/>
              </w:rPr>
              <w:t>1</w:t>
            </w:r>
            <w:r>
              <w:rPr>
                <w:sz w:val="24"/>
              </w:rPr>
              <w:t>’s ownership</w:t>
            </w:r>
          </w:p>
          <w:p w14:paraId="16D1A117" w14:textId="77777777" w:rsidR="00574383" w:rsidRDefault="00574383">
            <w:pPr>
              <w:numPr>
                <w:ilvl w:val="12"/>
                <w:numId w:val="0"/>
              </w:numPr>
              <w:rPr>
                <w:sz w:val="24"/>
              </w:rPr>
            </w:pPr>
          </w:p>
        </w:tc>
      </w:tr>
      <w:tr w:rsidR="00574383" w14:paraId="777540EB" w14:textId="77777777">
        <w:tc>
          <w:tcPr>
            <w:tcW w:w="3348" w:type="dxa"/>
          </w:tcPr>
          <w:p w14:paraId="25A2F888" w14:textId="3283B528" w:rsidR="00574383" w:rsidRPr="00574383" w:rsidRDefault="00574383">
            <w:pPr>
              <w:numPr>
                <w:ilvl w:val="12"/>
                <w:numId w:val="0"/>
              </w:numPr>
              <w:rPr>
                <w:sz w:val="24"/>
                <w:lang w:val="fr-FR"/>
              </w:rPr>
            </w:pPr>
            <w:r>
              <w:rPr>
                <w:noProof/>
              </w:rPr>
              <mc:AlternateContent>
                <mc:Choice Requires="wps">
                  <w:drawing>
                    <wp:anchor distT="0" distB="0" distL="114300" distR="114300" simplePos="0" relativeHeight="251658240" behindDoc="0" locked="0" layoutInCell="0" allowOverlap="1" wp14:anchorId="4AFC9567" wp14:editId="65741CDA">
                      <wp:simplePos x="0" y="0"/>
                      <wp:positionH relativeFrom="column">
                        <wp:posOffset>45720</wp:posOffset>
                      </wp:positionH>
                      <wp:positionV relativeFrom="paragraph">
                        <wp:posOffset>868680</wp:posOffset>
                      </wp:positionV>
                      <wp:extent cx="1905" cy="517525"/>
                      <wp:effectExtent l="7620" t="11430" r="9525" b="13970"/>
                      <wp:wrapNone/>
                      <wp:docPr id="53" name="Straight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 cy="51752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D254E1" id="Straight Connector 5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8.4pt" to="3.75pt,10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" o:allowincell="f" strokeweight="1pt"/>
                  </w:pict>
                </mc:Fallback>
              </mc:AlternateContent>
            </w:r>
            <w:r>
              <w:rPr>
                <w:noProof/>
              </w:rPr>
              <mc:AlternateContent>
                <mc:Choice Requires="wps">
                  <w:drawing>
                    <wp:anchor distT="0" distB="0" distL="114300" distR="114300" simplePos="0" relativeHeight="251658240" behindDoc="0" locked="0" layoutInCell="0" allowOverlap="1" wp14:anchorId="56FC6323" wp14:editId="2F9C2B8C">
                      <wp:simplePos x="0" y="0"/>
                      <wp:positionH relativeFrom="column">
                        <wp:posOffset>46355</wp:posOffset>
                      </wp:positionH>
                      <wp:positionV relativeFrom="paragraph">
                        <wp:posOffset>197485</wp:posOffset>
                      </wp:positionV>
                      <wp:extent cx="1270" cy="488950"/>
                      <wp:effectExtent l="8255" t="6985" r="9525" b="8890"/>
                      <wp:wrapNone/>
                      <wp:docPr id="52" name="Straight Connector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70" cy="48895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C99526" id="Straight Connector 52"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5pt,15.55pt" to="3.75pt,5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" o:allowincell="f" strokeweight="1pt"/>
                  </w:pict>
                </mc:Fallback>
              </mc:AlternateContent>
            </w:r>
            <w:r w:rsidRPr="00574383">
              <w:rPr>
                <w:sz w:val="24"/>
                <w:lang w:val="fr-FR"/>
              </w:rPr>
              <w:t>L</w:t>
            </w:r>
          </w:p>
          <w:p w14:paraId="7825454F" w14:textId="77777777" w:rsidR="00574383" w:rsidRPr="00574383" w:rsidRDefault="00574383">
            <w:pPr>
              <w:numPr>
                <w:ilvl w:val="12"/>
                <w:numId w:val="0"/>
              </w:numPr>
              <w:rPr>
                <w:sz w:val="24"/>
                <w:lang w:val="fr-FR"/>
              </w:rPr>
            </w:pPr>
          </w:p>
          <w:p w14:paraId="48E0D89E" w14:textId="77777777" w:rsidR="00574383" w:rsidRPr="00574383" w:rsidRDefault="00574383">
            <w:pPr>
              <w:numPr>
                <w:ilvl w:val="12"/>
                <w:numId w:val="0"/>
              </w:numPr>
              <w:rPr>
                <w:sz w:val="24"/>
                <w:lang w:val="fr-FR"/>
              </w:rPr>
            </w:pPr>
          </w:p>
          <w:p w14:paraId="74E2F50B" w14:textId="77777777" w:rsidR="00574383" w:rsidRPr="00574383" w:rsidRDefault="00574383">
            <w:pPr>
              <w:numPr>
                <w:ilvl w:val="12"/>
                <w:numId w:val="0"/>
              </w:numPr>
              <w:rPr>
                <w:sz w:val="24"/>
                <w:lang w:val="fr-FR"/>
              </w:rPr>
            </w:pPr>
          </w:p>
          <w:p w14:paraId="41DFAA6C" w14:textId="77777777" w:rsidR="00574383" w:rsidRPr="00574383" w:rsidRDefault="00574383">
            <w:pPr>
              <w:numPr>
                <w:ilvl w:val="12"/>
                <w:numId w:val="0"/>
              </w:numPr>
              <w:rPr>
                <w:sz w:val="24"/>
                <w:lang w:val="fr-FR"/>
              </w:rPr>
            </w:pPr>
            <w:r w:rsidRPr="00574383">
              <w:rPr>
                <w:sz w:val="24"/>
                <w:lang w:val="fr-FR"/>
              </w:rPr>
              <w:t>T</w:t>
            </w:r>
          </w:p>
          <w:p w14:paraId="3C99BBCA" w14:textId="77777777" w:rsidR="00574383" w:rsidRPr="00574383" w:rsidRDefault="00574383">
            <w:pPr>
              <w:numPr>
                <w:ilvl w:val="12"/>
                <w:numId w:val="0"/>
              </w:numPr>
              <w:rPr>
                <w:sz w:val="24"/>
                <w:lang w:val="fr-FR"/>
              </w:rPr>
            </w:pPr>
          </w:p>
          <w:p w14:paraId="70C603F4" w14:textId="77777777" w:rsidR="00574383" w:rsidRPr="00574383" w:rsidRDefault="00574383">
            <w:pPr>
              <w:numPr>
                <w:ilvl w:val="12"/>
                <w:numId w:val="0"/>
              </w:numPr>
              <w:rPr>
                <w:sz w:val="24"/>
                <w:lang w:val="fr-FR"/>
              </w:rPr>
            </w:pPr>
          </w:p>
          <w:p w14:paraId="7792A418" w14:textId="77777777" w:rsidR="00574383" w:rsidRPr="00574383" w:rsidRDefault="00574383">
            <w:pPr>
              <w:numPr>
                <w:ilvl w:val="12"/>
                <w:numId w:val="0"/>
              </w:numPr>
              <w:rPr>
                <w:sz w:val="24"/>
                <w:lang w:val="fr-FR"/>
              </w:rPr>
            </w:pPr>
          </w:p>
          <w:p w14:paraId="4FAE21AE" w14:textId="77777777" w:rsidR="00574383" w:rsidRPr="00574383" w:rsidRDefault="00574383">
            <w:pPr>
              <w:numPr>
                <w:ilvl w:val="12"/>
                <w:numId w:val="0"/>
              </w:numPr>
              <w:rPr>
                <w:sz w:val="24"/>
                <w:lang w:val="fr-FR"/>
              </w:rPr>
            </w:pPr>
            <w:r w:rsidRPr="00574383">
              <w:rPr>
                <w:sz w:val="24"/>
                <w:lang w:val="fr-FR"/>
              </w:rPr>
              <w:t>S (sub-tenant)</w:t>
            </w:r>
          </w:p>
          <w:p w14:paraId="664EFEE1" w14:textId="77777777" w:rsidR="00574383" w:rsidRPr="00574383" w:rsidRDefault="00574383">
            <w:pPr>
              <w:numPr>
                <w:ilvl w:val="12"/>
                <w:numId w:val="0"/>
              </w:numPr>
              <w:rPr>
                <w:sz w:val="24"/>
                <w:lang w:val="fr-FR"/>
              </w:rPr>
            </w:pPr>
          </w:p>
          <w:p w14:paraId="7F94E270" w14:textId="77777777" w:rsidR="00574383" w:rsidRPr="00574383" w:rsidRDefault="00574383">
            <w:pPr>
              <w:numPr>
                <w:ilvl w:val="12"/>
                <w:numId w:val="0"/>
              </w:numPr>
              <w:rPr>
                <w:sz w:val="24"/>
                <w:lang w:val="fr-FR"/>
              </w:rPr>
            </w:pPr>
          </w:p>
        </w:tc>
        <w:tc>
          <w:tcPr>
            <w:tcW w:w="5310" w:type="dxa"/>
          </w:tcPr>
          <w:p w14:paraId="0DBFE7B0" w14:textId="77777777" w:rsidR="00574383" w:rsidRDefault="00574383">
            <w:pPr>
              <w:numPr>
                <w:ilvl w:val="12"/>
                <w:numId w:val="0"/>
              </w:numPr>
              <w:rPr>
                <w:sz w:val="24"/>
              </w:rPr>
            </w:pPr>
            <w:r>
              <w:rPr>
                <w:b/>
                <w:sz w:val="24"/>
              </w:rPr>
              <w:t>No liability between L and S</w:t>
            </w:r>
          </w:p>
          <w:p w14:paraId="16280E4D" w14:textId="77777777" w:rsidR="00574383" w:rsidRDefault="00574383">
            <w:pPr>
              <w:numPr>
                <w:ilvl w:val="12"/>
                <w:numId w:val="0"/>
              </w:numPr>
              <w:rPr>
                <w:sz w:val="24"/>
              </w:rPr>
            </w:pPr>
          </w:p>
          <w:p w14:paraId="19B95EC4" w14:textId="77777777" w:rsidR="00574383" w:rsidRDefault="00574383">
            <w:pPr>
              <w:numPr>
                <w:ilvl w:val="12"/>
                <w:numId w:val="0"/>
              </w:numPr>
              <w:rPr>
                <w:sz w:val="24"/>
              </w:rPr>
            </w:pPr>
            <w:r>
              <w:rPr>
                <w:sz w:val="24"/>
              </w:rPr>
              <w:t>L can sue T - if T’s lease is forfeited, there is automatic forfeiture of S’s sub-lease, unless S can get relief.  Other than this, L has no direct  rights against S at all.</w:t>
            </w:r>
          </w:p>
        </w:tc>
      </w:tr>
    </w:tbl>
    <w:p w14:paraId="68486EA8" w14:textId="77777777" w:rsidR="00574383" w:rsidRDefault="00574383" w:rsidP="00574383">
      <w:pPr>
        <w:numPr>
          <w:ilvl w:val="12"/>
          <w:numId w:val="0"/>
        </w:numPr>
        <w:rPr>
          <w:sz w:val="24"/>
        </w:rPr>
      </w:pPr>
      <w:r>
        <w:rPr>
          <w:sz w:val="24"/>
        </w:rPr>
        <w:t xml:space="preserve">As between the initial parties to the lease, there was privity of contract.  Covenants in the lease were a personal contract enforceable as such even after the parties had sold their respective interests in the property.  So even after both the original landlord and original tenant had disposed of their respective rights, they could still be held liable to the other. </w:t>
      </w:r>
    </w:p>
    <w:p w14:paraId="3DCA0377" w14:textId="77777777" w:rsidR="00574383" w:rsidRDefault="00574383" w:rsidP="00574383">
      <w:pPr>
        <w:numPr>
          <w:ilvl w:val="12"/>
          <w:numId w:val="0"/>
        </w:numPr>
        <w:rPr>
          <w:sz w:val="24"/>
        </w:rPr>
      </w:pPr>
    </w:p>
    <w:p w14:paraId="09F3BD4E" w14:textId="77777777" w:rsidR="00574383" w:rsidRDefault="00574383" w:rsidP="00574383">
      <w:pPr>
        <w:numPr>
          <w:ilvl w:val="12"/>
          <w:numId w:val="0"/>
        </w:numPr>
        <w:rPr>
          <w:sz w:val="24"/>
        </w:rPr>
      </w:pPr>
      <w:r>
        <w:rPr>
          <w:sz w:val="24"/>
        </w:rPr>
        <w:t>Why was this potentially very unfair - and who to?</w:t>
      </w:r>
    </w:p>
    <w:p w14:paraId="66B22157" w14:textId="77777777" w:rsidR="00574383" w:rsidRDefault="00574383" w:rsidP="00574383">
      <w:pPr>
        <w:numPr>
          <w:ilvl w:val="12"/>
          <w:numId w:val="0"/>
        </w:numPr>
        <w:rPr>
          <w:sz w:val="24"/>
        </w:rPr>
      </w:pPr>
    </w:p>
    <w:p w14:paraId="5AB5F5CC" w14:textId="77777777" w:rsidR="00574383" w:rsidRDefault="00574383" w:rsidP="00574383">
      <w:pPr>
        <w:numPr>
          <w:ilvl w:val="12"/>
          <w:numId w:val="0"/>
        </w:numPr>
        <w:rPr>
          <w:sz w:val="24"/>
        </w:rPr>
      </w:pPr>
      <w:r>
        <w:rPr>
          <w:sz w:val="24"/>
        </w:rPr>
        <w:t xml:space="preserve">It was usual for the assignee of a lease to give the outgoing tenant a covenant for indemnity - such a covenant was implied by </w:t>
      </w:r>
      <w:r>
        <w:rPr>
          <w:i/>
          <w:sz w:val="24"/>
        </w:rPr>
        <w:t>LPA 1925; s77</w:t>
      </w:r>
      <w:r>
        <w:rPr>
          <w:sz w:val="24"/>
        </w:rPr>
        <w:t xml:space="preserve">.  If the original tenant assigned, and his assignee then defaulted on the lease, the tenant might be sued by the landlord but could then pursue the assignee under either an express covenant </w:t>
      </w:r>
      <w:r>
        <w:rPr>
          <w:sz w:val="24"/>
        </w:rPr>
        <w:lastRenderedPageBreak/>
        <w:t xml:space="preserve">for indemnity as contained in the deed of assignment, or the implied covenant under </w:t>
      </w:r>
      <w:r>
        <w:rPr>
          <w:i/>
          <w:sz w:val="24"/>
        </w:rPr>
        <w:t>s77</w:t>
      </w:r>
      <w:r>
        <w:rPr>
          <w:sz w:val="24"/>
        </w:rPr>
        <w:t xml:space="preserve">.  </w:t>
      </w:r>
    </w:p>
    <w:p w14:paraId="11A3823B" w14:textId="77777777" w:rsidR="00574383" w:rsidRDefault="00574383" w:rsidP="00574383">
      <w:pPr>
        <w:numPr>
          <w:ilvl w:val="12"/>
          <w:numId w:val="0"/>
        </w:numPr>
        <w:rPr>
          <w:sz w:val="24"/>
        </w:rPr>
      </w:pPr>
    </w:p>
    <w:p w14:paraId="48C7D338" w14:textId="77777777" w:rsidR="00574383" w:rsidRDefault="00574383" w:rsidP="00574383">
      <w:pPr>
        <w:numPr>
          <w:ilvl w:val="12"/>
          <w:numId w:val="0"/>
        </w:numPr>
        <w:rPr>
          <w:sz w:val="24"/>
        </w:rPr>
      </w:pPr>
      <w:r>
        <w:rPr>
          <w:sz w:val="24"/>
        </w:rPr>
        <w:t xml:space="preserve">Such an indemnity would not be much use, however, if the assignee had no money or had gone into liquidation, as happened in </w:t>
      </w:r>
      <w:proofErr w:type="spellStart"/>
      <w:r>
        <w:rPr>
          <w:b/>
          <w:i/>
          <w:sz w:val="24"/>
        </w:rPr>
        <w:t>Hindcastle</w:t>
      </w:r>
      <w:proofErr w:type="spellEnd"/>
      <w:r>
        <w:rPr>
          <w:b/>
          <w:i/>
          <w:sz w:val="24"/>
        </w:rPr>
        <w:t xml:space="preserve"> Ltd v Barbara Attenborough Associates Ltd</w:t>
      </w:r>
      <w:r>
        <w:rPr>
          <w:sz w:val="24"/>
        </w:rPr>
        <w:t xml:space="preserve"> [1996] 2 WLR 262!  See also </w:t>
      </w:r>
      <w:r>
        <w:rPr>
          <w:b/>
          <w:i/>
          <w:sz w:val="24"/>
        </w:rPr>
        <w:t>Moule v Garrett</w:t>
      </w:r>
      <w:r>
        <w:rPr>
          <w:sz w:val="24"/>
        </w:rPr>
        <w:t xml:space="preserve"> (above).</w:t>
      </w:r>
    </w:p>
    <w:p w14:paraId="34FEF79E" w14:textId="77777777" w:rsidR="00574383" w:rsidRDefault="00574383" w:rsidP="00574383">
      <w:pPr>
        <w:numPr>
          <w:ilvl w:val="12"/>
          <w:numId w:val="0"/>
        </w:numPr>
        <w:rPr>
          <w:sz w:val="24"/>
        </w:rPr>
      </w:pPr>
    </w:p>
    <w:p w14:paraId="346E2DEF" w14:textId="77777777" w:rsidR="00574383" w:rsidRDefault="00574383" w:rsidP="00574383">
      <w:pPr>
        <w:numPr>
          <w:ilvl w:val="12"/>
          <w:numId w:val="0"/>
        </w:numPr>
        <w:rPr>
          <w:sz w:val="24"/>
        </w:rPr>
      </w:pPr>
      <w:r>
        <w:rPr>
          <w:sz w:val="24"/>
        </w:rPr>
        <w:t>What steps could the outgoing tenant take on assignment to prevent this problem?</w:t>
      </w:r>
    </w:p>
    <w:p w14:paraId="01E4F2E2" w14:textId="77777777" w:rsidR="00574383" w:rsidRDefault="00574383" w:rsidP="00574383">
      <w:pPr>
        <w:numPr>
          <w:ilvl w:val="12"/>
          <w:numId w:val="0"/>
        </w:numPr>
        <w:rPr>
          <w:sz w:val="24"/>
        </w:rPr>
      </w:pPr>
    </w:p>
    <w:p w14:paraId="47467F66" w14:textId="77777777" w:rsidR="00574383" w:rsidRDefault="00574383" w:rsidP="00574383">
      <w:pPr>
        <w:pStyle w:val="cpe3"/>
        <w:numPr>
          <w:ilvl w:val="12"/>
          <w:numId w:val="0"/>
        </w:numPr>
        <w:rPr>
          <w:rFonts w:ascii="Arial" w:hAnsi="Arial"/>
        </w:rPr>
      </w:pPr>
      <w:bookmarkStart w:id="87" w:name="_Toc461089941"/>
      <w:bookmarkStart w:id="88" w:name="_Toc14535540"/>
      <w:r>
        <w:rPr>
          <w:rFonts w:ascii="Arial" w:hAnsi="Arial"/>
        </w:rPr>
        <w:t>Subsequent parties</w:t>
      </w:r>
      <w:bookmarkEnd w:id="87"/>
      <w:bookmarkEnd w:id="88"/>
    </w:p>
    <w:p w14:paraId="769247D7" w14:textId="77777777" w:rsidR="00574383" w:rsidRDefault="00574383" w:rsidP="00574383">
      <w:pPr>
        <w:numPr>
          <w:ilvl w:val="12"/>
          <w:numId w:val="0"/>
        </w:numPr>
        <w:rPr>
          <w:sz w:val="24"/>
        </w:rPr>
      </w:pPr>
    </w:p>
    <w:p w14:paraId="64DB0780" w14:textId="77777777" w:rsidR="00574383" w:rsidRDefault="00574383" w:rsidP="00574383">
      <w:pPr>
        <w:numPr>
          <w:ilvl w:val="12"/>
          <w:numId w:val="0"/>
        </w:numPr>
        <w:rPr>
          <w:sz w:val="24"/>
        </w:rPr>
      </w:pPr>
      <w:r>
        <w:rPr>
          <w:sz w:val="24"/>
        </w:rPr>
        <w:t xml:space="preserve">The landlord’s position was governed by </w:t>
      </w:r>
      <w:r>
        <w:rPr>
          <w:i/>
          <w:sz w:val="24"/>
        </w:rPr>
        <w:t>LPA 1925; s141(1)</w:t>
      </w:r>
      <w:r>
        <w:rPr>
          <w:sz w:val="24"/>
        </w:rPr>
        <w:t>.  The person who acquired the landlord’s interest could enforce, as the transfer of the landlord's interest passed to the purchaser the benefit of all covenants and conditions originally entered into by the tenant, so far as the obligations “had reference to the subject matter” of the lease, E.g., “touched and concerned” the land.</w:t>
      </w:r>
    </w:p>
    <w:p w14:paraId="41BBB834" w14:textId="77777777" w:rsidR="00574383" w:rsidRDefault="00574383" w:rsidP="00574383">
      <w:pPr>
        <w:numPr>
          <w:ilvl w:val="12"/>
          <w:numId w:val="0"/>
        </w:numPr>
        <w:rPr>
          <w:sz w:val="24"/>
        </w:rPr>
      </w:pPr>
    </w:p>
    <w:p w14:paraId="599682A6" w14:textId="77777777" w:rsidR="00574383" w:rsidRDefault="00574383" w:rsidP="00574383">
      <w:pPr>
        <w:numPr>
          <w:ilvl w:val="12"/>
          <w:numId w:val="0"/>
        </w:numPr>
        <w:rPr>
          <w:sz w:val="24"/>
        </w:rPr>
      </w:pPr>
      <w:r>
        <w:rPr>
          <w:sz w:val="24"/>
        </w:rPr>
        <w:t>For example:</w:t>
      </w:r>
    </w:p>
    <w:p w14:paraId="7E1EF963" w14:textId="77777777" w:rsidR="00574383" w:rsidRDefault="00574383" w:rsidP="00574383">
      <w:pPr>
        <w:numPr>
          <w:ilvl w:val="12"/>
          <w:numId w:val="0"/>
        </w:numPr>
        <w:rPr>
          <w:sz w:val="24"/>
        </w:rPr>
      </w:pPr>
    </w:p>
    <w:p w14:paraId="05523810" w14:textId="77777777" w:rsidR="00574383" w:rsidRDefault="00574383" w:rsidP="00574383">
      <w:pPr>
        <w:numPr>
          <w:ilvl w:val="12"/>
          <w:numId w:val="0"/>
        </w:numPr>
        <w:ind w:left="360" w:hanging="360"/>
        <w:rPr>
          <w:sz w:val="24"/>
        </w:rPr>
      </w:pPr>
      <w:proofErr w:type="spellStart"/>
      <w:r>
        <w:rPr>
          <w:sz w:val="24"/>
        </w:rPr>
        <w:t>i</w:t>
      </w:r>
      <w:proofErr w:type="spellEnd"/>
      <w:r>
        <w:rPr>
          <w:sz w:val="24"/>
        </w:rPr>
        <w:t>)</w:t>
      </w:r>
      <w:r>
        <w:rPr>
          <w:sz w:val="24"/>
        </w:rPr>
        <w:tab/>
        <w:t xml:space="preserve">to pay rent - </w:t>
      </w:r>
      <w:r>
        <w:rPr>
          <w:b/>
          <w:i/>
          <w:sz w:val="24"/>
        </w:rPr>
        <w:t>Parker v Webb</w:t>
      </w:r>
      <w:r>
        <w:rPr>
          <w:sz w:val="24"/>
        </w:rPr>
        <w:t xml:space="preserve"> [1693] 3 Salk 5;</w:t>
      </w:r>
    </w:p>
    <w:p w14:paraId="3E3D8345" w14:textId="77777777" w:rsidR="00574383" w:rsidRDefault="00574383" w:rsidP="00574383">
      <w:pPr>
        <w:numPr>
          <w:ilvl w:val="12"/>
          <w:numId w:val="0"/>
        </w:numPr>
        <w:ind w:left="360" w:hanging="360"/>
        <w:rPr>
          <w:sz w:val="24"/>
        </w:rPr>
      </w:pPr>
    </w:p>
    <w:p w14:paraId="58E1D684" w14:textId="77777777" w:rsidR="00574383" w:rsidRDefault="00574383" w:rsidP="00574383">
      <w:pPr>
        <w:numPr>
          <w:ilvl w:val="12"/>
          <w:numId w:val="0"/>
        </w:numPr>
        <w:ind w:left="360" w:hanging="360"/>
        <w:rPr>
          <w:sz w:val="24"/>
        </w:rPr>
      </w:pPr>
      <w:r>
        <w:rPr>
          <w:sz w:val="24"/>
        </w:rPr>
        <w:t xml:space="preserve">ii) </w:t>
      </w:r>
      <w:r>
        <w:rPr>
          <w:sz w:val="24"/>
        </w:rPr>
        <w:tab/>
        <w:t xml:space="preserve">to repair - </w:t>
      </w:r>
      <w:r>
        <w:rPr>
          <w:b/>
          <w:i/>
          <w:sz w:val="24"/>
        </w:rPr>
        <w:t>Matures v Westwood</w:t>
      </w:r>
      <w:r>
        <w:rPr>
          <w:sz w:val="24"/>
        </w:rPr>
        <w:t xml:space="preserve"> [1598] </w:t>
      </w:r>
      <w:proofErr w:type="spellStart"/>
      <w:r>
        <w:rPr>
          <w:sz w:val="24"/>
        </w:rPr>
        <w:t>Cro</w:t>
      </w:r>
      <w:proofErr w:type="spellEnd"/>
      <w:r>
        <w:rPr>
          <w:sz w:val="24"/>
        </w:rPr>
        <w:t xml:space="preserve"> Eliz 600;</w:t>
      </w:r>
    </w:p>
    <w:p w14:paraId="6AEF67BB" w14:textId="77777777" w:rsidR="00574383" w:rsidRDefault="00574383" w:rsidP="00574383">
      <w:pPr>
        <w:numPr>
          <w:ilvl w:val="12"/>
          <w:numId w:val="0"/>
        </w:numPr>
        <w:ind w:left="360" w:hanging="360"/>
        <w:rPr>
          <w:sz w:val="24"/>
        </w:rPr>
      </w:pPr>
    </w:p>
    <w:p w14:paraId="7D6B72B5" w14:textId="77777777" w:rsidR="00574383" w:rsidRDefault="00574383" w:rsidP="00574383">
      <w:pPr>
        <w:numPr>
          <w:ilvl w:val="12"/>
          <w:numId w:val="0"/>
        </w:numPr>
        <w:ind w:left="360" w:hanging="360"/>
        <w:rPr>
          <w:sz w:val="24"/>
        </w:rPr>
      </w:pPr>
      <w:r>
        <w:rPr>
          <w:sz w:val="24"/>
        </w:rPr>
        <w:t xml:space="preserve">iii) </w:t>
      </w:r>
      <w:r>
        <w:rPr>
          <w:sz w:val="24"/>
        </w:rPr>
        <w:tab/>
        <w:t xml:space="preserve">to cultivate land - </w:t>
      </w:r>
      <w:r>
        <w:rPr>
          <w:b/>
          <w:i/>
          <w:sz w:val="24"/>
        </w:rPr>
        <w:t>Chapman v Smith</w:t>
      </w:r>
      <w:r>
        <w:rPr>
          <w:sz w:val="24"/>
        </w:rPr>
        <w:t xml:space="preserve"> [1967] 2 Ch 97;</w:t>
      </w:r>
    </w:p>
    <w:p w14:paraId="1E1C7AAC" w14:textId="77777777" w:rsidR="00574383" w:rsidRDefault="00574383" w:rsidP="00574383">
      <w:pPr>
        <w:numPr>
          <w:ilvl w:val="12"/>
          <w:numId w:val="0"/>
        </w:numPr>
        <w:ind w:left="360" w:hanging="360"/>
        <w:rPr>
          <w:sz w:val="24"/>
        </w:rPr>
      </w:pPr>
    </w:p>
    <w:p w14:paraId="459AE822" w14:textId="77777777" w:rsidR="00574383" w:rsidRDefault="00574383" w:rsidP="00574383">
      <w:pPr>
        <w:numPr>
          <w:ilvl w:val="12"/>
          <w:numId w:val="0"/>
        </w:numPr>
        <w:ind w:left="360" w:hanging="360"/>
        <w:rPr>
          <w:sz w:val="24"/>
        </w:rPr>
      </w:pPr>
      <w:r>
        <w:rPr>
          <w:sz w:val="24"/>
        </w:rPr>
        <w:t xml:space="preserve">iv) </w:t>
      </w:r>
      <w:r>
        <w:rPr>
          <w:sz w:val="24"/>
        </w:rPr>
        <w:tab/>
        <w:t xml:space="preserve">to use for domestic purposes only - </w:t>
      </w:r>
      <w:r>
        <w:rPr>
          <w:b/>
          <w:i/>
          <w:sz w:val="24"/>
        </w:rPr>
        <w:t>Wilkinson v Rogers</w:t>
      </w:r>
      <w:r>
        <w:rPr>
          <w:sz w:val="24"/>
        </w:rPr>
        <w:t xml:space="preserve"> [1864] 2 De GJ and S 62;</w:t>
      </w:r>
    </w:p>
    <w:p w14:paraId="62C83D69" w14:textId="77777777" w:rsidR="00574383" w:rsidRDefault="00574383" w:rsidP="00574383">
      <w:pPr>
        <w:numPr>
          <w:ilvl w:val="12"/>
          <w:numId w:val="0"/>
        </w:numPr>
        <w:ind w:left="360" w:hanging="360"/>
        <w:rPr>
          <w:sz w:val="24"/>
        </w:rPr>
      </w:pPr>
    </w:p>
    <w:p w14:paraId="36E8D5EA" w14:textId="77777777" w:rsidR="00574383" w:rsidRDefault="00574383" w:rsidP="00574383">
      <w:pPr>
        <w:numPr>
          <w:ilvl w:val="12"/>
          <w:numId w:val="0"/>
        </w:numPr>
        <w:ind w:left="360" w:hanging="360"/>
        <w:rPr>
          <w:sz w:val="24"/>
        </w:rPr>
      </w:pPr>
      <w:r>
        <w:rPr>
          <w:sz w:val="24"/>
        </w:rPr>
        <w:t xml:space="preserve">v) </w:t>
      </w:r>
      <w:r>
        <w:rPr>
          <w:sz w:val="24"/>
        </w:rPr>
        <w:tab/>
        <w:t xml:space="preserve">to sell the landlord's products on the land - </w:t>
      </w:r>
      <w:r>
        <w:rPr>
          <w:b/>
          <w:i/>
          <w:sz w:val="24"/>
        </w:rPr>
        <w:t>Clegg v Hands</w:t>
      </w:r>
      <w:r>
        <w:rPr>
          <w:sz w:val="24"/>
        </w:rPr>
        <w:t xml:space="preserve"> [1890] 44 Ch D 503; and</w:t>
      </w:r>
    </w:p>
    <w:p w14:paraId="1D6333A6" w14:textId="77777777" w:rsidR="00574383" w:rsidRDefault="00574383" w:rsidP="00574383">
      <w:pPr>
        <w:numPr>
          <w:ilvl w:val="12"/>
          <w:numId w:val="0"/>
        </w:numPr>
        <w:ind w:left="360" w:hanging="360"/>
        <w:rPr>
          <w:sz w:val="24"/>
        </w:rPr>
      </w:pPr>
    </w:p>
    <w:p w14:paraId="01C11F48" w14:textId="77777777" w:rsidR="00574383" w:rsidRDefault="00574383" w:rsidP="00574383">
      <w:pPr>
        <w:numPr>
          <w:ilvl w:val="12"/>
          <w:numId w:val="0"/>
        </w:numPr>
        <w:ind w:left="360" w:hanging="360"/>
        <w:rPr>
          <w:sz w:val="24"/>
        </w:rPr>
      </w:pPr>
      <w:r>
        <w:rPr>
          <w:sz w:val="24"/>
        </w:rPr>
        <w:t xml:space="preserve">vi) </w:t>
      </w:r>
      <w:r>
        <w:rPr>
          <w:sz w:val="24"/>
        </w:rPr>
        <w:tab/>
        <w:t xml:space="preserve">not to assign without consent - </w:t>
      </w:r>
      <w:r>
        <w:rPr>
          <w:b/>
          <w:i/>
          <w:sz w:val="24"/>
        </w:rPr>
        <w:t>Williams v Earle</w:t>
      </w:r>
      <w:r>
        <w:rPr>
          <w:sz w:val="24"/>
        </w:rPr>
        <w:t xml:space="preserve"> [1868] LR3 QB 739.</w:t>
      </w:r>
    </w:p>
    <w:p w14:paraId="68D9B491" w14:textId="77777777" w:rsidR="00574383" w:rsidRDefault="00574383" w:rsidP="00574383">
      <w:pPr>
        <w:numPr>
          <w:ilvl w:val="12"/>
          <w:numId w:val="0"/>
        </w:numPr>
        <w:rPr>
          <w:sz w:val="24"/>
        </w:rPr>
      </w:pPr>
    </w:p>
    <w:p w14:paraId="02F10D5A" w14:textId="77777777" w:rsidR="00574383" w:rsidRDefault="00574383" w:rsidP="00574383">
      <w:pPr>
        <w:numPr>
          <w:ilvl w:val="12"/>
          <w:numId w:val="0"/>
        </w:numPr>
        <w:rPr>
          <w:sz w:val="24"/>
        </w:rPr>
      </w:pPr>
      <w:r>
        <w:rPr>
          <w:sz w:val="24"/>
        </w:rPr>
        <w:t>BUT NOT, for example:</w:t>
      </w:r>
    </w:p>
    <w:p w14:paraId="7499E4AC" w14:textId="77777777" w:rsidR="00574383" w:rsidRDefault="00574383" w:rsidP="00574383">
      <w:pPr>
        <w:numPr>
          <w:ilvl w:val="12"/>
          <w:numId w:val="0"/>
        </w:numPr>
        <w:rPr>
          <w:sz w:val="24"/>
        </w:rPr>
      </w:pPr>
    </w:p>
    <w:p w14:paraId="4EE6966B" w14:textId="77777777" w:rsidR="00574383" w:rsidRDefault="00574383" w:rsidP="00574383">
      <w:pPr>
        <w:numPr>
          <w:ilvl w:val="12"/>
          <w:numId w:val="0"/>
        </w:numPr>
        <w:rPr>
          <w:sz w:val="24"/>
        </w:rPr>
      </w:pPr>
      <w:proofErr w:type="spellStart"/>
      <w:r>
        <w:rPr>
          <w:sz w:val="24"/>
        </w:rPr>
        <w:t>i</w:t>
      </w:r>
      <w:proofErr w:type="spellEnd"/>
      <w:r>
        <w:rPr>
          <w:sz w:val="24"/>
        </w:rPr>
        <w:t>) Covenant to perform personal services for landlord; or</w:t>
      </w:r>
    </w:p>
    <w:p w14:paraId="7F25620E" w14:textId="77777777" w:rsidR="00574383" w:rsidRDefault="00574383" w:rsidP="00574383">
      <w:pPr>
        <w:numPr>
          <w:ilvl w:val="12"/>
          <w:numId w:val="0"/>
        </w:numPr>
        <w:rPr>
          <w:sz w:val="24"/>
        </w:rPr>
      </w:pPr>
    </w:p>
    <w:p w14:paraId="582FB576" w14:textId="77777777" w:rsidR="00574383" w:rsidRDefault="00574383" w:rsidP="00574383">
      <w:pPr>
        <w:numPr>
          <w:ilvl w:val="12"/>
          <w:numId w:val="0"/>
        </w:numPr>
        <w:rPr>
          <w:sz w:val="24"/>
        </w:rPr>
      </w:pPr>
      <w:r>
        <w:rPr>
          <w:sz w:val="24"/>
        </w:rPr>
        <w:t>ii) Covenant for forfeiture if the tenant was convicted of a criminal offence.</w:t>
      </w:r>
    </w:p>
    <w:p w14:paraId="39514BCE" w14:textId="77777777" w:rsidR="00574383" w:rsidRDefault="00574383" w:rsidP="00574383">
      <w:pPr>
        <w:numPr>
          <w:ilvl w:val="12"/>
          <w:numId w:val="0"/>
        </w:numPr>
        <w:rPr>
          <w:sz w:val="24"/>
        </w:rPr>
      </w:pPr>
    </w:p>
    <w:p w14:paraId="7ED5F2CD" w14:textId="77777777" w:rsidR="00574383" w:rsidRDefault="00574383" w:rsidP="00574383">
      <w:pPr>
        <w:numPr>
          <w:ilvl w:val="12"/>
          <w:numId w:val="0"/>
        </w:numPr>
        <w:rPr>
          <w:sz w:val="24"/>
        </w:rPr>
      </w:pPr>
      <w:r>
        <w:rPr>
          <w:sz w:val="24"/>
        </w:rPr>
        <w:t>What about enforceability by tenant?</w:t>
      </w:r>
    </w:p>
    <w:p w14:paraId="70D0A1EC" w14:textId="77777777" w:rsidR="00574383" w:rsidRDefault="00574383" w:rsidP="00574383">
      <w:pPr>
        <w:numPr>
          <w:ilvl w:val="12"/>
          <w:numId w:val="0"/>
        </w:numPr>
        <w:rPr>
          <w:sz w:val="24"/>
        </w:rPr>
      </w:pPr>
    </w:p>
    <w:p w14:paraId="0EE0D9E4" w14:textId="77777777" w:rsidR="00574383" w:rsidRDefault="00574383" w:rsidP="00574383">
      <w:pPr>
        <w:numPr>
          <w:ilvl w:val="12"/>
          <w:numId w:val="0"/>
        </w:numPr>
        <w:rPr>
          <w:sz w:val="24"/>
        </w:rPr>
      </w:pPr>
      <w:r>
        <w:rPr>
          <w:sz w:val="24"/>
        </w:rPr>
        <w:t>Look at privity of estate.  The parties are only liable on covenants which “touch and concern” the land, E.g., affect the land itself and not just the tenant personally (</w:t>
      </w:r>
      <w:r>
        <w:rPr>
          <w:i/>
          <w:sz w:val="24"/>
        </w:rPr>
        <w:t>LPA 1925; s141(2)</w:t>
      </w:r>
      <w:r>
        <w:rPr>
          <w:sz w:val="24"/>
        </w:rPr>
        <w:t>).</w:t>
      </w:r>
    </w:p>
    <w:p w14:paraId="6313BCBE" w14:textId="77777777" w:rsidR="00574383" w:rsidRDefault="00574383" w:rsidP="00574383">
      <w:pPr>
        <w:numPr>
          <w:ilvl w:val="12"/>
          <w:numId w:val="0"/>
        </w:numPr>
        <w:rPr>
          <w:sz w:val="24"/>
        </w:rPr>
      </w:pPr>
    </w:p>
    <w:p w14:paraId="073CB8B7" w14:textId="77777777" w:rsidR="00574383" w:rsidRDefault="00574383" w:rsidP="00574383">
      <w:pPr>
        <w:numPr>
          <w:ilvl w:val="12"/>
          <w:numId w:val="0"/>
        </w:numPr>
        <w:rPr>
          <w:sz w:val="24"/>
        </w:rPr>
      </w:pPr>
      <w:r>
        <w:rPr>
          <w:sz w:val="24"/>
        </w:rPr>
        <w:t>For example:</w:t>
      </w:r>
    </w:p>
    <w:p w14:paraId="3F870957" w14:textId="77777777" w:rsidR="00574383" w:rsidRDefault="00574383" w:rsidP="00574383">
      <w:pPr>
        <w:numPr>
          <w:ilvl w:val="12"/>
          <w:numId w:val="0"/>
        </w:numPr>
        <w:rPr>
          <w:sz w:val="24"/>
        </w:rPr>
      </w:pPr>
    </w:p>
    <w:p w14:paraId="3A7E25AC" w14:textId="77777777" w:rsidR="00574383" w:rsidRDefault="00574383" w:rsidP="00574383">
      <w:pPr>
        <w:numPr>
          <w:ilvl w:val="12"/>
          <w:numId w:val="0"/>
        </w:numPr>
        <w:ind w:left="360" w:hanging="360"/>
        <w:rPr>
          <w:sz w:val="24"/>
        </w:rPr>
      </w:pPr>
      <w:proofErr w:type="spellStart"/>
      <w:r>
        <w:rPr>
          <w:sz w:val="24"/>
        </w:rPr>
        <w:t>i</w:t>
      </w:r>
      <w:proofErr w:type="spellEnd"/>
      <w:r>
        <w:rPr>
          <w:sz w:val="24"/>
        </w:rPr>
        <w:t xml:space="preserve">) </w:t>
      </w:r>
      <w:r>
        <w:rPr>
          <w:sz w:val="24"/>
        </w:rPr>
        <w:tab/>
        <w:t xml:space="preserve">to repair/insure, to supply water - </w:t>
      </w:r>
      <w:r>
        <w:rPr>
          <w:b/>
          <w:i/>
          <w:sz w:val="24"/>
        </w:rPr>
        <w:t>Jourdain v Wilson</w:t>
      </w:r>
      <w:r>
        <w:rPr>
          <w:sz w:val="24"/>
        </w:rPr>
        <w:t xml:space="preserve"> [1821] 4 B and </w:t>
      </w:r>
      <w:proofErr w:type="spellStart"/>
      <w:r>
        <w:rPr>
          <w:sz w:val="24"/>
        </w:rPr>
        <w:t>Ald</w:t>
      </w:r>
      <w:proofErr w:type="spellEnd"/>
      <w:r>
        <w:rPr>
          <w:sz w:val="24"/>
        </w:rPr>
        <w:t xml:space="preserve"> 266;</w:t>
      </w:r>
    </w:p>
    <w:p w14:paraId="147813E0" w14:textId="77777777" w:rsidR="00574383" w:rsidRDefault="00574383" w:rsidP="00574383">
      <w:pPr>
        <w:numPr>
          <w:ilvl w:val="12"/>
          <w:numId w:val="0"/>
        </w:numPr>
        <w:ind w:left="360" w:hanging="360"/>
        <w:rPr>
          <w:sz w:val="24"/>
        </w:rPr>
      </w:pPr>
    </w:p>
    <w:p w14:paraId="5D9F2A6D" w14:textId="77777777" w:rsidR="00574383" w:rsidRDefault="00574383" w:rsidP="00574383">
      <w:pPr>
        <w:numPr>
          <w:ilvl w:val="12"/>
          <w:numId w:val="0"/>
        </w:numPr>
        <w:ind w:left="360" w:hanging="360"/>
        <w:rPr>
          <w:sz w:val="24"/>
        </w:rPr>
      </w:pPr>
      <w:r>
        <w:rPr>
          <w:sz w:val="24"/>
        </w:rPr>
        <w:lastRenderedPageBreak/>
        <w:t xml:space="preserve">ii) </w:t>
      </w:r>
      <w:r>
        <w:rPr>
          <w:sz w:val="24"/>
        </w:rPr>
        <w:tab/>
        <w:t xml:space="preserve">to give tenant quiet possession - </w:t>
      </w:r>
      <w:proofErr w:type="spellStart"/>
      <w:r>
        <w:rPr>
          <w:b/>
          <w:i/>
          <w:sz w:val="24"/>
        </w:rPr>
        <w:t>Celsteel</w:t>
      </w:r>
      <w:proofErr w:type="spellEnd"/>
      <w:r>
        <w:rPr>
          <w:b/>
          <w:i/>
          <w:sz w:val="24"/>
        </w:rPr>
        <w:t xml:space="preserve"> Limited v Alton House Holdings Ltd</w:t>
      </w:r>
      <w:r>
        <w:rPr>
          <w:sz w:val="24"/>
        </w:rPr>
        <w:t xml:space="preserve"> </w:t>
      </w:r>
      <w:r>
        <w:rPr>
          <w:b/>
          <w:sz w:val="24"/>
        </w:rPr>
        <w:t>(No. 2)</w:t>
      </w:r>
      <w:r>
        <w:rPr>
          <w:sz w:val="24"/>
        </w:rPr>
        <w:t xml:space="preserve"> [1986] 1 WLR 666; and</w:t>
      </w:r>
    </w:p>
    <w:p w14:paraId="3E2B7E53" w14:textId="77777777" w:rsidR="00574383" w:rsidRDefault="00574383" w:rsidP="00574383">
      <w:pPr>
        <w:numPr>
          <w:ilvl w:val="12"/>
          <w:numId w:val="0"/>
        </w:numPr>
        <w:ind w:left="360" w:hanging="360"/>
        <w:rPr>
          <w:sz w:val="24"/>
        </w:rPr>
      </w:pPr>
    </w:p>
    <w:p w14:paraId="259A111E" w14:textId="77777777" w:rsidR="00574383" w:rsidRDefault="00574383" w:rsidP="00574383">
      <w:pPr>
        <w:numPr>
          <w:ilvl w:val="12"/>
          <w:numId w:val="0"/>
        </w:numPr>
        <w:ind w:left="360" w:hanging="360"/>
        <w:rPr>
          <w:sz w:val="24"/>
        </w:rPr>
      </w:pPr>
      <w:r>
        <w:rPr>
          <w:sz w:val="24"/>
        </w:rPr>
        <w:t xml:space="preserve">iii) </w:t>
      </w:r>
      <w:r>
        <w:rPr>
          <w:sz w:val="24"/>
        </w:rPr>
        <w:tab/>
        <w:t xml:space="preserve">not to develop adjoining land - </w:t>
      </w:r>
      <w:r>
        <w:rPr>
          <w:b/>
          <w:i/>
          <w:sz w:val="24"/>
        </w:rPr>
        <w:t>Ricketts v Enfield Churchwardens</w:t>
      </w:r>
      <w:r>
        <w:rPr>
          <w:sz w:val="24"/>
        </w:rPr>
        <w:t xml:space="preserve"> [1909] 1 Ch 544.</w:t>
      </w:r>
    </w:p>
    <w:p w14:paraId="228F7302" w14:textId="77777777" w:rsidR="00574383" w:rsidRDefault="00574383" w:rsidP="00574383">
      <w:pPr>
        <w:numPr>
          <w:ilvl w:val="12"/>
          <w:numId w:val="0"/>
        </w:numPr>
        <w:rPr>
          <w:sz w:val="24"/>
        </w:rPr>
      </w:pPr>
    </w:p>
    <w:p w14:paraId="743BD5A9" w14:textId="77777777" w:rsidR="00574383" w:rsidRDefault="00574383" w:rsidP="00574383">
      <w:pPr>
        <w:numPr>
          <w:ilvl w:val="12"/>
          <w:numId w:val="0"/>
        </w:numPr>
        <w:rPr>
          <w:sz w:val="24"/>
        </w:rPr>
      </w:pPr>
      <w:r>
        <w:rPr>
          <w:sz w:val="24"/>
        </w:rPr>
        <w:t xml:space="preserve">If both the landlord and the tenant are not the original parties to the lease the covenants still enforceable provided they touch and concern the land - </w:t>
      </w:r>
      <w:r>
        <w:rPr>
          <w:b/>
          <w:i/>
          <w:sz w:val="24"/>
        </w:rPr>
        <w:t>Spencer’s Case</w:t>
      </w:r>
      <w:r>
        <w:rPr>
          <w:sz w:val="24"/>
        </w:rPr>
        <w:t xml:space="preserve"> [1583] and </w:t>
      </w:r>
      <w:r>
        <w:rPr>
          <w:i/>
          <w:sz w:val="24"/>
        </w:rPr>
        <w:t xml:space="preserve">LPA 1925; ss78 </w:t>
      </w:r>
      <w:r>
        <w:rPr>
          <w:sz w:val="24"/>
        </w:rPr>
        <w:t>and</w:t>
      </w:r>
      <w:r>
        <w:rPr>
          <w:i/>
          <w:sz w:val="24"/>
        </w:rPr>
        <w:t xml:space="preserve"> 79</w:t>
      </w:r>
      <w:r>
        <w:rPr>
          <w:sz w:val="24"/>
        </w:rPr>
        <w:t>.</w:t>
      </w:r>
    </w:p>
    <w:p w14:paraId="3680AE9A" w14:textId="77777777" w:rsidR="00574383" w:rsidRDefault="00574383" w:rsidP="00574383">
      <w:pPr>
        <w:numPr>
          <w:ilvl w:val="12"/>
          <w:numId w:val="0"/>
        </w:numPr>
        <w:rPr>
          <w:sz w:val="24"/>
        </w:rPr>
      </w:pPr>
    </w:p>
    <w:p w14:paraId="01B72DAE" w14:textId="77777777" w:rsidR="00574383" w:rsidRDefault="00574383" w:rsidP="00574383">
      <w:pPr>
        <w:numPr>
          <w:ilvl w:val="12"/>
          <w:numId w:val="0"/>
        </w:numPr>
        <w:rPr>
          <w:sz w:val="24"/>
        </w:rPr>
      </w:pPr>
      <w:r>
        <w:rPr>
          <w:sz w:val="24"/>
        </w:rPr>
        <w:t>As between the landlord and sub-tenant there is no privity of estate and no privity of contract either which is why landlords do not like sub-lessees, unless they can ensure (by insisting that their consent to sub-letting is required) that the sub-lessee enters into a direct contract with them in what is commonly known as a “Licence to Sub-let”.</w:t>
      </w:r>
    </w:p>
    <w:p w14:paraId="6B60169E" w14:textId="77777777" w:rsidR="00574383" w:rsidRDefault="00574383" w:rsidP="00574383">
      <w:pPr>
        <w:numPr>
          <w:ilvl w:val="12"/>
          <w:numId w:val="0"/>
        </w:numPr>
        <w:rPr>
          <w:sz w:val="24"/>
        </w:rPr>
      </w:pPr>
    </w:p>
    <w:p w14:paraId="6050A442" w14:textId="77777777" w:rsidR="00574383" w:rsidRDefault="00574383" w:rsidP="00574383">
      <w:pPr>
        <w:numPr>
          <w:ilvl w:val="12"/>
          <w:numId w:val="0"/>
        </w:numPr>
        <w:rPr>
          <w:sz w:val="24"/>
        </w:rPr>
      </w:pPr>
      <w:r>
        <w:rPr>
          <w:sz w:val="24"/>
        </w:rPr>
        <w:t xml:space="preserve">The </w:t>
      </w:r>
      <w:r>
        <w:rPr>
          <w:i/>
          <w:sz w:val="24"/>
        </w:rPr>
        <w:t>Contracts (Rights of Third Parties) Act 1999</w:t>
      </w:r>
      <w:r>
        <w:rPr>
          <w:sz w:val="24"/>
        </w:rPr>
        <w:t xml:space="preserve"> now provides that a person may enforce a term in a contract if the contract provides for this, or if the contract term is expressed to confer a benefit on that third party.  This may be of some help to both head landlords and sub-lessees.</w:t>
      </w:r>
    </w:p>
    <w:p w14:paraId="10BA684C" w14:textId="77777777" w:rsidR="00574383" w:rsidRDefault="00574383" w:rsidP="00574383">
      <w:pPr>
        <w:numPr>
          <w:ilvl w:val="12"/>
          <w:numId w:val="0"/>
        </w:numPr>
        <w:rPr>
          <w:sz w:val="24"/>
        </w:rPr>
      </w:pPr>
    </w:p>
    <w:p w14:paraId="5A3FE9CC" w14:textId="77777777" w:rsidR="00574383" w:rsidRDefault="00574383" w:rsidP="00574383">
      <w:pPr>
        <w:numPr>
          <w:ilvl w:val="12"/>
          <w:numId w:val="0"/>
        </w:numPr>
        <w:rPr>
          <w:sz w:val="24"/>
        </w:rPr>
      </w:pPr>
      <w:r>
        <w:rPr>
          <w:sz w:val="24"/>
        </w:rPr>
        <w:t>In addition, if the covenant is restrictive and the sub-lessee has notice of it, he will be bound (see later, when we look at freehold covenants).</w:t>
      </w:r>
    </w:p>
    <w:p w14:paraId="60F92E2B" w14:textId="77777777" w:rsidR="00574383" w:rsidRDefault="00574383" w:rsidP="00574383">
      <w:pPr>
        <w:numPr>
          <w:ilvl w:val="12"/>
          <w:numId w:val="0"/>
        </w:numPr>
        <w:rPr>
          <w:b/>
          <w:sz w:val="24"/>
        </w:rPr>
      </w:pPr>
    </w:p>
    <w:p w14:paraId="526D1983" w14:textId="77777777" w:rsidR="00574383" w:rsidRDefault="00574383" w:rsidP="00574383">
      <w:pPr>
        <w:numPr>
          <w:ilvl w:val="12"/>
          <w:numId w:val="0"/>
        </w:numPr>
        <w:rPr>
          <w:sz w:val="24"/>
        </w:rPr>
      </w:pPr>
      <w:r>
        <w:rPr>
          <w:b/>
          <w:sz w:val="24"/>
        </w:rPr>
        <w:br w:type="page"/>
      </w:r>
      <w:r>
        <w:rPr>
          <w:b/>
          <w:sz w:val="24"/>
        </w:rPr>
        <w:lastRenderedPageBreak/>
        <w:t>Leasehold Covenants - New Rules</w:t>
      </w:r>
    </w:p>
    <w:p w14:paraId="3E789407" w14:textId="77777777" w:rsidR="00574383" w:rsidRDefault="00574383" w:rsidP="00574383">
      <w:pPr>
        <w:numPr>
          <w:ilvl w:val="12"/>
          <w:numId w:val="0"/>
        </w:numPr>
        <w:rPr>
          <w:sz w:val="24"/>
        </w:rPr>
      </w:pPr>
    </w:p>
    <w:p w14:paraId="32D3976D" w14:textId="77777777" w:rsidR="00574383" w:rsidRDefault="00574383" w:rsidP="00574383">
      <w:pPr>
        <w:numPr>
          <w:ilvl w:val="12"/>
          <w:numId w:val="0"/>
        </w:numPr>
        <w:rPr>
          <w:sz w:val="24"/>
        </w:rPr>
      </w:pPr>
      <w:r>
        <w:rPr>
          <w:sz w:val="24"/>
        </w:rPr>
        <w:t>These rules apply to any lease granted AFTER 1</w:t>
      </w:r>
      <w:r>
        <w:rPr>
          <w:sz w:val="24"/>
          <w:vertAlign w:val="superscript"/>
        </w:rPr>
        <w:t>st</w:t>
      </w:r>
      <w:r>
        <w:rPr>
          <w:sz w:val="24"/>
        </w:rPr>
        <w:t xml:space="preserve"> January 1996 (provided it is not entered into pursuant to an agreement or court order made prior to that date)</w:t>
      </w:r>
    </w:p>
    <w:tbl>
      <w:tblPr>
        <w:tblW w:w="0" w:type="auto"/>
        <w:tblLayout w:type="fixed"/>
        <w:tblLook w:val="04A0" w:firstRow="1" w:lastRow="0" w:firstColumn="1" w:lastColumn="0" w:noHBand="0" w:noVBand="1"/>
      </w:tblPr>
      <w:tblGrid>
        <w:gridCol w:w="3348"/>
        <w:gridCol w:w="5310"/>
      </w:tblGrid>
      <w:tr w:rsidR="00574383" w14:paraId="431AC351" w14:textId="77777777">
        <w:tc>
          <w:tcPr>
            <w:tcW w:w="3348" w:type="dxa"/>
          </w:tcPr>
          <w:p w14:paraId="7A6503FD" w14:textId="405F70C6"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0" allowOverlap="1" wp14:anchorId="2B7423F0" wp14:editId="22701196">
                      <wp:simplePos x="0" y="0"/>
                      <wp:positionH relativeFrom="column">
                        <wp:posOffset>45720</wp:posOffset>
                      </wp:positionH>
                      <wp:positionV relativeFrom="paragraph">
                        <wp:posOffset>376555</wp:posOffset>
                      </wp:positionV>
                      <wp:extent cx="635" cy="457835"/>
                      <wp:effectExtent l="7620" t="14605" r="10795" b="13335"/>
                      <wp:wrapNone/>
                      <wp:docPr id="51" name="Straight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15AC37" id="Straight Connector 5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9.65pt" to="3.65pt,6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" o:allowincell="f" strokeweight="1pt"/>
                  </w:pict>
                </mc:Fallback>
              </mc:AlternateContent>
            </w:r>
          </w:p>
          <w:p w14:paraId="1057077C" w14:textId="77777777" w:rsidR="00574383" w:rsidRDefault="00574383">
            <w:pPr>
              <w:numPr>
                <w:ilvl w:val="12"/>
                <w:numId w:val="0"/>
              </w:numPr>
              <w:rPr>
                <w:sz w:val="24"/>
              </w:rPr>
            </w:pPr>
            <w:r>
              <w:rPr>
                <w:sz w:val="24"/>
              </w:rPr>
              <w:t>L</w:t>
            </w:r>
          </w:p>
          <w:p w14:paraId="75C6DC36" w14:textId="77777777" w:rsidR="00574383" w:rsidRDefault="00574383">
            <w:pPr>
              <w:numPr>
                <w:ilvl w:val="12"/>
                <w:numId w:val="0"/>
              </w:numPr>
              <w:rPr>
                <w:sz w:val="24"/>
              </w:rPr>
            </w:pPr>
          </w:p>
          <w:p w14:paraId="68FAFE59" w14:textId="77777777" w:rsidR="00574383" w:rsidRDefault="00574383">
            <w:pPr>
              <w:numPr>
                <w:ilvl w:val="12"/>
                <w:numId w:val="0"/>
              </w:numPr>
              <w:rPr>
                <w:sz w:val="24"/>
              </w:rPr>
            </w:pPr>
          </w:p>
          <w:p w14:paraId="7FFC8A8C" w14:textId="77777777" w:rsidR="00574383" w:rsidRDefault="00574383">
            <w:pPr>
              <w:numPr>
                <w:ilvl w:val="12"/>
                <w:numId w:val="0"/>
              </w:numPr>
              <w:rPr>
                <w:sz w:val="24"/>
              </w:rPr>
            </w:pPr>
          </w:p>
          <w:p w14:paraId="165C247C" w14:textId="77777777" w:rsidR="00574383" w:rsidRDefault="00574383">
            <w:pPr>
              <w:numPr>
                <w:ilvl w:val="12"/>
                <w:numId w:val="0"/>
              </w:numPr>
              <w:rPr>
                <w:sz w:val="24"/>
              </w:rPr>
            </w:pPr>
            <w:r>
              <w:rPr>
                <w:sz w:val="24"/>
              </w:rPr>
              <w:t>T</w:t>
            </w:r>
          </w:p>
          <w:p w14:paraId="67F053D4" w14:textId="77777777" w:rsidR="00574383" w:rsidRDefault="00574383">
            <w:pPr>
              <w:numPr>
                <w:ilvl w:val="12"/>
                <w:numId w:val="0"/>
              </w:numPr>
              <w:rPr>
                <w:sz w:val="24"/>
              </w:rPr>
            </w:pPr>
          </w:p>
        </w:tc>
        <w:tc>
          <w:tcPr>
            <w:tcW w:w="5310" w:type="dxa"/>
          </w:tcPr>
          <w:p w14:paraId="09CCE15B" w14:textId="77777777" w:rsidR="00574383" w:rsidRDefault="00574383">
            <w:pPr>
              <w:numPr>
                <w:ilvl w:val="12"/>
                <w:numId w:val="0"/>
              </w:numPr>
              <w:rPr>
                <w:sz w:val="24"/>
              </w:rPr>
            </w:pPr>
          </w:p>
          <w:p w14:paraId="13EE24C5" w14:textId="77777777" w:rsidR="00574383" w:rsidRDefault="00574383">
            <w:pPr>
              <w:numPr>
                <w:ilvl w:val="12"/>
                <w:numId w:val="0"/>
              </w:numPr>
              <w:rPr>
                <w:sz w:val="24"/>
              </w:rPr>
            </w:pPr>
            <w:r>
              <w:rPr>
                <w:sz w:val="24"/>
              </w:rPr>
              <w:t xml:space="preserve">All covenants are enforceable by landlord against tenant and vice versa for whole duration of ownership.  </w:t>
            </w:r>
          </w:p>
          <w:p w14:paraId="320562B3" w14:textId="77777777" w:rsidR="00574383" w:rsidRDefault="00574383">
            <w:pPr>
              <w:numPr>
                <w:ilvl w:val="12"/>
                <w:numId w:val="0"/>
              </w:numPr>
              <w:rPr>
                <w:sz w:val="24"/>
              </w:rPr>
            </w:pPr>
            <w:r>
              <w:rPr>
                <w:sz w:val="24"/>
              </w:rPr>
              <w:t>But when the tenant lawfully assigns the lease (see below) then the tenant is automatically released from his obligations as tenant (</w:t>
            </w:r>
            <w:r>
              <w:rPr>
                <w:i/>
                <w:sz w:val="24"/>
              </w:rPr>
              <w:t>LT(C)A 1995; s5</w:t>
            </w:r>
            <w:r>
              <w:rPr>
                <w:sz w:val="24"/>
              </w:rPr>
              <w:t xml:space="preserve">). </w:t>
            </w:r>
          </w:p>
          <w:p w14:paraId="13A82B4C" w14:textId="77777777" w:rsidR="00574383" w:rsidRDefault="00574383">
            <w:pPr>
              <w:numPr>
                <w:ilvl w:val="12"/>
                <w:numId w:val="0"/>
              </w:numPr>
              <w:rPr>
                <w:sz w:val="24"/>
              </w:rPr>
            </w:pPr>
            <w:r>
              <w:rPr>
                <w:sz w:val="24"/>
              </w:rPr>
              <w:t>The tenant may be required to give an “authorised guarantee agreement” (AGA) - guarantees the performance of HIS assignee (but not subsequent) (</w:t>
            </w:r>
            <w:r>
              <w:rPr>
                <w:i/>
                <w:sz w:val="24"/>
              </w:rPr>
              <w:t>LT(C)A 1995; s16</w:t>
            </w:r>
            <w:r>
              <w:rPr>
                <w:sz w:val="24"/>
              </w:rPr>
              <w:t>).  AGA only required where there is an absolute or qualified covenant against assignment.</w:t>
            </w:r>
          </w:p>
          <w:p w14:paraId="3591B3EA" w14:textId="77777777" w:rsidR="00574383" w:rsidRDefault="00574383">
            <w:pPr>
              <w:numPr>
                <w:ilvl w:val="12"/>
                <w:numId w:val="0"/>
              </w:numPr>
              <w:rPr>
                <w:sz w:val="24"/>
              </w:rPr>
            </w:pPr>
            <w:r>
              <w:rPr>
                <w:sz w:val="24"/>
              </w:rPr>
              <w:t>If landlord sells the reversion he can ask to be released from his obligations.  If the tenant does not agree to this he can apply to court (</w:t>
            </w:r>
            <w:r>
              <w:rPr>
                <w:i/>
                <w:sz w:val="24"/>
              </w:rPr>
              <w:t xml:space="preserve">LT(C)A 1995; s6 </w:t>
            </w:r>
            <w:r>
              <w:rPr>
                <w:sz w:val="24"/>
              </w:rPr>
              <w:t>and</w:t>
            </w:r>
            <w:r>
              <w:rPr>
                <w:i/>
                <w:sz w:val="24"/>
              </w:rPr>
              <w:t xml:space="preserve"> 8</w:t>
            </w:r>
            <w:r>
              <w:rPr>
                <w:sz w:val="24"/>
              </w:rPr>
              <w:t>).</w:t>
            </w:r>
          </w:p>
          <w:p w14:paraId="31AFDF6A" w14:textId="77777777" w:rsidR="00574383" w:rsidRDefault="00574383">
            <w:pPr>
              <w:numPr>
                <w:ilvl w:val="12"/>
                <w:numId w:val="0"/>
              </w:numPr>
              <w:rPr>
                <w:sz w:val="24"/>
              </w:rPr>
            </w:pPr>
          </w:p>
        </w:tc>
      </w:tr>
      <w:tr w:rsidR="00574383" w14:paraId="4654C0D7" w14:textId="77777777">
        <w:tc>
          <w:tcPr>
            <w:tcW w:w="3348" w:type="dxa"/>
          </w:tcPr>
          <w:p w14:paraId="74C3E426" w14:textId="1DB4A2F9"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0" allowOverlap="1" wp14:anchorId="21936915" wp14:editId="617341EA">
                      <wp:simplePos x="0" y="0"/>
                      <wp:positionH relativeFrom="column">
                        <wp:posOffset>137160</wp:posOffset>
                      </wp:positionH>
                      <wp:positionV relativeFrom="paragraph">
                        <wp:posOffset>142875</wp:posOffset>
                      </wp:positionV>
                      <wp:extent cx="732155" cy="549275"/>
                      <wp:effectExtent l="13335" t="9525" r="6985" b="12700"/>
                      <wp:wrapNone/>
                      <wp:docPr id="50" name="Straight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549275"/>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F8B26A" id="Straight Connector 5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1.25pt" to="68.4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" o:allowincell="f" strokeweight=".5pt"/>
                  </w:pict>
                </mc:Fallback>
              </mc:AlternateContent>
            </w:r>
            <w:r>
              <w:rPr>
                <w:noProof/>
              </w:rPr>
              <mc:AlternateContent>
                <mc:Choice Requires="wps">
                  <w:drawing>
                    <wp:anchor distT="0" distB="0" distL="114300" distR="114300" simplePos="0" relativeHeight="251658240" behindDoc="0" locked="0" layoutInCell="0" allowOverlap="1" wp14:anchorId="2F331BA1" wp14:editId="4D880578">
                      <wp:simplePos x="0" y="0"/>
                      <wp:positionH relativeFrom="column">
                        <wp:posOffset>137160</wp:posOffset>
                      </wp:positionH>
                      <wp:positionV relativeFrom="paragraph">
                        <wp:posOffset>782955</wp:posOffset>
                      </wp:positionV>
                      <wp:extent cx="732155" cy="635"/>
                      <wp:effectExtent l="13335" t="11430" r="6985" b="6985"/>
                      <wp:wrapNone/>
                      <wp:docPr id="49"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6EE412" id="Straight Connector 4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61.65pt" to="68.45pt,6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" o:allowincell="f" strokeweight="1pt"/>
                  </w:pict>
                </mc:Fallback>
              </mc:AlternateContent>
            </w:r>
            <w:r>
              <w:rPr>
                <w:noProof/>
              </w:rPr>
              <mc:AlternateContent>
                <mc:Choice Requires="wps">
                  <w:drawing>
                    <wp:anchor distT="0" distB="0" distL="114300" distR="114300" simplePos="0" relativeHeight="251658240" behindDoc="0" locked="0" layoutInCell="0" allowOverlap="1" wp14:anchorId="56B7B086" wp14:editId="6BA19A1C">
                      <wp:simplePos x="0" y="0"/>
                      <wp:positionH relativeFrom="column">
                        <wp:posOffset>45720</wp:posOffset>
                      </wp:positionH>
                      <wp:positionV relativeFrom="paragraph">
                        <wp:posOffset>142875</wp:posOffset>
                      </wp:positionV>
                      <wp:extent cx="635" cy="549275"/>
                      <wp:effectExtent l="7620" t="9525" r="10795" b="12700"/>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54927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9DFD00" id="Straight Connector 4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1.25pt" to="3.6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" o:allowincell="f" strokeweight="1pt"/>
                  </w:pict>
                </mc:Fallback>
              </mc:AlternateContent>
            </w:r>
            <w:r>
              <w:rPr>
                <w:sz w:val="24"/>
              </w:rPr>
              <w:t>L</w:t>
            </w:r>
          </w:p>
          <w:p w14:paraId="1A146AF6" w14:textId="77777777" w:rsidR="00574383" w:rsidRDefault="00574383">
            <w:pPr>
              <w:numPr>
                <w:ilvl w:val="12"/>
                <w:numId w:val="0"/>
              </w:numPr>
              <w:rPr>
                <w:sz w:val="24"/>
              </w:rPr>
            </w:pPr>
          </w:p>
          <w:p w14:paraId="1C581B3D" w14:textId="77777777" w:rsidR="00574383" w:rsidRDefault="00574383">
            <w:pPr>
              <w:numPr>
                <w:ilvl w:val="12"/>
                <w:numId w:val="0"/>
              </w:numPr>
              <w:rPr>
                <w:sz w:val="24"/>
              </w:rPr>
            </w:pPr>
          </w:p>
          <w:p w14:paraId="7B19ABA7" w14:textId="77777777" w:rsidR="00574383" w:rsidRDefault="00574383">
            <w:pPr>
              <w:numPr>
                <w:ilvl w:val="12"/>
                <w:numId w:val="0"/>
              </w:numPr>
              <w:rPr>
                <w:sz w:val="24"/>
              </w:rPr>
            </w:pPr>
          </w:p>
          <w:p w14:paraId="22DB2439" w14:textId="77777777" w:rsidR="00574383" w:rsidRDefault="00574383">
            <w:pPr>
              <w:numPr>
                <w:ilvl w:val="12"/>
                <w:numId w:val="0"/>
              </w:numPr>
              <w:rPr>
                <w:sz w:val="24"/>
                <w:vertAlign w:val="superscript"/>
              </w:rPr>
            </w:pPr>
            <w:r>
              <w:rPr>
                <w:sz w:val="24"/>
              </w:rPr>
              <w:t>T</w:t>
            </w:r>
            <w:r>
              <w:rPr>
                <w:sz w:val="24"/>
              </w:rPr>
              <w:tab/>
            </w:r>
            <w:r>
              <w:rPr>
                <w:sz w:val="24"/>
              </w:rPr>
              <w:tab/>
              <w:t>A</w:t>
            </w:r>
            <w:r>
              <w:rPr>
                <w:sz w:val="24"/>
                <w:vertAlign w:val="superscript"/>
              </w:rPr>
              <w:t>1</w:t>
            </w:r>
          </w:p>
          <w:p w14:paraId="4C09709A" w14:textId="77777777" w:rsidR="00574383" w:rsidRDefault="00574383">
            <w:pPr>
              <w:numPr>
                <w:ilvl w:val="12"/>
                <w:numId w:val="0"/>
              </w:numPr>
              <w:rPr>
                <w:sz w:val="24"/>
              </w:rPr>
            </w:pPr>
          </w:p>
        </w:tc>
        <w:tc>
          <w:tcPr>
            <w:tcW w:w="5310" w:type="dxa"/>
          </w:tcPr>
          <w:p w14:paraId="2131B23E" w14:textId="77777777" w:rsidR="00574383" w:rsidRDefault="00574383">
            <w:pPr>
              <w:numPr>
                <w:ilvl w:val="12"/>
                <w:numId w:val="0"/>
              </w:numPr>
              <w:rPr>
                <w:sz w:val="24"/>
              </w:rPr>
            </w:pPr>
            <w:r>
              <w:rPr>
                <w:sz w:val="24"/>
              </w:rPr>
              <w:t>Benefit and burden of ALL covenants (unless EXPRESSED to be purely personal) will run - not just those “having reference to the subject matter of the lease” or “touching and concerning the land”.</w:t>
            </w:r>
          </w:p>
          <w:p w14:paraId="0A8FB664" w14:textId="77777777" w:rsidR="00574383" w:rsidRDefault="00574383">
            <w:pPr>
              <w:numPr>
                <w:ilvl w:val="12"/>
                <w:numId w:val="0"/>
              </w:numPr>
              <w:rPr>
                <w:sz w:val="24"/>
              </w:rPr>
            </w:pPr>
          </w:p>
        </w:tc>
      </w:tr>
      <w:tr w:rsidR="00574383" w14:paraId="3EDCB7F4" w14:textId="77777777">
        <w:tc>
          <w:tcPr>
            <w:tcW w:w="3348" w:type="dxa"/>
          </w:tcPr>
          <w:p w14:paraId="3C76DFE2" w14:textId="03B3770E"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0" allowOverlap="1" wp14:anchorId="5FFBF7FE" wp14:editId="6C43E4F5">
                      <wp:simplePos x="0" y="0"/>
                      <wp:positionH relativeFrom="column">
                        <wp:posOffset>45720</wp:posOffset>
                      </wp:positionH>
                      <wp:positionV relativeFrom="paragraph">
                        <wp:posOffset>173355</wp:posOffset>
                      </wp:positionV>
                      <wp:extent cx="1905" cy="490220"/>
                      <wp:effectExtent l="7620" t="11430" r="9525" b="12700"/>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 cy="49022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FA2661" id="Straight Connector 4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3.65pt" to="3.75pt,5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" o:allowincell="f" strokeweight="1pt"/>
                  </w:pict>
                </mc:Fallback>
              </mc:AlternateContent>
            </w:r>
            <w:r>
              <w:rPr>
                <w:noProof/>
              </w:rPr>
              <mc:AlternateContent>
                <mc:Choice Requires="wps">
                  <w:drawing>
                    <wp:anchor distT="0" distB="0" distL="114300" distR="114300" simplePos="0" relativeHeight="251658240" behindDoc="0" locked="0" layoutInCell="0" allowOverlap="1" wp14:anchorId="6065BA04" wp14:editId="3BCCE4D8">
                      <wp:simplePos x="0" y="0"/>
                      <wp:positionH relativeFrom="column">
                        <wp:posOffset>137160</wp:posOffset>
                      </wp:positionH>
                      <wp:positionV relativeFrom="paragraph">
                        <wp:posOffset>173355</wp:posOffset>
                      </wp:positionV>
                      <wp:extent cx="732155" cy="549275"/>
                      <wp:effectExtent l="13335" t="11430" r="6985" b="10795"/>
                      <wp:wrapNone/>
                      <wp:docPr id="46" name="Straight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32155" cy="549275"/>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4BDDFB" id="Straight Connector 46"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3.65pt" to="68.45pt,5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" o:allowincell="f" strokeweight=".5pt"/>
                  </w:pict>
                </mc:Fallback>
              </mc:AlternateContent>
            </w:r>
            <w:r>
              <w:rPr>
                <w:noProof/>
              </w:rPr>
              <mc:AlternateContent>
                <mc:Choice Requires="wps">
                  <w:drawing>
                    <wp:anchor distT="0" distB="0" distL="114300" distR="114300" simplePos="0" relativeHeight="251658240" behindDoc="0" locked="0" layoutInCell="0" allowOverlap="1" wp14:anchorId="399E1720" wp14:editId="45FDFB3F">
                      <wp:simplePos x="0" y="0"/>
                      <wp:positionH relativeFrom="column">
                        <wp:posOffset>137160</wp:posOffset>
                      </wp:positionH>
                      <wp:positionV relativeFrom="paragraph">
                        <wp:posOffset>81915</wp:posOffset>
                      </wp:positionV>
                      <wp:extent cx="732155" cy="635"/>
                      <wp:effectExtent l="13335" t="15240" r="6985" b="12700"/>
                      <wp:wrapNone/>
                      <wp:docPr id="45"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F957B6" id="Straight Connector 4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6.45pt" to="68.4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" o:allowincell="f" strokeweight="1pt"/>
                  </w:pict>
                </mc:Fallback>
              </mc:AlternateContent>
            </w:r>
            <w:r>
              <w:rPr>
                <w:sz w:val="24"/>
              </w:rPr>
              <w:t>L</w:t>
            </w:r>
            <w:r>
              <w:rPr>
                <w:sz w:val="24"/>
              </w:rPr>
              <w:tab/>
            </w:r>
            <w:r>
              <w:rPr>
                <w:sz w:val="24"/>
              </w:rPr>
              <w:tab/>
              <w:t>R</w:t>
            </w:r>
            <w:r>
              <w:rPr>
                <w:sz w:val="24"/>
                <w:vertAlign w:val="superscript"/>
              </w:rPr>
              <w:t>1</w:t>
            </w:r>
          </w:p>
          <w:p w14:paraId="3777AA88" w14:textId="77777777" w:rsidR="00574383" w:rsidRDefault="00574383">
            <w:pPr>
              <w:numPr>
                <w:ilvl w:val="12"/>
                <w:numId w:val="0"/>
              </w:numPr>
              <w:rPr>
                <w:sz w:val="24"/>
              </w:rPr>
            </w:pPr>
          </w:p>
          <w:p w14:paraId="04D5FD8D" w14:textId="77777777" w:rsidR="00574383" w:rsidRDefault="00574383">
            <w:pPr>
              <w:numPr>
                <w:ilvl w:val="12"/>
                <w:numId w:val="0"/>
              </w:numPr>
              <w:rPr>
                <w:sz w:val="24"/>
              </w:rPr>
            </w:pPr>
          </w:p>
          <w:p w14:paraId="206CAB0B" w14:textId="77777777" w:rsidR="00574383" w:rsidRDefault="00574383">
            <w:pPr>
              <w:numPr>
                <w:ilvl w:val="12"/>
                <w:numId w:val="0"/>
              </w:numPr>
              <w:rPr>
                <w:sz w:val="24"/>
              </w:rPr>
            </w:pPr>
          </w:p>
          <w:p w14:paraId="03EA8DE8" w14:textId="77777777" w:rsidR="00574383" w:rsidRDefault="00574383">
            <w:pPr>
              <w:numPr>
                <w:ilvl w:val="12"/>
                <w:numId w:val="0"/>
              </w:numPr>
              <w:rPr>
                <w:sz w:val="24"/>
              </w:rPr>
            </w:pPr>
            <w:r>
              <w:rPr>
                <w:sz w:val="24"/>
              </w:rPr>
              <w:t>T</w:t>
            </w:r>
          </w:p>
        </w:tc>
        <w:tc>
          <w:tcPr>
            <w:tcW w:w="5310" w:type="dxa"/>
          </w:tcPr>
          <w:p w14:paraId="5852A6A4" w14:textId="77777777" w:rsidR="00574383" w:rsidRDefault="00574383">
            <w:pPr>
              <w:numPr>
                <w:ilvl w:val="12"/>
                <w:numId w:val="0"/>
              </w:numPr>
              <w:rPr>
                <w:sz w:val="24"/>
              </w:rPr>
            </w:pPr>
            <w:r>
              <w:rPr>
                <w:sz w:val="24"/>
              </w:rPr>
              <w:t>Benefit and burden of ALL covenants (unless EXPRESSED to be purely personal) will run - not just those “having reference to the subject matter of the lease” or “touching and concerning the land.”</w:t>
            </w:r>
          </w:p>
          <w:p w14:paraId="75CFC59B" w14:textId="77777777" w:rsidR="00574383" w:rsidRDefault="00574383">
            <w:pPr>
              <w:numPr>
                <w:ilvl w:val="12"/>
                <w:numId w:val="0"/>
              </w:numPr>
              <w:rPr>
                <w:sz w:val="24"/>
              </w:rPr>
            </w:pPr>
          </w:p>
        </w:tc>
      </w:tr>
      <w:tr w:rsidR="00574383" w14:paraId="03312486" w14:textId="77777777">
        <w:tc>
          <w:tcPr>
            <w:tcW w:w="3348" w:type="dxa"/>
          </w:tcPr>
          <w:p w14:paraId="3489F42B" w14:textId="6336D474"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0" allowOverlap="1" wp14:anchorId="00EA0124" wp14:editId="5D7B6DF9">
                      <wp:simplePos x="0" y="0"/>
                      <wp:positionH relativeFrom="column">
                        <wp:posOffset>45720</wp:posOffset>
                      </wp:positionH>
                      <wp:positionV relativeFrom="paragraph">
                        <wp:posOffset>868680</wp:posOffset>
                      </wp:positionV>
                      <wp:extent cx="1905" cy="495935"/>
                      <wp:effectExtent l="7620" t="11430" r="9525" b="6985"/>
                      <wp:wrapNone/>
                      <wp:docPr id="44" name="Straight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 cy="4959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25B2B4" id="Straight Connector 4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8.4pt" to="3.75pt,10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" o:allowincell="f" strokeweight="1pt"/>
                  </w:pict>
                </mc:Fallback>
              </mc:AlternateContent>
            </w:r>
            <w:r>
              <w:rPr>
                <w:noProof/>
              </w:rPr>
              <mc:AlternateContent>
                <mc:Choice Requires="wps">
                  <w:drawing>
                    <wp:anchor distT="0" distB="0" distL="114300" distR="114300" simplePos="0" relativeHeight="251658240" behindDoc="0" locked="0" layoutInCell="0" allowOverlap="1" wp14:anchorId="2C3A85BD" wp14:editId="175B9F95">
                      <wp:simplePos x="0" y="0"/>
                      <wp:positionH relativeFrom="column">
                        <wp:posOffset>46355</wp:posOffset>
                      </wp:positionH>
                      <wp:positionV relativeFrom="paragraph">
                        <wp:posOffset>175895</wp:posOffset>
                      </wp:positionV>
                      <wp:extent cx="1270" cy="510540"/>
                      <wp:effectExtent l="8255" t="13970" r="9525" b="8890"/>
                      <wp:wrapNone/>
                      <wp:docPr id="43" name="Straight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70" cy="51054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0D082" id="Straight Connector 43"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5pt,13.85pt" to="3.75pt,5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" o:allowincell="f" strokeweight="1pt"/>
                  </w:pict>
                </mc:Fallback>
              </mc:AlternateContent>
            </w:r>
            <w:r>
              <w:rPr>
                <w:sz w:val="24"/>
              </w:rPr>
              <w:t>L</w:t>
            </w:r>
          </w:p>
          <w:p w14:paraId="2B68D802" w14:textId="77777777" w:rsidR="00574383" w:rsidRDefault="00574383">
            <w:pPr>
              <w:numPr>
                <w:ilvl w:val="12"/>
                <w:numId w:val="0"/>
              </w:numPr>
              <w:rPr>
                <w:sz w:val="24"/>
              </w:rPr>
            </w:pPr>
          </w:p>
          <w:p w14:paraId="70339C04" w14:textId="77777777" w:rsidR="00574383" w:rsidRDefault="00574383">
            <w:pPr>
              <w:numPr>
                <w:ilvl w:val="12"/>
                <w:numId w:val="0"/>
              </w:numPr>
              <w:rPr>
                <w:sz w:val="24"/>
              </w:rPr>
            </w:pPr>
          </w:p>
          <w:p w14:paraId="06F536C0" w14:textId="77777777" w:rsidR="00574383" w:rsidRDefault="00574383">
            <w:pPr>
              <w:numPr>
                <w:ilvl w:val="12"/>
                <w:numId w:val="0"/>
              </w:numPr>
              <w:rPr>
                <w:sz w:val="24"/>
              </w:rPr>
            </w:pPr>
          </w:p>
          <w:p w14:paraId="08420971" w14:textId="77777777" w:rsidR="00574383" w:rsidRDefault="00574383">
            <w:pPr>
              <w:numPr>
                <w:ilvl w:val="12"/>
                <w:numId w:val="0"/>
              </w:numPr>
              <w:rPr>
                <w:sz w:val="24"/>
              </w:rPr>
            </w:pPr>
            <w:r>
              <w:rPr>
                <w:sz w:val="24"/>
              </w:rPr>
              <w:t>T</w:t>
            </w:r>
          </w:p>
          <w:p w14:paraId="6870F589" w14:textId="77777777" w:rsidR="00574383" w:rsidRDefault="00574383">
            <w:pPr>
              <w:numPr>
                <w:ilvl w:val="12"/>
                <w:numId w:val="0"/>
              </w:numPr>
              <w:rPr>
                <w:sz w:val="24"/>
              </w:rPr>
            </w:pPr>
          </w:p>
          <w:p w14:paraId="50887F88" w14:textId="77777777" w:rsidR="00574383" w:rsidRDefault="00574383">
            <w:pPr>
              <w:numPr>
                <w:ilvl w:val="12"/>
                <w:numId w:val="0"/>
              </w:numPr>
              <w:rPr>
                <w:sz w:val="24"/>
              </w:rPr>
            </w:pPr>
          </w:p>
          <w:p w14:paraId="1F915A6D" w14:textId="77777777" w:rsidR="00574383" w:rsidRDefault="00574383">
            <w:pPr>
              <w:numPr>
                <w:ilvl w:val="12"/>
                <w:numId w:val="0"/>
              </w:numPr>
              <w:rPr>
                <w:sz w:val="24"/>
              </w:rPr>
            </w:pPr>
          </w:p>
          <w:p w14:paraId="2646CF28" w14:textId="77777777" w:rsidR="00574383" w:rsidRDefault="00574383">
            <w:pPr>
              <w:numPr>
                <w:ilvl w:val="12"/>
                <w:numId w:val="0"/>
              </w:numPr>
              <w:rPr>
                <w:sz w:val="24"/>
              </w:rPr>
            </w:pPr>
            <w:r>
              <w:rPr>
                <w:sz w:val="24"/>
              </w:rPr>
              <w:t>S</w:t>
            </w:r>
          </w:p>
          <w:p w14:paraId="0585F6EB" w14:textId="77777777" w:rsidR="00574383" w:rsidRDefault="00574383">
            <w:pPr>
              <w:numPr>
                <w:ilvl w:val="12"/>
                <w:numId w:val="0"/>
              </w:numPr>
              <w:rPr>
                <w:sz w:val="24"/>
              </w:rPr>
            </w:pPr>
          </w:p>
        </w:tc>
        <w:tc>
          <w:tcPr>
            <w:tcW w:w="5310" w:type="dxa"/>
          </w:tcPr>
          <w:p w14:paraId="7F5E507C" w14:textId="77777777" w:rsidR="00574383" w:rsidRDefault="00574383">
            <w:pPr>
              <w:numPr>
                <w:ilvl w:val="12"/>
                <w:numId w:val="0"/>
              </w:numPr>
              <w:rPr>
                <w:sz w:val="24"/>
              </w:rPr>
            </w:pPr>
            <w:r>
              <w:rPr>
                <w:b/>
                <w:sz w:val="24"/>
              </w:rPr>
              <w:t>No liability between L and S</w:t>
            </w:r>
          </w:p>
          <w:p w14:paraId="6042B150" w14:textId="77777777" w:rsidR="00574383" w:rsidRDefault="00574383">
            <w:pPr>
              <w:numPr>
                <w:ilvl w:val="12"/>
                <w:numId w:val="0"/>
              </w:numPr>
              <w:rPr>
                <w:sz w:val="24"/>
              </w:rPr>
            </w:pPr>
          </w:p>
          <w:p w14:paraId="79992519" w14:textId="77777777" w:rsidR="00574383" w:rsidRDefault="00574383">
            <w:pPr>
              <w:numPr>
                <w:ilvl w:val="12"/>
                <w:numId w:val="0"/>
              </w:numPr>
              <w:rPr>
                <w:sz w:val="24"/>
              </w:rPr>
            </w:pPr>
            <w:r>
              <w:rPr>
                <w:sz w:val="24"/>
              </w:rPr>
              <w:t>L can sue T - if T’s lease is forfeited, there is an automatic forfeiture of S’s sub-lease, unless S can get relief, so no change from old law.</w:t>
            </w:r>
          </w:p>
        </w:tc>
      </w:tr>
    </w:tbl>
    <w:p w14:paraId="0F52E6A6" w14:textId="77777777" w:rsidR="00574383" w:rsidRDefault="00574383" w:rsidP="00574383">
      <w:pPr>
        <w:numPr>
          <w:ilvl w:val="12"/>
          <w:numId w:val="0"/>
        </w:numPr>
        <w:rPr>
          <w:sz w:val="24"/>
        </w:rPr>
      </w:pPr>
      <w:r>
        <w:rPr>
          <w:sz w:val="24"/>
        </w:rPr>
        <w:t>Why and how is this new system fairer?</w:t>
      </w:r>
    </w:p>
    <w:p w14:paraId="7A672A19" w14:textId="77777777" w:rsidR="00574383" w:rsidRDefault="00574383" w:rsidP="00574383">
      <w:pPr>
        <w:pStyle w:val="cpe2"/>
        <w:numPr>
          <w:ilvl w:val="12"/>
          <w:numId w:val="0"/>
        </w:numPr>
        <w:rPr>
          <w:rFonts w:ascii="Arial" w:hAnsi="Arial"/>
          <w:caps/>
        </w:rPr>
      </w:pPr>
      <w:r>
        <w:rPr>
          <w:b w:val="0"/>
        </w:rPr>
        <w:br w:type="page"/>
      </w:r>
      <w:bookmarkStart w:id="89" w:name="_Toc347025876"/>
      <w:bookmarkStart w:id="90" w:name="_Toc348837253"/>
      <w:bookmarkStart w:id="91" w:name="_Toc350654823"/>
      <w:bookmarkStart w:id="92" w:name="_Toc350655002"/>
      <w:bookmarkStart w:id="93" w:name="_Toc367590934"/>
      <w:bookmarkStart w:id="94" w:name="_Toc367600894"/>
      <w:bookmarkStart w:id="95" w:name="_Toc461089942"/>
      <w:bookmarkStart w:id="96" w:name="_Toc14535541"/>
      <w:r>
        <w:rPr>
          <w:rFonts w:ascii="Arial" w:hAnsi="Arial"/>
        </w:rPr>
        <w:lastRenderedPageBreak/>
        <w:t>Remedies for Breach of Covenant in a Lease</w:t>
      </w:r>
      <w:bookmarkEnd w:id="89"/>
      <w:bookmarkEnd w:id="90"/>
      <w:bookmarkEnd w:id="91"/>
      <w:bookmarkEnd w:id="92"/>
      <w:bookmarkEnd w:id="93"/>
      <w:bookmarkEnd w:id="94"/>
      <w:bookmarkEnd w:id="95"/>
      <w:bookmarkEnd w:id="96"/>
    </w:p>
    <w:p w14:paraId="62C6EFF9" w14:textId="77777777" w:rsidR="00574383" w:rsidRDefault="00574383" w:rsidP="00574383">
      <w:pPr>
        <w:numPr>
          <w:ilvl w:val="12"/>
          <w:numId w:val="0"/>
        </w:numPr>
        <w:jc w:val="center"/>
        <w:rPr>
          <w:b/>
          <w:caps/>
        </w:rPr>
      </w:pPr>
    </w:p>
    <w:p w14:paraId="04F11D12" w14:textId="77777777" w:rsidR="00574383" w:rsidRDefault="00574383" w:rsidP="00574383">
      <w:pPr>
        <w:numPr>
          <w:ilvl w:val="12"/>
          <w:numId w:val="0"/>
        </w:numPr>
        <w:rPr>
          <w:sz w:val="24"/>
        </w:rPr>
      </w:pPr>
      <w:r>
        <w:rPr>
          <w:sz w:val="24"/>
        </w:rPr>
        <w:t xml:space="preserve">Both landlords and tenants may need to take action against the other party for breach of covenant.  </w:t>
      </w:r>
    </w:p>
    <w:p w14:paraId="30F4E773" w14:textId="77777777" w:rsidR="00574383" w:rsidRDefault="00574383" w:rsidP="00574383">
      <w:pPr>
        <w:numPr>
          <w:ilvl w:val="12"/>
          <w:numId w:val="0"/>
        </w:numPr>
        <w:rPr>
          <w:sz w:val="24"/>
        </w:rPr>
      </w:pPr>
    </w:p>
    <w:p w14:paraId="3E5FEB30" w14:textId="77777777" w:rsidR="00574383" w:rsidRDefault="00574383" w:rsidP="00574383">
      <w:pPr>
        <w:numPr>
          <w:ilvl w:val="12"/>
          <w:numId w:val="0"/>
        </w:numPr>
        <w:rPr>
          <w:sz w:val="24"/>
        </w:rPr>
      </w:pPr>
      <w:r>
        <w:rPr>
          <w:sz w:val="24"/>
        </w:rPr>
        <w:t>The remedies available to them may differ.</w:t>
      </w:r>
    </w:p>
    <w:p w14:paraId="00CE6410" w14:textId="77777777" w:rsidR="00574383" w:rsidRDefault="00574383" w:rsidP="00574383">
      <w:pPr>
        <w:numPr>
          <w:ilvl w:val="12"/>
          <w:numId w:val="0"/>
        </w:numPr>
        <w:rPr>
          <w:sz w:val="24"/>
        </w:rPr>
      </w:pPr>
    </w:p>
    <w:p w14:paraId="08E16234" w14:textId="77777777" w:rsidR="00574383" w:rsidRDefault="00574383" w:rsidP="00574383">
      <w:pPr>
        <w:pStyle w:val="cpe3"/>
        <w:numPr>
          <w:ilvl w:val="12"/>
          <w:numId w:val="0"/>
        </w:numPr>
        <w:rPr>
          <w:rFonts w:ascii="Arial" w:hAnsi="Arial"/>
        </w:rPr>
      </w:pPr>
      <w:bookmarkStart w:id="97" w:name="_Toc347025877"/>
      <w:bookmarkStart w:id="98" w:name="_Toc348837254"/>
      <w:bookmarkStart w:id="99" w:name="_Toc350654824"/>
      <w:bookmarkStart w:id="100" w:name="_Toc350655003"/>
      <w:bookmarkStart w:id="101" w:name="_Toc367590935"/>
      <w:bookmarkStart w:id="102" w:name="_Toc367600895"/>
      <w:bookmarkStart w:id="103" w:name="_Toc461089943"/>
      <w:bookmarkStart w:id="104" w:name="_Toc14535542"/>
      <w:r>
        <w:rPr>
          <w:rFonts w:ascii="Arial" w:hAnsi="Arial"/>
        </w:rPr>
        <w:t>Tenant’s Remedies</w:t>
      </w:r>
      <w:bookmarkEnd w:id="97"/>
      <w:bookmarkEnd w:id="98"/>
      <w:bookmarkEnd w:id="99"/>
      <w:bookmarkEnd w:id="100"/>
      <w:bookmarkEnd w:id="101"/>
      <w:bookmarkEnd w:id="102"/>
      <w:bookmarkEnd w:id="103"/>
      <w:bookmarkEnd w:id="104"/>
      <w:r>
        <w:rPr>
          <w:rFonts w:ascii="Arial" w:hAnsi="Arial"/>
        </w:rPr>
        <w:t xml:space="preserve"> </w:t>
      </w:r>
    </w:p>
    <w:p w14:paraId="498114B2" w14:textId="77777777" w:rsidR="00574383" w:rsidRDefault="00574383" w:rsidP="00574383">
      <w:pPr>
        <w:numPr>
          <w:ilvl w:val="12"/>
          <w:numId w:val="0"/>
        </w:numPr>
        <w:rPr>
          <w:b/>
          <w:sz w:val="24"/>
        </w:rPr>
      </w:pPr>
    </w:p>
    <w:p w14:paraId="7803D1A8" w14:textId="77777777" w:rsidR="00574383" w:rsidRDefault="00574383" w:rsidP="00574383">
      <w:pPr>
        <w:numPr>
          <w:ilvl w:val="12"/>
          <w:numId w:val="0"/>
        </w:numPr>
        <w:rPr>
          <w:b/>
          <w:sz w:val="24"/>
        </w:rPr>
      </w:pPr>
      <w:r>
        <w:rPr>
          <w:b/>
          <w:sz w:val="24"/>
        </w:rPr>
        <w:t xml:space="preserve">1)  For Breach of the Covenant to Repair </w:t>
      </w:r>
    </w:p>
    <w:p w14:paraId="458F0C39" w14:textId="77777777" w:rsidR="00574383" w:rsidRDefault="00574383" w:rsidP="00574383">
      <w:pPr>
        <w:numPr>
          <w:ilvl w:val="12"/>
          <w:numId w:val="0"/>
        </w:numPr>
        <w:rPr>
          <w:sz w:val="24"/>
        </w:rPr>
      </w:pPr>
    </w:p>
    <w:p w14:paraId="1BD4B9A8" w14:textId="77777777" w:rsidR="00574383" w:rsidRDefault="00574383" w:rsidP="00574383">
      <w:pPr>
        <w:numPr>
          <w:ilvl w:val="12"/>
          <w:numId w:val="0"/>
        </w:numPr>
        <w:rPr>
          <w:sz w:val="24"/>
        </w:rPr>
      </w:pPr>
      <w:r>
        <w:rPr>
          <w:sz w:val="24"/>
        </w:rPr>
        <w:t>First, must ensure that the landlord is liable, either because of an express term in the lease or a duty imposed by statute. If the landlord is liable, tenant may claim:</w:t>
      </w:r>
    </w:p>
    <w:p w14:paraId="4AE3186E" w14:textId="77777777" w:rsidR="00574383" w:rsidRDefault="00574383" w:rsidP="00574383">
      <w:pPr>
        <w:numPr>
          <w:ilvl w:val="12"/>
          <w:numId w:val="0"/>
        </w:numPr>
        <w:rPr>
          <w:sz w:val="24"/>
        </w:rPr>
      </w:pPr>
    </w:p>
    <w:p w14:paraId="052D08DC" w14:textId="77777777" w:rsidR="00574383" w:rsidRDefault="00574383" w:rsidP="00574383">
      <w:pPr>
        <w:numPr>
          <w:ilvl w:val="12"/>
          <w:numId w:val="0"/>
        </w:numPr>
        <w:ind w:left="270" w:hanging="270"/>
        <w:rPr>
          <w:sz w:val="24"/>
        </w:rPr>
      </w:pPr>
      <w:r>
        <w:rPr>
          <w:sz w:val="24"/>
        </w:rPr>
        <w:t>a) Damages;</w:t>
      </w:r>
    </w:p>
    <w:p w14:paraId="2BB98BAE" w14:textId="77777777" w:rsidR="00574383" w:rsidRDefault="00574383" w:rsidP="00574383">
      <w:pPr>
        <w:numPr>
          <w:ilvl w:val="12"/>
          <w:numId w:val="0"/>
        </w:numPr>
        <w:ind w:left="270" w:hanging="270"/>
        <w:rPr>
          <w:sz w:val="24"/>
        </w:rPr>
      </w:pPr>
    </w:p>
    <w:p w14:paraId="08306F0D" w14:textId="77777777" w:rsidR="00574383" w:rsidRDefault="00574383" w:rsidP="00574383">
      <w:pPr>
        <w:numPr>
          <w:ilvl w:val="12"/>
          <w:numId w:val="0"/>
        </w:numPr>
        <w:ind w:left="270" w:hanging="270"/>
        <w:rPr>
          <w:sz w:val="24"/>
        </w:rPr>
      </w:pPr>
      <w:r>
        <w:rPr>
          <w:sz w:val="24"/>
        </w:rPr>
        <w:t>b)</w:t>
      </w:r>
      <w:r>
        <w:rPr>
          <w:sz w:val="24"/>
        </w:rPr>
        <w:tab/>
        <w:t>Specific Performance; also</w:t>
      </w:r>
    </w:p>
    <w:p w14:paraId="4520FB39" w14:textId="77777777" w:rsidR="00574383" w:rsidRDefault="00574383" w:rsidP="00574383">
      <w:pPr>
        <w:numPr>
          <w:ilvl w:val="12"/>
          <w:numId w:val="0"/>
        </w:numPr>
        <w:ind w:left="270" w:hanging="270"/>
        <w:rPr>
          <w:sz w:val="24"/>
        </w:rPr>
      </w:pPr>
    </w:p>
    <w:p w14:paraId="1D5287B6" w14:textId="77777777" w:rsidR="00574383" w:rsidRDefault="00574383" w:rsidP="00574383">
      <w:pPr>
        <w:numPr>
          <w:ilvl w:val="12"/>
          <w:numId w:val="0"/>
        </w:numPr>
        <w:ind w:left="270" w:hanging="270"/>
        <w:rPr>
          <w:sz w:val="24"/>
        </w:rPr>
      </w:pPr>
      <w:r>
        <w:rPr>
          <w:sz w:val="24"/>
        </w:rPr>
        <w:t xml:space="preserve">c) </w:t>
      </w:r>
      <w:r>
        <w:rPr>
          <w:sz w:val="24"/>
        </w:rPr>
        <w:tab/>
        <w:t xml:space="preserve">If he requests the landlord to do the repairs and the landlord does not, he can undertake the repairs himself and set-off the cost against the landlord's claim for rent, unless the landlord has made the tenant promise in the lease not to do this! </w:t>
      </w:r>
    </w:p>
    <w:p w14:paraId="022D07F8" w14:textId="77777777" w:rsidR="00574383" w:rsidRDefault="00574383" w:rsidP="00574383">
      <w:pPr>
        <w:numPr>
          <w:ilvl w:val="12"/>
          <w:numId w:val="0"/>
        </w:numPr>
        <w:rPr>
          <w:b/>
          <w:sz w:val="24"/>
        </w:rPr>
      </w:pPr>
    </w:p>
    <w:p w14:paraId="14976713" w14:textId="77777777" w:rsidR="00574383" w:rsidRDefault="00574383" w:rsidP="00574383">
      <w:pPr>
        <w:numPr>
          <w:ilvl w:val="12"/>
          <w:numId w:val="0"/>
        </w:numPr>
        <w:rPr>
          <w:b/>
          <w:sz w:val="24"/>
        </w:rPr>
      </w:pPr>
      <w:r>
        <w:rPr>
          <w:b/>
          <w:sz w:val="24"/>
        </w:rPr>
        <w:t xml:space="preserve">2)  For Breach of other Covenants </w:t>
      </w:r>
    </w:p>
    <w:p w14:paraId="0F59FD4E" w14:textId="77777777" w:rsidR="00574383" w:rsidRDefault="00574383" w:rsidP="00574383">
      <w:pPr>
        <w:numPr>
          <w:ilvl w:val="12"/>
          <w:numId w:val="0"/>
        </w:numPr>
        <w:rPr>
          <w:sz w:val="24"/>
        </w:rPr>
      </w:pPr>
    </w:p>
    <w:p w14:paraId="0A5742B3" w14:textId="77777777" w:rsidR="00574383" w:rsidRDefault="00574383" w:rsidP="00574383">
      <w:pPr>
        <w:numPr>
          <w:ilvl w:val="12"/>
          <w:numId w:val="0"/>
        </w:numPr>
        <w:rPr>
          <w:sz w:val="24"/>
        </w:rPr>
      </w:pPr>
      <w:r>
        <w:rPr>
          <w:sz w:val="24"/>
        </w:rPr>
        <w:t>Damages and/or an injunction.</w:t>
      </w:r>
    </w:p>
    <w:p w14:paraId="50A68AB1" w14:textId="77777777" w:rsidR="00574383" w:rsidRDefault="00574383" w:rsidP="00574383">
      <w:pPr>
        <w:numPr>
          <w:ilvl w:val="12"/>
          <w:numId w:val="0"/>
        </w:numPr>
        <w:rPr>
          <w:sz w:val="24"/>
        </w:rPr>
      </w:pPr>
    </w:p>
    <w:p w14:paraId="202394F3" w14:textId="77777777" w:rsidR="00574383" w:rsidRDefault="00574383" w:rsidP="00574383">
      <w:pPr>
        <w:pStyle w:val="cpe3"/>
        <w:numPr>
          <w:ilvl w:val="12"/>
          <w:numId w:val="0"/>
        </w:numPr>
        <w:rPr>
          <w:rFonts w:ascii="Arial" w:hAnsi="Arial"/>
        </w:rPr>
      </w:pPr>
      <w:bookmarkStart w:id="105" w:name="_Toc347025878"/>
      <w:bookmarkStart w:id="106" w:name="_Toc348837255"/>
      <w:bookmarkStart w:id="107" w:name="_Toc350654825"/>
      <w:bookmarkStart w:id="108" w:name="_Toc350655004"/>
      <w:bookmarkStart w:id="109" w:name="_Toc367590936"/>
      <w:bookmarkStart w:id="110" w:name="_Toc367600896"/>
      <w:bookmarkStart w:id="111" w:name="_Toc461089944"/>
      <w:bookmarkStart w:id="112" w:name="_Toc14535543"/>
      <w:r>
        <w:rPr>
          <w:rFonts w:ascii="Arial" w:hAnsi="Arial"/>
        </w:rPr>
        <w:t>Landlord's Remedies</w:t>
      </w:r>
      <w:bookmarkEnd w:id="105"/>
      <w:bookmarkEnd w:id="106"/>
      <w:bookmarkEnd w:id="107"/>
      <w:bookmarkEnd w:id="108"/>
      <w:bookmarkEnd w:id="109"/>
      <w:bookmarkEnd w:id="110"/>
      <w:bookmarkEnd w:id="111"/>
      <w:bookmarkEnd w:id="112"/>
      <w:r>
        <w:rPr>
          <w:rFonts w:ascii="Arial" w:hAnsi="Arial"/>
        </w:rPr>
        <w:t xml:space="preserve"> </w:t>
      </w:r>
    </w:p>
    <w:p w14:paraId="1015F04B" w14:textId="77777777" w:rsidR="00574383" w:rsidRDefault="00574383" w:rsidP="00574383">
      <w:pPr>
        <w:numPr>
          <w:ilvl w:val="12"/>
          <w:numId w:val="0"/>
        </w:numPr>
        <w:rPr>
          <w:b/>
          <w:sz w:val="24"/>
        </w:rPr>
      </w:pPr>
    </w:p>
    <w:p w14:paraId="34B021B2" w14:textId="77777777" w:rsidR="00574383" w:rsidRDefault="00574383" w:rsidP="00574383">
      <w:pPr>
        <w:numPr>
          <w:ilvl w:val="12"/>
          <w:numId w:val="0"/>
        </w:numPr>
        <w:rPr>
          <w:b/>
          <w:sz w:val="24"/>
        </w:rPr>
      </w:pPr>
      <w:r>
        <w:rPr>
          <w:b/>
          <w:sz w:val="24"/>
        </w:rPr>
        <w:t xml:space="preserve">1)  For Breach of the Covenant to Pay Rent </w:t>
      </w:r>
    </w:p>
    <w:p w14:paraId="64098932" w14:textId="77777777" w:rsidR="00574383" w:rsidRDefault="00574383" w:rsidP="00574383">
      <w:pPr>
        <w:numPr>
          <w:ilvl w:val="12"/>
          <w:numId w:val="0"/>
        </w:numPr>
        <w:ind w:left="270" w:hanging="270"/>
        <w:rPr>
          <w:sz w:val="24"/>
        </w:rPr>
      </w:pPr>
    </w:p>
    <w:p w14:paraId="5CE133B4" w14:textId="77777777" w:rsidR="00574383" w:rsidRDefault="00574383" w:rsidP="00574383">
      <w:pPr>
        <w:numPr>
          <w:ilvl w:val="12"/>
          <w:numId w:val="0"/>
        </w:numPr>
        <w:ind w:left="270" w:hanging="270"/>
        <w:rPr>
          <w:sz w:val="24"/>
          <w:szCs w:val="24"/>
        </w:rPr>
      </w:pPr>
      <w:r>
        <w:rPr>
          <w:sz w:val="24"/>
        </w:rPr>
        <w:t xml:space="preserve">a) </w:t>
      </w:r>
      <w:r>
        <w:rPr>
          <w:sz w:val="24"/>
          <w:szCs w:val="24"/>
          <w:lang w:val="en"/>
        </w:rPr>
        <w:t>Commercial Rent Arrears Recovery (“CRAR”) which, from 6</w:t>
      </w:r>
      <w:r>
        <w:rPr>
          <w:sz w:val="24"/>
          <w:szCs w:val="24"/>
          <w:vertAlign w:val="superscript"/>
          <w:lang w:val="en"/>
        </w:rPr>
        <w:t>th</w:t>
      </w:r>
      <w:r>
        <w:rPr>
          <w:sz w:val="24"/>
          <w:szCs w:val="24"/>
          <w:lang w:val="en"/>
        </w:rPr>
        <w:t xml:space="preserve"> April 2014, replaced the common law remedy of d</w:t>
      </w:r>
      <w:proofErr w:type="spellStart"/>
      <w:r>
        <w:rPr>
          <w:sz w:val="24"/>
        </w:rPr>
        <w:t>istress</w:t>
      </w:r>
      <w:proofErr w:type="spellEnd"/>
      <w:r>
        <w:rPr>
          <w:sz w:val="24"/>
        </w:rPr>
        <w:t>.  CRAR only relates to, what is known as, principal rent and VAT and interest relating to that</w:t>
      </w:r>
      <w:r>
        <w:rPr>
          <w:sz w:val="24"/>
          <w:szCs w:val="24"/>
        </w:rPr>
        <w:t>;</w:t>
      </w:r>
    </w:p>
    <w:p w14:paraId="468979D9" w14:textId="77777777" w:rsidR="00574383" w:rsidRDefault="00574383" w:rsidP="00574383">
      <w:pPr>
        <w:numPr>
          <w:ilvl w:val="12"/>
          <w:numId w:val="0"/>
        </w:numPr>
        <w:ind w:left="270" w:hanging="270"/>
        <w:rPr>
          <w:sz w:val="24"/>
          <w:szCs w:val="24"/>
        </w:rPr>
      </w:pPr>
    </w:p>
    <w:p w14:paraId="23146488" w14:textId="77777777" w:rsidR="00574383" w:rsidRDefault="00574383" w:rsidP="00574383">
      <w:pPr>
        <w:numPr>
          <w:ilvl w:val="12"/>
          <w:numId w:val="0"/>
        </w:numPr>
        <w:ind w:left="270" w:hanging="270"/>
        <w:rPr>
          <w:sz w:val="24"/>
        </w:rPr>
      </w:pPr>
      <w:r>
        <w:rPr>
          <w:sz w:val="24"/>
        </w:rPr>
        <w:t>b)</w:t>
      </w:r>
      <w:r>
        <w:rPr>
          <w:sz w:val="24"/>
        </w:rPr>
        <w:tab/>
        <w:t>Sue for the arrears as a contractual debtor or issue a statutory demand;</w:t>
      </w:r>
    </w:p>
    <w:p w14:paraId="6061820E" w14:textId="77777777" w:rsidR="00574383" w:rsidRDefault="00574383" w:rsidP="00574383">
      <w:pPr>
        <w:numPr>
          <w:ilvl w:val="12"/>
          <w:numId w:val="0"/>
        </w:numPr>
        <w:ind w:left="270" w:hanging="270"/>
        <w:rPr>
          <w:sz w:val="24"/>
        </w:rPr>
      </w:pPr>
    </w:p>
    <w:p w14:paraId="17C74C53" w14:textId="77777777" w:rsidR="00574383" w:rsidRDefault="00574383" w:rsidP="00574383">
      <w:pPr>
        <w:numPr>
          <w:ilvl w:val="12"/>
          <w:numId w:val="0"/>
        </w:numPr>
        <w:ind w:left="270" w:hanging="270"/>
        <w:rPr>
          <w:sz w:val="24"/>
        </w:rPr>
      </w:pPr>
      <w:r>
        <w:rPr>
          <w:sz w:val="24"/>
        </w:rPr>
        <w:t>c)</w:t>
      </w:r>
      <w:r>
        <w:rPr>
          <w:sz w:val="24"/>
        </w:rPr>
        <w:tab/>
        <w:t>Forfeiture (see later);</w:t>
      </w:r>
    </w:p>
    <w:p w14:paraId="53C7BB95" w14:textId="77777777" w:rsidR="00574383" w:rsidRDefault="00574383" w:rsidP="00574383">
      <w:pPr>
        <w:numPr>
          <w:ilvl w:val="12"/>
          <w:numId w:val="0"/>
        </w:numPr>
        <w:ind w:left="270" w:hanging="270"/>
        <w:rPr>
          <w:sz w:val="24"/>
        </w:rPr>
      </w:pPr>
    </w:p>
    <w:p w14:paraId="30741C25" w14:textId="77777777" w:rsidR="00574383" w:rsidRDefault="00574383" w:rsidP="00574383">
      <w:pPr>
        <w:numPr>
          <w:ilvl w:val="12"/>
          <w:numId w:val="0"/>
        </w:numPr>
        <w:ind w:left="270" w:hanging="270"/>
        <w:rPr>
          <w:sz w:val="24"/>
        </w:rPr>
      </w:pPr>
      <w:r>
        <w:rPr>
          <w:sz w:val="24"/>
        </w:rPr>
        <w:t>d) Take action against a previous tenant who has promised to deal with the breach, E.g. in an AGA</w:t>
      </w:r>
    </w:p>
    <w:p w14:paraId="7168892F" w14:textId="77777777" w:rsidR="00574383" w:rsidRDefault="00574383" w:rsidP="00574383">
      <w:pPr>
        <w:numPr>
          <w:ilvl w:val="12"/>
          <w:numId w:val="0"/>
        </w:numPr>
        <w:rPr>
          <w:b/>
          <w:sz w:val="24"/>
        </w:rPr>
      </w:pPr>
    </w:p>
    <w:p w14:paraId="5263D6CB" w14:textId="77777777" w:rsidR="00574383" w:rsidRDefault="00574383" w:rsidP="00574383">
      <w:pPr>
        <w:numPr>
          <w:ilvl w:val="12"/>
          <w:numId w:val="0"/>
        </w:numPr>
        <w:rPr>
          <w:b/>
          <w:sz w:val="24"/>
        </w:rPr>
      </w:pPr>
      <w:r>
        <w:rPr>
          <w:b/>
          <w:sz w:val="24"/>
        </w:rPr>
        <w:t xml:space="preserve">2)  For Breach of other Covenants </w:t>
      </w:r>
    </w:p>
    <w:p w14:paraId="5B341A5D" w14:textId="77777777" w:rsidR="00574383" w:rsidRDefault="00574383" w:rsidP="00574383">
      <w:pPr>
        <w:numPr>
          <w:ilvl w:val="12"/>
          <w:numId w:val="0"/>
        </w:numPr>
        <w:rPr>
          <w:b/>
          <w:sz w:val="24"/>
        </w:rPr>
      </w:pPr>
    </w:p>
    <w:p w14:paraId="78E43BD9" w14:textId="77777777" w:rsidR="00574383" w:rsidRDefault="00574383" w:rsidP="00574383">
      <w:pPr>
        <w:numPr>
          <w:ilvl w:val="12"/>
          <w:numId w:val="0"/>
        </w:numPr>
        <w:rPr>
          <w:sz w:val="24"/>
        </w:rPr>
      </w:pPr>
      <w:r>
        <w:rPr>
          <w:sz w:val="24"/>
        </w:rPr>
        <w:t xml:space="preserve">Damages, injunction or forfeiture are possible, but a </w:t>
      </w:r>
      <w:r>
        <w:rPr>
          <w:i/>
          <w:sz w:val="24"/>
        </w:rPr>
        <w:t>Section 146</w:t>
      </w:r>
      <w:r>
        <w:rPr>
          <w:sz w:val="24"/>
        </w:rPr>
        <w:t xml:space="preserve"> Notice is required for the latter.</w:t>
      </w:r>
    </w:p>
    <w:p w14:paraId="66D8DA68" w14:textId="77777777" w:rsidR="00574383" w:rsidRDefault="00574383" w:rsidP="00574383">
      <w:pPr>
        <w:rPr>
          <w:b/>
          <w:i/>
          <w:sz w:val="24"/>
          <w:szCs w:val="24"/>
        </w:rPr>
      </w:pPr>
      <w:r>
        <w:br w:type="page"/>
      </w:r>
      <w:bookmarkStart w:id="113" w:name="_Toc347025879"/>
      <w:bookmarkStart w:id="114" w:name="_Toc348837256"/>
      <w:bookmarkStart w:id="115" w:name="_Toc350654826"/>
      <w:bookmarkStart w:id="116" w:name="_Toc350655005"/>
      <w:bookmarkStart w:id="117" w:name="_Toc367590937"/>
      <w:bookmarkStart w:id="118" w:name="_Toc367600897"/>
      <w:bookmarkStart w:id="119" w:name="_Toc461089945"/>
      <w:bookmarkStart w:id="120" w:name="_Toc14535544"/>
      <w:r>
        <w:rPr>
          <w:b/>
          <w:i/>
          <w:sz w:val="24"/>
          <w:szCs w:val="24"/>
        </w:rPr>
        <w:lastRenderedPageBreak/>
        <w:t>Determination of Leases</w:t>
      </w:r>
      <w:bookmarkEnd w:id="113"/>
      <w:bookmarkEnd w:id="114"/>
      <w:bookmarkEnd w:id="115"/>
      <w:bookmarkEnd w:id="116"/>
      <w:bookmarkEnd w:id="117"/>
      <w:bookmarkEnd w:id="118"/>
      <w:bookmarkEnd w:id="119"/>
      <w:bookmarkEnd w:id="120"/>
      <w:r>
        <w:rPr>
          <w:b/>
          <w:i/>
          <w:sz w:val="24"/>
          <w:szCs w:val="24"/>
        </w:rPr>
        <w:t xml:space="preserve"> </w:t>
      </w:r>
    </w:p>
    <w:p w14:paraId="283FBB3F" w14:textId="77777777" w:rsidR="00574383" w:rsidRDefault="00574383" w:rsidP="00574383">
      <w:pPr>
        <w:pStyle w:val="cpe2"/>
        <w:numPr>
          <w:ilvl w:val="12"/>
          <w:numId w:val="0"/>
        </w:numPr>
        <w:rPr>
          <w:rFonts w:ascii="Arial" w:hAnsi="Arial"/>
          <w:i/>
          <w:sz w:val="24"/>
        </w:rPr>
      </w:pPr>
    </w:p>
    <w:p w14:paraId="2FFF3635" w14:textId="77777777" w:rsidR="00574383" w:rsidRDefault="00574383" w:rsidP="00574383">
      <w:pPr>
        <w:numPr>
          <w:ilvl w:val="12"/>
          <w:numId w:val="0"/>
        </w:numPr>
        <w:rPr>
          <w:sz w:val="24"/>
        </w:rPr>
      </w:pPr>
      <w:r>
        <w:rPr>
          <w:sz w:val="24"/>
        </w:rPr>
        <w:t xml:space="preserve">A lease may come to an end in a number of ways, namely: </w:t>
      </w:r>
    </w:p>
    <w:p w14:paraId="6CCF4C51" w14:textId="77777777" w:rsidR="00574383" w:rsidRDefault="00574383" w:rsidP="00574383">
      <w:pPr>
        <w:numPr>
          <w:ilvl w:val="12"/>
          <w:numId w:val="0"/>
        </w:numPr>
        <w:rPr>
          <w:b/>
          <w:sz w:val="24"/>
        </w:rPr>
      </w:pPr>
    </w:p>
    <w:p w14:paraId="67AFC10D" w14:textId="77777777" w:rsidR="00574383" w:rsidRDefault="00574383" w:rsidP="00574383">
      <w:pPr>
        <w:numPr>
          <w:ilvl w:val="12"/>
          <w:numId w:val="0"/>
        </w:numPr>
        <w:rPr>
          <w:b/>
          <w:sz w:val="24"/>
        </w:rPr>
      </w:pPr>
      <w:r>
        <w:rPr>
          <w:b/>
          <w:sz w:val="24"/>
        </w:rPr>
        <w:t>1)  By Effluxion of Time/Expiry</w:t>
      </w:r>
    </w:p>
    <w:p w14:paraId="5C8DF2DA" w14:textId="77777777" w:rsidR="00574383" w:rsidRDefault="00574383" w:rsidP="00574383">
      <w:pPr>
        <w:numPr>
          <w:ilvl w:val="12"/>
          <w:numId w:val="0"/>
        </w:numPr>
        <w:rPr>
          <w:sz w:val="24"/>
        </w:rPr>
      </w:pPr>
    </w:p>
    <w:p w14:paraId="4CAA7AF3" w14:textId="77777777" w:rsidR="00574383" w:rsidRDefault="00574383" w:rsidP="00574383">
      <w:pPr>
        <w:numPr>
          <w:ilvl w:val="0"/>
          <w:numId w:val="4"/>
        </w:numPr>
        <w:rPr>
          <w:sz w:val="24"/>
        </w:rPr>
      </w:pPr>
      <w:r>
        <w:rPr>
          <w:sz w:val="24"/>
        </w:rPr>
        <w:t>Fixed term lease automatically ends on last day of the term;</w:t>
      </w:r>
    </w:p>
    <w:p w14:paraId="433B8961" w14:textId="77777777" w:rsidR="00574383" w:rsidRDefault="00574383" w:rsidP="00574383">
      <w:pPr>
        <w:rPr>
          <w:sz w:val="24"/>
        </w:rPr>
      </w:pPr>
    </w:p>
    <w:p w14:paraId="5E12248E" w14:textId="77777777" w:rsidR="00574383" w:rsidRDefault="00574383" w:rsidP="00574383">
      <w:pPr>
        <w:numPr>
          <w:ilvl w:val="0"/>
          <w:numId w:val="4"/>
        </w:numPr>
        <w:rPr>
          <w:sz w:val="24"/>
        </w:rPr>
      </w:pPr>
      <w:r>
        <w:rPr>
          <w:sz w:val="24"/>
        </w:rPr>
        <w:t xml:space="preserve">No notice to quit needed.  </w:t>
      </w:r>
    </w:p>
    <w:p w14:paraId="79113F03" w14:textId="77777777" w:rsidR="00574383" w:rsidRDefault="00574383" w:rsidP="00574383">
      <w:pPr>
        <w:pStyle w:val="ListParagraph"/>
        <w:rPr>
          <w:sz w:val="24"/>
        </w:rPr>
      </w:pPr>
    </w:p>
    <w:p w14:paraId="25AB57B8" w14:textId="77777777" w:rsidR="00574383" w:rsidRDefault="00574383" w:rsidP="00574383">
      <w:pPr>
        <w:ind w:left="720"/>
        <w:rPr>
          <w:sz w:val="24"/>
        </w:rPr>
      </w:pPr>
      <w:r>
        <w:rPr>
          <w:sz w:val="24"/>
        </w:rPr>
        <w:t xml:space="preserve">Note, however, possible statutory protection for some residential, business or agricultural premises - </w:t>
      </w:r>
      <w:r>
        <w:rPr>
          <w:i/>
          <w:sz w:val="24"/>
        </w:rPr>
        <w:t>Rent Act 1977</w:t>
      </w:r>
      <w:r>
        <w:rPr>
          <w:sz w:val="24"/>
        </w:rPr>
        <w:t xml:space="preserve">, </w:t>
      </w:r>
      <w:r>
        <w:rPr>
          <w:i/>
          <w:sz w:val="24"/>
        </w:rPr>
        <w:t>Housing Act 1988</w:t>
      </w:r>
      <w:r>
        <w:rPr>
          <w:sz w:val="24"/>
        </w:rPr>
        <w:t xml:space="preserve">, </w:t>
      </w:r>
      <w:r>
        <w:rPr>
          <w:i/>
          <w:sz w:val="24"/>
        </w:rPr>
        <w:t>Landlord and Tenant Act 1954; Part II</w:t>
      </w:r>
      <w:r>
        <w:rPr>
          <w:sz w:val="24"/>
        </w:rPr>
        <w:t xml:space="preserve">, </w:t>
      </w:r>
      <w:r>
        <w:rPr>
          <w:i/>
          <w:sz w:val="24"/>
        </w:rPr>
        <w:t>Agricultural Holdings Act 1948</w:t>
      </w:r>
      <w:r>
        <w:rPr>
          <w:sz w:val="24"/>
        </w:rPr>
        <w:t xml:space="preserve">.  The question of whether requiring a tenant to vacate on expiry was contrary to </w:t>
      </w:r>
      <w:r>
        <w:rPr>
          <w:i/>
          <w:sz w:val="24"/>
        </w:rPr>
        <w:t>European Convention of Human Rights; Article 8</w:t>
      </w:r>
      <w:r>
        <w:rPr>
          <w:sz w:val="24"/>
        </w:rPr>
        <w:t xml:space="preserve"> was decided in the negative in </w:t>
      </w:r>
      <w:r>
        <w:rPr>
          <w:b/>
          <w:i/>
          <w:sz w:val="24"/>
        </w:rPr>
        <w:t>Harrow London Borough v Qazi</w:t>
      </w:r>
      <w:r>
        <w:rPr>
          <w:sz w:val="24"/>
        </w:rPr>
        <w:t xml:space="preserve"> [2003].  It was held that </w:t>
      </w:r>
      <w:r>
        <w:rPr>
          <w:i/>
          <w:sz w:val="24"/>
        </w:rPr>
        <w:t>Article 8</w:t>
      </w:r>
      <w:r>
        <w:rPr>
          <w:sz w:val="24"/>
        </w:rPr>
        <w:t xml:space="preserve"> gives the right to respect for a person’s home, not the right to keep the home.</w:t>
      </w:r>
    </w:p>
    <w:p w14:paraId="3950EA9D" w14:textId="77777777" w:rsidR="00574383" w:rsidRDefault="00574383" w:rsidP="00574383">
      <w:pPr>
        <w:numPr>
          <w:ilvl w:val="12"/>
          <w:numId w:val="0"/>
        </w:numPr>
        <w:rPr>
          <w:b/>
          <w:sz w:val="24"/>
        </w:rPr>
      </w:pPr>
    </w:p>
    <w:p w14:paraId="7045486C" w14:textId="77777777" w:rsidR="00574383" w:rsidRDefault="00574383" w:rsidP="00574383">
      <w:pPr>
        <w:numPr>
          <w:ilvl w:val="12"/>
          <w:numId w:val="0"/>
        </w:numPr>
        <w:rPr>
          <w:b/>
          <w:sz w:val="24"/>
        </w:rPr>
      </w:pPr>
      <w:r>
        <w:rPr>
          <w:b/>
          <w:sz w:val="24"/>
        </w:rPr>
        <w:t xml:space="preserve">2)  By Notice </w:t>
      </w:r>
    </w:p>
    <w:p w14:paraId="2CF84AB3" w14:textId="77777777" w:rsidR="00574383" w:rsidRDefault="00574383" w:rsidP="00574383">
      <w:pPr>
        <w:numPr>
          <w:ilvl w:val="12"/>
          <w:numId w:val="0"/>
        </w:numPr>
        <w:rPr>
          <w:sz w:val="24"/>
        </w:rPr>
      </w:pPr>
    </w:p>
    <w:p w14:paraId="4C568B6B" w14:textId="77777777" w:rsidR="00574383" w:rsidRDefault="00574383" w:rsidP="00574383">
      <w:pPr>
        <w:numPr>
          <w:ilvl w:val="0"/>
          <w:numId w:val="5"/>
        </w:numPr>
        <w:rPr>
          <w:sz w:val="24"/>
        </w:rPr>
      </w:pPr>
      <w:r>
        <w:rPr>
          <w:sz w:val="24"/>
        </w:rPr>
        <w:t>Fixed term tenancy cannot be ended by notice unless there is an express provision in the lease (break clause).</w:t>
      </w:r>
    </w:p>
    <w:p w14:paraId="2F2F7245" w14:textId="77777777" w:rsidR="00574383" w:rsidRDefault="00574383" w:rsidP="00574383">
      <w:pPr>
        <w:rPr>
          <w:sz w:val="24"/>
        </w:rPr>
      </w:pPr>
    </w:p>
    <w:p w14:paraId="4A3F9835" w14:textId="77777777" w:rsidR="00574383" w:rsidRDefault="00574383" w:rsidP="00574383">
      <w:pPr>
        <w:numPr>
          <w:ilvl w:val="0"/>
          <w:numId w:val="5"/>
        </w:numPr>
        <w:rPr>
          <w:sz w:val="24"/>
        </w:rPr>
      </w:pPr>
      <w:r>
        <w:rPr>
          <w:sz w:val="24"/>
        </w:rPr>
        <w:t xml:space="preserve">Periodic tenancy can be ended by either party by notice. The amount of notice is either as agreed in lease, or depending on type of tenancy, E.g., monthly tenancy requires one month's notice, but NB statutory protection (above) and the </w:t>
      </w:r>
      <w:r>
        <w:rPr>
          <w:i/>
          <w:sz w:val="24"/>
        </w:rPr>
        <w:t>Protection from Eviction Act 1977</w:t>
      </w:r>
      <w:r>
        <w:rPr>
          <w:sz w:val="24"/>
        </w:rPr>
        <w:t>.</w:t>
      </w:r>
    </w:p>
    <w:p w14:paraId="04BF0C9D" w14:textId="77777777" w:rsidR="00574383" w:rsidRDefault="00574383" w:rsidP="00574383">
      <w:pPr>
        <w:rPr>
          <w:b/>
          <w:sz w:val="24"/>
        </w:rPr>
      </w:pPr>
    </w:p>
    <w:p w14:paraId="305390F8" w14:textId="77777777" w:rsidR="00574383" w:rsidRDefault="00574383" w:rsidP="00574383">
      <w:pPr>
        <w:numPr>
          <w:ilvl w:val="12"/>
          <w:numId w:val="0"/>
        </w:numPr>
        <w:rPr>
          <w:b/>
          <w:sz w:val="24"/>
        </w:rPr>
      </w:pPr>
      <w:r>
        <w:rPr>
          <w:b/>
          <w:sz w:val="24"/>
        </w:rPr>
        <w:t xml:space="preserve">3)  By Surrender </w:t>
      </w:r>
    </w:p>
    <w:p w14:paraId="10ED3AD6" w14:textId="77777777" w:rsidR="00574383" w:rsidRDefault="00574383" w:rsidP="00574383">
      <w:pPr>
        <w:numPr>
          <w:ilvl w:val="12"/>
          <w:numId w:val="0"/>
        </w:numPr>
        <w:rPr>
          <w:sz w:val="24"/>
        </w:rPr>
      </w:pPr>
    </w:p>
    <w:p w14:paraId="77F6D4D1" w14:textId="77777777" w:rsidR="00574383" w:rsidRDefault="00574383" w:rsidP="00574383">
      <w:pPr>
        <w:numPr>
          <w:ilvl w:val="0"/>
          <w:numId w:val="6"/>
        </w:numPr>
        <w:rPr>
          <w:sz w:val="24"/>
        </w:rPr>
      </w:pPr>
      <w:r>
        <w:rPr>
          <w:sz w:val="24"/>
        </w:rPr>
        <w:t xml:space="preserve">The tenant can voluntarily give up his rights under the lease.   </w:t>
      </w:r>
    </w:p>
    <w:p w14:paraId="534F5527" w14:textId="77777777" w:rsidR="00574383" w:rsidRDefault="00574383" w:rsidP="00574383">
      <w:pPr>
        <w:rPr>
          <w:sz w:val="24"/>
        </w:rPr>
      </w:pPr>
    </w:p>
    <w:p w14:paraId="2582A37E" w14:textId="77777777" w:rsidR="00574383" w:rsidRDefault="00574383" w:rsidP="00574383">
      <w:pPr>
        <w:numPr>
          <w:ilvl w:val="0"/>
          <w:numId w:val="6"/>
        </w:numPr>
        <w:rPr>
          <w:sz w:val="24"/>
        </w:rPr>
      </w:pPr>
      <w:r>
        <w:rPr>
          <w:sz w:val="24"/>
        </w:rPr>
        <w:t>Surrender may be express (and should be by deed) or by operation of law (E.g., if the tenant accepts a fresh lease).</w:t>
      </w:r>
    </w:p>
    <w:p w14:paraId="1FC6E8F3" w14:textId="77777777" w:rsidR="00574383" w:rsidRDefault="00574383" w:rsidP="00574383">
      <w:pPr>
        <w:rPr>
          <w:b/>
          <w:sz w:val="24"/>
        </w:rPr>
      </w:pPr>
    </w:p>
    <w:p w14:paraId="2CE37364" w14:textId="77777777" w:rsidR="00574383" w:rsidRDefault="00574383" w:rsidP="00574383">
      <w:pPr>
        <w:numPr>
          <w:ilvl w:val="12"/>
          <w:numId w:val="0"/>
        </w:numPr>
        <w:rPr>
          <w:b/>
          <w:sz w:val="24"/>
        </w:rPr>
      </w:pPr>
      <w:r>
        <w:rPr>
          <w:b/>
          <w:sz w:val="24"/>
        </w:rPr>
        <w:t xml:space="preserve">4)  By Merger </w:t>
      </w:r>
    </w:p>
    <w:p w14:paraId="2CCE9740" w14:textId="77777777" w:rsidR="00574383" w:rsidRDefault="00574383" w:rsidP="00574383">
      <w:pPr>
        <w:numPr>
          <w:ilvl w:val="12"/>
          <w:numId w:val="0"/>
        </w:numPr>
        <w:rPr>
          <w:sz w:val="24"/>
        </w:rPr>
      </w:pPr>
    </w:p>
    <w:p w14:paraId="0C8D3683" w14:textId="77777777" w:rsidR="00574383" w:rsidRDefault="00574383" w:rsidP="00574383">
      <w:pPr>
        <w:numPr>
          <w:ilvl w:val="12"/>
          <w:numId w:val="0"/>
        </w:numPr>
        <w:rPr>
          <w:sz w:val="24"/>
        </w:rPr>
      </w:pPr>
      <w:r>
        <w:rPr>
          <w:sz w:val="24"/>
        </w:rPr>
        <w:t>Where tenant keeps the lease but also acquires the freehold, E.g., on sale.  However, the lease terms do not necessarily automatically merge.</w:t>
      </w:r>
    </w:p>
    <w:p w14:paraId="20710547" w14:textId="77777777" w:rsidR="00574383" w:rsidRDefault="00574383" w:rsidP="00574383">
      <w:pPr>
        <w:numPr>
          <w:ilvl w:val="12"/>
          <w:numId w:val="0"/>
        </w:numPr>
        <w:rPr>
          <w:sz w:val="24"/>
        </w:rPr>
      </w:pPr>
    </w:p>
    <w:p w14:paraId="2AE4256C" w14:textId="77777777" w:rsidR="00574383" w:rsidRDefault="00574383" w:rsidP="00574383">
      <w:pPr>
        <w:numPr>
          <w:ilvl w:val="12"/>
          <w:numId w:val="0"/>
        </w:numPr>
        <w:rPr>
          <w:b/>
          <w:sz w:val="24"/>
        </w:rPr>
      </w:pPr>
      <w:r>
        <w:rPr>
          <w:b/>
          <w:sz w:val="24"/>
        </w:rPr>
        <w:t xml:space="preserve">5)  By Enlargement </w:t>
      </w:r>
      <w:r>
        <w:rPr>
          <w:sz w:val="24"/>
        </w:rPr>
        <w:t>(fairly rare in practice)</w:t>
      </w:r>
    </w:p>
    <w:p w14:paraId="0D7C75A8" w14:textId="77777777" w:rsidR="00574383" w:rsidRDefault="00574383" w:rsidP="00574383">
      <w:pPr>
        <w:numPr>
          <w:ilvl w:val="12"/>
          <w:numId w:val="0"/>
        </w:numPr>
        <w:rPr>
          <w:sz w:val="24"/>
        </w:rPr>
      </w:pPr>
    </w:p>
    <w:p w14:paraId="7ABA6433" w14:textId="77777777" w:rsidR="00574383" w:rsidRDefault="00574383" w:rsidP="00574383">
      <w:pPr>
        <w:numPr>
          <w:ilvl w:val="12"/>
          <w:numId w:val="0"/>
        </w:numPr>
        <w:rPr>
          <w:sz w:val="24"/>
        </w:rPr>
      </w:pPr>
      <w:r>
        <w:rPr>
          <w:sz w:val="24"/>
        </w:rPr>
        <w:t xml:space="preserve">Rarely, tenant entitled under the terms of the lease, or statute, E.g., </w:t>
      </w:r>
      <w:r>
        <w:rPr>
          <w:i/>
          <w:sz w:val="24"/>
        </w:rPr>
        <w:t>Leasehold Reform Act 1967</w:t>
      </w:r>
      <w:r>
        <w:rPr>
          <w:sz w:val="24"/>
        </w:rPr>
        <w:t>, to execute a Deed of Enlargement, enlarging the lease into a fee simple.  Basically only applies to very long terms where no monetary rent payable.</w:t>
      </w:r>
    </w:p>
    <w:p w14:paraId="5BA3053E" w14:textId="77777777" w:rsidR="00574383" w:rsidRDefault="00574383" w:rsidP="00574383">
      <w:pPr>
        <w:numPr>
          <w:ilvl w:val="12"/>
          <w:numId w:val="0"/>
        </w:numPr>
        <w:rPr>
          <w:sz w:val="24"/>
        </w:rPr>
      </w:pPr>
    </w:p>
    <w:p w14:paraId="180CFA29" w14:textId="77777777" w:rsidR="00574383" w:rsidRDefault="00574383" w:rsidP="00574383">
      <w:pPr>
        <w:numPr>
          <w:ilvl w:val="12"/>
          <w:numId w:val="0"/>
        </w:numPr>
        <w:rPr>
          <w:b/>
          <w:sz w:val="24"/>
        </w:rPr>
      </w:pPr>
      <w:r>
        <w:rPr>
          <w:b/>
          <w:sz w:val="24"/>
        </w:rPr>
        <w:t xml:space="preserve">6)  By Disclaimer </w:t>
      </w:r>
    </w:p>
    <w:p w14:paraId="44E5BA2E" w14:textId="77777777" w:rsidR="00574383" w:rsidRDefault="00574383" w:rsidP="00574383">
      <w:pPr>
        <w:numPr>
          <w:ilvl w:val="12"/>
          <w:numId w:val="0"/>
        </w:numPr>
        <w:rPr>
          <w:sz w:val="24"/>
        </w:rPr>
      </w:pPr>
    </w:p>
    <w:p w14:paraId="3C2454E5" w14:textId="77777777" w:rsidR="00574383" w:rsidRDefault="00574383" w:rsidP="00574383">
      <w:pPr>
        <w:numPr>
          <w:ilvl w:val="12"/>
          <w:numId w:val="0"/>
        </w:numPr>
        <w:rPr>
          <w:sz w:val="24"/>
        </w:rPr>
      </w:pPr>
      <w:r>
        <w:rPr>
          <w:sz w:val="24"/>
        </w:rPr>
        <w:t>Usually, as created by legislation, E.g., tenants whose premises were rendered unfit by war damage were given a statutory power to disclaim their tenancies (</w:t>
      </w:r>
      <w:r>
        <w:rPr>
          <w:i/>
          <w:sz w:val="24"/>
        </w:rPr>
        <w:t xml:space="preserve">Landlord </w:t>
      </w:r>
      <w:r>
        <w:rPr>
          <w:i/>
          <w:sz w:val="24"/>
        </w:rPr>
        <w:lastRenderedPageBreak/>
        <w:t xml:space="preserve">and Tenant (War Damage) Acts 1939 </w:t>
      </w:r>
      <w:r>
        <w:rPr>
          <w:sz w:val="24"/>
        </w:rPr>
        <w:t>and</w:t>
      </w:r>
      <w:r>
        <w:rPr>
          <w:i/>
          <w:sz w:val="24"/>
        </w:rPr>
        <w:t xml:space="preserve"> 1941</w:t>
      </w:r>
      <w:r>
        <w:rPr>
          <w:sz w:val="24"/>
        </w:rPr>
        <w:t>).  Nowadays, the most common example is in insolvency, where the tenant’s trustee in bankruptcy may have the right to disclaim an onerous lease.</w:t>
      </w:r>
    </w:p>
    <w:p w14:paraId="58D9BB64" w14:textId="77777777" w:rsidR="00574383" w:rsidRDefault="00574383" w:rsidP="00574383">
      <w:pPr>
        <w:numPr>
          <w:ilvl w:val="12"/>
          <w:numId w:val="0"/>
        </w:numPr>
        <w:rPr>
          <w:sz w:val="24"/>
        </w:rPr>
      </w:pPr>
    </w:p>
    <w:p w14:paraId="33F6E23E" w14:textId="77777777" w:rsidR="00574383" w:rsidRDefault="00574383" w:rsidP="00574383">
      <w:pPr>
        <w:numPr>
          <w:ilvl w:val="12"/>
          <w:numId w:val="0"/>
        </w:numPr>
        <w:rPr>
          <w:b/>
          <w:sz w:val="24"/>
        </w:rPr>
      </w:pPr>
      <w:r>
        <w:rPr>
          <w:b/>
          <w:sz w:val="24"/>
        </w:rPr>
        <w:t xml:space="preserve">7)  By Frustration </w:t>
      </w:r>
    </w:p>
    <w:p w14:paraId="2152221E" w14:textId="77777777" w:rsidR="00574383" w:rsidRDefault="00574383" w:rsidP="00574383">
      <w:pPr>
        <w:numPr>
          <w:ilvl w:val="12"/>
          <w:numId w:val="0"/>
        </w:numPr>
        <w:rPr>
          <w:sz w:val="24"/>
        </w:rPr>
      </w:pPr>
    </w:p>
    <w:p w14:paraId="66F39836" w14:textId="77777777" w:rsidR="00574383" w:rsidRDefault="00574383" w:rsidP="00574383">
      <w:pPr>
        <w:numPr>
          <w:ilvl w:val="12"/>
          <w:numId w:val="0"/>
        </w:numPr>
        <w:rPr>
          <w:sz w:val="24"/>
        </w:rPr>
      </w:pPr>
      <w:r>
        <w:rPr>
          <w:sz w:val="24"/>
        </w:rPr>
        <w:t xml:space="preserve">Traditional view - as a lease is an interest in land and not a contract it is not possible to frustrate it.   Since </w:t>
      </w:r>
      <w:r>
        <w:rPr>
          <w:b/>
          <w:i/>
          <w:sz w:val="24"/>
        </w:rPr>
        <w:t>National Carriers Ltd v Panalpina</w:t>
      </w:r>
      <w:r>
        <w:rPr>
          <w:i/>
          <w:sz w:val="24"/>
        </w:rPr>
        <w:t xml:space="preserve"> </w:t>
      </w:r>
      <w:r>
        <w:rPr>
          <w:sz w:val="24"/>
        </w:rPr>
        <w:t>[1980] it is now known that in very exceptional cases a lease can be frustrated.</w:t>
      </w:r>
    </w:p>
    <w:p w14:paraId="2A233C1D" w14:textId="77777777" w:rsidR="00574383" w:rsidRDefault="00574383" w:rsidP="00574383">
      <w:pPr>
        <w:numPr>
          <w:ilvl w:val="12"/>
          <w:numId w:val="0"/>
        </w:numPr>
        <w:rPr>
          <w:b/>
          <w:sz w:val="24"/>
        </w:rPr>
      </w:pPr>
    </w:p>
    <w:p w14:paraId="24C5FEFA" w14:textId="77777777" w:rsidR="00574383" w:rsidRDefault="00574383" w:rsidP="00574383">
      <w:pPr>
        <w:numPr>
          <w:ilvl w:val="12"/>
          <w:numId w:val="0"/>
        </w:numPr>
        <w:rPr>
          <w:b/>
          <w:sz w:val="24"/>
        </w:rPr>
      </w:pPr>
      <w:r>
        <w:rPr>
          <w:b/>
          <w:sz w:val="24"/>
        </w:rPr>
        <w:t xml:space="preserve">8)  By Forfeiture </w:t>
      </w:r>
    </w:p>
    <w:p w14:paraId="5AD37983" w14:textId="77777777" w:rsidR="00574383" w:rsidRDefault="00574383" w:rsidP="00574383">
      <w:pPr>
        <w:numPr>
          <w:ilvl w:val="12"/>
          <w:numId w:val="0"/>
        </w:numPr>
        <w:rPr>
          <w:sz w:val="24"/>
        </w:rPr>
      </w:pPr>
    </w:p>
    <w:p w14:paraId="7DE9755F" w14:textId="77777777" w:rsidR="00574383" w:rsidRDefault="00574383" w:rsidP="00574383">
      <w:pPr>
        <w:numPr>
          <w:ilvl w:val="12"/>
          <w:numId w:val="0"/>
        </w:numPr>
        <w:rPr>
          <w:sz w:val="24"/>
        </w:rPr>
      </w:pPr>
      <w:r>
        <w:rPr>
          <w:sz w:val="24"/>
        </w:rPr>
        <w:t xml:space="preserve">Leases often contain an express proviso that if the tenant commits a breach of covenant, the landlord shall be entitled to re-enter and put an end to the tenancy. </w:t>
      </w:r>
    </w:p>
    <w:p w14:paraId="0048B51A" w14:textId="77777777" w:rsidR="00574383" w:rsidRDefault="00574383" w:rsidP="00574383">
      <w:pPr>
        <w:numPr>
          <w:ilvl w:val="12"/>
          <w:numId w:val="0"/>
        </w:numPr>
        <w:rPr>
          <w:sz w:val="24"/>
        </w:rPr>
      </w:pPr>
    </w:p>
    <w:p w14:paraId="00585607" w14:textId="77777777" w:rsidR="00574383" w:rsidRDefault="00574383" w:rsidP="00574383">
      <w:pPr>
        <w:numPr>
          <w:ilvl w:val="12"/>
          <w:numId w:val="0"/>
        </w:numPr>
        <w:rPr>
          <w:sz w:val="24"/>
        </w:rPr>
      </w:pPr>
      <w:r>
        <w:rPr>
          <w:sz w:val="24"/>
        </w:rPr>
        <w:t>Such a right is never implied, and, therefore, will only exist where expressly given.  The right to forfeit also exists where the lease is expressed to be conditional on the performance of the covenants contained therein.</w:t>
      </w:r>
    </w:p>
    <w:p w14:paraId="57E90B22" w14:textId="77777777" w:rsidR="00574383" w:rsidRDefault="00574383" w:rsidP="00574383">
      <w:pPr>
        <w:numPr>
          <w:ilvl w:val="12"/>
          <w:numId w:val="0"/>
        </w:numPr>
        <w:rPr>
          <w:sz w:val="24"/>
        </w:rPr>
      </w:pPr>
    </w:p>
    <w:p w14:paraId="225CEF3B" w14:textId="77777777" w:rsidR="00574383" w:rsidRDefault="00574383" w:rsidP="00574383">
      <w:pPr>
        <w:numPr>
          <w:ilvl w:val="12"/>
          <w:numId w:val="0"/>
        </w:numPr>
        <w:rPr>
          <w:sz w:val="24"/>
        </w:rPr>
      </w:pPr>
      <w:r>
        <w:rPr>
          <w:sz w:val="24"/>
        </w:rPr>
        <w:t xml:space="preserve">Forfeiture of the lease also destroys the rights of sub-tenants. </w:t>
      </w:r>
    </w:p>
    <w:p w14:paraId="62528120" w14:textId="77777777" w:rsidR="00574383" w:rsidRDefault="00574383" w:rsidP="00574383">
      <w:pPr>
        <w:numPr>
          <w:ilvl w:val="12"/>
          <w:numId w:val="0"/>
        </w:numPr>
        <w:rPr>
          <w:sz w:val="24"/>
        </w:rPr>
      </w:pPr>
    </w:p>
    <w:p w14:paraId="12308889" w14:textId="77777777" w:rsidR="00574383" w:rsidRDefault="00574383" w:rsidP="00574383">
      <w:pPr>
        <w:numPr>
          <w:ilvl w:val="12"/>
          <w:numId w:val="0"/>
        </w:numPr>
        <w:rPr>
          <w:sz w:val="24"/>
        </w:rPr>
      </w:pPr>
      <w:r>
        <w:rPr>
          <w:sz w:val="24"/>
        </w:rPr>
        <w:t xml:space="preserve">This, of course, involves considerable hardship to an innocent sub-tenant and, therefore, under </w:t>
      </w:r>
      <w:r>
        <w:rPr>
          <w:i/>
          <w:sz w:val="24"/>
        </w:rPr>
        <w:t>LPA 1925; s146</w:t>
      </w:r>
      <w:r>
        <w:rPr>
          <w:sz w:val="24"/>
        </w:rPr>
        <w:t xml:space="preserve"> a sub-tenant is able to apply to the court for relief in the form of an order vesting in him, on such terms as the court thinks fit, a lease held directly of the landlord in place of, and for a term not exceeding, his sub-lease. </w:t>
      </w:r>
    </w:p>
    <w:p w14:paraId="6AF2B66D" w14:textId="77777777" w:rsidR="00574383" w:rsidRDefault="00574383" w:rsidP="00574383">
      <w:pPr>
        <w:numPr>
          <w:ilvl w:val="12"/>
          <w:numId w:val="0"/>
        </w:numPr>
        <w:rPr>
          <w:sz w:val="24"/>
        </w:rPr>
      </w:pPr>
    </w:p>
    <w:p w14:paraId="7C4D5873" w14:textId="77777777" w:rsidR="00574383" w:rsidRDefault="00574383" w:rsidP="00574383">
      <w:pPr>
        <w:numPr>
          <w:ilvl w:val="12"/>
          <w:numId w:val="0"/>
        </w:numPr>
        <w:rPr>
          <w:sz w:val="24"/>
        </w:rPr>
      </w:pPr>
      <w:r>
        <w:rPr>
          <w:sz w:val="24"/>
        </w:rPr>
        <w:t>Tenants also have the ability to claim relief against forfeiture.</w:t>
      </w:r>
    </w:p>
    <w:p w14:paraId="3E472080" w14:textId="77777777" w:rsidR="00574383" w:rsidRDefault="00574383" w:rsidP="00574383">
      <w:pPr>
        <w:numPr>
          <w:ilvl w:val="12"/>
          <w:numId w:val="0"/>
        </w:numPr>
        <w:rPr>
          <w:sz w:val="24"/>
        </w:rPr>
      </w:pPr>
    </w:p>
    <w:p w14:paraId="49B6978E" w14:textId="77777777" w:rsidR="00574383" w:rsidRDefault="00574383" w:rsidP="00574383">
      <w:pPr>
        <w:numPr>
          <w:ilvl w:val="12"/>
          <w:numId w:val="0"/>
        </w:numPr>
        <w:rPr>
          <w:sz w:val="24"/>
        </w:rPr>
      </w:pPr>
      <w:r>
        <w:rPr>
          <w:sz w:val="24"/>
        </w:rPr>
        <w:t xml:space="preserve">The normal way for a landlord to effect forfeiture is by instituting an action for possession.  He may also make peaceable re-entry on the land but: </w:t>
      </w:r>
    </w:p>
    <w:p w14:paraId="7CE1003E" w14:textId="77777777" w:rsidR="00574383" w:rsidRDefault="00574383" w:rsidP="00574383">
      <w:pPr>
        <w:numPr>
          <w:ilvl w:val="12"/>
          <w:numId w:val="0"/>
        </w:numPr>
        <w:rPr>
          <w:sz w:val="24"/>
        </w:rPr>
      </w:pPr>
    </w:p>
    <w:p w14:paraId="5ED34CAC" w14:textId="77777777" w:rsidR="00574383" w:rsidRDefault="00574383" w:rsidP="00574383">
      <w:pPr>
        <w:numPr>
          <w:ilvl w:val="12"/>
          <w:numId w:val="0"/>
        </w:numPr>
        <w:ind w:left="360" w:hanging="360"/>
        <w:rPr>
          <w:sz w:val="24"/>
        </w:rPr>
      </w:pPr>
      <w:r>
        <w:rPr>
          <w:sz w:val="24"/>
        </w:rPr>
        <w:t xml:space="preserve">a)  </w:t>
      </w:r>
      <w:r>
        <w:rPr>
          <w:sz w:val="24"/>
        </w:rPr>
        <w:tab/>
        <w:t>such a right may not be enforced in respect of a lease of premises let as a dwelling otherwise than by proceedings in court while any person is lawfully residing there (</w:t>
      </w:r>
      <w:r>
        <w:rPr>
          <w:i/>
          <w:sz w:val="24"/>
        </w:rPr>
        <w:t>Protection from Eviction Act  1977; s2</w:t>
      </w:r>
      <w:r>
        <w:rPr>
          <w:sz w:val="24"/>
        </w:rPr>
        <w:t>); and</w:t>
      </w:r>
    </w:p>
    <w:p w14:paraId="6B314FF4" w14:textId="77777777" w:rsidR="00574383" w:rsidRDefault="00574383" w:rsidP="00574383">
      <w:pPr>
        <w:numPr>
          <w:ilvl w:val="12"/>
          <w:numId w:val="0"/>
        </w:numPr>
        <w:ind w:left="360" w:hanging="360"/>
        <w:rPr>
          <w:sz w:val="24"/>
        </w:rPr>
      </w:pPr>
    </w:p>
    <w:p w14:paraId="5DD52BF0" w14:textId="77777777" w:rsidR="00574383" w:rsidRDefault="00574383" w:rsidP="00574383">
      <w:pPr>
        <w:numPr>
          <w:ilvl w:val="12"/>
          <w:numId w:val="0"/>
        </w:numPr>
        <w:ind w:left="360" w:hanging="360"/>
        <w:rPr>
          <w:sz w:val="24"/>
        </w:rPr>
      </w:pPr>
      <w:r>
        <w:rPr>
          <w:sz w:val="24"/>
        </w:rPr>
        <w:t xml:space="preserve">b) </w:t>
      </w:r>
      <w:r>
        <w:rPr>
          <w:sz w:val="24"/>
        </w:rPr>
        <w:tab/>
        <w:t xml:space="preserve">the landlord runs the possible risk of contravening </w:t>
      </w:r>
      <w:r>
        <w:rPr>
          <w:i/>
          <w:sz w:val="24"/>
        </w:rPr>
        <w:t>Criminal Law Act 1977; s6</w:t>
      </w:r>
      <w:r>
        <w:rPr>
          <w:sz w:val="24"/>
        </w:rPr>
        <w:t xml:space="preserve"> which prohibits the use of violence to secure entry and possibly some other offences. </w:t>
      </w:r>
    </w:p>
    <w:p w14:paraId="56039065" w14:textId="77777777" w:rsidR="00574383" w:rsidRDefault="00574383" w:rsidP="00574383">
      <w:pPr>
        <w:numPr>
          <w:ilvl w:val="12"/>
          <w:numId w:val="0"/>
        </w:numPr>
        <w:rPr>
          <w:sz w:val="24"/>
        </w:rPr>
      </w:pPr>
    </w:p>
    <w:p w14:paraId="61C75658" w14:textId="77777777" w:rsidR="00574383" w:rsidRDefault="00574383" w:rsidP="00574383">
      <w:pPr>
        <w:numPr>
          <w:ilvl w:val="12"/>
          <w:numId w:val="0"/>
        </w:numPr>
        <w:rPr>
          <w:b/>
          <w:sz w:val="24"/>
        </w:rPr>
      </w:pPr>
      <w:r>
        <w:rPr>
          <w:b/>
          <w:sz w:val="24"/>
        </w:rPr>
        <w:t xml:space="preserve">Protection of Tenant from Forfeiture </w:t>
      </w:r>
    </w:p>
    <w:p w14:paraId="37485E23" w14:textId="77777777" w:rsidR="00574383" w:rsidRDefault="00574383" w:rsidP="00574383">
      <w:pPr>
        <w:numPr>
          <w:ilvl w:val="12"/>
          <w:numId w:val="0"/>
        </w:numPr>
        <w:rPr>
          <w:b/>
          <w:sz w:val="24"/>
        </w:rPr>
      </w:pPr>
    </w:p>
    <w:p w14:paraId="6E503B54" w14:textId="77777777" w:rsidR="00574383" w:rsidRDefault="00574383" w:rsidP="00574383">
      <w:pPr>
        <w:numPr>
          <w:ilvl w:val="12"/>
          <w:numId w:val="0"/>
        </w:numPr>
        <w:rPr>
          <w:b/>
          <w:sz w:val="24"/>
        </w:rPr>
      </w:pPr>
      <w:r>
        <w:rPr>
          <w:b/>
          <w:sz w:val="24"/>
        </w:rPr>
        <w:t xml:space="preserve">A.  Breach of Covenant to Pay Rent </w:t>
      </w:r>
    </w:p>
    <w:p w14:paraId="170104D2" w14:textId="77777777" w:rsidR="00574383" w:rsidRDefault="00574383" w:rsidP="00574383">
      <w:pPr>
        <w:numPr>
          <w:ilvl w:val="12"/>
          <w:numId w:val="0"/>
        </w:numPr>
        <w:rPr>
          <w:sz w:val="24"/>
        </w:rPr>
      </w:pPr>
    </w:p>
    <w:p w14:paraId="1D22B725" w14:textId="77777777" w:rsidR="00574383" w:rsidRDefault="00574383" w:rsidP="00574383">
      <w:pPr>
        <w:numPr>
          <w:ilvl w:val="12"/>
          <w:numId w:val="0"/>
        </w:numPr>
        <w:rPr>
          <w:sz w:val="24"/>
        </w:rPr>
      </w:pPr>
      <w:r>
        <w:rPr>
          <w:sz w:val="24"/>
        </w:rPr>
        <w:t xml:space="preserve">Before proceeding to forfeiture, the landlord must make a formal demand for the rent. </w:t>
      </w:r>
    </w:p>
    <w:p w14:paraId="57D8CB86" w14:textId="77777777" w:rsidR="00574383" w:rsidRDefault="00574383" w:rsidP="00574383">
      <w:pPr>
        <w:numPr>
          <w:ilvl w:val="12"/>
          <w:numId w:val="0"/>
        </w:numPr>
        <w:rPr>
          <w:sz w:val="24"/>
        </w:rPr>
      </w:pPr>
      <w:r>
        <w:rPr>
          <w:sz w:val="24"/>
        </w:rPr>
        <w:t>But note that this is unnecessary:</w:t>
      </w:r>
    </w:p>
    <w:p w14:paraId="3304BFA7" w14:textId="77777777" w:rsidR="00574383" w:rsidRDefault="00574383" w:rsidP="00574383">
      <w:pPr>
        <w:numPr>
          <w:ilvl w:val="12"/>
          <w:numId w:val="0"/>
        </w:numPr>
        <w:rPr>
          <w:sz w:val="24"/>
        </w:rPr>
      </w:pPr>
    </w:p>
    <w:p w14:paraId="583939B1" w14:textId="77777777" w:rsidR="00574383" w:rsidRDefault="00574383" w:rsidP="00574383">
      <w:pPr>
        <w:numPr>
          <w:ilvl w:val="12"/>
          <w:numId w:val="0"/>
        </w:numPr>
        <w:rPr>
          <w:sz w:val="24"/>
        </w:rPr>
      </w:pPr>
      <w:r>
        <w:rPr>
          <w:sz w:val="24"/>
        </w:rPr>
        <w:t xml:space="preserve">a)  if the lease so provides; or </w:t>
      </w:r>
    </w:p>
    <w:p w14:paraId="266714D8" w14:textId="77777777" w:rsidR="00574383" w:rsidRDefault="00574383" w:rsidP="00574383">
      <w:pPr>
        <w:numPr>
          <w:ilvl w:val="12"/>
          <w:numId w:val="0"/>
        </w:numPr>
        <w:rPr>
          <w:sz w:val="24"/>
        </w:rPr>
      </w:pPr>
    </w:p>
    <w:p w14:paraId="5B975844" w14:textId="77777777" w:rsidR="00574383" w:rsidRDefault="00574383" w:rsidP="00574383">
      <w:pPr>
        <w:numPr>
          <w:ilvl w:val="12"/>
          <w:numId w:val="0"/>
        </w:numPr>
        <w:rPr>
          <w:b/>
          <w:sz w:val="24"/>
        </w:rPr>
      </w:pPr>
      <w:r>
        <w:rPr>
          <w:sz w:val="24"/>
        </w:rPr>
        <w:t xml:space="preserve">b)  by virtue of </w:t>
      </w:r>
      <w:r>
        <w:rPr>
          <w:i/>
          <w:sz w:val="24"/>
        </w:rPr>
        <w:t>Common Law Procedure Act 1852; s210</w:t>
      </w:r>
      <w:r>
        <w:rPr>
          <w:sz w:val="24"/>
        </w:rPr>
        <w:t>:</w:t>
      </w:r>
    </w:p>
    <w:p w14:paraId="58221293" w14:textId="77777777" w:rsidR="00574383" w:rsidRDefault="00574383" w:rsidP="00574383">
      <w:pPr>
        <w:numPr>
          <w:ilvl w:val="12"/>
          <w:numId w:val="0"/>
        </w:numPr>
        <w:rPr>
          <w:b/>
          <w:sz w:val="24"/>
        </w:rPr>
      </w:pPr>
      <w:r>
        <w:rPr>
          <w:b/>
          <w:sz w:val="24"/>
        </w:rPr>
        <w:lastRenderedPageBreak/>
        <w:t xml:space="preserve"> </w:t>
      </w:r>
    </w:p>
    <w:p w14:paraId="2E2F847E" w14:textId="77777777" w:rsidR="00574383" w:rsidRDefault="00574383" w:rsidP="00574383">
      <w:pPr>
        <w:numPr>
          <w:ilvl w:val="12"/>
          <w:numId w:val="0"/>
        </w:numPr>
        <w:rPr>
          <w:sz w:val="24"/>
        </w:rPr>
      </w:pPr>
      <w:r>
        <w:rPr>
          <w:sz w:val="24"/>
        </w:rPr>
        <w:tab/>
        <w:t>-  if half a year's rent is due;</w:t>
      </w:r>
    </w:p>
    <w:p w14:paraId="6FFAAF9C" w14:textId="77777777" w:rsidR="00574383" w:rsidRDefault="00574383" w:rsidP="00574383">
      <w:pPr>
        <w:numPr>
          <w:ilvl w:val="12"/>
          <w:numId w:val="0"/>
        </w:numPr>
        <w:rPr>
          <w:sz w:val="24"/>
        </w:rPr>
      </w:pPr>
      <w:r>
        <w:rPr>
          <w:sz w:val="24"/>
        </w:rPr>
        <w:t xml:space="preserve"> </w:t>
      </w:r>
    </w:p>
    <w:p w14:paraId="7F2FEBB4" w14:textId="77777777" w:rsidR="00574383" w:rsidRDefault="00574383" w:rsidP="00574383">
      <w:pPr>
        <w:numPr>
          <w:ilvl w:val="12"/>
          <w:numId w:val="0"/>
        </w:numPr>
        <w:rPr>
          <w:sz w:val="24"/>
        </w:rPr>
      </w:pPr>
      <w:r>
        <w:rPr>
          <w:sz w:val="24"/>
        </w:rPr>
        <w:tab/>
        <w:t xml:space="preserve">-  there is not sufficient distress on the premises; and </w:t>
      </w:r>
    </w:p>
    <w:p w14:paraId="6C72584A" w14:textId="77777777" w:rsidR="00574383" w:rsidRDefault="00574383" w:rsidP="00574383">
      <w:pPr>
        <w:numPr>
          <w:ilvl w:val="12"/>
          <w:numId w:val="0"/>
        </w:numPr>
        <w:rPr>
          <w:sz w:val="24"/>
        </w:rPr>
      </w:pPr>
    </w:p>
    <w:p w14:paraId="79B2117B" w14:textId="77777777" w:rsidR="00574383" w:rsidRDefault="00574383" w:rsidP="00574383">
      <w:pPr>
        <w:numPr>
          <w:ilvl w:val="12"/>
          <w:numId w:val="0"/>
        </w:numPr>
        <w:rPr>
          <w:sz w:val="24"/>
        </w:rPr>
      </w:pPr>
      <w:r>
        <w:rPr>
          <w:sz w:val="24"/>
        </w:rPr>
        <w:tab/>
        <w:t>-  a power of re-entry has been reserved .</w:t>
      </w:r>
    </w:p>
    <w:p w14:paraId="3F558C9A" w14:textId="77777777" w:rsidR="00574383" w:rsidRDefault="00574383" w:rsidP="00574383">
      <w:pPr>
        <w:numPr>
          <w:ilvl w:val="12"/>
          <w:numId w:val="0"/>
        </w:numPr>
        <w:rPr>
          <w:sz w:val="24"/>
        </w:rPr>
      </w:pPr>
    </w:p>
    <w:p w14:paraId="4FFFBF98" w14:textId="77777777" w:rsidR="00574383" w:rsidRDefault="00574383" w:rsidP="00574383">
      <w:pPr>
        <w:numPr>
          <w:ilvl w:val="12"/>
          <w:numId w:val="0"/>
        </w:numPr>
        <w:rPr>
          <w:sz w:val="24"/>
        </w:rPr>
      </w:pPr>
      <w:r>
        <w:rPr>
          <w:sz w:val="24"/>
        </w:rPr>
        <w:t xml:space="preserve">The court will grant relief to a tenant against forfeiture for non-payment of rent provided: </w:t>
      </w:r>
    </w:p>
    <w:p w14:paraId="21660748" w14:textId="77777777" w:rsidR="00574383" w:rsidRDefault="00574383" w:rsidP="00574383">
      <w:pPr>
        <w:numPr>
          <w:ilvl w:val="12"/>
          <w:numId w:val="0"/>
        </w:numPr>
        <w:rPr>
          <w:sz w:val="24"/>
        </w:rPr>
      </w:pPr>
    </w:p>
    <w:p w14:paraId="62321F8F" w14:textId="77777777" w:rsidR="00574383" w:rsidRDefault="00574383" w:rsidP="00574383">
      <w:pPr>
        <w:numPr>
          <w:ilvl w:val="12"/>
          <w:numId w:val="0"/>
        </w:numPr>
        <w:rPr>
          <w:sz w:val="24"/>
        </w:rPr>
      </w:pPr>
      <w:r>
        <w:rPr>
          <w:sz w:val="24"/>
        </w:rPr>
        <w:t xml:space="preserve">a)  the tenant pays all arrears of rent and costs; and </w:t>
      </w:r>
    </w:p>
    <w:p w14:paraId="37F198F3" w14:textId="77777777" w:rsidR="00574383" w:rsidRDefault="00574383" w:rsidP="00574383">
      <w:pPr>
        <w:numPr>
          <w:ilvl w:val="12"/>
          <w:numId w:val="0"/>
        </w:numPr>
        <w:rPr>
          <w:sz w:val="24"/>
        </w:rPr>
      </w:pPr>
    </w:p>
    <w:p w14:paraId="4A85809D" w14:textId="77777777" w:rsidR="00574383" w:rsidRDefault="00574383" w:rsidP="00574383">
      <w:pPr>
        <w:numPr>
          <w:ilvl w:val="12"/>
          <w:numId w:val="0"/>
        </w:numPr>
        <w:rPr>
          <w:sz w:val="24"/>
        </w:rPr>
      </w:pPr>
      <w:r>
        <w:rPr>
          <w:sz w:val="24"/>
        </w:rPr>
        <w:t xml:space="preserve">b)  it is just and equitable that relief should be granted. </w:t>
      </w:r>
    </w:p>
    <w:p w14:paraId="7EA3D4CF" w14:textId="77777777" w:rsidR="00574383" w:rsidRDefault="00574383" w:rsidP="00574383">
      <w:pPr>
        <w:numPr>
          <w:ilvl w:val="12"/>
          <w:numId w:val="0"/>
        </w:numPr>
        <w:rPr>
          <w:sz w:val="24"/>
        </w:rPr>
      </w:pPr>
    </w:p>
    <w:p w14:paraId="6E27F7DE" w14:textId="77777777" w:rsidR="00574383" w:rsidRDefault="00574383" w:rsidP="00574383">
      <w:pPr>
        <w:numPr>
          <w:ilvl w:val="12"/>
          <w:numId w:val="0"/>
        </w:numPr>
        <w:rPr>
          <w:sz w:val="24"/>
        </w:rPr>
      </w:pPr>
      <w:r>
        <w:rPr>
          <w:sz w:val="24"/>
        </w:rPr>
        <w:t xml:space="preserve">If the landlord has re-entered, relief may still be granted if the tenant applies to the court within 6 months after the re-entry. </w:t>
      </w:r>
    </w:p>
    <w:p w14:paraId="0E5CE46E" w14:textId="77777777" w:rsidR="00574383" w:rsidRDefault="00574383" w:rsidP="00574383">
      <w:pPr>
        <w:numPr>
          <w:ilvl w:val="12"/>
          <w:numId w:val="0"/>
        </w:numPr>
        <w:rPr>
          <w:sz w:val="24"/>
        </w:rPr>
      </w:pPr>
    </w:p>
    <w:p w14:paraId="1CB40F47" w14:textId="77777777" w:rsidR="00574383" w:rsidRDefault="00574383" w:rsidP="00574383">
      <w:pPr>
        <w:numPr>
          <w:ilvl w:val="12"/>
          <w:numId w:val="0"/>
        </w:numPr>
        <w:rPr>
          <w:sz w:val="24"/>
        </w:rPr>
      </w:pPr>
      <w:r>
        <w:rPr>
          <w:sz w:val="24"/>
        </w:rPr>
        <w:t xml:space="preserve">This is discretionary and so, E.g., in </w:t>
      </w:r>
      <w:r>
        <w:rPr>
          <w:b/>
          <w:i/>
          <w:sz w:val="24"/>
        </w:rPr>
        <w:t>Stanhope v Haworth</w:t>
      </w:r>
      <w:r>
        <w:rPr>
          <w:sz w:val="24"/>
        </w:rPr>
        <w:t xml:space="preserve"> [1886] TLR 34, equity would not intervene when the landlord had arranged for another tenant and the previous one had applied almost at the limit. </w:t>
      </w:r>
    </w:p>
    <w:p w14:paraId="42BADCED" w14:textId="77777777" w:rsidR="00574383" w:rsidRDefault="00574383" w:rsidP="00574383">
      <w:pPr>
        <w:numPr>
          <w:ilvl w:val="12"/>
          <w:numId w:val="0"/>
        </w:numPr>
        <w:rPr>
          <w:sz w:val="24"/>
        </w:rPr>
      </w:pPr>
    </w:p>
    <w:p w14:paraId="15BA4A8A" w14:textId="77777777" w:rsidR="00574383" w:rsidRDefault="00574383" w:rsidP="00574383">
      <w:pPr>
        <w:numPr>
          <w:ilvl w:val="12"/>
          <w:numId w:val="0"/>
        </w:numPr>
        <w:rPr>
          <w:b/>
          <w:sz w:val="24"/>
        </w:rPr>
      </w:pPr>
      <w:r>
        <w:rPr>
          <w:b/>
          <w:sz w:val="24"/>
        </w:rPr>
        <w:t xml:space="preserve">B.  Breach of Covenant other than the Covenant to Pay Rent </w:t>
      </w:r>
    </w:p>
    <w:p w14:paraId="26CA4CD4" w14:textId="77777777" w:rsidR="00574383" w:rsidRDefault="00574383" w:rsidP="00574383">
      <w:pPr>
        <w:numPr>
          <w:ilvl w:val="12"/>
          <w:numId w:val="0"/>
        </w:numPr>
        <w:rPr>
          <w:b/>
          <w:sz w:val="24"/>
        </w:rPr>
      </w:pPr>
    </w:p>
    <w:p w14:paraId="39F21970" w14:textId="77777777" w:rsidR="00574383" w:rsidRDefault="00574383" w:rsidP="00574383">
      <w:pPr>
        <w:numPr>
          <w:ilvl w:val="12"/>
          <w:numId w:val="0"/>
        </w:numPr>
        <w:rPr>
          <w:sz w:val="24"/>
        </w:rPr>
      </w:pPr>
      <w:r>
        <w:rPr>
          <w:sz w:val="24"/>
        </w:rPr>
        <w:t xml:space="preserve">The landlord cannot enforce a right of re-entry by action or otherwise until he has served on the tenant a </w:t>
      </w:r>
      <w:r>
        <w:rPr>
          <w:i/>
          <w:sz w:val="24"/>
        </w:rPr>
        <w:t>Section 146</w:t>
      </w:r>
      <w:r>
        <w:rPr>
          <w:sz w:val="24"/>
        </w:rPr>
        <w:t xml:space="preserve"> Notice which: </w:t>
      </w:r>
    </w:p>
    <w:p w14:paraId="17C6AEEA" w14:textId="77777777" w:rsidR="00574383" w:rsidRDefault="00574383" w:rsidP="00574383">
      <w:pPr>
        <w:numPr>
          <w:ilvl w:val="12"/>
          <w:numId w:val="0"/>
        </w:numPr>
        <w:ind w:left="360" w:hanging="360"/>
        <w:rPr>
          <w:sz w:val="24"/>
        </w:rPr>
      </w:pPr>
    </w:p>
    <w:p w14:paraId="3C30F696" w14:textId="77777777" w:rsidR="00574383" w:rsidRDefault="00574383" w:rsidP="00574383">
      <w:pPr>
        <w:numPr>
          <w:ilvl w:val="12"/>
          <w:numId w:val="0"/>
        </w:numPr>
        <w:ind w:left="360" w:hanging="360"/>
        <w:rPr>
          <w:sz w:val="24"/>
        </w:rPr>
      </w:pPr>
      <w:r>
        <w:rPr>
          <w:sz w:val="24"/>
        </w:rPr>
        <w:t xml:space="preserve">a)  </w:t>
      </w:r>
      <w:r>
        <w:rPr>
          <w:sz w:val="24"/>
        </w:rPr>
        <w:tab/>
        <w:t xml:space="preserve">specifies the breach complained of; and </w:t>
      </w:r>
    </w:p>
    <w:p w14:paraId="3D70BF72" w14:textId="77777777" w:rsidR="00574383" w:rsidRDefault="00574383" w:rsidP="00574383">
      <w:pPr>
        <w:numPr>
          <w:ilvl w:val="12"/>
          <w:numId w:val="0"/>
        </w:numPr>
        <w:ind w:left="360" w:hanging="360"/>
        <w:rPr>
          <w:sz w:val="24"/>
        </w:rPr>
      </w:pPr>
    </w:p>
    <w:p w14:paraId="296D41EC" w14:textId="77777777" w:rsidR="00574383" w:rsidRDefault="00574383" w:rsidP="00574383">
      <w:pPr>
        <w:numPr>
          <w:ilvl w:val="12"/>
          <w:numId w:val="0"/>
        </w:numPr>
        <w:ind w:left="360" w:hanging="360"/>
        <w:rPr>
          <w:sz w:val="24"/>
        </w:rPr>
      </w:pPr>
      <w:r>
        <w:rPr>
          <w:sz w:val="24"/>
        </w:rPr>
        <w:t xml:space="preserve">b)  </w:t>
      </w:r>
      <w:r>
        <w:rPr>
          <w:sz w:val="24"/>
        </w:rPr>
        <w:tab/>
        <w:t xml:space="preserve">requires the tenant to remedy it if it is capable of remedy; and </w:t>
      </w:r>
    </w:p>
    <w:p w14:paraId="5F86B57A" w14:textId="77777777" w:rsidR="00574383" w:rsidRDefault="00574383" w:rsidP="00574383">
      <w:pPr>
        <w:numPr>
          <w:ilvl w:val="12"/>
          <w:numId w:val="0"/>
        </w:numPr>
        <w:ind w:left="360" w:hanging="360"/>
        <w:rPr>
          <w:sz w:val="24"/>
        </w:rPr>
      </w:pPr>
    </w:p>
    <w:p w14:paraId="4DECF2BE" w14:textId="77777777" w:rsidR="00574383" w:rsidRDefault="00574383" w:rsidP="00574383">
      <w:pPr>
        <w:numPr>
          <w:ilvl w:val="12"/>
          <w:numId w:val="0"/>
        </w:numPr>
        <w:ind w:left="360" w:hanging="360"/>
        <w:rPr>
          <w:sz w:val="24"/>
        </w:rPr>
      </w:pPr>
      <w:r>
        <w:rPr>
          <w:sz w:val="24"/>
        </w:rPr>
        <w:t xml:space="preserve">c)  </w:t>
      </w:r>
      <w:r>
        <w:rPr>
          <w:sz w:val="24"/>
        </w:rPr>
        <w:tab/>
        <w:t>requires the tenant to make compensation in money for the breach if  compensation is appropriate and the landlord requires it (</w:t>
      </w:r>
      <w:r>
        <w:rPr>
          <w:i/>
          <w:sz w:val="24"/>
        </w:rPr>
        <w:t>LPA 1925; s146</w:t>
      </w:r>
      <w:r>
        <w:rPr>
          <w:sz w:val="24"/>
        </w:rPr>
        <w:t>);</w:t>
      </w:r>
    </w:p>
    <w:p w14:paraId="162952AB" w14:textId="77777777" w:rsidR="00574383" w:rsidRDefault="00574383" w:rsidP="00574383">
      <w:pPr>
        <w:numPr>
          <w:ilvl w:val="12"/>
          <w:numId w:val="0"/>
        </w:numPr>
        <w:ind w:left="360" w:hanging="360"/>
        <w:rPr>
          <w:sz w:val="24"/>
        </w:rPr>
      </w:pPr>
    </w:p>
    <w:p w14:paraId="4A553653" w14:textId="77777777" w:rsidR="00574383" w:rsidRDefault="00574383" w:rsidP="00574383">
      <w:pPr>
        <w:numPr>
          <w:ilvl w:val="12"/>
          <w:numId w:val="0"/>
        </w:numPr>
        <w:ind w:left="360" w:hanging="360"/>
        <w:rPr>
          <w:sz w:val="24"/>
        </w:rPr>
      </w:pPr>
      <w:r>
        <w:rPr>
          <w:sz w:val="24"/>
        </w:rPr>
        <w:t xml:space="preserve">d)  </w:t>
      </w:r>
      <w:r>
        <w:rPr>
          <w:sz w:val="24"/>
        </w:rPr>
        <w:tab/>
        <w:t xml:space="preserve">if the breach is of a repairing covenant, specify the tenant's rights under the </w:t>
      </w:r>
      <w:r>
        <w:rPr>
          <w:i/>
          <w:sz w:val="24"/>
        </w:rPr>
        <w:t>Leasehold (Property Repairs) Act 1938</w:t>
      </w:r>
      <w:r>
        <w:rPr>
          <w:sz w:val="24"/>
        </w:rPr>
        <w:t xml:space="preserve">. </w:t>
      </w:r>
    </w:p>
    <w:p w14:paraId="4211DD94" w14:textId="77777777" w:rsidR="00574383" w:rsidRDefault="00574383" w:rsidP="00574383">
      <w:pPr>
        <w:numPr>
          <w:ilvl w:val="12"/>
          <w:numId w:val="0"/>
        </w:numPr>
        <w:rPr>
          <w:b/>
          <w:i/>
          <w:sz w:val="24"/>
        </w:rPr>
      </w:pPr>
    </w:p>
    <w:p w14:paraId="426E3EEC" w14:textId="77777777" w:rsidR="00574383" w:rsidRPr="00574383" w:rsidRDefault="00574383" w:rsidP="00574383">
      <w:pPr>
        <w:numPr>
          <w:ilvl w:val="12"/>
          <w:numId w:val="0"/>
        </w:numPr>
        <w:rPr>
          <w:b/>
          <w:i/>
          <w:sz w:val="24"/>
        </w:rPr>
      </w:pPr>
      <w:r>
        <w:rPr>
          <w:b/>
          <w:i/>
          <w:sz w:val="24"/>
        </w:rPr>
        <w:t xml:space="preserve">Rugby School (Governors) v </w:t>
      </w:r>
      <w:proofErr w:type="spellStart"/>
      <w:r>
        <w:rPr>
          <w:b/>
          <w:i/>
          <w:sz w:val="24"/>
        </w:rPr>
        <w:t>Tannahill</w:t>
      </w:r>
      <w:proofErr w:type="spellEnd"/>
      <w:r>
        <w:rPr>
          <w:sz w:val="24"/>
        </w:rPr>
        <w:t xml:space="preserve"> [1935] 1 KB 87.</w:t>
      </w:r>
    </w:p>
    <w:p w14:paraId="1A70BA81" w14:textId="77777777" w:rsidR="00574383" w:rsidRPr="00574383" w:rsidRDefault="00574383" w:rsidP="00574383">
      <w:pPr>
        <w:numPr>
          <w:ilvl w:val="12"/>
          <w:numId w:val="0"/>
        </w:numPr>
        <w:rPr>
          <w:sz w:val="24"/>
        </w:rPr>
      </w:pPr>
      <w:r w:rsidRPr="00574383">
        <w:rPr>
          <w:b/>
          <w:i/>
          <w:sz w:val="24"/>
        </w:rPr>
        <w:t>Egerton v Esplanade Hotels Ltd</w:t>
      </w:r>
      <w:r w:rsidRPr="00574383">
        <w:rPr>
          <w:i/>
          <w:sz w:val="24"/>
        </w:rPr>
        <w:t xml:space="preserve"> </w:t>
      </w:r>
      <w:r w:rsidRPr="00574383">
        <w:rPr>
          <w:sz w:val="24"/>
        </w:rPr>
        <w:t>[1947] 2 All ER 88.</w:t>
      </w:r>
    </w:p>
    <w:p w14:paraId="71AFA760" w14:textId="77777777" w:rsidR="00574383" w:rsidRDefault="00574383" w:rsidP="00574383">
      <w:pPr>
        <w:numPr>
          <w:ilvl w:val="12"/>
          <w:numId w:val="0"/>
        </w:numPr>
        <w:rPr>
          <w:sz w:val="24"/>
        </w:rPr>
      </w:pPr>
      <w:r>
        <w:rPr>
          <w:b/>
          <w:i/>
          <w:sz w:val="24"/>
        </w:rPr>
        <w:t xml:space="preserve">Expert Clothing Service &amp; Sales Ltd v </w:t>
      </w:r>
      <w:proofErr w:type="spellStart"/>
      <w:r>
        <w:rPr>
          <w:b/>
          <w:i/>
          <w:sz w:val="24"/>
        </w:rPr>
        <w:t>Hillgate</w:t>
      </w:r>
      <w:proofErr w:type="spellEnd"/>
      <w:r>
        <w:rPr>
          <w:b/>
          <w:i/>
          <w:sz w:val="24"/>
        </w:rPr>
        <w:t xml:space="preserve"> House Ltd</w:t>
      </w:r>
      <w:r>
        <w:rPr>
          <w:sz w:val="24"/>
        </w:rPr>
        <w:t xml:space="preserve"> [1985] 3 WLR 359.</w:t>
      </w:r>
    </w:p>
    <w:p w14:paraId="7AB4F6C5" w14:textId="77777777" w:rsidR="00574383" w:rsidRDefault="00574383" w:rsidP="00574383">
      <w:pPr>
        <w:numPr>
          <w:ilvl w:val="12"/>
          <w:numId w:val="0"/>
        </w:numPr>
        <w:rPr>
          <w:sz w:val="24"/>
        </w:rPr>
      </w:pPr>
    </w:p>
    <w:p w14:paraId="0B6BEF29" w14:textId="77777777" w:rsidR="00574383" w:rsidRDefault="00574383" w:rsidP="00574383">
      <w:pPr>
        <w:numPr>
          <w:ilvl w:val="12"/>
          <w:numId w:val="0"/>
        </w:numPr>
        <w:rPr>
          <w:sz w:val="24"/>
        </w:rPr>
      </w:pPr>
      <w:r>
        <w:rPr>
          <w:sz w:val="24"/>
        </w:rPr>
        <w:t xml:space="preserve">The landlord must then give the tenant a reasonable time to comply with the notice. </w:t>
      </w:r>
    </w:p>
    <w:p w14:paraId="46C2BAA8" w14:textId="77777777" w:rsidR="00574383" w:rsidRDefault="00574383" w:rsidP="00574383">
      <w:pPr>
        <w:numPr>
          <w:ilvl w:val="12"/>
          <w:numId w:val="0"/>
        </w:numPr>
        <w:rPr>
          <w:sz w:val="24"/>
        </w:rPr>
      </w:pPr>
      <w:r>
        <w:rPr>
          <w:sz w:val="24"/>
        </w:rPr>
        <w:t>If the tenant has not complied with the notice within a reasonable time, the landlord may proceed to enforce the forfeiture.</w:t>
      </w:r>
    </w:p>
    <w:p w14:paraId="377F92CD" w14:textId="77777777" w:rsidR="00574383" w:rsidRDefault="00574383" w:rsidP="00574383">
      <w:pPr>
        <w:numPr>
          <w:ilvl w:val="12"/>
          <w:numId w:val="0"/>
        </w:numPr>
        <w:rPr>
          <w:sz w:val="24"/>
        </w:rPr>
      </w:pPr>
      <w:r>
        <w:rPr>
          <w:sz w:val="24"/>
        </w:rPr>
        <w:t xml:space="preserve"> </w:t>
      </w:r>
    </w:p>
    <w:p w14:paraId="342F9F29" w14:textId="77777777" w:rsidR="00574383" w:rsidRDefault="00574383" w:rsidP="00574383">
      <w:pPr>
        <w:numPr>
          <w:ilvl w:val="12"/>
          <w:numId w:val="0"/>
        </w:numPr>
        <w:rPr>
          <w:sz w:val="24"/>
        </w:rPr>
      </w:pPr>
      <w:r>
        <w:rPr>
          <w:sz w:val="24"/>
        </w:rPr>
        <w:t xml:space="preserve">However, while the landlord is “proceeding” to enforce forfeiture (E.g., at any time before he has actually entered) the tenant may apply to the court for relief, which the court may grant on such terms as it thinks fit. </w:t>
      </w:r>
    </w:p>
    <w:p w14:paraId="21F9B5D2" w14:textId="77777777" w:rsidR="00574383" w:rsidRDefault="00574383" w:rsidP="00574383">
      <w:pPr>
        <w:numPr>
          <w:ilvl w:val="12"/>
          <w:numId w:val="0"/>
        </w:numPr>
        <w:rPr>
          <w:sz w:val="24"/>
        </w:rPr>
      </w:pPr>
    </w:p>
    <w:p w14:paraId="03C10F89" w14:textId="77777777" w:rsidR="00574383" w:rsidRDefault="00574383" w:rsidP="00574383">
      <w:pPr>
        <w:numPr>
          <w:ilvl w:val="12"/>
          <w:numId w:val="0"/>
        </w:numPr>
        <w:rPr>
          <w:sz w:val="24"/>
        </w:rPr>
      </w:pPr>
      <w:r>
        <w:rPr>
          <w:sz w:val="24"/>
        </w:rPr>
        <w:t xml:space="preserve">If relief is granted, the effect is as if the lease had never been forfeited. </w:t>
      </w:r>
    </w:p>
    <w:p w14:paraId="207DB0DF" w14:textId="77777777" w:rsidR="00574383" w:rsidRDefault="00574383" w:rsidP="00574383">
      <w:pPr>
        <w:numPr>
          <w:ilvl w:val="12"/>
          <w:numId w:val="0"/>
        </w:numPr>
        <w:rPr>
          <w:sz w:val="24"/>
        </w:rPr>
      </w:pPr>
    </w:p>
    <w:p w14:paraId="10F71409" w14:textId="77777777" w:rsidR="00574383" w:rsidRDefault="00574383" w:rsidP="00574383">
      <w:pPr>
        <w:numPr>
          <w:ilvl w:val="12"/>
          <w:numId w:val="0"/>
        </w:numPr>
        <w:rPr>
          <w:sz w:val="24"/>
        </w:rPr>
      </w:pPr>
      <w:r>
        <w:rPr>
          <w:sz w:val="24"/>
        </w:rPr>
        <w:lastRenderedPageBreak/>
        <w:t xml:space="preserve">The landlord may waive his right of forfeiture either expressly or impliedly. </w:t>
      </w:r>
    </w:p>
    <w:p w14:paraId="71C85982" w14:textId="77777777" w:rsidR="00574383" w:rsidRDefault="00574383" w:rsidP="00574383">
      <w:pPr>
        <w:numPr>
          <w:ilvl w:val="12"/>
          <w:numId w:val="0"/>
        </w:numPr>
        <w:rPr>
          <w:sz w:val="24"/>
        </w:rPr>
      </w:pPr>
    </w:p>
    <w:p w14:paraId="2E1ED1EE" w14:textId="77777777" w:rsidR="00574383" w:rsidRDefault="00574383" w:rsidP="00574383">
      <w:pPr>
        <w:numPr>
          <w:ilvl w:val="12"/>
          <w:numId w:val="0"/>
        </w:numPr>
        <w:rPr>
          <w:sz w:val="24"/>
        </w:rPr>
      </w:pPr>
      <w:r>
        <w:rPr>
          <w:sz w:val="24"/>
        </w:rPr>
        <w:t xml:space="preserve">However, it will only be implied if the landlord knows the full facts and does some act which clearly recognises the continued existence of the lease. </w:t>
      </w:r>
    </w:p>
    <w:p w14:paraId="6F685B1E" w14:textId="77777777" w:rsidR="00574383" w:rsidRDefault="00574383" w:rsidP="00574383">
      <w:pPr>
        <w:numPr>
          <w:ilvl w:val="12"/>
          <w:numId w:val="0"/>
        </w:numPr>
        <w:rPr>
          <w:sz w:val="24"/>
        </w:rPr>
      </w:pPr>
    </w:p>
    <w:p w14:paraId="117C8EEE" w14:textId="77777777" w:rsidR="00574383" w:rsidRDefault="00574383" w:rsidP="00574383">
      <w:pPr>
        <w:rPr>
          <w:rFonts w:cs="Arial"/>
          <w:b/>
          <w:sz w:val="24"/>
          <w:szCs w:val="24"/>
        </w:rPr>
      </w:pPr>
      <w:r>
        <w:rPr>
          <w:b/>
          <w:sz w:val="24"/>
        </w:rPr>
        <w:br w:type="page"/>
      </w:r>
      <w:r>
        <w:rPr>
          <w:b/>
          <w:sz w:val="24"/>
        </w:rPr>
        <w:lastRenderedPageBreak/>
        <w:t xml:space="preserve">NOTE TO STUDENTS:   We will not be looking at this particular topic in any great detail </w:t>
      </w:r>
      <w:r>
        <w:rPr>
          <w:b/>
          <w:sz w:val="24"/>
          <w:u w:val="single"/>
        </w:rPr>
        <w:t>except that</w:t>
      </w:r>
      <w:r>
        <w:rPr>
          <w:b/>
          <w:sz w:val="24"/>
        </w:rPr>
        <w:t xml:space="preserve"> the first section below entitled “</w:t>
      </w:r>
      <w:r>
        <w:rPr>
          <w:rFonts w:cs="Arial"/>
          <w:b/>
          <w:sz w:val="24"/>
          <w:szCs w:val="24"/>
        </w:rPr>
        <w:t xml:space="preserve">Background - what were the problems with the current system?” provides some very important information which will help you to understand some of the mechanisms that have been introduced (as well as Commonhold) in an attempt to overcome issues that have arisen with enforceability of positive covenants where the land in question is held on a freehold basis.  </w:t>
      </w:r>
    </w:p>
    <w:p w14:paraId="7283EBD7" w14:textId="77777777" w:rsidR="00574383" w:rsidRDefault="00574383" w:rsidP="00574383">
      <w:pPr>
        <w:rPr>
          <w:rFonts w:cs="Arial"/>
          <w:b/>
          <w:sz w:val="24"/>
          <w:szCs w:val="24"/>
        </w:rPr>
      </w:pPr>
    </w:p>
    <w:p w14:paraId="49FB9DD4" w14:textId="77777777" w:rsidR="00574383" w:rsidRDefault="00574383" w:rsidP="00574383">
      <w:pPr>
        <w:rPr>
          <w:rFonts w:cs="Arial"/>
          <w:b/>
          <w:sz w:val="24"/>
          <w:szCs w:val="24"/>
        </w:rPr>
      </w:pPr>
      <w:r>
        <w:rPr>
          <w:rFonts w:cs="Arial"/>
          <w:b/>
          <w:sz w:val="24"/>
          <w:szCs w:val="24"/>
        </w:rPr>
        <w:t>This will be studied in more detail later on in the topic “Freehold Covenants”.</w:t>
      </w:r>
    </w:p>
    <w:p w14:paraId="54E29845" w14:textId="77777777" w:rsidR="00574383" w:rsidRDefault="00574383" w:rsidP="00574383">
      <w:pPr>
        <w:rPr>
          <w:b/>
          <w:sz w:val="24"/>
        </w:rPr>
      </w:pPr>
      <w:r>
        <w:rPr>
          <w:b/>
          <w:sz w:val="24"/>
        </w:rPr>
        <w:t xml:space="preserve">  </w:t>
      </w:r>
    </w:p>
    <w:p w14:paraId="13F86922" w14:textId="77777777" w:rsidR="00574383" w:rsidRDefault="00574383" w:rsidP="00574383">
      <w:pPr>
        <w:numPr>
          <w:ilvl w:val="12"/>
          <w:numId w:val="0"/>
        </w:numPr>
        <w:rPr>
          <w:sz w:val="28"/>
          <w:szCs w:val="28"/>
        </w:rPr>
      </w:pPr>
      <w:r>
        <w:rPr>
          <w:b/>
          <w:sz w:val="28"/>
          <w:szCs w:val="28"/>
        </w:rPr>
        <w:t>Commonhold</w:t>
      </w:r>
    </w:p>
    <w:p w14:paraId="3BE5FD91" w14:textId="77777777" w:rsidR="00574383" w:rsidRDefault="00574383" w:rsidP="00574383">
      <w:pPr>
        <w:numPr>
          <w:ilvl w:val="12"/>
          <w:numId w:val="0"/>
        </w:numPr>
        <w:rPr>
          <w:sz w:val="24"/>
        </w:rPr>
      </w:pPr>
    </w:p>
    <w:p w14:paraId="013D70B5" w14:textId="77777777" w:rsidR="00574383" w:rsidRDefault="00574383" w:rsidP="00574383">
      <w:pPr>
        <w:numPr>
          <w:ilvl w:val="12"/>
          <w:numId w:val="0"/>
        </w:numPr>
        <w:rPr>
          <w:sz w:val="24"/>
          <w:szCs w:val="24"/>
        </w:rPr>
      </w:pPr>
      <w:r>
        <w:rPr>
          <w:sz w:val="24"/>
          <w:szCs w:val="24"/>
        </w:rPr>
        <w:t xml:space="preserve">A completely new system of land ownership was introduced in 2004.  This is called Commonhold and the details are set out in the </w:t>
      </w:r>
      <w:r>
        <w:rPr>
          <w:i/>
          <w:sz w:val="24"/>
          <w:szCs w:val="24"/>
        </w:rPr>
        <w:t>Commonhold and Leasehold Reform Act 2002</w:t>
      </w:r>
      <w:r>
        <w:rPr>
          <w:sz w:val="24"/>
          <w:szCs w:val="24"/>
        </w:rPr>
        <w:t>, which came fully into force in September 2004.</w:t>
      </w:r>
    </w:p>
    <w:p w14:paraId="2D1978BE" w14:textId="77777777" w:rsidR="00574383" w:rsidRDefault="00574383" w:rsidP="00574383">
      <w:pPr>
        <w:numPr>
          <w:ilvl w:val="12"/>
          <w:numId w:val="0"/>
        </w:numPr>
        <w:jc w:val="both"/>
        <w:rPr>
          <w:sz w:val="24"/>
          <w:szCs w:val="24"/>
        </w:rPr>
      </w:pPr>
    </w:p>
    <w:p w14:paraId="4539D236" w14:textId="77777777" w:rsidR="00574383" w:rsidRDefault="00574383" w:rsidP="00574383">
      <w:pPr>
        <w:rPr>
          <w:rFonts w:cs="Arial"/>
          <w:sz w:val="24"/>
          <w:szCs w:val="24"/>
          <w:u w:val="single"/>
        </w:rPr>
      </w:pPr>
      <w:r>
        <w:rPr>
          <w:rFonts w:cs="Arial"/>
          <w:sz w:val="24"/>
          <w:szCs w:val="24"/>
          <w:u w:val="single"/>
        </w:rPr>
        <w:t>Background - what were the problems with the current system?</w:t>
      </w:r>
    </w:p>
    <w:p w14:paraId="56424801" w14:textId="77777777" w:rsidR="00574383" w:rsidRDefault="00574383" w:rsidP="00574383">
      <w:pPr>
        <w:rPr>
          <w:rFonts w:cs="Arial"/>
          <w:sz w:val="24"/>
          <w:szCs w:val="24"/>
          <w:u w:val="single"/>
        </w:rPr>
      </w:pPr>
    </w:p>
    <w:p w14:paraId="47D1438D" w14:textId="77777777" w:rsidR="00574383" w:rsidRDefault="00574383" w:rsidP="00574383">
      <w:pPr>
        <w:pStyle w:val="BodyText"/>
        <w:rPr>
          <w:rFonts w:ascii="Arial" w:hAnsi="Arial" w:cs="Arial"/>
          <w:i w:val="0"/>
          <w:szCs w:val="24"/>
        </w:rPr>
      </w:pPr>
      <w:r>
        <w:rPr>
          <w:rFonts w:ascii="Arial" w:hAnsi="Arial" w:cs="Arial"/>
          <w:i w:val="0"/>
          <w:szCs w:val="24"/>
        </w:rPr>
        <w:t xml:space="preserve">The current law relating to the enforcement of positive covenants in freehold land against third parties is unsatisfactory both to the covenantee and his successors (See </w:t>
      </w:r>
      <w:r>
        <w:rPr>
          <w:rFonts w:ascii="Arial" w:hAnsi="Arial" w:cs="Arial"/>
          <w:b/>
          <w:bCs/>
          <w:szCs w:val="24"/>
        </w:rPr>
        <w:t>Rhone v Stephens</w:t>
      </w:r>
      <w:r>
        <w:rPr>
          <w:rFonts w:ascii="Arial" w:hAnsi="Arial" w:cs="Arial"/>
          <w:bCs/>
          <w:i w:val="0"/>
          <w:szCs w:val="24"/>
        </w:rPr>
        <w:t xml:space="preserve"> [1994] and </w:t>
      </w:r>
      <w:proofErr w:type="spellStart"/>
      <w:r>
        <w:rPr>
          <w:rFonts w:ascii="Arial" w:hAnsi="Arial" w:cs="Arial"/>
          <w:b/>
          <w:bCs/>
          <w:szCs w:val="24"/>
        </w:rPr>
        <w:t>Austerberry</w:t>
      </w:r>
      <w:proofErr w:type="spellEnd"/>
      <w:r>
        <w:rPr>
          <w:rFonts w:ascii="Arial" w:hAnsi="Arial" w:cs="Arial"/>
          <w:b/>
          <w:bCs/>
          <w:szCs w:val="24"/>
        </w:rPr>
        <w:t xml:space="preserve"> v Oldham</w:t>
      </w:r>
      <w:r>
        <w:rPr>
          <w:rFonts w:ascii="Arial" w:hAnsi="Arial" w:cs="Arial"/>
          <w:bCs/>
          <w:i w:val="0"/>
          <w:szCs w:val="24"/>
        </w:rPr>
        <w:t xml:space="preserve"> </w:t>
      </w:r>
      <w:r>
        <w:rPr>
          <w:rFonts w:ascii="Arial" w:hAnsi="Arial" w:cs="Arial"/>
          <w:b/>
          <w:bCs/>
          <w:szCs w:val="24"/>
        </w:rPr>
        <w:t>Corporation</w:t>
      </w:r>
      <w:r>
        <w:rPr>
          <w:rFonts w:ascii="Arial" w:hAnsi="Arial" w:cs="Arial"/>
          <w:bCs/>
          <w:i w:val="0"/>
          <w:szCs w:val="24"/>
        </w:rPr>
        <w:t xml:space="preserve"> [1889]).</w:t>
      </w:r>
      <w:r>
        <w:rPr>
          <w:rFonts w:ascii="Arial" w:hAnsi="Arial" w:cs="Arial"/>
          <w:i w:val="0"/>
          <w:szCs w:val="24"/>
        </w:rPr>
        <w:t xml:space="preserve">  </w:t>
      </w:r>
    </w:p>
    <w:p w14:paraId="4219555C" w14:textId="77777777" w:rsidR="00574383" w:rsidRDefault="00574383" w:rsidP="00574383">
      <w:pPr>
        <w:pStyle w:val="BodyText"/>
        <w:rPr>
          <w:rFonts w:ascii="Arial" w:hAnsi="Arial" w:cs="Arial"/>
          <w:i w:val="0"/>
          <w:szCs w:val="24"/>
        </w:rPr>
      </w:pPr>
    </w:p>
    <w:p w14:paraId="60EC7BCB" w14:textId="77777777" w:rsidR="00574383" w:rsidRDefault="00574383" w:rsidP="00574383">
      <w:pPr>
        <w:pStyle w:val="BodyText"/>
        <w:rPr>
          <w:rFonts w:ascii="Arial" w:hAnsi="Arial" w:cs="Arial"/>
          <w:i w:val="0"/>
          <w:szCs w:val="24"/>
        </w:rPr>
      </w:pPr>
      <w:r>
        <w:rPr>
          <w:rFonts w:ascii="Arial" w:hAnsi="Arial" w:cs="Arial"/>
          <w:i w:val="0"/>
          <w:szCs w:val="24"/>
        </w:rPr>
        <w:t xml:space="preserve">The ability to enforce many such covenants would clearly be desirable in some buildings or on some estates - for example, covenants to maintain and repair the structure of the building, to maintain gardens and to pay for the maintenance of private roads on an estate.  These covenants, in relation to freehold land, are not recognised as property rights.  Nevertheless, in certain types of relationship, most obviously in blocks of flats, it is essential that the owners/occupiers of the units are responsible for such matters.  In view of this, it is currently normal practice to hold an estate in a flat under a long lease. </w:t>
      </w:r>
    </w:p>
    <w:p w14:paraId="6B55FEA0" w14:textId="77777777" w:rsidR="00574383" w:rsidRDefault="00574383" w:rsidP="00574383">
      <w:pPr>
        <w:pStyle w:val="BodyText"/>
        <w:rPr>
          <w:rFonts w:ascii="Arial" w:hAnsi="Arial" w:cs="Arial"/>
          <w:i w:val="0"/>
          <w:szCs w:val="24"/>
        </w:rPr>
      </w:pPr>
    </w:p>
    <w:p w14:paraId="5D161ED5" w14:textId="77777777" w:rsidR="00574383" w:rsidRDefault="00574383" w:rsidP="00574383">
      <w:pPr>
        <w:pStyle w:val="BodyText"/>
        <w:rPr>
          <w:rFonts w:ascii="Arial" w:hAnsi="Arial" w:cs="Arial"/>
          <w:i w:val="0"/>
          <w:szCs w:val="24"/>
        </w:rPr>
      </w:pPr>
      <w:r>
        <w:rPr>
          <w:rFonts w:ascii="Arial" w:hAnsi="Arial" w:cs="Arial"/>
          <w:i w:val="0"/>
          <w:szCs w:val="24"/>
        </w:rPr>
        <w:t>In relation to leases both the benefit and burden of the covenants will pass with the land, either:</w:t>
      </w:r>
    </w:p>
    <w:p w14:paraId="34A9C1FF" w14:textId="77777777" w:rsidR="00574383" w:rsidRDefault="00574383" w:rsidP="00574383">
      <w:pPr>
        <w:pStyle w:val="BodyText"/>
        <w:rPr>
          <w:rFonts w:ascii="Arial" w:hAnsi="Arial" w:cs="Arial"/>
          <w:i w:val="0"/>
          <w:szCs w:val="24"/>
        </w:rPr>
      </w:pPr>
    </w:p>
    <w:p w14:paraId="6F842DB3" w14:textId="77777777" w:rsidR="00574383" w:rsidRDefault="00574383" w:rsidP="00574383">
      <w:pPr>
        <w:pStyle w:val="BodyText"/>
        <w:numPr>
          <w:ilvl w:val="0"/>
          <w:numId w:val="7"/>
        </w:numPr>
        <w:rPr>
          <w:rFonts w:ascii="Arial" w:hAnsi="Arial" w:cs="Arial"/>
          <w:i w:val="0"/>
          <w:szCs w:val="24"/>
        </w:rPr>
      </w:pPr>
      <w:r>
        <w:rPr>
          <w:rFonts w:ascii="Arial" w:hAnsi="Arial" w:cs="Arial"/>
          <w:i w:val="0"/>
          <w:szCs w:val="24"/>
        </w:rPr>
        <w:t xml:space="preserve">Under the rule in </w:t>
      </w:r>
      <w:proofErr w:type="spellStart"/>
      <w:r>
        <w:rPr>
          <w:rFonts w:ascii="Arial" w:hAnsi="Arial" w:cs="Arial"/>
          <w:b/>
          <w:szCs w:val="24"/>
        </w:rPr>
        <w:t>Spencers</w:t>
      </w:r>
      <w:proofErr w:type="spellEnd"/>
      <w:r>
        <w:rPr>
          <w:rFonts w:ascii="Arial" w:hAnsi="Arial" w:cs="Arial"/>
          <w:b/>
          <w:szCs w:val="24"/>
        </w:rPr>
        <w:t xml:space="preserve"> Case</w:t>
      </w:r>
      <w:r>
        <w:rPr>
          <w:rFonts w:ascii="Arial" w:hAnsi="Arial" w:cs="Arial"/>
          <w:i w:val="0"/>
          <w:szCs w:val="24"/>
        </w:rPr>
        <w:t xml:space="preserve"> [1583] for leases created prior to 1 January 1996; or</w:t>
      </w:r>
    </w:p>
    <w:p w14:paraId="3CDA129B" w14:textId="77777777" w:rsidR="00574383" w:rsidRDefault="00574383" w:rsidP="00574383">
      <w:pPr>
        <w:pStyle w:val="BodyText"/>
        <w:ind w:left="360"/>
        <w:rPr>
          <w:rFonts w:ascii="Arial" w:hAnsi="Arial" w:cs="Arial"/>
          <w:i w:val="0"/>
          <w:szCs w:val="24"/>
        </w:rPr>
      </w:pPr>
    </w:p>
    <w:p w14:paraId="1508916A" w14:textId="77777777" w:rsidR="00574383" w:rsidRDefault="00574383" w:rsidP="00574383">
      <w:pPr>
        <w:pStyle w:val="BodyText"/>
        <w:numPr>
          <w:ilvl w:val="0"/>
          <w:numId w:val="7"/>
        </w:numPr>
        <w:rPr>
          <w:rFonts w:ascii="Arial" w:hAnsi="Arial" w:cs="Arial"/>
          <w:i w:val="0"/>
          <w:szCs w:val="24"/>
        </w:rPr>
      </w:pPr>
      <w:r>
        <w:rPr>
          <w:rFonts w:ascii="Arial" w:hAnsi="Arial" w:cs="Arial"/>
          <w:i w:val="0"/>
          <w:szCs w:val="24"/>
        </w:rPr>
        <w:t xml:space="preserve">By virtue of </w:t>
      </w:r>
      <w:r>
        <w:rPr>
          <w:rFonts w:ascii="Arial" w:hAnsi="Arial" w:cs="Arial"/>
          <w:szCs w:val="24"/>
        </w:rPr>
        <w:t xml:space="preserve">Landlord and Tenant (Covenants) Act (1995); s3 </w:t>
      </w:r>
      <w:r>
        <w:rPr>
          <w:rFonts w:ascii="Arial" w:hAnsi="Arial" w:cs="Arial"/>
          <w:i w:val="0"/>
          <w:szCs w:val="24"/>
        </w:rPr>
        <w:t>for leases created on or after that date.</w:t>
      </w:r>
    </w:p>
    <w:p w14:paraId="04BF3F77" w14:textId="77777777" w:rsidR="00574383" w:rsidRDefault="00574383" w:rsidP="00574383">
      <w:pPr>
        <w:pStyle w:val="BodyText"/>
        <w:rPr>
          <w:rFonts w:ascii="Arial" w:hAnsi="Arial" w:cs="Arial"/>
          <w:i w:val="0"/>
          <w:szCs w:val="24"/>
        </w:rPr>
      </w:pPr>
    </w:p>
    <w:p w14:paraId="37F2754C" w14:textId="77777777" w:rsidR="00574383" w:rsidRDefault="00574383" w:rsidP="00574383">
      <w:pPr>
        <w:pStyle w:val="BodyText"/>
        <w:rPr>
          <w:rFonts w:ascii="Arial" w:hAnsi="Arial" w:cs="Arial"/>
          <w:i w:val="0"/>
          <w:szCs w:val="24"/>
        </w:rPr>
      </w:pPr>
      <w:r>
        <w:rPr>
          <w:rFonts w:ascii="Arial" w:hAnsi="Arial" w:cs="Arial"/>
          <w:i w:val="0"/>
          <w:szCs w:val="24"/>
        </w:rPr>
        <w:t>The landlord will frequently be a management company which is set up by all long leaseholders in the building but which has a separate legal identity from the individual tenants.  The management company will covenant to carry out positive works of decoration, repair, and maintenance to the common parts and exterior of the building and, in return, the tenants will covenant to pay a service charge, which reflects the cost of the works.  The service charge will have a right of entry attached to it whereby non-payment may eventually lead to forfeiture of the lease.</w:t>
      </w:r>
    </w:p>
    <w:p w14:paraId="6B8ABFDF" w14:textId="77777777" w:rsidR="00574383" w:rsidRDefault="00574383" w:rsidP="00574383">
      <w:pPr>
        <w:rPr>
          <w:rFonts w:cs="Arial"/>
          <w:sz w:val="24"/>
          <w:szCs w:val="24"/>
          <w:u w:val="single"/>
        </w:rPr>
      </w:pPr>
    </w:p>
    <w:p w14:paraId="44EFB0FE" w14:textId="77777777" w:rsidR="00574383" w:rsidRDefault="00574383" w:rsidP="00574383">
      <w:pPr>
        <w:pStyle w:val="BodyText"/>
        <w:rPr>
          <w:rFonts w:ascii="Arial" w:hAnsi="Arial" w:cs="Arial"/>
          <w:i w:val="0"/>
          <w:szCs w:val="24"/>
        </w:rPr>
      </w:pPr>
      <w:r>
        <w:rPr>
          <w:rFonts w:ascii="Arial" w:hAnsi="Arial" w:cs="Arial"/>
          <w:i w:val="0"/>
          <w:szCs w:val="24"/>
        </w:rPr>
        <w:t>The problems in relation to long leases are well publicised and include the following:</w:t>
      </w:r>
    </w:p>
    <w:p w14:paraId="3A65D82A" w14:textId="77777777" w:rsidR="00574383" w:rsidRDefault="00574383" w:rsidP="00574383">
      <w:pPr>
        <w:pStyle w:val="BodyText"/>
        <w:rPr>
          <w:rFonts w:ascii="Arial" w:hAnsi="Arial" w:cs="Arial"/>
          <w:i w:val="0"/>
          <w:szCs w:val="24"/>
        </w:rPr>
      </w:pPr>
    </w:p>
    <w:p w14:paraId="70229F91" w14:textId="77777777" w:rsidR="00574383" w:rsidRDefault="00574383" w:rsidP="00574383">
      <w:pPr>
        <w:pStyle w:val="BodyText"/>
        <w:numPr>
          <w:ilvl w:val="0"/>
          <w:numId w:val="8"/>
        </w:numPr>
        <w:rPr>
          <w:rFonts w:ascii="Arial" w:hAnsi="Arial" w:cs="Arial"/>
          <w:i w:val="0"/>
          <w:szCs w:val="24"/>
        </w:rPr>
      </w:pPr>
      <w:r>
        <w:rPr>
          <w:rFonts w:ascii="Arial" w:hAnsi="Arial" w:cs="Arial"/>
          <w:i w:val="0"/>
          <w:szCs w:val="24"/>
        </w:rPr>
        <w:lastRenderedPageBreak/>
        <w:t>A lease is a wasting asset;</w:t>
      </w:r>
    </w:p>
    <w:p w14:paraId="7B50757C" w14:textId="77777777" w:rsidR="00574383" w:rsidRDefault="00574383" w:rsidP="00574383">
      <w:pPr>
        <w:pStyle w:val="BodyText"/>
        <w:ind w:left="360"/>
        <w:rPr>
          <w:rFonts w:ascii="Arial" w:hAnsi="Arial" w:cs="Arial"/>
          <w:i w:val="0"/>
          <w:szCs w:val="24"/>
        </w:rPr>
      </w:pPr>
    </w:p>
    <w:p w14:paraId="58B800F8" w14:textId="77777777" w:rsidR="00574383" w:rsidRDefault="00574383" w:rsidP="00574383">
      <w:pPr>
        <w:pStyle w:val="BodyText"/>
        <w:numPr>
          <w:ilvl w:val="0"/>
          <w:numId w:val="8"/>
        </w:numPr>
        <w:rPr>
          <w:rFonts w:ascii="Arial" w:hAnsi="Arial" w:cs="Arial"/>
          <w:i w:val="0"/>
          <w:szCs w:val="24"/>
        </w:rPr>
      </w:pPr>
      <w:r>
        <w:rPr>
          <w:rFonts w:ascii="Arial" w:hAnsi="Arial" w:cs="Arial"/>
          <w:i w:val="0"/>
          <w:szCs w:val="24"/>
        </w:rPr>
        <w:t>The landlord may retain an unnecessary degree of control over the premises demised by the lease;</w:t>
      </w:r>
    </w:p>
    <w:p w14:paraId="260A0BBA" w14:textId="77777777" w:rsidR="00574383" w:rsidRDefault="00574383" w:rsidP="00574383">
      <w:pPr>
        <w:pStyle w:val="BodyText"/>
        <w:rPr>
          <w:rFonts w:ascii="Arial" w:hAnsi="Arial" w:cs="Arial"/>
          <w:i w:val="0"/>
          <w:szCs w:val="24"/>
        </w:rPr>
      </w:pPr>
    </w:p>
    <w:p w14:paraId="6A70AC0B" w14:textId="77777777" w:rsidR="00574383" w:rsidRDefault="00574383" w:rsidP="00574383">
      <w:pPr>
        <w:pStyle w:val="BodyText"/>
        <w:numPr>
          <w:ilvl w:val="0"/>
          <w:numId w:val="8"/>
        </w:numPr>
        <w:rPr>
          <w:rFonts w:ascii="Arial" w:hAnsi="Arial" w:cs="Arial"/>
          <w:i w:val="0"/>
          <w:szCs w:val="24"/>
        </w:rPr>
      </w:pPr>
      <w:r>
        <w:rPr>
          <w:rFonts w:ascii="Arial" w:hAnsi="Arial" w:cs="Arial"/>
          <w:i w:val="0"/>
          <w:szCs w:val="24"/>
        </w:rPr>
        <w:t>Often the Management Company either delays or fails to collect the service charge, produce the Company Accounts and/or carry out its repairing obligations.  This is particularly the case where the long leaseholders leave and sub-let to short-term tenants;</w:t>
      </w:r>
    </w:p>
    <w:p w14:paraId="7F851B27" w14:textId="77777777" w:rsidR="00574383" w:rsidRDefault="00574383" w:rsidP="00574383">
      <w:pPr>
        <w:pStyle w:val="BodyText"/>
        <w:ind w:left="360"/>
        <w:rPr>
          <w:rFonts w:ascii="Arial" w:hAnsi="Arial" w:cs="Arial"/>
          <w:i w:val="0"/>
          <w:szCs w:val="24"/>
        </w:rPr>
      </w:pPr>
    </w:p>
    <w:p w14:paraId="306F9C5B" w14:textId="77777777" w:rsidR="00574383" w:rsidRDefault="00574383" w:rsidP="00574383">
      <w:pPr>
        <w:pStyle w:val="BodyText"/>
        <w:numPr>
          <w:ilvl w:val="0"/>
          <w:numId w:val="8"/>
        </w:numPr>
        <w:rPr>
          <w:rFonts w:ascii="Arial" w:hAnsi="Arial" w:cs="Arial"/>
          <w:i w:val="0"/>
          <w:szCs w:val="24"/>
        </w:rPr>
      </w:pPr>
      <w:r>
        <w:rPr>
          <w:rFonts w:ascii="Arial" w:hAnsi="Arial" w:cs="Arial"/>
          <w:i w:val="0"/>
          <w:szCs w:val="24"/>
        </w:rPr>
        <w:t>If the landlord is not a Management Company consisting of the tenants then problems arise in relation to absentee landlords who refuse to act.  Presently, the tenants may well have to enfranchise to solve the problems;</w:t>
      </w:r>
    </w:p>
    <w:p w14:paraId="44CE2C32" w14:textId="77777777" w:rsidR="00574383" w:rsidRDefault="00574383" w:rsidP="00574383">
      <w:pPr>
        <w:pStyle w:val="BodyText"/>
        <w:rPr>
          <w:rFonts w:ascii="Arial" w:hAnsi="Arial" w:cs="Arial"/>
          <w:i w:val="0"/>
          <w:szCs w:val="24"/>
        </w:rPr>
      </w:pPr>
    </w:p>
    <w:p w14:paraId="34824B8A" w14:textId="77777777" w:rsidR="00574383" w:rsidRDefault="00574383" w:rsidP="00574383">
      <w:pPr>
        <w:pStyle w:val="BodyText"/>
        <w:numPr>
          <w:ilvl w:val="0"/>
          <w:numId w:val="8"/>
        </w:numPr>
        <w:rPr>
          <w:rFonts w:ascii="Arial" w:hAnsi="Arial" w:cs="Arial"/>
          <w:i w:val="0"/>
          <w:szCs w:val="24"/>
        </w:rPr>
      </w:pPr>
      <w:r>
        <w:rPr>
          <w:rFonts w:ascii="Arial" w:hAnsi="Arial" w:cs="Arial"/>
          <w:i w:val="0"/>
          <w:szCs w:val="24"/>
        </w:rPr>
        <w:t>Sometimes the leases themselves are poorly drafted and/or the lease documentation is not consistent in terms of content and form;</w:t>
      </w:r>
    </w:p>
    <w:p w14:paraId="0598AAA7" w14:textId="77777777" w:rsidR="00574383" w:rsidRDefault="00574383" w:rsidP="00574383">
      <w:pPr>
        <w:pStyle w:val="BodyText"/>
        <w:rPr>
          <w:rFonts w:ascii="Arial" w:hAnsi="Arial" w:cs="Arial"/>
          <w:i w:val="0"/>
          <w:szCs w:val="24"/>
        </w:rPr>
      </w:pPr>
    </w:p>
    <w:p w14:paraId="4CD78103" w14:textId="77777777" w:rsidR="00574383" w:rsidRDefault="00574383" w:rsidP="00574383">
      <w:pPr>
        <w:pStyle w:val="BodyText"/>
        <w:numPr>
          <w:ilvl w:val="0"/>
          <w:numId w:val="8"/>
        </w:numPr>
        <w:rPr>
          <w:rFonts w:ascii="Arial" w:hAnsi="Arial" w:cs="Arial"/>
          <w:i w:val="0"/>
          <w:szCs w:val="24"/>
        </w:rPr>
      </w:pPr>
      <w:r>
        <w:rPr>
          <w:rFonts w:ascii="Arial" w:hAnsi="Arial" w:cs="Arial"/>
          <w:i w:val="0"/>
          <w:szCs w:val="24"/>
        </w:rPr>
        <w:t>There is no implied ability for tenants to enforce covenants directly with each other.</w:t>
      </w:r>
    </w:p>
    <w:p w14:paraId="027D40B6" w14:textId="77777777" w:rsidR="00574383" w:rsidRDefault="00574383" w:rsidP="00574383">
      <w:pPr>
        <w:pStyle w:val="BodyText"/>
        <w:rPr>
          <w:rFonts w:ascii="Arial" w:hAnsi="Arial" w:cs="Arial"/>
          <w:i w:val="0"/>
          <w:szCs w:val="24"/>
        </w:rPr>
      </w:pPr>
    </w:p>
    <w:p w14:paraId="1A2839D2" w14:textId="77777777" w:rsidR="00574383" w:rsidRDefault="00574383" w:rsidP="00574383">
      <w:pPr>
        <w:pStyle w:val="BodyText"/>
        <w:rPr>
          <w:rFonts w:ascii="Arial" w:hAnsi="Arial" w:cs="Arial"/>
          <w:i w:val="0"/>
          <w:szCs w:val="24"/>
        </w:rPr>
      </w:pPr>
      <w:r>
        <w:rPr>
          <w:rFonts w:ascii="Arial" w:hAnsi="Arial" w:cs="Arial"/>
          <w:i w:val="0"/>
          <w:szCs w:val="24"/>
        </w:rPr>
        <w:t>If a long lease has not been created, various other methods have been adopted in an attempt to overcome the problems with enforcing positive covenants:</w:t>
      </w:r>
    </w:p>
    <w:p w14:paraId="143EED82" w14:textId="77777777" w:rsidR="00574383" w:rsidRDefault="00574383" w:rsidP="00574383">
      <w:pPr>
        <w:pStyle w:val="BodyText"/>
        <w:rPr>
          <w:rFonts w:ascii="Arial" w:hAnsi="Arial" w:cs="Arial"/>
          <w:i w:val="0"/>
          <w:szCs w:val="24"/>
        </w:rPr>
      </w:pPr>
    </w:p>
    <w:p w14:paraId="4D2A51E4" w14:textId="77777777" w:rsidR="00574383" w:rsidRDefault="00574383" w:rsidP="00574383">
      <w:pPr>
        <w:pStyle w:val="BodyText"/>
        <w:numPr>
          <w:ilvl w:val="0"/>
          <w:numId w:val="9"/>
        </w:numPr>
        <w:rPr>
          <w:rFonts w:ascii="Arial" w:hAnsi="Arial" w:cs="Arial"/>
          <w:bCs/>
          <w:i w:val="0"/>
          <w:szCs w:val="24"/>
        </w:rPr>
      </w:pPr>
      <w:r>
        <w:rPr>
          <w:rFonts w:ascii="Arial" w:hAnsi="Arial" w:cs="Arial"/>
          <w:bCs/>
          <w:i w:val="0"/>
          <w:szCs w:val="24"/>
        </w:rPr>
        <w:t xml:space="preserve">Mutual Benefit and Burden - if a person wishes to obtain the benefit of any particular obligation, they must be prepared to accept any reciprocal burden. This doctrine was introduced in </w:t>
      </w:r>
      <w:r>
        <w:rPr>
          <w:rFonts w:ascii="Arial" w:hAnsi="Arial" w:cs="Arial"/>
          <w:b/>
          <w:bCs/>
          <w:szCs w:val="24"/>
        </w:rPr>
        <w:t xml:space="preserve">Halsall v </w:t>
      </w:r>
      <w:proofErr w:type="spellStart"/>
      <w:r>
        <w:rPr>
          <w:rFonts w:ascii="Arial" w:hAnsi="Arial" w:cs="Arial"/>
          <w:b/>
          <w:bCs/>
          <w:szCs w:val="24"/>
        </w:rPr>
        <w:t>Brizell</w:t>
      </w:r>
      <w:proofErr w:type="spellEnd"/>
      <w:r>
        <w:rPr>
          <w:rFonts w:ascii="Arial" w:hAnsi="Arial" w:cs="Arial"/>
          <w:bCs/>
          <w:i w:val="0"/>
          <w:szCs w:val="24"/>
        </w:rPr>
        <w:t xml:space="preserve"> [1957] where it was decided that use of private roads in an estate was subject to an obligation that money should be paid for their maintenance.  But see also </w:t>
      </w:r>
      <w:r>
        <w:rPr>
          <w:rFonts w:ascii="Arial" w:hAnsi="Arial" w:cs="Arial"/>
          <w:b/>
          <w:bCs/>
          <w:szCs w:val="24"/>
        </w:rPr>
        <w:t xml:space="preserve">Thamesmead Town v </w:t>
      </w:r>
      <w:proofErr w:type="spellStart"/>
      <w:r>
        <w:rPr>
          <w:rFonts w:ascii="Arial" w:hAnsi="Arial" w:cs="Arial"/>
          <w:b/>
          <w:bCs/>
          <w:szCs w:val="24"/>
        </w:rPr>
        <w:t>Allotey</w:t>
      </w:r>
      <w:proofErr w:type="spellEnd"/>
      <w:r>
        <w:rPr>
          <w:rFonts w:ascii="Arial" w:hAnsi="Arial" w:cs="Arial"/>
          <w:bCs/>
          <w:i w:val="0"/>
          <w:szCs w:val="24"/>
        </w:rPr>
        <w:t xml:space="preserve"> [1998].  The most recent case in this area is </w:t>
      </w:r>
      <w:r>
        <w:rPr>
          <w:rFonts w:ascii="Arial" w:hAnsi="Arial" w:cs="Arial"/>
          <w:b/>
          <w:bCs/>
          <w:iCs/>
          <w:lang w:val="en-US"/>
        </w:rPr>
        <w:t xml:space="preserve">Wilkinson v </w:t>
      </w:r>
      <w:proofErr w:type="spellStart"/>
      <w:r>
        <w:rPr>
          <w:rFonts w:ascii="Arial" w:hAnsi="Arial" w:cs="Arial"/>
          <w:b/>
          <w:bCs/>
          <w:iCs/>
          <w:lang w:val="en-US"/>
        </w:rPr>
        <w:t>Kerdene</w:t>
      </w:r>
      <w:proofErr w:type="spellEnd"/>
      <w:r>
        <w:rPr>
          <w:rFonts w:ascii="Arial" w:hAnsi="Arial" w:cs="Arial"/>
          <w:b/>
          <w:bCs/>
          <w:iCs/>
          <w:lang w:val="en-US"/>
        </w:rPr>
        <w:t xml:space="preserve"> Ltd </w:t>
      </w:r>
      <w:r>
        <w:rPr>
          <w:rFonts w:ascii="Arial" w:hAnsi="Arial" w:cs="Arial"/>
          <w:bCs/>
          <w:i w:val="0"/>
          <w:iCs/>
          <w:lang w:val="en-US"/>
        </w:rPr>
        <w:t xml:space="preserve">[2013] </w:t>
      </w:r>
      <w:r>
        <w:rPr>
          <w:rFonts w:ascii="Arial" w:hAnsi="Arial" w:cs="Arial"/>
          <w:bCs/>
          <w:i w:val="0"/>
        </w:rPr>
        <w:t xml:space="preserve">EWCA </w:t>
      </w:r>
      <w:proofErr w:type="spellStart"/>
      <w:r>
        <w:rPr>
          <w:rFonts w:ascii="Arial" w:hAnsi="Arial" w:cs="Arial"/>
          <w:bCs/>
          <w:i w:val="0"/>
        </w:rPr>
        <w:t>Civ</w:t>
      </w:r>
      <w:proofErr w:type="spellEnd"/>
      <w:r>
        <w:rPr>
          <w:rFonts w:ascii="Arial" w:hAnsi="Arial" w:cs="Arial"/>
          <w:bCs/>
          <w:i w:val="0"/>
        </w:rPr>
        <w:t xml:space="preserve"> 44</w:t>
      </w:r>
      <w:r>
        <w:rPr>
          <w:rFonts w:ascii="Arial" w:hAnsi="Arial" w:cs="Arial"/>
          <w:bCs/>
          <w:i w:val="0"/>
          <w:szCs w:val="24"/>
        </w:rPr>
        <w:t xml:space="preserve"> which will be discussed in more detail in the Freehold Covenants section later on;</w:t>
      </w:r>
    </w:p>
    <w:p w14:paraId="6B948479" w14:textId="77777777" w:rsidR="00574383" w:rsidRDefault="00574383" w:rsidP="00574383">
      <w:pPr>
        <w:pStyle w:val="BodyText"/>
        <w:ind w:left="720"/>
        <w:rPr>
          <w:rFonts w:ascii="Arial" w:hAnsi="Arial" w:cs="Arial"/>
          <w:bCs/>
          <w:i w:val="0"/>
          <w:szCs w:val="24"/>
        </w:rPr>
      </w:pPr>
      <w:r>
        <w:rPr>
          <w:rFonts w:ascii="Arial" w:hAnsi="Arial" w:cs="Arial"/>
          <w:bCs/>
          <w:i w:val="0"/>
          <w:szCs w:val="24"/>
        </w:rPr>
        <w:t xml:space="preserve"> </w:t>
      </w:r>
    </w:p>
    <w:p w14:paraId="3BAAFE55" w14:textId="77777777" w:rsidR="00574383" w:rsidRDefault="00574383" w:rsidP="00574383">
      <w:pPr>
        <w:pStyle w:val="BodyText"/>
        <w:numPr>
          <w:ilvl w:val="0"/>
          <w:numId w:val="9"/>
        </w:numPr>
        <w:rPr>
          <w:i w:val="0"/>
          <w:szCs w:val="24"/>
        </w:rPr>
      </w:pPr>
      <w:r>
        <w:rPr>
          <w:rFonts w:ascii="Arial" w:hAnsi="Arial" w:cs="Arial"/>
          <w:bCs/>
          <w:i w:val="0"/>
          <w:szCs w:val="24"/>
        </w:rPr>
        <w:t>Chain of Indemnity Covenants - there may be enforcement through a chain of covenants.  The problem here arises if for some reason the chain is broken, particularly where there have been a series of sales of the burdened land.  If one party has not reserved a right to indemnify, or if a party has become bankrupt, then there is no right of enforcement;</w:t>
      </w:r>
    </w:p>
    <w:p w14:paraId="29EBDDC5" w14:textId="77777777" w:rsidR="00574383" w:rsidRDefault="00574383" w:rsidP="00574383">
      <w:pPr>
        <w:pStyle w:val="BodyText"/>
        <w:ind w:left="360"/>
        <w:rPr>
          <w:i w:val="0"/>
          <w:szCs w:val="24"/>
        </w:rPr>
      </w:pPr>
    </w:p>
    <w:p w14:paraId="58A78EB4" w14:textId="77777777" w:rsidR="00574383" w:rsidRDefault="00574383" w:rsidP="00574383">
      <w:pPr>
        <w:pStyle w:val="BodyText"/>
        <w:numPr>
          <w:ilvl w:val="0"/>
          <w:numId w:val="9"/>
        </w:numPr>
        <w:rPr>
          <w:i w:val="0"/>
          <w:szCs w:val="24"/>
        </w:rPr>
      </w:pPr>
      <w:r>
        <w:rPr>
          <w:rFonts w:ascii="Arial" w:hAnsi="Arial" w:cs="Arial"/>
          <w:bCs/>
          <w:i w:val="0"/>
          <w:szCs w:val="24"/>
        </w:rPr>
        <w:t>Restriction on the title - on the basis that the covenantor's title will be registered sometimes covenantee requires a restriction to be placed in the Proprietorship Register of the covenantor's title.  This restriction indicates that no new owner of that land will be registered unless they provide the covenantee or their successor in title with a direct covenant to perform the positive covenant(s);</w:t>
      </w:r>
    </w:p>
    <w:p w14:paraId="2F1A7BD0" w14:textId="77777777" w:rsidR="00574383" w:rsidRDefault="00574383" w:rsidP="00574383">
      <w:pPr>
        <w:pStyle w:val="BodyText"/>
        <w:rPr>
          <w:i w:val="0"/>
          <w:szCs w:val="24"/>
        </w:rPr>
      </w:pPr>
    </w:p>
    <w:p w14:paraId="260CAE09" w14:textId="77777777" w:rsidR="00574383" w:rsidRDefault="00574383" w:rsidP="00574383">
      <w:pPr>
        <w:pStyle w:val="BodyText"/>
        <w:numPr>
          <w:ilvl w:val="0"/>
          <w:numId w:val="9"/>
        </w:numPr>
        <w:rPr>
          <w:rFonts w:ascii="Arial" w:hAnsi="Arial" w:cs="Arial"/>
          <w:bCs/>
          <w:i w:val="0"/>
          <w:szCs w:val="24"/>
        </w:rPr>
      </w:pPr>
      <w:r>
        <w:rPr>
          <w:rFonts w:ascii="Arial" w:hAnsi="Arial" w:cs="Arial"/>
          <w:bCs/>
          <w:i w:val="0"/>
          <w:szCs w:val="24"/>
        </w:rPr>
        <w:t xml:space="preserve">Estate </w:t>
      </w:r>
      <w:proofErr w:type="spellStart"/>
      <w:r>
        <w:rPr>
          <w:rFonts w:ascii="Arial" w:hAnsi="Arial" w:cs="Arial"/>
          <w:bCs/>
          <w:i w:val="0"/>
          <w:szCs w:val="24"/>
        </w:rPr>
        <w:t>Rentcharges</w:t>
      </w:r>
      <w:proofErr w:type="spellEnd"/>
      <w:r>
        <w:rPr>
          <w:rFonts w:ascii="Arial" w:hAnsi="Arial" w:cs="Arial"/>
          <w:bCs/>
          <w:i w:val="0"/>
          <w:szCs w:val="24"/>
        </w:rPr>
        <w:t xml:space="preserve"> - sometimes the freeholders within a particular estate may be required to pay a charge to a managing agent, or developer which reflects the cost of maintenance of the common parts.  A failure to pay this </w:t>
      </w:r>
      <w:r>
        <w:rPr>
          <w:rFonts w:ascii="Arial" w:hAnsi="Arial" w:cs="Arial"/>
          <w:bCs/>
          <w:i w:val="0"/>
          <w:szCs w:val="24"/>
        </w:rPr>
        <w:lastRenderedPageBreak/>
        <w:t>charge might eventually result in re-entry and forfeiture of their interest in the land;</w:t>
      </w:r>
    </w:p>
    <w:p w14:paraId="4F7D5015" w14:textId="77777777" w:rsidR="00574383" w:rsidRDefault="00574383" w:rsidP="00574383">
      <w:pPr>
        <w:pStyle w:val="BodyText"/>
        <w:rPr>
          <w:rFonts w:ascii="Arial" w:hAnsi="Arial" w:cs="Arial"/>
          <w:bCs/>
          <w:i w:val="0"/>
          <w:szCs w:val="24"/>
        </w:rPr>
      </w:pPr>
    </w:p>
    <w:p w14:paraId="1576140B" w14:textId="77777777" w:rsidR="00574383" w:rsidRDefault="00574383" w:rsidP="00574383">
      <w:pPr>
        <w:pStyle w:val="BodyText"/>
        <w:numPr>
          <w:ilvl w:val="0"/>
          <w:numId w:val="9"/>
        </w:numPr>
        <w:rPr>
          <w:rFonts w:ascii="Arial" w:hAnsi="Arial" w:cs="Arial"/>
          <w:i w:val="0"/>
          <w:szCs w:val="24"/>
          <w:u w:val="single"/>
        </w:rPr>
      </w:pPr>
      <w:r>
        <w:rPr>
          <w:rFonts w:ascii="Arial" w:hAnsi="Arial" w:cs="Arial"/>
          <w:bCs/>
          <w:i w:val="0"/>
          <w:szCs w:val="24"/>
        </w:rPr>
        <w:t>Fencing Covenants</w:t>
      </w:r>
      <w:r>
        <w:rPr>
          <w:rFonts w:ascii="Arial" w:hAnsi="Arial" w:cs="Arial"/>
          <w:b/>
          <w:i w:val="0"/>
          <w:szCs w:val="24"/>
        </w:rPr>
        <w:t xml:space="preserve"> </w:t>
      </w:r>
      <w:r>
        <w:rPr>
          <w:rFonts w:ascii="Arial" w:hAnsi="Arial" w:cs="Arial"/>
          <w:i w:val="0"/>
          <w:szCs w:val="24"/>
        </w:rPr>
        <w:t>-</w:t>
      </w:r>
      <w:r>
        <w:rPr>
          <w:rFonts w:ascii="Arial" w:hAnsi="Arial" w:cs="Arial"/>
          <w:b/>
          <w:i w:val="0"/>
          <w:szCs w:val="24"/>
        </w:rPr>
        <w:t xml:space="preserve"> </w:t>
      </w:r>
      <w:r>
        <w:rPr>
          <w:rFonts w:ascii="Arial" w:hAnsi="Arial" w:cs="Arial"/>
          <w:i w:val="0"/>
          <w:szCs w:val="24"/>
        </w:rPr>
        <w:t xml:space="preserve">fencing covenants are in fact potential easements and, as such, if a successor is in breach of covenant, they may be sued for infringement of an easement - see </w:t>
      </w:r>
      <w:r>
        <w:rPr>
          <w:rFonts w:ascii="Arial" w:hAnsi="Arial" w:cs="Arial"/>
          <w:b/>
          <w:bCs/>
          <w:szCs w:val="24"/>
        </w:rPr>
        <w:t>Crow v Wood</w:t>
      </w:r>
      <w:r>
        <w:rPr>
          <w:rFonts w:ascii="Arial" w:hAnsi="Arial" w:cs="Arial"/>
          <w:bCs/>
          <w:i w:val="0"/>
          <w:szCs w:val="24"/>
        </w:rPr>
        <w:t xml:space="preserve"> [1971].  </w:t>
      </w:r>
    </w:p>
    <w:p w14:paraId="6DEB9860" w14:textId="77777777" w:rsidR="00574383" w:rsidRDefault="00574383" w:rsidP="00574383">
      <w:pPr>
        <w:pStyle w:val="BodyText"/>
        <w:rPr>
          <w:rFonts w:ascii="Arial" w:hAnsi="Arial" w:cs="Arial"/>
          <w:bCs/>
          <w:i w:val="0"/>
          <w:szCs w:val="24"/>
          <w:u w:val="single"/>
        </w:rPr>
      </w:pPr>
    </w:p>
    <w:p w14:paraId="0241856D" w14:textId="77777777" w:rsidR="00574383" w:rsidRDefault="00574383" w:rsidP="00574383">
      <w:pPr>
        <w:pStyle w:val="BodyText"/>
        <w:rPr>
          <w:rFonts w:ascii="Arial" w:hAnsi="Arial" w:cs="Arial"/>
          <w:i w:val="0"/>
          <w:szCs w:val="24"/>
          <w:u w:val="single"/>
        </w:rPr>
      </w:pPr>
      <w:r>
        <w:rPr>
          <w:rFonts w:ascii="Arial" w:hAnsi="Arial" w:cs="Arial"/>
          <w:bCs/>
          <w:i w:val="0"/>
          <w:szCs w:val="24"/>
          <w:u w:val="single"/>
        </w:rPr>
        <w:t>So w</w:t>
      </w:r>
      <w:r>
        <w:rPr>
          <w:rFonts w:ascii="Arial" w:hAnsi="Arial" w:cs="Arial"/>
          <w:i w:val="0"/>
          <w:szCs w:val="24"/>
          <w:u w:val="single"/>
        </w:rPr>
        <w:t>hat is Commonhold?</w:t>
      </w:r>
    </w:p>
    <w:p w14:paraId="26A86577" w14:textId="77777777" w:rsidR="00574383" w:rsidRDefault="00574383" w:rsidP="00574383">
      <w:pPr>
        <w:rPr>
          <w:rFonts w:cs="Arial"/>
          <w:b/>
          <w:bCs/>
          <w:sz w:val="24"/>
          <w:szCs w:val="24"/>
          <w:u w:val="single"/>
        </w:rPr>
      </w:pPr>
    </w:p>
    <w:p w14:paraId="254948EC" w14:textId="77777777" w:rsidR="00574383" w:rsidRDefault="00574383" w:rsidP="00574383">
      <w:pPr>
        <w:rPr>
          <w:rFonts w:cs="Arial"/>
          <w:sz w:val="24"/>
          <w:szCs w:val="24"/>
        </w:rPr>
      </w:pPr>
      <w:r>
        <w:rPr>
          <w:rFonts w:cs="Arial"/>
          <w:sz w:val="24"/>
          <w:szCs w:val="24"/>
        </w:rPr>
        <w:t xml:space="preserve">Commonhold is a new form of landholding introduced in to English Law by the </w:t>
      </w:r>
      <w:r>
        <w:rPr>
          <w:rFonts w:cs="Arial"/>
          <w:i/>
          <w:sz w:val="24"/>
          <w:szCs w:val="24"/>
        </w:rPr>
        <w:t>Commonhold and Leasehold Reform Act (2002)</w:t>
      </w:r>
      <w:r>
        <w:rPr>
          <w:rFonts w:cs="Arial"/>
          <w:sz w:val="24"/>
          <w:szCs w:val="24"/>
        </w:rPr>
        <w:t xml:space="preserve"> (“</w:t>
      </w:r>
      <w:r>
        <w:rPr>
          <w:rFonts w:cs="Arial"/>
          <w:i/>
          <w:sz w:val="24"/>
          <w:szCs w:val="24"/>
        </w:rPr>
        <w:t>CMLR</w:t>
      </w:r>
      <w:r>
        <w:rPr>
          <w:rFonts w:cs="Arial"/>
          <w:sz w:val="24"/>
          <w:szCs w:val="24"/>
        </w:rPr>
        <w:t xml:space="preserve">”).  The </w:t>
      </w:r>
      <w:r>
        <w:rPr>
          <w:rFonts w:cs="Arial"/>
          <w:i/>
          <w:sz w:val="24"/>
          <w:szCs w:val="24"/>
        </w:rPr>
        <w:t xml:space="preserve">CMLR </w:t>
      </w:r>
      <w:r>
        <w:rPr>
          <w:rFonts w:cs="Arial"/>
          <w:sz w:val="24"/>
          <w:szCs w:val="24"/>
        </w:rPr>
        <w:t>received Royal Assent on 1</w:t>
      </w:r>
      <w:r>
        <w:rPr>
          <w:rFonts w:cs="Arial"/>
          <w:sz w:val="24"/>
          <w:szCs w:val="24"/>
          <w:vertAlign w:val="superscript"/>
        </w:rPr>
        <w:t>st</w:t>
      </w:r>
      <w:r>
        <w:rPr>
          <w:rFonts w:cs="Arial"/>
          <w:sz w:val="24"/>
          <w:szCs w:val="24"/>
        </w:rPr>
        <w:t xml:space="preserve"> May 2002 and came fully into force in September 2004.  </w:t>
      </w:r>
    </w:p>
    <w:p w14:paraId="077F432E" w14:textId="77777777" w:rsidR="00574383" w:rsidRDefault="00574383" w:rsidP="00574383">
      <w:pPr>
        <w:rPr>
          <w:rFonts w:cs="Arial"/>
          <w:sz w:val="24"/>
          <w:szCs w:val="24"/>
        </w:rPr>
      </w:pPr>
    </w:p>
    <w:p w14:paraId="3840ED17" w14:textId="77777777" w:rsidR="00574383" w:rsidRDefault="00574383" w:rsidP="00574383">
      <w:pPr>
        <w:rPr>
          <w:rFonts w:cs="Arial"/>
          <w:sz w:val="24"/>
          <w:szCs w:val="24"/>
        </w:rPr>
      </w:pPr>
      <w:r>
        <w:rPr>
          <w:rFonts w:cs="Arial"/>
          <w:sz w:val="24"/>
          <w:szCs w:val="24"/>
        </w:rPr>
        <w:t>Commonhold is a new concept in England and Wales but the concept underlying the new system is already familiar in many other common law jurisdictions, E.g.:</w:t>
      </w:r>
    </w:p>
    <w:p w14:paraId="2DD459BB" w14:textId="77777777" w:rsidR="00574383" w:rsidRDefault="00574383" w:rsidP="00574383">
      <w:pPr>
        <w:rPr>
          <w:rFonts w:cs="Arial"/>
          <w:sz w:val="24"/>
          <w:szCs w:val="24"/>
        </w:rPr>
      </w:pPr>
    </w:p>
    <w:p w14:paraId="4683349F" w14:textId="77777777" w:rsidR="00574383" w:rsidRDefault="00574383" w:rsidP="00574383">
      <w:pPr>
        <w:numPr>
          <w:ilvl w:val="0"/>
          <w:numId w:val="10"/>
        </w:numPr>
        <w:rPr>
          <w:rFonts w:cs="Arial"/>
          <w:sz w:val="24"/>
          <w:szCs w:val="24"/>
        </w:rPr>
      </w:pPr>
      <w:r>
        <w:rPr>
          <w:rFonts w:cs="Arial"/>
          <w:sz w:val="24"/>
          <w:szCs w:val="24"/>
        </w:rPr>
        <w:t>in North America the land tenure is known as “condominium”;</w:t>
      </w:r>
    </w:p>
    <w:p w14:paraId="3286A1DC" w14:textId="77777777" w:rsidR="00574383" w:rsidRDefault="00574383" w:rsidP="00574383">
      <w:pPr>
        <w:ind w:left="360"/>
        <w:rPr>
          <w:rFonts w:cs="Arial"/>
          <w:sz w:val="24"/>
          <w:szCs w:val="24"/>
        </w:rPr>
      </w:pPr>
    </w:p>
    <w:p w14:paraId="71FC568D" w14:textId="77777777" w:rsidR="00574383" w:rsidRDefault="00574383" w:rsidP="00574383">
      <w:pPr>
        <w:numPr>
          <w:ilvl w:val="0"/>
          <w:numId w:val="10"/>
        </w:numPr>
        <w:rPr>
          <w:rFonts w:cs="Arial"/>
          <w:sz w:val="24"/>
          <w:szCs w:val="24"/>
        </w:rPr>
      </w:pPr>
      <w:r>
        <w:rPr>
          <w:rFonts w:cs="Arial"/>
          <w:sz w:val="24"/>
          <w:szCs w:val="24"/>
        </w:rPr>
        <w:t>in Australia, New Zealand and Singapore it is known as “strata” or “unit” title.</w:t>
      </w:r>
    </w:p>
    <w:p w14:paraId="7891530F" w14:textId="77777777" w:rsidR="00574383" w:rsidRDefault="00574383" w:rsidP="00574383">
      <w:pPr>
        <w:rPr>
          <w:rFonts w:cs="Arial"/>
          <w:sz w:val="24"/>
          <w:szCs w:val="24"/>
        </w:rPr>
      </w:pPr>
    </w:p>
    <w:p w14:paraId="7A2C5FC1" w14:textId="77777777" w:rsidR="00574383" w:rsidRDefault="00574383" w:rsidP="00574383">
      <w:pPr>
        <w:rPr>
          <w:rFonts w:cs="Arial"/>
          <w:sz w:val="24"/>
          <w:szCs w:val="24"/>
        </w:rPr>
      </w:pPr>
      <w:r>
        <w:rPr>
          <w:rFonts w:cs="Arial"/>
          <w:sz w:val="24"/>
          <w:szCs w:val="24"/>
        </w:rPr>
        <w:t>The term “commonhold” was chosen in England and Wales to describe this new system of land ownership as the emphasis of the new system is on co-operation between a community of freehold owners living within a defined area.</w:t>
      </w:r>
    </w:p>
    <w:p w14:paraId="13627251" w14:textId="77777777" w:rsidR="00574383" w:rsidRDefault="00574383" w:rsidP="00574383">
      <w:pPr>
        <w:rPr>
          <w:rFonts w:cs="Arial"/>
          <w:sz w:val="24"/>
          <w:szCs w:val="24"/>
        </w:rPr>
      </w:pPr>
    </w:p>
    <w:p w14:paraId="42C84300" w14:textId="77777777" w:rsidR="00574383" w:rsidRDefault="00574383" w:rsidP="00574383">
      <w:pPr>
        <w:rPr>
          <w:rFonts w:cs="Arial"/>
          <w:sz w:val="24"/>
          <w:szCs w:val="24"/>
        </w:rPr>
      </w:pPr>
      <w:r>
        <w:rPr>
          <w:rFonts w:cs="Arial"/>
          <w:i/>
          <w:sz w:val="24"/>
          <w:szCs w:val="24"/>
        </w:rPr>
        <w:t>S1(1)</w:t>
      </w:r>
      <w:r>
        <w:rPr>
          <w:rFonts w:cs="Arial"/>
          <w:sz w:val="24"/>
          <w:szCs w:val="24"/>
        </w:rPr>
        <w:t xml:space="preserve"> states that:</w:t>
      </w:r>
    </w:p>
    <w:p w14:paraId="17BF2BF9" w14:textId="77777777" w:rsidR="00574383" w:rsidRDefault="00574383" w:rsidP="00574383">
      <w:pPr>
        <w:rPr>
          <w:rFonts w:cs="Arial"/>
          <w:sz w:val="24"/>
          <w:szCs w:val="24"/>
        </w:rPr>
      </w:pPr>
    </w:p>
    <w:p w14:paraId="1C06A230" w14:textId="77777777" w:rsidR="00574383" w:rsidRDefault="00574383" w:rsidP="00574383">
      <w:pPr>
        <w:rPr>
          <w:rFonts w:cs="Arial"/>
          <w:sz w:val="24"/>
          <w:szCs w:val="24"/>
        </w:rPr>
      </w:pPr>
      <w:r>
        <w:rPr>
          <w:rFonts w:cs="Arial"/>
          <w:sz w:val="24"/>
          <w:szCs w:val="24"/>
        </w:rPr>
        <w:t>“Land is commonhold land if:</w:t>
      </w:r>
    </w:p>
    <w:p w14:paraId="4588BDCA" w14:textId="77777777" w:rsidR="00574383" w:rsidRDefault="00574383" w:rsidP="00574383">
      <w:pPr>
        <w:rPr>
          <w:rFonts w:cs="Arial"/>
          <w:sz w:val="24"/>
          <w:szCs w:val="24"/>
        </w:rPr>
      </w:pPr>
    </w:p>
    <w:p w14:paraId="29E5CA9F" w14:textId="77777777" w:rsidR="00574383" w:rsidRDefault="00574383" w:rsidP="00574383">
      <w:pPr>
        <w:numPr>
          <w:ilvl w:val="0"/>
          <w:numId w:val="11"/>
        </w:numPr>
        <w:rPr>
          <w:rFonts w:cs="Arial"/>
          <w:sz w:val="24"/>
          <w:szCs w:val="24"/>
        </w:rPr>
      </w:pPr>
      <w:r>
        <w:rPr>
          <w:rFonts w:cs="Arial"/>
          <w:sz w:val="24"/>
          <w:szCs w:val="24"/>
        </w:rPr>
        <w:t>the freehold estate in the land is registered as a freehold estate in commonhold land;</w:t>
      </w:r>
    </w:p>
    <w:p w14:paraId="6F9B003D" w14:textId="77777777" w:rsidR="00574383" w:rsidRDefault="00574383" w:rsidP="00574383">
      <w:pPr>
        <w:ind w:left="720"/>
        <w:rPr>
          <w:rFonts w:cs="Arial"/>
          <w:sz w:val="24"/>
          <w:szCs w:val="24"/>
        </w:rPr>
      </w:pPr>
    </w:p>
    <w:p w14:paraId="28651321" w14:textId="77777777" w:rsidR="00574383" w:rsidRDefault="00574383" w:rsidP="00574383">
      <w:pPr>
        <w:numPr>
          <w:ilvl w:val="0"/>
          <w:numId w:val="11"/>
        </w:numPr>
        <w:rPr>
          <w:rFonts w:cs="Arial"/>
          <w:sz w:val="24"/>
          <w:szCs w:val="24"/>
        </w:rPr>
      </w:pPr>
      <w:r>
        <w:rPr>
          <w:rFonts w:cs="Arial"/>
          <w:sz w:val="24"/>
          <w:szCs w:val="24"/>
        </w:rPr>
        <w:t>the land is specified in the memorandum of association of a commonhold association as the land in relation to which the association is to exercise its functions; and</w:t>
      </w:r>
    </w:p>
    <w:p w14:paraId="489BB347" w14:textId="77777777" w:rsidR="00574383" w:rsidRDefault="00574383" w:rsidP="00574383">
      <w:pPr>
        <w:rPr>
          <w:rFonts w:cs="Arial"/>
          <w:sz w:val="24"/>
          <w:szCs w:val="24"/>
        </w:rPr>
      </w:pPr>
    </w:p>
    <w:p w14:paraId="18397FEA" w14:textId="77777777" w:rsidR="00574383" w:rsidRDefault="00574383" w:rsidP="00574383">
      <w:pPr>
        <w:numPr>
          <w:ilvl w:val="0"/>
          <w:numId w:val="11"/>
        </w:numPr>
        <w:rPr>
          <w:rFonts w:cs="Arial"/>
          <w:sz w:val="24"/>
          <w:szCs w:val="24"/>
        </w:rPr>
      </w:pPr>
      <w:r>
        <w:rPr>
          <w:rFonts w:cs="Arial"/>
          <w:sz w:val="24"/>
          <w:szCs w:val="24"/>
        </w:rPr>
        <w:t>a commonhold community statement makes provision for rights and duties of the commonhold association and unit-holders (whether or not the statement has come in to force).”</w:t>
      </w:r>
    </w:p>
    <w:p w14:paraId="70ECF4AB" w14:textId="77777777" w:rsidR="00574383" w:rsidRDefault="00574383" w:rsidP="00574383">
      <w:pPr>
        <w:rPr>
          <w:rFonts w:cs="Arial"/>
          <w:sz w:val="24"/>
          <w:szCs w:val="24"/>
        </w:rPr>
      </w:pPr>
    </w:p>
    <w:p w14:paraId="4D733AF5" w14:textId="77777777" w:rsidR="00574383" w:rsidRDefault="00574383" w:rsidP="00574383">
      <w:pPr>
        <w:pStyle w:val="BodyText3"/>
        <w:jc w:val="both"/>
        <w:rPr>
          <w:sz w:val="24"/>
          <w:szCs w:val="24"/>
        </w:rPr>
      </w:pPr>
      <w:r>
        <w:rPr>
          <w:sz w:val="24"/>
          <w:szCs w:val="24"/>
        </w:rPr>
        <w:t xml:space="preserve">So an underpinning feature of commonhold is that it is a form of freehold estate, a sub-species of freehold.  </w:t>
      </w:r>
    </w:p>
    <w:p w14:paraId="58A9A623" w14:textId="77777777" w:rsidR="00574383" w:rsidRDefault="00574383" w:rsidP="00574383">
      <w:pPr>
        <w:rPr>
          <w:rFonts w:cs="Arial"/>
          <w:sz w:val="24"/>
          <w:szCs w:val="24"/>
        </w:rPr>
      </w:pPr>
    </w:p>
    <w:p w14:paraId="7F578472" w14:textId="77777777" w:rsidR="00574383" w:rsidRDefault="00574383" w:rsidP="00574383">
      <w:pPr>
        <w:rPr>
          <w:rFonts w:cs="Arial"/>
          <w:sz w:val="24"/>
          <w:szCs w:val="24"/>
        </w:rPr>
      </w:pPr>
      <w:r>
        <w:rPr>
          <w:rFonts w:cs="Arial"/>
          <w:sz w:val="24"/>
          <w:szCs w:val="24"/>
        </w:rPr>
        <w:t xml:space="preserve">It is </w:t>
      </w:r>
      <w:r>
        <w:rPr>
          <w:rFonts w:cs="Arial"/>
          <w:sz w:val="24"/>
          <w:szCs w:val="24"/>
          <w:u w:val="single"/>
        </w:rPr>
        <w:t>not</w:t>
      </w:r>
      <w:r>
        <w:rPr>
          <w:rFonts w:cs="Arial"/>
          <w:sz w:val="24"/>
          <w:szCs w:val="24"/>
        </w:rPr>
        <w:t xml:space="preserve"> a distinct third legal estate in land.   Arguably, if it had become a distinct legal estate it could have been viewed as inferior to freehold.</w:t>
      </w:r>
    </w:p>
    <w:p w14:paraId="5B8113A8" w14:textId="77777777" w:rsidR="00574383" w:rsidRDefault="00574383" w:rsidP="00574383">
      <w:pPr>
        <w:rPr>
          <w:rFonts w:cs="Arial"/>
          <w:sz w:val="24"/>
          <w:szCs w:val="24"/>
        </w:rPr>
      </w:pPr>
    </w:p>
    <w:p w14:paraId="01DBF2D2" w14:textId="77777777" w:rsidR="00574383" w:rsidRDefault="00574383" w:rsidP="00574383">
      <w:pPr>
        <w:rPr>
          <w:rFonts w:cs="Arial"/>
          <w:sz w:val="24"/>
          <w:szCs w:val="24"/>
        </w:rPr>
      </w:pPr>
      <w:r>
        <w:rPr>
          <w:rFonts w:cs="Arial"/>
          <w:sz w:val="24"/>
          <w:szCs w:val="24"/>
        </w:rPr>
        <w:t xml:space="preserve">As is evident from </w:t>
      </w:r>
      <w:r>
        <w:rPr>
          <w:rFonts w:cs="Arial"/>
          <w:i/>
          <w:sz w:val="24"/>
          <w:szCs w:val="24"/>
        </w:rPr>
        <w:t>s1</w:t>
      </w:r>
      <w:r>
        <w:rPr>
          <w:rFonts w:cs="Arial"/>
          <w:sz w:val="24"/>
          <w:szCs w:val="24"/>
        </w:rPr>
        <w:t xml:space="preserve">, a commonhold is created out of land that has previously been (or the Registrar is satisfied that is about to be - </w:t>
      </w:r>
      <w:r>
        <w:rPr>
          <w:rFonts w:cs="Arial"/>
          <w:i/>
          <w:sz w:val="24"/>
          <w:szCs w:val="24"/>
        </w:rPr>
        <w:t>s2(3)(b)</w:t>
      </w:r>
      <w:r>
        <w:rPr>
          <w:rFonts w:cs="Arial"/>
          <w:sz w:val="24"/>
          <w:szCs w:val="24"/>
        </w:rPr>
        <w:t xml:space="preserve">) registered as freehold with absolute title at the Land Registry.  That land will become commonhold if the </w:t>
      </w:r>
      <w:r>
        <w:rPr>
          <w:rFonts w:cs="Arial"/>
          <w:sz w:val="24"/>
          <w:szCs w:val="24"/>
        </w:rPr>
        <w:lastRenderedPageBreak/>
        <w:t>freehold estate is further registered as a “freehold estate in commonhold land” – see further below in the Section headed “Creation and Registration.</w:t>
      </w:r>
    </w:p>
    <w:p w14:paraId="6DFF0D25" w14:textId="77777777" w:rsidR="00574383" w:rsidRDefault="00574383" w:rsidP="00574383">
      <w:pPr>
        <w:rPr>
          <w:rFonts w:cs="Arial"/>
          <w:sz w:val="24"/>
          <w:szCs w:val="24"/>
          <w:u w:val="single"/>
        </w:rPr>
      </w:pPr>
    </w:p>
    <w:p w14:paraId="6CA840BF" w14:textId="77777777" w:rsidR="00574383" w:rsidRDefault="00574383" w:rsidP="00574383">
      <w:pPr>
        <w:rPr>
          <w:rFonts w:cs="Arial"/>
          <w:sz w:val="24"/>
          <w:szCs w:val="24"/>
          <w:u w:val="single"/>
        </w:rPr>
      </w:pPr>
      <w:r>
        <w:rPr>
          <w:rFonts w:cs="Arial"/>
          <w:sz w:val="24"/>
          <w:szCs w:val="24"/>
          <w:u w:val="single"/>
        </w:rPr>
        <w:t>What land may and may not be commonhold land?</w:t>
      </w:r>
    </w:p>
    <w:p w14:paraId="0DC8DD58" w14:textId="77777777" w:rsidR="00574383" w:rsidRDefault="00574383" w:rsidP="00574383">
      <w:pPr>
        <w:rPr>
          <w:rFonts w:cs="Arial"/>
          <w:sz w:val="24"/>
          <w:szCs w:val="24"/>
          <w:u w:val="single"/>
        </w:rPr>
      </w:pPr>
    </w:p>
    <w:p w14:paraId="6DE0397B" w14:textId="77777777" w:rsidR="00574383" w:rsidRDefault="00574383" w:rsidP="00574383">
      <w:pPr>
        <w:rPr>
          <w:rFonts w:cs="Arial"/>
          <w:sz w:val="24"/>
          <w:szCs w:val="24"/>
        </w:rPr>
      </w:pPr>
      <w:r>
        <w:rPr>
          <w:rFonts w:cs="Arial"/>
          <w:sz w:val="24"/>
          <w:szCs w:val="24"/>
        </w:rPr>
        <w:t>There is no particular requirement as to the nature of the buildings or other physical structures within the commonhold.  They could be:</w:t>
      </w:r>
    </w:p>
    <w:p w14:paraId="4E0A0C95" w14:textId="77777777" w:rsidR="00574383" w:rsidRDefault="00574383" w:rsidP="00574383">
      <w:pPr>
        <w:rPr>
          <w:rFonts w:cs="Arial"/>
          <w:sz w:val="24"/>
          <w:szCs w:val="24"/>
        </w:rPr>
      </w:pPr>
    </w:p>
    <w:p w14:paraId="7291955B" w14:textId="77777777" w:rsidR="00574383" w:rsidRDefault="00574383" w:rsidP="00574383">
      <w:pPr>
        <w:numPr>
          <w:ilvl w:val="0"/>
          <w:numId w:val="12"/>
        </w:numPr>
        <w:rPr>
          <w:rFonts w:cs="Arial"/>
          <w:sz w:val="24"/>
          <w:szCs w:val="24"/>
        </w:rPr>
      </w:pPr>
      <w:r>
        <w:rPr>
          <w:rFonts w:cs="Arial"/>
          <w:sz w:val="24"/>
          <w:szCs w:val="24"/>
        </w:rPr>
        <w:t>flats, houses, shops, light industrial units or a mixture of these;</w:t>
      </w:r>
    </w:p>
    <w:p w14:paraId="561BAD1B" w14:textId="77777777" w:rsidR="00574383" w:rsidRDefault="00574383" w:rsidP="00574383">
      <w:pPr>
        <w:ind w:left="360"/>
        <w:rPr>
          <w:rFonts w:cs="Arial"/>
          <w:sz w:val="24"/>
          <w:szCs w:val="24"/>
        </w:rPr>
      </w:pPr>
    </w:p>
    <w:p w14:paraId="7ECCD81F" w14:textId="77777777" w:rsidR="00574383" w:rsidRDefault="00574383" w:rsidP="00574383">
      <w:pPr>
        <w:numPr>
          <w:ilvl w:val="0"/>
          <w:numId w:val="12"/>
        </w:numPr>
        <w:rPr>
          <w:rFonts w:ascii="Arial Unicode MS" w:eastAsia="Arial Unicode MS" w:hAnsi="Arial Unicode MS" w:cs="Arial Unicode MS"/>
          <w:vanish/>
          <w:sz w:val="24"/>
          <w:szCs w:val="24"/>
        </w:rPr>
      </w:pPr>
      <w:r>
        <w:rPr>
          <w:rFonts w:cs="Arial"/>
          <w:sz w:val="24"/>
          <w:szCs w:val="24"/>
        </w:rPr>
        <w:t>separate units, linked units or units contained within a single structure;</w:t>
      </w:r>
    </w:p>
    <w:p w14:paraId="138C0C02" w14:textId="77777777" w:rsidR="00574383" w:rsidRDefault="00574383" w:rsidP="00574383">
      <w:pPr>
        <w:rPr>
          <w:rFonts w:ascii="Arial Unicode MS" w:eastAsia="Arial Unicode MS" w:hAnsi="Arial Unicode MS" w:cs="Arial Unicode MS"/>
          <w:vanish/>
          <w:sz w:val="24"/>
          <w:szCs w:val="24"/>
        </w:rPr>
      </w:pPr>
    </w:p>
    <w:p w14:paraId="7EB56E2E" w14:textId="77777777" w:rsidR="00574383" w:rsidRDefault="00574383" w:rsidP="00574383">
      <w:pPr>
        <w:rPr>
          <w:rFonts w:cs="Arial"/>
          <w:sz w:val="24"/>
          <w:szCs w:val="24"/>
        </w:rPr>
      </w:pPr>
    </w:p>
    <w:p w14:paraId="1150E987" w14:textId="77777777" w:rsidR="00574383" w:rsidRDefault="00574383" w:rsidP="00574383">
      <w:pPr>
        <w:rPr>
          <w:rFonts w:ascii="Arial Unicode MS" w:eastAsia="Arial Unicode MS" w:hAnsi="Arial Unicode MS" w:cs="Arial Unicode MS"/>
          <w:vanish/>
          <w:sz w:val="24"/>
          <w:szCs w:val="24"/>
        </w:rPr>
      </w:pPr>
    </w:p>
    <w:p w14:paraId="681B9B9C" w14:textId="77777777" w:rsidR="00574383" w:rsidRDefault="00574383" w:rsidP="00574383">
      <w:pPr>
        <w:rPr>
          <w:rFonts w:eastAsia="Arial" w:cs="Arial"/>
          <w:sz w:val="24"/>
          <w:szCs w:val="24"/>
        </w:rPr>
      </w:pPr>
    </w:p>
    <w:p w14:paraId="062D9906" w14:textId="77777777" w:rsidR="00574383" w:rsidRDefault="00574383" w:rsidP="00574383">
      <w:pPr>
        <w:numPr>
          <w:ilvl w:val="0"/>
          <w:numId w:val="12"/>
        </w:numPr>
        <w:rPr>
          <w:rFonts w:ascii="Arial Unicode MS" w:eastAsia="Arial Unicode MS" w:hAnsi="Arial Unicode MS" w:cs="Arial Unicode MS"/>
          <w:vanish/>
          <w:sz w:val="24"/>
          <w:szCs w:val="24"/>
        </w:rPr>
      </w:pPr>
      <w:r>
        <w:rPr>
          <w:rFonts w:eastAsia="Arial" w:cs="Arial"/>
          <w:sz w:val="24"/>
          <w:szCs w:val="24"/>
        </w:rPr>
        <w:t xml:space="preserve">a unit could comprise 2 or more separate </w:t>
      </w:r>
      <w:proofErr w:type="spellStart"/>
      <w:r>
        <w:rPr>
          <w:rFonts w:eastAsia="Arial" w:cs="Arial"/>
          <w:sz w:val="24"/>
          <w:szCs w:val="24"/>
        </w:rPr>
        <w:t>areas,E.g</w:t>
      </w:r>
      <w:proofErr w:type="spellEnd"/>
      <w:r>
        <w:rPr>
          <w:rFonts w:eastAsia="Arial" w:cs="Arial"/>
          <w:sz w:val="24"/>
          <w:szCs w:val="24"/>
        </w:rPr>
        <w:t>. flat and garage in detached block.</w:t>
      </w:r>
    </w:p>
    <w:p w14:paraId="1E543D7E" w14:textId="77777777" w:rsidR="00574383" w:rsidRDefault="00574383" w:rsidP="00574383">
      <w:pPr>
        <w:ind w:left="360"/>
        <w:rPr>
          <w:rFonts w:cs="Arial"/>
          <w:sz w:val="24"/>
          <w:szCs w:val="24"/>
        </w:rPr>
      </w:pPr>
    </w:p>
    <w:p w14:paraId="20C7DB19" w14:textId="77777777" w:rsidR="00574383" w:rsidRDefault="00574383" w:rsidP="00574383">
      <w:pPr>
        <w:rPr>
          <w:rFonts w:cs="Arial"/>
          <w:sz w:val="24"/>
          <w:szCs w:val="24"/>
        </w:rPr>
      </w:pPr>
    </w:p>
    <w:p w14:paraId="2E2D1D22" w14:textId="77777777" w:rsidR="00574383" w:rsidRDefault="00574383" w:rsidP="00574383">
      <w:pPr>
        <w:rPr>
          <w:rFonts w:cs="Arial"/>
          <w:sz w:val="24"/>
          <w:szCs w:val="24"/>
        </w:rPr>
      </w:pPr>
      <w:r>
        <w:rPr>
          <w:rFonts w:cs="Arial"/>
          <w:sz w:val="24"/>
          <w:szCs w:val="24"/>
        </w:rPr>
        <w:t>Accordingly, in a new development the architect has complete freedom in relation to his design.</w:t>
      </w:r>
    </w:p>
    <w:p w14:paraId="13C36D08" w14:textId="77777777" w:rsidR="00574383" w:rsidRDefault="00574383" w:rsidP="00574383">
      <w:pPr>
        <w:rPr>
          <w:rFonts w:cs="Arial"/>
          <w:sz w:val="24"/>
          <w:szCs w:val="24"/>
        </w:rPr>
      </w:pPr>
    </w:p>
    <w:p w14:paraId="4B3A90EA" w14:textId="77777777" w:rsidR="00574383" w:rsidRDefault="00574383" w:rsidP="00574383">
      <w:pPr>
        <w:rPr>
          <w:rFonts w:cs="Arial"/>
          <w:sz w:val="24"/>
          <w:szCs w:val="24"/>
        </w:rPr>
      </w:pPr>
      <w:r>
        <w:rPr>
          <w:rFonts w:cs="Arial"/>
          <w:sz w:val="24"/>
          <w:szCs w:val="24"/>
        </w:rPr>
        <w:t>It is also possible to create a multi-site commonhold on two or more parcels or areas of land that are not contiguous (</w:t>
      </w:r>
      <w:r>
        <w:rPr>
          <w:rFonts w:cs="Arial"/>
          <w:i/>
          <w:sz w:val="24"/>
          <w:szCs w:val="24"/>
        </w:rPr>
        <w:t>s57(1)</w:t>
      </w:r>
      <w:r>
        <w:rPr>
          <w:rFonts w:cs="Arial"/>
          <w:sz w:val="24"/>
          <w:szCs w:val="24"/>
        </w:rPr>
        <w:t xml:space="preserve">).  </w:t>
      </w:r>
    </w:p>
    <w:p w14:paraId="20D64603" w14:textId="77777777" w:rsidR="00574383" w:rsidRDefault="00574383" w:rsidP="00574383">
      <w:pPr>
        <w:rPr>
          <w:rFonts w:cs="Arial"/>
          <w:sz w:val="24"/>
          <w:szCs w:val="24"/>
        </w:rPr>
      </w:pPr>
    </w:p>
    <w:p w14:paraId="5748B53C" w14:textId="77777777" w:rsidR="00574383" w:rsidRDefault="00574383" w:rsidP="00574383">
      <w:pPr>
        <w:rPr>
          <w:rFonts w:cs="Arial"/>
          <w:sz w:val="24"/>
          <w:szCs w:val="24"/>
        </w:rPr>
      </w:pPr>
      <w:r>
        <w:rPr>
          <w:rFonts w:cs="Arial"/>
          <w:sz w:val="24"/>
          <w:szCs w:val="24"/>
        </w:rPr>
        <w:t>It is not the physical layout that is important but rather the documentation.</w:t>
      </w:r>
    </w:p>
    <w:p w14:paraId="1B5D97F7" w14:textId="77777777" w:rsidR="00574383" w:rsidRDefault="00574383" w:rsidP="00574383">
      <w:pPr>
        <w:rPr>
          <w:rFonts w:cs="Arial"/>
          <w:sz w:val="24"/>
          <w:szCs w:val="24"/>
        </w:rPr>
      </w:pPr>
    </w:p>
    <w:p w14:paraId="709B980C" w14:textId="77777777" w:rsidR="00574383" w:rsidRDefault="00574383" w:rsidP="00574383">
      <w:pPr>
        <w:rPr>
          <w:rFonts w:cs="Arial"/>
          <w:sz w:val="24"/>
          <w:szCs w:val="24"/>
        </w:rPr>
      </w:pPr>
      <w:r>
        <w:rPr>
          <w:rFonts w:cs="Arial"/>
          <w:sz w:val="24"/>
          <w:szCs w:val="24"/>
        </w:rPr>
        <w:t>So, say ABC Developments Ltd constructs a new development comprising two blocks of flats situated on separate sides of an adopted highway with communal facilities.  The following would need to be checked:</w:t>
      </w:r>
    </w:p>
    <w:p w14:paraId="1C2502D7" w14:textId="77777777" w:rsidR="00574383" w:rsidRDefault="00574383" w:rsidP="00574383">
      <w:pPr>
        <w:rPr>
          <w:rFonts w:cs="Arial"/>
          <w:sz w:val="24"/>
          <w:szCs w:val="24"/>
        </w:rPr>
      </w:pPr>
    </w:p>
    <w:p w14:paraId="52EABCF5" w14:textId="77777777" w:rsidR="00574383" w:rsidRDefault="00574383" w:rsidP="00574383">
      <w:pPr>
        <w:pStyle w:val="BodyText3"/>
        <w:numPr>
          <w:ilvl w:val="0"/>
          <w:numId w:val="13"/>
        </w:numPr>
        <w:tabs>
          <w:tab w:val="clear" w:pos="360"/>
          <w:tab w:val="num" w:pos="720"/>
        </w:tabs>
        <w:spacing w:after="0"/>
        <w:ind w:left="720"/>
        <w:rPr>
          <w:sz w:val="24"/>
          <w:szCs w:val="24"/>
        </w:rPr>
      </w:pPr>
      <w:r>
        <w:rPr>
          <w:sz w:val="24"/>
          <w:szCs w:val="24"/>
        </w:rPr>
        <w:t>That the memorandum and articles of association of the commonhold association (see below) specified that the commonhold association was to exercise the commonhold functions over all the land comprised within the development;</w:t>
      </w:r>
    </w:p>
    <w:p w14:paraId="125FEE74" w14:textId="77777777" w:rsidR="00574383" w:rsidRDefault="00574383" w:rsidP="00574383">
      <w:pPr>
        <w:pStyle w:val="BodyText3"/>
        <w:tabs>
          <w:tab w:val="num" w:pos="720"/>
        </w:tabs>
        <w:ind w:left="720" w:hanging="360"/>
        <w:jc w:val="both"/>
        <w:rPr>
          <w:sz w:val="24"/>
          <w:szCs w:val="24"/>
        </w:rPr>
      </w:pPr>
    </w:p>
    <w:p w14:paraId="054B9DC1" w14:textId="77777777" w:rsidR="00574383" w:rsidRDefault="00574383" w:rsidP="00574383">
      <w:pPr>
        <w:pStyle w:val="BodyText3"/>
        <w:numPr>
          <w:ilvl w:val="0"/>
          <w:numId w:val="13"/>
        </w:numPr>
        <w:tabs>
          <w:tab w:val="clear" w:pos="360"/>
          <w:tab w:val="num" w:pos="720"/>
        </w:tabs>
        <w:spacing w:after="0"/>
        <w:ind w:left="720"/>
        <w:rPr>
          <w:sz w:val="24"/>
          <w:szCs w:val="24"/>
        </w:rPr>
      </w:pPr>
      <w:r>
        <w:rPr>
          <w:sz w:val="24"/>
          <w:szCs w:val="24"/>
        </w:rPr>
        <w:t>That there was one commonhold community statement (see below) that applied to all of the land comprised within the development.</w:t>
      </w:r>
    </w:p>
    <w:p w14:paraId="40EF9EC6" w14:textId="77777777" w:rsidR="00574383" w:rsidRDefault="00574383" w:rsidP="00574383">
      <w:pPr>
        <w:pStyle w:val="BodyText3"/>
        <w:jc w:val="both"/>
        <w:rPr>
          <w:sz w:val="24"/>
          <w:szCs w:val="24"/>
        </w:rPr>
      </w:pPr>
    </w:p>
    <w:p w14:paraId="43AAEB78" w14:textId="77777777" w:rsidR="00574383" w:rsidRDefault="00574383" w:rsidP="00574383">
      <w:pPr>
        <w:pStyle w:val="BodyText3"/>
        <w:jc w:val="both"/>
        <w:rPr>
          <w:sz w:val="24"/>
          <w:szCs w:val="24"/>
        </w:rPr>
      </w:pPr>
      <w:r>
        <w:rPr>
          <w:sz w:val="24"/>
          <w:szCs w:val="24"/>
        </w:rPr>
        <w:t>Clearly, it should also be the case that the two blocks albeit not physically attached do share the obligations and facilities of the “community”.  If that is not the case then separate commonholds for each block would be the more appropriate way forward.</w:t>
      </w:r>
    </w:p>
    <w:p w14:paraId="0F1836C2" w14:textId="77777777" w:rsidR="00574383" w:rsidRDefault="00574383" w:rsidP="00574383">
      <w:pPr>
        <w:rPr>
          <w:rFonts w:cs="Arial"/>
          <w:sz w:val="24"/>
          <w:szCs w:val="24"/>
        </w:rPr>
      </w:pPr>
    </w:p>
    <w:p w14:paraId="2EF973FD" w14:textId="77777777" w:rsidR="00574383" w:rsidRDefault="00574383" w:rsidP="00574383">
      <w:pPr>
        <w:rPr>
          <w:rFonts w:cs="Arial"/>
          <w:sz w:val="24"/>
          <w:szCs w:val="24"/>
        </w:rPr>
      </w:pPr>
      <w:r>
        <w:rPr>
          <w:rFonts w:cs="Arial"/>
          <w:sz w:val="24"/>
          <w:szCs w:val="24"/>
        </w:rPr>
        <w:t xml:space="preserve">The following </w:t>
      </w:r>
      <w:r>
        <w:rPr>
          <w:rFonts w:cs="Arial"/>
          <w:sz w:val="24"/>
          <w:szCs w:val="24"/>
          <w:u w:val="single"/>
        </w:rPr>
        <w:t>cannot</w:t>
      </w:r>
      <w:r>
        <w:rPr>
          <w:rFonts w:cs="Arial"/>
          <w:sz w:val="24"/>
          <w:szCs w:val="24"/>
        </w:rPr>
        <w:t xml:space="preserve"> be registered as commonhold:</w:t>
      </w:r>
    </w:p>
    <w:p w14:paraId="32E37DA3" w14:textId="77777777" w:rsidR="00574383" w:rsidRDefault="00574383" w:rsidP="00574383">
      <w:pPr>
        <w:rPr>
          <w:rFonts w:cs="Arial"/>
          <w:sz w:val="24"/>
          <w:szCs w:val="24"/>
        </w:rPr>
      </w:pPr>
    </w:p>
    <w:p w14:paraId="5C57B00D" w14:textId="77777777" w:rsidR="00574383" w:rsidRDefault="00574383" w:rsidP="00574383">
      <w:pPr>
        <w:numPr>
          <w:ilvl w:val="0"/>
          <w:numId w:val="14"/>
        </w:numPr>
        <w:tabs>
          <w:tab w:val="clear" w:pos="360"/>
          <w:tab w:val="num" w:pos="720"/>
        </w:tabs>
        <w:ind w:left="720"/>
        <w:rPr>
          <w:rFonts w:cs="Arial"/>
          <w:sz w:val="24"/>
          <w:szCs w:val="24"/>
        </w:rPr>
      </w:pPr>
      <w:r>
        <w:rPr>
          <w:rFonts w:cs="Arial"/>
          <w:sz w:val="24"/>
          <w:szCs w:val="24"/>
        </w:rPr>
        <w:t xml:space="preserve">Agricultural land (See </w:t>
      </w:r>
      <w:r>
        <w:rPr>
          <w:rFonts w:cs="Arial"/>
          <w:i/>
          <w:sz w:val="24"/>
          <w:szCs w:val="24"/>
        </w:rPr>
        <w:t>Schedule 2; Paragraph 2</w:t>
      </w:r>
      <w:r>
        <w:rPr>
          <w:rFonts w:cs="Arial"/>
          <w:sz w:val="24"/>
          <w:szCs w:val="24"/>
        </w:rPr>
        <w:t>) - this includes the following:</w:t>
      </w:r>
    </w:p>
    <w:p w14:paraId="2B09DAC2" w14:textId="77777777" w:rsidR="00574383" w:rsidRDefault="00574383" w:rsidP="00574383">
      <w:pPr>
        <w:ind w:left="360"/>
        <w:rPr>
          <w:rFonts w:cs="Arial"/>
          <w:sz w:val="24"/>
          <w:szCs w:val="24"/>
        </w:rPr>
      </w:pPr>
    </w:p>
    <w:p w14:paraId="341A1DDE" w14:textId="77777777" w:rsidR="00574383" w:rsidRDefault="00574383" w:rsidP="00574383">
      <w:pPr>
        <w:numPr>
          <w:ilvl w:val="1"/>
          <w:numId w:val="14"/>
        </w:numPr>
        <w:rPr>
          <w:rFonts w:cs="Arial"/>
          <w:sz w:val="24"/>
          <w:szCs w:val="24"/>
        </w:rPr>
      </w:pPr>
      <w:r>
        <w:rPr>
          <w:rFonts w:cs="Arial"/>
          <w:sz w:val="24"/>
          <w:szCs w:val="24"/>
        </w:rPr>
        <w:t xml:space="preserve">Land comprised in a farm business tenancy for the purposes of the </w:t>
      </w:r>
      <w:r>
        <w:rPr>
          <w:rFonts w:cs="Arial"/>
          <w:i/>
          <w:sz w:val="24"/>
          <w:szCs w:val="24"/>
        </w:rPr>
        <w:t>Agricultural Tenancies Act (1995)</w:t>
      </w:r>
      <w:r>
        <w:rPr>
          <w:rFonts w:cs="Arial"/>
          <w:sz w:val="24"/>
          <w:szCs w:val="24"/>
        </w:rPr>
        <w:t>;</w:t>
      </w:r>
    </w:p>
    <w:p w14:paraId="68F89BDF" w14:textId="77777777" w:rsidR="00574383" w:rsidRDefault="00574383" w:rsidP="00574383">
      <w:pPr>
        <w:ind w:left="720"/>
        <w:rPr>
          <w:rFonts w:cs="Arial"/>
          <w:sz w:val="24"/>
          <w:szCs w:val="24"/>
        </w:rPr>
      </w:pPr>
    </w:p>
    <w:p w14:paraId="2480AC21" w14:textId="77777777" w:rsidR="00574383" w:rsidRDefault="00574383" w:rsidP="00574383">
      <w:pPr>
        <w:numPr>
          <w:ilvl w:val="1"/>
          <w:numId w:val="14"/>
        </w:numPr>
        <w:rPr>
          <w:rFonts w:cs="Arial"/>
          <w:sz w:val="24"/>
          <w:szCs w:val="24"/>
        </w:rPr>
      </w:pPr>
      <w:r>
        <w:rPr>
          <w:rFonts w:cs="Arial"/>
          <w:sz w:val="24"/>
          <w:szCs w:val="24"/>
        </w:rPr>
        <w:t xml:space="preserve">Land comprised in a tenancy of an agricultural holding within the meaning of the </w:t>
      </w:r>
      <w:r>
        <w:rPr>
          <w:rFonts w:cs="Arial"/>
          <w:i/>
          <w:sz w:val="24"/>
          <w:szCs w:val="24"/>
        </w:rPr>
        <w:t>Agricultural Holdings Act (1986).</w:t>
      </w:r>
    </w:p>
    <w:p w14:paraId="775839F6" w14:textId="77777777" w:rsidR="00574383" w:rsidRDefault="00574383" w:rsidP="00574383">
      <w:pPr>
        <w:tabs>
          <w:tab w:val="num" w:pos="1080"/>
        </w:tabs>
        <w:ind w:left="1080"/>
        <w:rPr>
          <w:rFonts w:cs="Arial"/>
          <w:sz w:val="24"/>
          <w:szCs w:val="24"/>
        </w:rPr>
      </w:pPr>
    </w:p>
    <w:p w14:paraId="0EB4999E" w14:textId="77777777" w:rsidR="00574383" w:rsidRDefault="00574383" w:rsidP="00574383">
      <w:pPr>
        <w:numPr>
          <w:ilvl w:val="0"/>
          <w:numId w:val="14"/>
        </w:numPr>
        <w:tabs>
          <w:tab w:val="clear" w:pos="360"/>
          <w:tab w:val="num" w:pos="720"/>
        </w:tabs>
        <w:ind w:left="720"/>
        <w:rPr>
          <w:rFonts w:cs="Arial"/>
          <w:sz w:val="24"/>
          <w:szCs w:val="24"/>
        </w:rPr>
      </w:pPr>
      <w:r>
        <w:rPr>
          <w:rFonts w:cs="Arial"/>
          <w:sz w:val="24"/>
          <w:szCs w:val="24"/>
        </w:rPr>
        <w:t xml:space="preserve">Contingent freehold titles arising by statute  (See </w:t>
      </w:r>
      <w:r>
        <w:rPr>
          <w:rFonts w:cs="Arial"/>
          <w:i/>
          <w:sz w:val="24"/>
          <w:szCs w:val="24"/>
        </w:rPr>
        <w:t>Schedule 2; Paragraph 3</w:t>
      </w:r>
      <w:r>
        <w:rPr>
          <w:rFonts w:cs="Arial"/>
          <w:sz w:val="24"/>
          <w:szCs w:val="24"/>
        </w:rPr>
        <w:t xml:space="preserve">) - for the purposes of the </w:t>
      </w:r>
      <w:r>
        <w:rPr>
          <w:rFonts w:cs="Arial"/>
          <w:i/>
          <w:sz w:val="24"/>
          <w:szCs w:val="24"/>
        </w:rPr>
        <w:t>CMLR</w:t>
      </w:r>
      <w:r>
        <w:rPr>
          <w:rFonts w:cs="Arial"/>
          <w:sz w:val="24"/>
          <w:szCs w:val="24"/>
        </w:rPr>
        <w:t xml:space="preserve"> an estate is contingent “if (and only if):</w:t>
      </w:r>
    </w:p>
    <w:p w14:paraId="4175F0A1" w14:textId="77777777" w:rsidR="00574383" w:rsidRDefault="00574383" w:rsidP="00574383">
      <w:pPr>
        <w:tabs>
          <w:tab w:val="num" w:pos="720"/>
        </w:tabs>
        <w:ind w:left="720" w:firstLine="720"/>
        <w:rPr>
          <w:rFonts w:cs="Arial"/>
          <w:sz w:val="24"/>
          <w:szCs w:val="24"/>
        </w:rPr>
      </w:pPr>
    </w:p>
    <w:p w14:paraId="649D2D19" w14:textId="77777777" w:rsidR="00574383" w:rsidRDefault="00574383" w:rsidP="00574383">
      <w:pPr>
        <w:numPr>
          <w:ilvl w:val="0"/>
          <w:numId w:val="15"/>
        </w:numPr>
        <w:tabs>
          <w:tab w:val="clear" w:pos="1080"/>
          <w:tab w:val="num" w:pos="1440"/>
        </w:tabs>
        <w:ind w:left="1440" w:hanging="720"/>
        <w:rPr>
          <w:rFonts w:cs="Arial"/>
          <w:sz w:val="24"/>
          <w:szCs w:val="24"/>
        </w:rPr>
      </w:pPr>
      <w:r>
        <w:rPr>
          <w:rFonts w:cs="Arial"/>
          <w:sz w:val="24"/>
          <w:szCs w:val="24"/>
        </w:rPr>
        <w:t>It is liable to revert to or vest in a person other than the registered proprietor on the occurrence or non-occurrence of a particular event; and</w:t>
      </w:r>
    </w:p>
    <w:p w14:paraId="7CD80566" w14:textId="77777777" w:rsidR="00574383" w:rsidRDefault="00574383" w:rsidP="00574383">
      <w:pPr>
        <w:tabs>
          <w:tab w:val="num" w:pos="1440"/>
        </w:tabs>
        <w:ind w:left="1440" w:hanging="720"/>
        <w:rPr>
          <w:rFonts w:cs="Arial"/>
          <w:sz w:val="24"/>
          <w:szCs w:val="24"/>
        </w:rPr>
      </w:pPr>
    </w:p>
    <w:p w14:paraId="06541AC9" w14:textId="77777777" w:rsidR="00574383" w:rsidRDefault="00574383" w:rsidP="00574383">
      <w:pPr>
        <w:numPr>
          <w:ilvl w:val="0"/>
          <w:numId w:val="15"/>
        </w:numPr>
        <w:tabs>
          <w:tab w:val="clear" w:pos="1080"/>
          <w:tab w:val="num" w:pos="1440"/>
        </w:tabs>
        <w:ind w:left="1440" w:hanging="720"/>
        <w:rPr>
          <w:rFonts w:cs="Arial"/>
          <w:sz w:val="24"/>
          <w:szCs w:val="24"/>
        </w:rPr>
      </w:pPr>
      <w:r>
        <w:rPr>
          <w:rFonts w:cs="Arial"/>
          <w:sz w:val="24"/>
          <w:szCs w:val="24"/>
        </w:rPr>
        <w:t xml:space="preserve">The </w:t>
      </w:r>
      <w:proofErr w:type="spellStart"/>
      <w:r>
        <w:rPr>
          <w:rFonts w:cs="Arial"/>
          <w:sz w:val="24"/>
          <w:szCs w:val="24"/>
        </w:rPr>
        <w:t>reverter</w:t>
      </w:r>
      <w:proofErr w:type="spellEnd"/>
      <w:r>
        <w:rPr>
          <w:rFonts w:cs="Arial"/>
          <w:sz w:val="24"/>
          <w:szCs w:val="24"/>
        </w:rPr>
        <w:t xml:space="preserve"> or vesting would occur by operation of law as a result of an enactment listed in sub-paragraph (3).”</w:t>
      </w:r>
    </w:p>
    <w:p w14:paraId="639446E4" w14:textId="77777777" w:rsidR="00574383" w:rsidRDefault="00574383" w:rsidP="00574383">
      <w:pPr>
        <w:tabs>
          <w:tab w:val="num" w:pos="1080"/>
        </w:tabs>
        <w:ind w:left="1080" w:hanging="360"/>
        <w:rPr>
          <w:rFonts w:cs="Arial"/>
          <w:sz w:val="24"/>
          <w:szCs w:val="24"/>
        </w:rPr>
      </w:pPr>
    </w:p>
    <w:p w14:paraId="4A7089AB" w14:textId="77777777" w:rsidR="00574383" w:rsidRDefault="00574383" w:rsidP="00574383">
      <w:pPr>
        <w:tabs>
          <w:tab w:val="num" w:pos="720"/>
        </w:tabs>
        <w:ind w:left="720"/>
        <w:rPr>
          <w:rFonts w:cs="Arial"/>
          <w:sz w:val="24"/>
          <w:szCs w:val="24"/>
        </w:rPr>
      </w:pPr>
      <w:r>
        <w:rPr>
          <w:rFonts w:cs="Arial"/>
          <w:i/>
          <w:sz w:val="24"/>
          <w:szCs w:val="24"/>
        </w:rPr>
        <w:t>Sub-paragraph 3</w:t>
      </w:r>
      <w:r>
        <w:rPr>
          <w:rFonts w:cs="Arial"/>
          <w:sz w:val="24"/>
          <w:szCs w:val="24"/>
        </w:rPr>
        <w:t xml:space="preserve"> lists four pre-20</w:t>
      </w:r>
      <w:r>
        <w:rPr>
          <w:rFonts w:cs="Arial"/>
          <w:sz w:val="24"/>
          <w:szCs w:val="24"/>
          <w:vertAlign w:val="superscript"/>
        </w:rPr>
        <w:t>th</w:t>
      </w:r>
      <w:r>
        <w:rPr>
          <w:rFonts w:cs="Arial"/>
          <w:sz w:val="24"/>
          <w:szCs w:val="24"/>
        </w:rPr>
        <w:t xml:space="preserve"> century statutes including the </w:t>
      </w:r>
      <w:r>
        <w:rPr>
          <w:rFonts w:cs="Arial"/>
          <w:i/>
          <w:sz w:val="24"/>
          <w:szCs w:val="24"/>
        </w:rPr>
        <w:t>School Sites Act (1841)</w:t>
      </w:r>
      <w:r>
        <w:rPr>
          <w:rFonts w:cs="Arial"/>
          <w:sz w:val="24"/>
          <w:szCs w:val="24"/>
        </w:rPr>
        <w:t xml:space="preserve">.  These can be added to via Regulations.  </w:t>
      </w:r>
    </w:p>
    <w:p w14:paraId="5A5E5417" w14:textId="77777777" w:rsidR="00574383" w:rsidRDefault="00574383" w:rsidP="00574383">
      <w:pPr>
        <w:tabs>
          <w:tab w:val="num" w:pos="720"/>
        </w:tabs>
        <w:ind w:left="720"/>
        <w:rPr>
          <w:rFonts w:cs="Arial"/>
          <w:sz w:val="24"/>
          <w:szCs w:val="24"/>
        </w:rPr>
      </w:pPr>
    </w:p>
    <w:p w14:paraId="6FCCD091" w14:textId="77777777" w:rsidR="00574383" w:rsidRDefault="00574383" w:rsidP="00574383">
      <w:pPr>
        <w:tabs>
          <w:tab w:val="num" w:pos="720"/>
        </w:tabs>
        <w:ind w:left="720"/>
        <w:rPr>
          <w:rFonts w:cs="Arial"/>
          <w:sz w:val="24"/>
          <w:szCs w:val="24"/>
        </w:rPr>
      </w:pPr>
      <w:r>
        <w:rPr>
          <w:rFonts w:cs="Arial"/>
          <w:sz w:val="24"/>
          <w:szCs w:val="24"/>
        </w:rPr>
        <w:t>What is clear is that a contingent title arising by virtue of a conveyance/other transfer of land is not covered, though that type of interest may not be granted an absolute tile in any event.</w:t>
      </w:r>
    </w:p>
    <w:p w14:paraId="1F6A3F31" w14:textId="77777777" w:rsidR="00574383" w:rsidRDefault="00574383" w:rsidP="00574383">
      <w:pPr>
        <w:rPr>
          <w:rFonts w:cs="Arial"/>
          <w:sz w:val="24"/>
          <w:szCs w:val="24"/>
        </w:rPr>
      </w:pPr>
    </w:p>
    <w:p w14:paraId="4A06FFA9" w14:textId="77777777" w:rsidR="00574383" w:rsidRDefault="00574383" w:rsidP="00574383">
      <w:pPr>
        <w:numPr>
          <w:ilvl w:val="0"/>
          <w:numId w:val="14"/>
        </w:numPr>
        <w:tabs>
          <w:tab w:val="clear" w:pos="360"/>
          <w:tab w:val="num" w:pos="720"/>
        </w:tabs>
        <w:ind w:left="720"/>
        <w:rPr>
          <w:rFonts w:cs="Arial"/>
          <w:sz w:val="24"/>
          <w:szCs w:val="24"/>
        </w:rPr>
      </w:pPr>
      <w:r>
        <w:rPr>
          <w:rFonts w:cs="Arial"/>
          <w:sz w:val="24"/>
          <w:szCs w:val="24"/>
        </w:rPr>
        <w:t xml:space="preserve">Flying freeholds (See </w:t>
      </w:r>
      <w:r>
        <w:rPr>
          <w:rFonts w:cs="Arial"/>
          <w:i/>
          <w:sz w:val="24"/>
          <w:szCs w:val="24"/>
        </w:rPr>
        <w:t>Schedule 2; Paragraph 1</w:t>
      </w:r>
      <w:r>
        <w:rPr>
          <w:rFonts w:cs="Arial"/>
          <w:sz w:val="24"/>
          <w:szCs w:val="24"/>
        </w:rPr>
        <w:t xml:space="preserve">) - this </w:t>
      </w:r>
      <w:r>
        <w:rPr>
          <w:rFonts w:cs="Arial"/>
          <w:i/>
          <w:sz w:val="24"/>
          <w:szCs w:val="24"/>
        </w:rPr>
        <w:t>Paragraph</w:t>
      </w:r>
      <w:r>
        <w:rPr>
          <w:rFonts w:cs="Arial"/>
          <w:sz w:val="24"/>
          <w:szCs w:val="24"/>
        </w:rPr>
        <w:t xml:space="preserve"> states that “[a]n application may not be made….in relation to land above ground level (“raised land”) unless all the land between the ground and the raised land is the subject of the same application.”  This is what is known as the “grounded rule”.</w:t>
      </w:r>
    </w:p>
    <w:p w14:paraId="098ACD77" w14:textId="77777777" w:rsidR="00574383" w:rsidRDefault="00574383" w:rsidP="00574383">
      <w:pPr>
        <w:tabs>
          <w:tab w:val="num" w:pos="720"/>
        </w:tabs>
        <w:ind w:left="720"/>
        <w:rPr>
          <w:rFonts w:cs="Arial"/>
          <w:sz w:val="24"/>
          <w:szCs w:val="24"/>
        </w:rPr>
      </w:pPr>
    </w:p>
    <w:p w14:paraId="2CF90441" w14:textId="77777777" w:rsidR="00574383" w:rsidRDefault="00574383" w:rsidP="00574383">
      <w:pPr>
        <w:tabs>
          <w:tab w:val="num" w:pos="720"/>
        </w:tabs>
        <w:ind w:left="720"/>
        <w:rPr>
          <w:rFonts w:cs="Arial"/>
          <w:sz w:val="24"/>
          <w:szCs w:val="24"/>
        </w:rPr>
      </w:pPr>
      <w:r>
        <w:rPr>
          <w:rFonts w:cs="Arial"/>
          <w:sz w:val="24"/>
          <w:szCs w:val="24"/>
        </w:rPr>
        <w:t>Therefore, no part of a commonhold title should be above or below other property held either:</w:t>
      </w:r>
    </w:p>
    <w:p w14:paraId="68250A07" w14:textId="77777777" w:rsidR="00574383" w:rsidRDefault="00574383" w:rsidP="00574383">
      <w:pPr>
        <w:tabs>
          <w:tab w:val="num" w:pos="720"/>
        </w:tabs>
        <w:ind w:left="720"/>
        <w:rPr>
          <w:rFonts w:cs="Arial"/>
          <w:sz w:val="24"/>
          <w:szCs w:val="24"/>
        </w:rPr>
      </w:pPr>
      <w:r>
        <w:rPr>
          <w:rFonts w:cs="Arial"/>
          <w:sz w:val="24"/>
          <w:szCs w:val="24"/>
        </w:rPr>
        <w:tab/>
      </w:r>
    </w:p>
    <w:p w14:paraId="6FFE9544" w14:textId="77777777" w:rsidR="00574383" w:rsidRDefault="00574383" w:rsidP="00574383">
      <w:pPr>
        <w:numPr>
          <w:ilvl w:val="1"/>
          <w:numId w:val="14"/>
        </w:numPr>
        <w:ind w:left="720" w:firstLine="0"/>
        <w:rPr>
          <w:rFonts w:cs="Arial"/>
          <w:sz w:val="24"/>
          <w:szCs w:val="24"/>
        </w:rPr>
      </w:pPr>
      <w:r>
        <w:rPr>
          <w:rFonts w:cs="Arial"/>
          <w:sz w:val="24"/>
          <w:szCs w:val="24"/>
        </w:rPr>
        <w:t>On a separate commonhold;</w:t>
      </w:r>
    </w:p>
    <w:p w14:paraId="14B15308" w14:textId="77777777" w:rsidR="00574383" w:rsidRDefault="00574383" w:rsidP="00574383">
      <w:pPr>
        <w:ind w:left="720"/>
        <w:rPr>
          <w:rFonts w:cs="Arial"/>
          <w:sz w:val="24"/>
          <w:szCs w:val="24"/>
        </w:rPr>
      </w:pPr>
    </w:p>
    <w:p w14:paraId="71CB2129" w14:textId="77777777" w:rsidR="00574383" w:rsidRDefault="00574383" w:rsidP="00574383">
      <w:pPr>
        <w:numPr>
          <w:ilvl w:val="1"/>
          <w:numId w:val="14"/>
        </w:numPr>
        <w:ind w:left="720" w:firstLine="0"/>
        <w:rPr>
          <w:rFonts w:cs="Arial"/>
          <w:sz w:val="24"/>
          <w:szCs w:val="24"/>
        </w:rPr>
      </w:pPr>
      <w:r>
        <w:rPr>
          <w:rFonts w:cs="Arial"/>
          <w:sz w:val="24"/>
          <w:szCs w:val="24"/>
        </w:rPr>
        <w:t>On a separate freehold tile;</w:t>
      </w:r>
    </w:p>
    <w:p w14:paraId="18C41822" w14:textId="77777777" w:rsidR="00574383" w:rsidRDefault="00574383" w:rsidP="00574383">
      <w:pPr>
        <w:rPr>
          <w:rFonts w:cs="Arial"/>
          <w:sz w:val="24"/>
          <w:szCs w:val="24"/>
        </w:rPr>
      </w:pPr>
    </w:p>
    <w:p w14:paraId="35DE9C1B" w14:textId="77777777" w:rsidR="00574383" w:rsidRDefault="00574383" w:rsidP="00574383">
      <w:pPr>
        <w:numPr>
          <w:ilvl w:val="1"/>
          <w:numId w:val="14"/>
        </w:numPr>
        <w:ind w:left="720" w:firstLine="0"/>
        <w:rPr>
          <w:rFonts w:cs="Arial"/>
          <w:sz w:val="24"/>
          <w:szCs w:val="24"/>
        </w:rPr>
      </w:pPr>
      <w:r>
        <w:rPr>
          <w:rFonts w:cs="Arial"/>
          <w:sz w:val="24"/>
          <w:szCs w:val="24"/>
        </w:rPr>
        <w:t>On a separate leasehold title.</w:t>
      </w:r>
    </w:p>
    <w:p w14:paraId="381783C9" w14:textId="77777777" w:rsidR="00574383" w:rsidRDefault="00574383" w:rsidP="00574383">
      <w:pPr>
        <w:tabs>
          <w:tab w:val="num" w:pos="720"/>
        </w:tabs>
        <w:ind w:left="720"/>
        <w:rPr>
          <w:rFonts w:cs="Arial"/>
          <w:sz w:val="24"/>
          <w:szCs w:val="24"/>
        </w:rPr>
      </w:pPr>
    </w:p>
    <w:p w14:paraId="792796E6" w14:textId="77777777" w:rsidR="00574383" w:rsidRDefault="00574383" w:rsidP="00574383">
      <w:pPr>
        <w:tabs>
          <w:tab w:val="num" w:pos="720"/>
        </w:tabs>
        <w:ind w:left="720"/>
        <w:rPr>
          <w:rFonts w:cs="Arial"/>
          <w:sz w:val="24"/>
          <w:szCs w:val="24"/>
        </w:rPr>
      </w:pPr>
      <w:r>
        <w:rPr>
          <w:rFonts w:cs="Arial"/>
          <w:sz w:val="24"/>
          <w:szCs w:val="24"/>
        </w:rPr>
        <w:t>This requirement will assist in terms of the management of the commonhold, make it easier to re-develop should the commonhold be terminated and also avoids the problems with enforceability of positive covenants experienced with current flying freehold situations, although only in terms of the commonhold community itself.</w:t>
      </w:r>
    </w:p>
    <w:p w14:paraId="7ED4F06F" w14:textId="77777777" w:rsidR="00574383" w:rsidRDefault="00574383" w:rsidP="00574383">
      <w:pPr>
        <w:tabs>
          <w:tab w:val="num" w:pos="720"/>
        </w:tabs>
        <w:ind w:left="720"/>
        <w:rPr>
          <w:rFonts w:cs="Arial"/>
          <w:sz w:val="24"/>
          <w:szCs w:val="24"/>
        </w:rPr>
      </w:pPr>
    </w:p>
    <w:p w14:paraId="4A18CE55" w14:textId="77777777" w:rsidR="00574383" w:rsidRDefault="00574383" w:rsidP="00574383">
      <w:pPr>
        <w:tabs>
          <w:tab w:val="num" w:pos="720"/>
        </w:tabs>
        <w:ind w:left="720"/>
        <w:rPr>
          <w:rFonts w:cs="Arial"/>
          <w:sz w:val="24"/>
          <w:szCs w:val="24"/>
        </w:rPr>
      </w:pPr>
      <w:r>
        <w:rPr>
          <w:rFonts w:cs="Arial"/>
          <w:sz w:val="24"/>
          <w:szCs w:val="24"/>
        </w:rPr>
        <w:t>However, it has been criticised as being inflexible.  It will, for example, prevent a commonhold from being created in terms of residential accommodation that exists above a parade of shops, where the shops are not part of the same application.</w:t>
      </w:r>
    </w:p>
    <w:p w14:paraId="34B05E08" w14:textId="77777777" w:rsidR="00574383" w:rsidRDefault="00574383" w:rsidP="00574383">
      <w:pPr>
        <w:ind w:left="360"/>
        <w:rPr>
          <w:rFonts w:cs="Arial"/>
          <w:sz w:val="24"/>
          <w:szCs w:val="24"/>
        </w:rPr>
      </w:pPr>
    </w:p>
    <w:p w14:paraId="6D1439DC" w14:textId="77777777" w:rsidR="00574383" w:rsidRDefault="00574383" w:rsidP="00574383">
      <w:pPr>
        <w:pStyle w:val="BodyTextIndent"/>
        <w:ind w:left="720"/>
        <w:jc w:val="both"/>
        <w:rPr>
          <w:sz w:val="24"/>
          <w:szCs w:val="24"/>
        </w:rPr>
      </w:pPr>
      <w:r>
        <w:rPr>
          <w:sz w:val="24"/>
          <w:szCs w:val="24"/>
        </w:rPr>
        <w:t>Subject to procuring the necessary planning and other consents, it will not prevent an established commonhold from extending upwards at a later date!</w:t>
      </w:r>
    </w:p>
    <w:p w14:paraId="3BFCAEC6" w14:textId="77777777" w:rsidR="00574383" w:rsidRDefault="00574383" w:rsidP="00574383">
      <w:pPr>
        <w:ind w:left="720" w:hanging="360"/>
        <w:rPr>
          <w:rFonts w:cs="Arial"/>
          <w:sz w:val="24"/>
          <w:szCs w:val="24"/>
        </w:rPr>
      </w:pPr>
    </w:p>
    <w:p w14:paraId="67C9B386" w14:textId="77777777" w:rsidR="00574383" w:rsidRDefault="00574383" w:rsidP="00574383">
      <w:pPr>
        <w:ind w:left="720"/>
        <w:rPr>
          <w:rFonts w:cs="Arial"/>
          <w:sz w:val="24"/>
          <w:szCs w:val="24"/>
        </w:rPr>
      </w:pPr>
      <w:r>
        <w:rPr>
          <w:rFonts w:cs="Arial"/>
          <w:sz w:val="24"/>
          <w:szCs w:val="24"/>
        </w:rPr>
        <w:t xml:space="preserve">Also this does not mean that the whole of a structure must form the basis of a commonhold - certainly a vertical division is acceptable.  For example, if there </w:t>
      </w:r>
      <w:r>
        <w:rPr>
          <w:rFonts w:cs="Arial"/>
          <w:sz w:val="24"/>
          <w:szCs w:val="24"/>
        </w:rPr>
        <w:lastRenderedPageBreak/>
        <w:t xml:space="preserve">is a row of terraced houses an application to register a commonhold could be made for only some of the houses. </w:t>
      </w:r>
    </w:p>
    <w:p w14:paraId="3FF91477" w14:textId="77777777" w:rsidR="00574383" w:rsidRDefault="00574383" w:rsidP="00574383">
      <w:pPr>
        <w:ind w:left="720" w:hanging="360"/>
        <w:rPr>
          <w:rFonts w:cs="Arial"/>
          <w:sz w:val="24"/>
          <w:szCs w:val="24"/>
        </w:rPr>
      </w:pPr>
    </w:p>
    <w:p w14:paraId="5192EB93" w14:textId="77777777" w:rsidR="00574383" w:rsidRDefault="00574383" w:rsidP="00574383">
      <w:pPr>
        <w:numPr>
          <w:ilvl w:val="0"/>
          <w:numId w:val="14"/>
        </w:numPr>
        <w:ind w:left="720"/>
        <w:rPr>
          <w:rFonts w:cs="Arial"/>
          <w:sz w:val="24"/>
          <w:szCs w:val="24"/>
        </w:rPr>
      </w:pPr>
      <w:r>
        <w:rPr>
          <w:rFonts w:cs="Arial"/>
          <w:sz w:val="24"/>
          <w:szCs w:val="24"/>
        </w:rPr>
        <w:t xml:space="preserve">Land that is already commonhold - </w:t>
      </w:r>
      <w:r>
        <w:rPr>
          <w:rFonts w:cs="Arial"/>
          <w:i/>
          <w:sz w:val="24"/>
          <w:szCs w:val="24"/>
        </w:rPr>
        <w:t>s2(1)(b)</w:t>
      </w:r>
      <w:r>
        <w:rPr>
          <w:rFonts w:cs="Arial"/>
          <w:sz w:val="24"/>
          <w:szCs w:val="24"/>
        </w:rPr>
        <w:t xml:space="preserve"> prevents land that is already part of an established commonhold from being registered as part of another commonhold.  </w:t>
      </w:r>
    </w:p>
    <w:p w14:paraId="0C645826" w14:textId="77777777" w:rsidR="00574383" w:rsidRDefault="00574383" w:rsidP="00574383">
      <w:pPr>
        <w:ind w:left="720" w:hanging="360"/>
        <w:rPr>
          <w:rFonts w:cs="Arial"/>
          <w:sz w:val="24"/>
          <w:szCs w:val="24"/>
        </w:rPr>
      </w:pPr>
    </w:p>
    <w:p w14:paraId="009652F2" w14:textId="77777777" w:rsidR="00574383" w:rsidRDefault="00574383" w:rsidP="00574383">
      <w:pPr>
        <w:ind w:left="720"/>
        <w:rPr>
          <w:rFonts w:cs="Arial"/>
          <w:sz w:val="24"/>
          <w:szCs w:val="24"/>
        </w:rPr>
      </w:pPr>
      <w:r>
        <w:rPr>
          <w:rFonts w:cs="Arial"/>
          <w:sz w:val="24"/>
          <w:szCs w:val="24"/>
        </w:rPr>
        <w:t>It should also be noted that the system does not appear to provide a mechanism whereby land that is currently part of a commonhold, whether a unit or part of the common parts, can be transferred from that commonhold to another commonhold.  It appears that for this to happen the commonhold association that originally included the land in question would need to agree to remove the land from its commonhold, amend its commonhold community statement and memorandum and articles of association and register the change before the land in question could be included in a registration pertaining to the new commonhold.</w:t>
      </w:r>
    </w:p>
    <w:p w14:paraId="21F8B6AD" w14:textId="77777777" w:rsidR="00574383" w:rsidRDefault="00574383" w:rsidP="00574383">
      <w:pPr>
        <w:ind w:left="720" w:hanging="360"/>
        <w:rPr>
          <w:rFonts w:cs="Arial"/>
          <w:sz w:val="24"/>
          <w:szCs w:val="24"/>
        </w:rPr>
      </w:pPr>
    </w:p>
    <w:p w14:paraId="5D84DD7E" w14:textId="77777777" w:rsidR="00574383" w:rsidRDefault="00574383" w:rsidP="00574383">
      <w:pPr>
        <w:numPr>
          <w:ilvl w:val="0"/>
          <w:numId w:val="14"/>
        </w:numPr>
        <w:ind w:left="720"/>
        <w:rPr>
          <w:rFonts w:cs="Arial"/>
          <w:sz w:val="24"/>
          <w:szCs w:val="24"/>
        </w:rPr>
      </w:pPr>
      <w:r>
        <w:rPr>
          <w:rFonts w:cs="Arial"/>
          <w:sz w:val="24"/>
          <w:szCs w:val="24"/>
        </w:rPr>
        <w:t>Leasehold land - as mentioned already commonhold can only be registered on the basis of a freehold estate so commonhold cannot be established on land with a leasehold title.</w:t>
      </w:r>
    </w:p>
    <w:p w14:paraId="4D321D87" w14:textId="77777777" w:rsidR="00574383" w:rsidRDefault="00574383" w:rsidP="00574383">
      <w:pPr>
        <w:rPr>
          <w:rFonts w:cs="Arial"/>
          <w:sz w:val="24"/>
          <w:szCs w:val="24"/>
        </w:rPr>
      </w:pPr>
    </w:p>
    <w:p w14:paraId="16A391AC" w14:textId="77777777" w:rsidR="00574383" w:rsidRDefault="00574383" w:rsidP="00574383">
      <w:pPr>
        <w:numPr>
          <w:ilvl w:val="12"/>
          <w:numId w:val="0"/>
        </w:numPr>
        <w:rPr>
          <w:sz w:val="24"/>
        </w:rPr>
      </w:pPr>
    </w:p>
    <w:p w14:paraId="1C182DDB" w14:textId="77777777" w:rsidR="00574383" w:rsidRDefault="00574383" w:rsidP="00574383">
      <w:pPr>
        <w:pStyle w:val="cpe2"/>
        <w:numPr>
          <w:ilvl w:val="12"/>
          <w:numId w:val="0"/>
        </w:numPr>
        <w:rPr>
          <w:rFonts w:ascii="Arial" w:hAnsi="Arial"/>
        </w:rPr>
      </w:pPr>
      <w:r>
        <w:rPr>
          <w:b w:val="0"/>
          <w:sz w:val="24"/>
        </w:rPr>
        <w:br w:type="page"/>
      </w:r>
      <w:bookmarkStart w:id="121" w:name="_Toc348837258"/>
      <w:bookmarkStart w:id="122" w:name="_Toc350654828"/>
      <w:bookmarkStart w:id="123" w:name="_Toc350655007"/>
      <w:bookmarkStart w:id="124" w:name="_Toc367590939"/>
      <w:bookmarkStart w:id="125" w:name="_Toc367600899"/>
      <w:bookmarkStart w:id="126" w:name="_Toc461089946"/>
      <w:bookmarkStart w:id="127" w:name="_Toc14535545"/>
      <w:r>
        <w:rPr>
          <w:rFonts w:ascii="Arial" w:hAnsi="Arial"/>
        </w:rPr>
        <w:lastRenderedPageBreak/>
        <w:t>Easements</w:t>
      </w:r>
    </w:p>
    <w:p w14:paraId="66A3F124" w14:textId="77777777" w:rsidR="00574383" w:rsidRDefault="00574383" w:rsidP="00574383">
      <w:pPr>
        <w:numPr>
          <w:ilvl w:val="12"/>
          <w:numId w:val="0"/>
        </w:numPr>
        <w:rPr>
          <w:b/>
        </w:rPr>
      </w:pPr>
    </w:p>
    <w:p w14:paraId="3A66CFF7" w14:textId="77777777" w:rsidR="00574383" w:rsidRDefault="00574383" w:rsidP="00574383">
      <w:pPr>
        <w:pStyle w:val="cpe3"/>
        <w:numPr>
          <w:ilvl w:val="12"/>
          <w:numId w:val="0"/>
        </w:numPr>
        <w:rPr>
          <w:rFonts w:ascii="Arial" w:hAnsi="Arial"/>
        </w:rPr>
      </w:pPr>
      <w:r>
        <w:rPr>
          <w:rFonts w:ascii="Arial" w:hAnsi="Arial"/>
        </w:rPr>
        <w:t xml:space="preserve">What is an easement? </w:t>
      </w:r>
    </w:p>
    <w:p w14:paraId="15450110" w14:textId="77777777" w:rsidR="00574383" w:rsidRDefault="00574383" w:rsidP="00574383">
      <w:pPr>
        <w:pStyle w:val="cpe3"/>
        <w:numPr>
          <w:ilvl w:val="12"/>
          <w:numId w:val="0"/>
        </w:numPr>
        <w:rPr>
          <w:rFonts w:ascii="Arial" w:hAnsi="Arial"/>
        </w:rPr>
      </w:pPr>
    </w:p>
    <w:p w14:paraId="13467D7C" w14:textId="77777777" w:rsidR="00574383" w:rsidRDefault="00574383" w:rsidP="00574383">
      <w:pPr>
        <w:numPr>
          <w:ilvl w:val="12"/>
          <w:numId w:val="0"/>
        </w:numPr>
        <w:rPr>
          <w:sz w:val="24"/>
        </w:rPr>
      </w:pPr>
      <w:r>
        <w:rPr>
          <w:sz w:val="24"/>
        </w:rPr>
        <w:t xml:space="preserve">Put simply, an easement is a right over the land of another, to do a specified thing.  </w:t>
      </w:r>
    </w:p>
    <w:p w14:paraId="1248BA24" w14:textId="77777777" w:rsidR="00574383" w:rsidRDefault="00574383" w:rsidP="00574383">
      <w:pPr>
        <w:numPr>
          <w:ilvl w:val="12"/>
          <w:numId w:val="0"/>
        </w:numPr>
        <w:rPr>
          <w:sz w:val="24"/>
        </w:rPr>
      </w:pPr>
    </w:p>
    <w:p w14:paraId="0B19C47C" w14:textId="77777777" w:rsidR="00574383" w:rsidRDefault="00574383" w:rsidP="00574383">
      <w:pPr>
        <w:numPr>
          <w:ilvl w:val="12"/>
          <w:numId w:val="0"/>
        </w:numPr>
        <w:rPr>
          <w:sz w:val="24"/>
        </w:rPr>
      </w:pPr>
      <w:r>
        <w:rPr>
          <w:sz w:val="24"/>
        </w:rPr>
        <w:t xml:space="preserve">Do </w:t>
      </w:r>
      <w:r>
        <w:rPr>
          <w:sz w:val="24"/>
          <w:u w:val="single"/>
        </w:rPr>
        <w:t>not</w:t>
      </w:r>
      <w:r>
        <w:rPr>
          <w:sz w:val="24"/>
        </w:rPr>
        <w:t xml:space="preserve"> confuse it with a covenant, which is a restriction, obliging the owner of land to do or refrain from doing something.</w:t>
      </w:r>
    </w:p>
    <w:p w14:paraId="76936E82" w14:textId="77777777" w:rsidR="00574383" w:rsidRDefault="00574383" w:rsidP="00574383">
      <w:pPr>
        <w:numPr>
          <w:ilvl w:val="12"/>
          <w:numId w:val="0"/>
        </w:numPr>
        <w:rPr>
          <w:sz w:val="24"/>
        </w:rPr>
      </w:pPr>
    </w:p>
    <w:p w14:paraId="11036A8A" w14:textId="77777777" w:rsidR="00574383" w:rsidRDefault="00574383" w:rsidP="00574383">
      <w:pPr>
        <w:numPr>
          <w:ilvl w:val="12"/>
          <w:numId w:val="0"/>
        </w:numPr>
        <w:rPr>
          <w:sz w:val="24"/>
        </w:rPr>
      </w:pPr>
      <w:r>
        <w:rPr>
          <w:sz w:val="24"/>
        </w:rPr>
        <w:t xml:space="preserve">Easements are always enforceable between the grantor (the one whose land is being used) and grantee (the one using the right) as a matter of contract, but they can, if they satisfy the necessary criteria, be elevated to proprietary rights - that is, rights in land.  </w:t>
      </w:r>
    </w:p>
    <w:p w14:paraId="4B1AE69B" w14:textId="77777777" w:rsidR="00574383" w:rsidRDefault="00574383" w:rsidP="00574383">
      <w:pPr>
        <w:numPr>
          <w:ilvl w:val="12"/>
          <w:numId w:val="0"/>
        </w:numPr>
        <w:rPr>
          <w:sz w:val="24"/>
        </w:rPr>
      </w:pPr>
    </w:p>
    <w:p w14:paraId="620DA42B" w14:textId="77777777" w:rsidR="00574383" w:rsidRDefault="00574383" w:rsidP="00574383">
      <w:pPr>
        <w:numPr>
          <w:ilvl w:val="12"/>
          <w:numId w:val="0"/>
        </w:numPr>
        <w:rPr>
          <w:sz w:val="24"/>
        </w:rPr>
      </w:pPr>
      <w:r>
        <w:rPr>
          <w:sz w:val="24"/>
        </w:rPr>
        <w:t>Consequence:  transmissibility / enforceability against third parties.</w:t>
      </w:r>
    </w:p>
    <w:p w14:paraId="405FF9FC" w14:textId="77777777" w:rsidR="00574383" w:rsidRDefault="00574383" w:rsidP="00574383">
      <w:pPr>
        <w:numPr>
          <w:ilvl w:val="12"/>
          <w:numId w:val="0"/>
        </w:numPr>
        <w:rPr>
          <w:sz w:val="24"/>
        </w:rPr>
      </w:pPr>
    </w:p>
    <w:p w14:paraId="3D0615C2" w14:textId="77777777" w:rsidR="00574383" w:rsidRDefault="00574383" w:rsidP="00574383">
      <w:pPr>
        <w:numPr>
          <w:ilvl w:val="12"/>
          <w:numId w:val="0"/>
        </w:numPr>
        <w:rPr>
          <w:sz w:val="24"/>
        </w:rPr>
      </w:pPr>
      <w:r>
        <w:rPr>
          <w:sz w:val="24"/>
        </w:rPr>
        <w:t>BUT courts have been traditionally reluctant to view something as a binding right unless they had to.  This is because of the principle of free alienability of land.  The more a piece of land is burdened, the less it is likely to be saleable.</w:t>
      </w:r>
    </w:p>
    <w:p w14:paraId="2D7D8BD2" w14:textId="77777777" w:rsidR="00574383" w:rsidRDefault="00574383" w:rsidP="00574383">
      <w:pPr>
        <w:numPr>
          <w:ilvl w:val="12"/>
          <w:numId w:val="0"/>
        </w:numPr>
        <w:rPr>
          <w:sz w:val="24"/>
        </w:rPr>
      </w:pPr>
    </w:p>
    <w:p w14:paraId="4469B0AF" w14:textId="77777777" w:rsidR="00574383" w:rsidRDefault="00574383" w:rsidP="00574383">
      <w:pPr>
        <w:spacing w:after="240" w:line="225" w:lineRule="atLeast"/>
        <w:rPr>
          <w:rFonts w:cs="Arial"/>
          <w:color w:val="000000"/>
          <w:sz w:val="24"/>
          <w:szCs w:val="24"/>
          <w:lang w:eastAsia="en-GB"/>
        </w:rPr>
      </w:pPr>
      <w:r>
        <w:rPr>
          <w:sz w:val="24"/>
        </w:rPr>
        <w:t xml:space="preserve">Easements </w:t>
      </w:r>
      <w:r>
        <w:rPr>
          <w:rFonts w:cs="Arial"/>
          <w:color w:val="000000"/>
          <w:sz w:val="24"/>
          <w:szCs w:val="24"/>
          <w:lang w:eastAsia="en-GB"/>
        </w:rPr>
        <w:t xml:space="preserve">are either continuous or discontinuous.  They are also apparent or non-apparent.  </w:t>
      </w:r>
    </w:p>
    <w:p w14:paraId="25AC08A9" w14:textId="77777777" w:rsidR="00574383" w:rsidRDefault="00574383" w:rsidP="00574383">
      <w:pPr>
        <w:spacing w:after="240" w:line="225" w:lineRule="atLeast"/>
        <w:rPr>
          <w:rFonts w:cs="Arial"/>
          <w:color w:val="000000"/>
          <w:sz w:val="24"/>
          <w:szCs w:val="24"/>
          <w:lang w:eastAsia="en-GB"/>
        </w:rPr>
      </w:pPr>
      <w:r>
        <w:rPr>
          <w:rFonts w:cs="Arial"/>
          <w:color w:val="000000"/>
          <w:sz w:val="24"/>
          <w:szCs w:val="24"/>
          <w:lang w:eastAsia="en-GB"/>
        </w:rPr>
        <w:t>A continuous easement is one whose enjoyment is, or may be, continual without anybody taking any action, E.g. a right annexed to one house to receive light through its windows without obstruction by land next door. A discontinuous easement is one that needs action for its enjoyment, E.g. a right of way over one piece of land to get to another piece of land.</w:t>
      </w:r>
      <w:r>
        <w:rPr>
          <w:rFonts w:cs="Arial"/>
          <w:color w:val="000000"/>
          <w:sz w:val="24"/>
          <w:szCs w:val="24"/>
          <w:lang w:eastAsia="en-GB"/>
        </w:rPr>
        <w:br/>
      </w:r>
      <w:r>
        <w:rPr>
          <w:rFonts w:cs="Arial"/>
          <w:color w:val="000000"/>
          <w:sz w:val="24"/>
          <w:szCs w:val="24"/>
          <w:lang w:eastAsia="en-GB"/>
        </w:rPr>
        <w:br/>
        <w:t>An apparent easement is one the existence of which is shown by some permanent sign which, upon careful inspection by a competent person, would be visible to him, E.g. a right to lay and use a drain as the drain could be located. A non-apparent easement is one that has no such sign.</w:t>
      </w:r>
    </w:p>
    <w:p w14:paraId="53D50220" w14:textId="77777777" w:rsidR="00574383" w:rsidRDefault="00574383" w:rsidP="00574383">
      <w:pPr>
        <w:numPr>
          <w:ilvl w:val="12"/>
          <w:numId w:val="0"/>
        </w:numPr>
        <w:tabs>
          <w:tab w:val="left" w:pos="2160"/>
        </w:tabs>
        <w:ind w:left="2520" w:hanging="2520"/>
        <w:rPr>
          <w:sz w:val="24"/>
        </w:rPr>
      </w:pPr>
      <w:r>
        <w:rPr>
          <w:sz w:val="24"/>
        </w:rPr>
        <w:t>Examples of easements decided by the courts include:</w:t>
      </w:r>
    </w:p>
    <w:p w14:paraId="2DBF7173" w14:textId="77777777" w:rsidR="00574383" w:rsidRDefault="00574383" w:rsidP="00574383">
      <w:pPr>
        <w:numPr>
          <w:ilvl w:val="12"/>
          <w:numId w:val="0"/>
        </w:numPr>
        <w:tabs>
          <w:tab w:val="left" w:pos="2160"/>
        </w:tabs>
        <w:ind w:left="2520" w:hanging="2520"/>
        <w:rPr>
          <w:sz w:val="24"/>
        </w:rPr>
      </w:pPr>
    </w:p>
    <w:p w14:paraId="24700ADE" w14:textId="77777777" w:rsidR="00574383" w:rsidRDefault="00574383" w:rsidP="00574383">
      <w:pPr>
        <w:numPr>
          <w:ilvl w:val="12"/>
          <w:numId w:val="0"/>
        </w:numPr>
        <w:rPr>
          <w:sz w:val="24"/>
        </w:rPr>
      </w:pPr>
      <w:r>
        <w:rPr>
          <w:sz w:val="24"/>
        </w:rPr>
        <w:t xml:space="preserve">a) right of way - </w:t>
      </w:r>
      <w:proofErr w:type="spellStart"/>
      <w:r>
        <w:rPr>
          <w:b/>
          <w:i/>
          <w:sz w:val="24"/>
        </w:rPr>
        <w:t>Jalnarne</w:t>
      </w:r>
      <w:proofErr w:type="spellEnd"/>
      <w:r>
        <w:rPr>
          <w:b/>
          <w:i/>
          <w:sz w:val="24"/>
        </w:rPr>
        <w:t xml:space="preserve"> Ltd v </w:t>
      </w:r>
      <w:proofErr w:type="spellStart"/>
      <w:r>
        <w:rPr>
          <w:b/>
          <w:i/>
          <w:sz w:val="24"/>
        </w:rPr>
        <w:t>Ridewood</w:t>
      </w:r>
      <w:proofErr w:type="spellEnd"/>
      <w:r>
        <w:rPr>
          <w:b/>
          <w:i/>
          <w:sz w:val="24"/>
        </w:rPr>
        <w:t xml:space="preserve"> </w:t>
      </w:r>
      <w:r>
        <w:rPr>
          <w:sz w:val="24"/>
        </w:rPr>
        <w:t>[1989] P&amp; CR 143;</w:t>
      </w:r>
    </w:p>
    <w:p w14:paraId="795DA210" w14:textId="77777777" w:rsidR="00574383" w:rsidRDefault="00574383" w:rsidP="00574383">
      <w:pPr>
        <w:numPr>
          <w:ilvl w:val="12"/>
          <w:numId w:val="0"/>
        </w:numPr>
        <w:rPr>
          <w:sz w:val="24"/>
        </w:rPr>
      </w:pPr>
    </w:p>
    <w:p w14:paraId="181F4197" w14:textId="77777777" w:rsidR="00574383" w:rsidRDefault="00574383" w:rsidP="00574383">
      <w:pPr>
        <w:numPr>
          <w:ilvl w:val="12"/>
          <w:numId w:val="0"/>
        </w:numPr>
        <w:rPr>
          <w:sz w:val="24"/>
        </w:rPr>
      </w:pPr>
      <w:r>
        <w:rPr>
          <w:sz w:val="24"/>
        </w:rPr>
        <w:t xml:space="preserve">b) right of support - but note no right to protection from the weather - </w:t>
      </w:r>
      <w:r>
        <w:rPr>
          <w:b/>
          <w:i/>
          <w:sz w:val="24"/>
        </w:rPr>
        <w:t>Phipps v Pears</w:t>
      </w:r>
      <w:r>
        <w:rPr>
          <w:sz w:val="24"/>
        </w:rPr>
        <w:t xml:space="preserve"> [1965] 1 QB 56;</w:t>
      </w:r>
    </w:p>
    <w:p w14:paraId="0224086A" w14:textId="77777777" w:rsidR="00574383" w:rsidRDefault="00574383" w:rsidP="00574383">
      <w:pPr>
        <w:numPr>
          <w:ilvl w:val="12"/>
          <w:numId w:val="0"/>
        </w:numPr>
        <w:rPr>
          <w:sz w:val="24"/>
        </w:rPr>
      </w:pPr>
    </w:p>
    <w:p w14:paraId="3B6373B8" w14:textId="77777777" w:rsidR="00574383" w:rsidRDefault="00574383" w:rsidP="00574383">
      <w:pPr>
        <w:numPr>
          <w:ilvl w:val="12"/>
          <w:numId w:val="0"/>
        </w:numPr>
        <w:rPr>
          <w:sz w:val="24"/>
        </w:rPr>
      </w:pPr>
      <w:r>
        <w:rPr>
          <w:sz w:val="24"/>
        </w:rPr>
        <w:t xml:space="preserve">c) right to passage of air through defined channel - </w:t>
      </w:r>
      <w:r>
        <w:rPr>
          <w:b/>
          <w:i/>
          <w:sz w:val="24"/>
        </w:rPr>
        <w:t>Wong v Beaumont Property Trust Ltd</w:t>
      </w:r>
      <w:r>
        <w:rPr>
          <w:sz w:val="24"/>
        </w:rPr>
        <w:t xml:space="preserve"> [1965] 1 QB 173;</w:t>
      </w:r>
    </w:p>
    <w:p w14:paraId="715B2FF0" w14:textId="77777777" w:rsidR="00574383" w:rsidRDefault="00574383" w:rsidP="00574383">
      <w:pPr>
        <w:numPr>
          <w:ilvl w:val="12"/>
          <w:numId w:val="0"/>
        </w:numPr>
        <w:rPr>
          <w:sz w:val="24"/>
        </w:rPr>
      </w:pPr>
    </w:p>
    <w:p w14:paraId="524AEFB7" w14:textId="77777777" w:rsidR="00574383" w:rsidRDefault="00574383" w:rsidP="00574383">
      <w:pPr>
        <w:numPr>
          <w:ilvl w:val="12"/>
          <w:numId w:val="0"/>
        </w:numPr>
        <w:rPr>
          <w:sz w:val="24"/>
          <w:szCs w:val="24"/>
        </w:rPr>
      </w:pPr>
      <w:r>
        <w:rPr>
          <w:sz w:val="24"/>
        </w:rPr>
        <w:t xml:space="preserve">d) right to park </w:t>
      </w:r>
      <w:r>
        <w:rPr>
          <w:sz w:val="24"/>
          <w:szCs w:val="24"/>
        </w:rPr>
        <w:t xml:space="preserve">- </w:t>
      </w:r>
      <w:r>
        <w:rPr>
          <w:b/>
          <w:i/>
          <w:sz w:val="24"/>
          <w:szCs w:val="24"/>
        </w:rPr>
        <w:t>Batchelor v Marlow</w:t>
      </w:r>
      <w:r>
        <w:rPr>
          <w:sz w:val="24"/>
          <w:szCs w:val="24"/>
        </w:rPr>
        <w:t xml:space="preserve"> [2003] 1 WLR 764</w:t>
      </w:r>
    </w:p>
    <w:p w14:paraId="1FDB1E1E" w14:textId="77777777" w:rsidR="00574383" w:rsidRDefault="00574383" w:rsidP="00574383">
      <w:pPr>
        <w:numPr>
          <w:ilvl w:val="12"/>
          <w:numId w:val="0"/>
        </w:numPr>
        <w:rPr>
          <w:sz w:val="24"/>
        </w:rPr>
      </w:pPr>
    </w:p>
    <w:p w14:paraId="341F282F" w14:textId="77777777" w:rsidR="00574383" w:rsidRDefault="00574383" w:rsidP="00574383">
      <w:pPr>
        <w:numPr>
          <w:ilvl w:val="12"/>
          <w:numId w:val="0"/>
        </w:numPr>
        <w:rPr>
          <w:sz w:val="24"/>
        </w:rPr>
      </w:pPr>
      <w:r>
        <w:rPr>
          <w:sz w:val="24"/>
        </w:rPr>
        <w:t xml:space="preserve">e) right of storage - </w:t>
      </w:r>
      <w:r>
        <w:rPr>
          <w:b/>
          <w:i/>
          <w:sz w:val="24"/>
        </w:rPr>
        <w:t>Wright v Macadam</w:t>
      </w:r>
      <w:r>
        <w:rPr>
          <w:sz w:val="24"/>
        </w:rPr>
        <w:t xml:space="preserve"> [1949] 2 KB 744 but see also </w:t>
      </w:r>
      <w:r>
        <w:rPr>
          <w:b/>
          <w:i/>
          <w:sz w:val="24"/>
        </w:rPr>
        <w:t xml:space="preserve">Copeland v </w:t>
      </w:r>
      <w:proofErr w:type="spellStart"/>
      <w:r>
        <w:rPr>
          <w:b/>
          <w:i/>
          <w:sz w:val="24"/>
        </w:rPr>
        <w:t>Greenhalf</w:t>
      </w:r>
      <w:proofErr w:type="spellEnd"/>
      <w:r>
        <w:rPr>
          <w:sz w:val="24"/>
        </w:rPr>
        <w:t xml:space="preserve"> [1952] 1 Ch 488;</w:t>
      </w:r>
    </w:p>
    <w:p w14:paraId="2A557143" w14:textId="77777777" w:rsidR="00574383" w:rsidRDefault="00574383" w:rsidP="00574383">
      <w:pPr>
        <w:numPr>
          <w:ilvl w:val="12"/>
          <w:numId w:val="0"/>
        </w:numPr>
        <w:rPr>
          <w:sz w:val="24"/>
        </w:rPr>
      </w:pPr>
    </w:p>
    <w:p w14:paraId="2AE6D72E" w14:textId="77777777" w:rsidR="00574383" w:rsidRDefault="00574383" w:rsidP="00574383">
      <w:pPr>
        <w:numPr>
          <w:ilvl w:val="12"/>
          <w:numId w:val="0"/>
        </w:numPr>
        <w:rPr>
          <w:sz w:val="24"/>
        </w:rPr>
      </w:pPr>
      <w:r>
        <w:rPr>
          <w:sz w:val="24"/>
        </w:rPr>
        <w:t xml:space="preserve">f) right to use a letter box - </w:t>
      </w:r>
      <w:r>
        <w:rPr>
          <w:b/>
          <w:i/>
          <w:sz w:val="24"/>
        </w:rPr>
        <w:t>Goldberg v Edwards</w:t>
      </w:r>
      <w:r>
        <w:rPr>
          <w:sz w:val="24"/>
        </w:rPr>
        <w:t xml:space="preserve"> [1950] Ch 247;</w:t>
      </w:r>
    </w:p>
    <w:p w14:paraId="74D9D042" w14:textId="77777777" w:rsidR="00574383" w:rsidRDefault="00574383" w:rsidP="00574383">
      <w:pPr>
        <w:numPr>
          <w:ilvl w:val="12"/>
          <w:numId w:val="0"/>
        </w:numPr>
        <w:rPr>
          <w:sz w:val="24"/>
        </w:rPr>
      </w:pPr>
    </w:p>
    <w:p w14:paraId="631757EE" w14:textId="77777777" w:rsidR="00574383" w:rsidRDefault="00574383" w:rsidP="00574383">
      <w:pPr>
        <w:numPr>
          <w:ilvl w:val="12"/>
          <w:numId w:val="0"/>
        </w:numPr>
        <w:rPr>
          <w:sz w:val="24"/>
        </w:rPr>
      </w:pPr>
      <w:r>
        <w:rPr>
          <w:sz w:val="24"/>
        </w:rPr>
        <w:t xml:space="preserve">g)  right to use a lavatory - </w:t>
      </w:r>
      <w:r>
        <w:rPr>
          <w:b/>
          <w:i/>
          <w:sz w:val="24"/>
        </w:rPr>
        <w:t xml:space="preserve">Miller v </w:t>
      </w:r>
      <w:proofErr w:type="spellStart"/>
      <w:r>
        <w:rPr>
          <w:b/>
          <w:i/>
          <w:sz w:val="24"/>
        </w:rPr>
        <w:t>Emcer</w:t>
      </w:r>
      <w:proofErr w:type="spellEnd"/>
      <w:r>
        <w:rPr>
          <w:b/>
          <w:i/>
          <w:sz w:val="24"/>
        </w:rPr>
        <w:t xml:space="preserve"> Products</w:t>
      </w:r>
      <w:r>
        <w:rPr>
          <w:sz w:val="24"/>
        </w:rPr>
        <w:t xml:space="preserve"> [1956] Ch 304.</w:t>
      </w:r>
    </w:p>
    <w:p w14:paraId="11952B4B" w14:textId="77777777" w:rsidR="00574383" w:rsidRDefault="00574383" w:rsidP="00574383">
      <w:pPr>
        <w:numPr>
          <w:ilvl w:val="12"/>
          <w:numId w:val="0"/>
        </w:numPr>
        <w:rPr>
          <w:sz w:val="24"/>
        </w:rPr>
      </w:pPr>
    </w:p>
    <w:p w14:paraId="22AA89F4" w14:textId="77777777" w:rsidR="00574383" w:rsidRDefault="00574383" w:rsidP="00574383">
      <w:pPr>
        <w:numPr>
          <w:ilvl w:val="12"/>
          <w:numId w:val="0"/>
        </w:numPr>
        <w:rPr>
          <w:sz w:val="24"/>
        </w:rPr>
      </w:pPr>
      <w:r>
        <w:rPr>
          <w:sz w:val="24"/>
        </w:rPr>
        <w:t>So, to qualify as an easement and, therefore, be a right in land, a right must satisfy fairly narrow requirements.</w:t>
      </w:r>
    </w:p>
    <w:p w14:paraId="037B27D7" w14:textId="77777777" w:rsidR="00574383" w:rsidRDefault="00574383" w:rsidP="00574383">
      <w:pPr>
        <w:numPr>
          <w:ilvl w:val="12"/>
          <w:numId w:val="0"/>
        </w:numPr>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74383" w14:paraId="37CE0EA9" w14:textId="77777777">
        <w:tc>
          <w:tcPr>
            <w:tcW w:w="10031" w:type="dxa"/>
            <w:tcBorders>
              <w:top w:val="single" w:sz="4" w:space="0" w:color="auto"/>
              <w:left w:val="single" w:sz="4" w:space="0" w:color="auto"/>
              <w:bottom w:val="single" w:sz="4" w:space="0" w:color="auto"/>
              <w:right w:val="single" w:sz="4" w:space="0" w:color="auto"/>
            </w:tcBorders>
          </w:tcPr>
          <w:p w14:paraId="26B4208C" w14:textId="77777777" w:rsidR="00574383" w:rsidRDefault="00574383">
            <w:pPr>
              <w:numPr>
                <w:ilvl w:val="12"/>
                <w:numId w:val="0"/>
              </w:numPr>
              <w:rPr>
                <w:sz w:val="24"/>
              </w:rPr>
            </w:pPr>
          </w:p>
          <w:p w14:paraId="67517299" w14:textId="77777777" w:rsidR="00574383" w:rsidRDefault="00574383">
            <w:pPr>
              <w:numPr>
                <w:ilvl w:val="12"/>
                <w:numId w:val="0"/>
              </w:numPr>
              <w:rPr>
                <w:sz w:val="24"/>
              </w:rPr>
            </w:pPr>
            <w:r>
              <w:rPr>
                <w:sz w:val="24"/>
              </w:rPr>
              <w:t xml:space="preserve">To answer any easements question in an examination is a two stage process:  </w:t>
            </w:r>
          </w:p>
          <w:p w14:paraId="3AA64C52" w14:textId="77777777" w:rsidR="00574383" w:rsidRDefault="00574383">
            <w:pPr>
              <w:numPr>
                <w:ilvl w:val="12"/>
                <w:numId w:val="0"/>
              </w:numPr>
              <w:rPr>
                <w:sz w:val="24"/>
              </w:rPr>
            </w:pPr>
          </w:p>
          <w:p w14:paraId="18CABF7B" w14:textId="77777777" w:rsidR="00574383" w:rsidRDefault="00574383">
            <w:pPr>
              <w:numPr>
                <w:ilvl w:val="12"/>
                <w:numId w:val="0"/>
              </w:numPr>
              <w:rPr>
                <w:sz w:val="24"/>
              </w:rPr>
            </w:pPr>
            <w:r>
              <w:rPr>
                <w:sz w:val="24"/>
              </w:rPr>
              <w:t xml:space="preserve">Firstly consider, is the right in question capable of being an easement?  To do this, follow the rules in </w:t>
            </w:r>
            <w:r>
              <w:rPr>
                <w:b/>
                <w:i/>
                <w:sz w:val="24"/>
              </w:rPr>
              <w:t>Re Ellenborough Park</w:t>
            </w:r>
            <w:r>
              <w:rPr>
                <w:sz w:val="24"/>
              </w:rPr>
              <w:t>; and</w:t>
            </w:r>
          </w:p>
          <w:p w14:paraId="3520956B" w14:textId="77777777" w:rsidR="00574383" w:rsidRDefault="00574383">
            <w:pPr>
              <w:numPr>
                <w:ilvl w:val="12"/>
                <w:numId w:val="0"/>
              </w:numPr>
              <w:rPr>
                <w:sz w:val="24"/>
              </w:rPr>
            </w:pPr>
          </w:p>
          <w:p w14:paraId="3E110B81" w14:textId="77777777" w:rsidR="00574383" w:rsidRDefault="00574383">
            <w:pPr>
              <w:numPr>
                <w:ilvl w:val="12"/>
                <w:numId w:val="0"/>
              </w:numPr>
              <w:rPr>
                <w:sz w:val="24"/>
              </w:rPr>
            </w:pPr>
            <w:r>
              <w:rPr>
                <w:sz w:val="24"/>
              </w:rPr>
              <w:t xml:space="preserve">Secondly consider, has it been acquired?  </w:t>
            </w:r>
          </w:p>
          <w:p w14:paraId="2EF32157" w14:textId="77777777" w:rsidR="00574383" w:rsidRDefault="00574383">
            <w:pPr>
              <w:numPr>
                <w:ilvl w:val="12"/>
                <w:numId w:val="0"/>
              </w:numPr>
              <w:rPr>
                <w:sz w:val="24"/>
              </w:rPr>
            </w:pPr>
          </w:p>
          <w:p w14:paraId="4052D967" w14:textId="77777777" w:rsidR="00574383" w:rsidRDefault="00574383">
            <w:pPr>
              <w:numPr>
                <w:ilvl w:val="12"/>
                <w:numId w:val="0"/>
              </w:numPr>
              <w:rPr>
                <w:sz w:val="24"/>
              </w:rPr>
            </w:pPr>
            <w:r>
              <w:rPr>
                <w:sz w:val="24"/>
              </w:rPr>
              <w:t>To decide this, follow the rules set out below.</w:t>
            </w:r>
          </w:p>
          <w:p w14:paraId="456B133E" w14:textId="77777777" w:rsidR="00574383" w:rsidRDefault="00574383">
            <w:pPr>
              <w:numPr>
                <w:ilvl w:val="12"/>
                <w:numId w:val="0"/>
              </w:numPr>
              <w:rPr>
                <w:sz w:val="24"/>
              </w:rPr>
            </w:pPr>
          </w:p>
        </w:tc>
      </w:tr>
    </w:tbl>
    <w:p w14:paraId="77153AC3" w14:textId="77777777" w:rsidR="00574383" w:rsidRDefault="00574383" w:rsidP="00574383">
      <w:pPr>
        <w:numPr>
          <w:ilvl w:val="12"/>
          <w:numId w:val="0"/>
        </w:numPr>
        <w:rPr>
          <w:sz w:val="24"/>
        </w:rPr>
      </w:pPr>
    </w:p>
    <w:p w14:paraId="047C5516" w14:textId="77777777" w:rsidR="00574383" w:rsidRDefault="00574383" w:rsidP="00574383">
      <w:pPr>
        <w:pStyle w:val="cpe3"/>
        <w:numPr>
          <w:ilvl w:val="12"/>
          <w:numId w:val="0"/>
        </w:numPr>
        <w:rPr>
          <w:rFonts w:ascii="Arial" w:hAnsi="Arial"/>
        </w:rPr>
      </w:pPr>
      <w:r>
        <w:rPr>
          <w:rFonts w:ascii="Arial" w:hAnsi="Arial"/>
        </w:rPr>
        <w:t xml:space="preserve">Requirements of an easement </w:t>
      </w:r>
    </w:p>
    <w:p w14:paraId="30D8E56A" w14:textId="77777777" w:rsidR="00574383" w:rsidRDefault="00574383" w:rsidP="00574383">
      <w:pPr>
        <w:numPr>
          <w:ilvl w:val="12"/>
          <w:numId w:val="0"/>
        </w:numPr>
        <w:rPr>
          <w:sz w:val="24"/>
        </w:rPr>
      </w:pPr>
    </w:p>
    <w:p w14:paraId="0BE5E4BC" w14:textId="77777777" w:rsidR="00574383" w:rsidRDefault="00574383" w:rsidP="00574383">
      <w:pPr>
        <w:numPr>
          <w:ilvl w:val="12"/>
          <w:numId w:val="0"/>
        </w:numPr>
        <w:rPr>
          <w:sz w:val="24"/>
        </w:rPr>
      </w:pPr>
      <w:r>
        <w:rPr>
          <w:sz w:val="24"/>
        </w:rPr>
        <w:t xml:space="preserve">These were laid down by </w:t>
      </w:r>
      <w:proofErr w:type="spellStart"/>
      <w:r>
        <w:rPr>
          <w:sz w:val="24"/>
        </w:rPr>
        <w:t>Danckwerts</w:t>
      </w:r>
      <w:proofErr w:type="spellEnd"/>
      <w:r>
        <w:rPr>
          <w:sz w:val="24"/>
        </w:rPr>
        <w:t xml:space="preserve"> LJ in </w:t>
      </w:r>
      <w:r>
        <w:rPr>
          <w:b/>
          <w:i/>
          <w:sz w:val="24"/>
        </w:rPr>
        <w:t>Re Ellenborough Park</w:t>
      </w:r>
      <w:r>
        <w:rPr>
          <w:sz w:val="24"/>
        </w:rPr>
        <w:t xml:space="preserve"> [1956] Ch 131.</w:t>
      </w:r>
    </w:p>
    <w:p w14:paraId="0D84AFE1" w14:textId="77777777" w:rsidR="00574383" w:rsidRDefault="00574383" w:rsidP="00574383">
      <w:pPr>
        <w:numPr>
          <w:ilvl w:val="12"/>
          <w:numId w:val="0"/>
        </w:numPr>
        <w:rPr>
          <w:sz w:val="24"/>
          <w:u w:val="single"/>
        </w:rPr>
      </w:pPr>
    </w:p>
    <w:p w14:paraId="365C0B54" w14:textId="77777777" w:rsidR="00574383" w:rsidRDefault="00574383" w:rsidP="00574383">
      <w:pPr>
        <w:numPr>
          <w:ilvl w:val="12"/>
          <w:numId w:val="0"/>
        </w:numPr>
        <w:rPr>
          <w:b/>
          <w:sz w:val="24"/>
        </w:rPr>
      </w:pPr>
      <w:r>
        <w:rPr>
          <w:b/>
          <w:sz w:val="24"/>
        </w:rPr>
        <w:t xml:space="preserve">1) </w:t>
      </w:r>
      <w:r>
        <w:rPr>
          <w:b/>
          <w:sz w:val="24"/>
          <w:u w:val="single"/>
        </w:rPr>
        <w:t>There must be a dominant and a servient tenement</w:t>
      </w:r>
    </w:p>
    <w:p w14:paraId="042B5F06" w14:textId="77777777" w:rsidR="00574383" w:rsidRDefault="00574383" w:rsidP="00574383">
      <w:pPr>
        <w:numPr>
          <w:ilvl w:val="12"/>
          <w:numId w:val="0"/>
        </w:numPr>
        <w:rPr>
          <w:sz w:val="24"/>
        </w:rPr>
      </w:pPr>
    </w:p>
    <w:p w14:paraId="0EE923ED" w14:textId="77777777" w:rsidR="00574383" w:rsidRDefault="00574383" w:rsidP="00574383">
      <w:pPr>
        <w:numPr>
          <w:ilvl w:val="12"/>
          <w:numId w:val="0"/>
        </w:numPr>
        <w:rPr>
          <w:sz w:val="24"/>
        </w:rPr>
      </w:pPr>
      <w:r>
        <w:rPr>
          <w:sz w:val="24"/>
        </w:rPr>
        <w:t xml:space="preserve">Put another way, there must be two clearly defined / definable parcels of land, one capable of benefiting from the easement and the other of carrying the burden of the easement.  </w:t>
      </w:r>
    </w:p>
    <w:p w14:paraId="2113FE29" w14:textId="77777777" w:rsidR="00574383" w:rsidRDefault="00574383" w:rsidP="00574383">
      <w:pPr>
        <w:numPr>
          <w:ilvl w:val="12"/>
          <w:numId w:val="0"/>
        </w:numPr>
        <w:rPr>
          <w:sz w:val="24"/>
        </w:rPr>
      </w:pPr>
    </w:p>
    <w:p w14:paraId="170A342D" w14:textId="77777777" w:rsidR="00574383" w:rsidRDefault="00574383" w:rsidP="00574383">
      <w:pPr>
        <w:numPr>
          <w:ilvl w:val="12"/>
          <w:numId w:val="0"/>
        </w:numPr>
        <w:rPr>
          <w:sz w:val="24"/>
        </w:rPr>
      </w:pPr>
      <w:r>
        <w:rPr>
          <w:sz w:val="24"/>
        </w:rPr>
        <w:t xml:space="preserve">Per </w:t>
      </w:r>
      <w:proofErr w:type="spellStart"/>
      <w:r>
        <w:rPr>
          <w:sz w:val="24"/>
        </w:rPr>
        <w:t>Cresswell</w:t>
      </w:r>
      <w:proofErr w:type="spellEnd"/>
      <w:r>
        <w:rPr>
          <w:sz w:val="24"/>
        </w:rPr>
        <w:t xml:space="preserve"> J in </w:t>
      </w:r>
      <w:r>
        <w:rPr>
          <w:b/>
          <w:i/>
          <w:sz w:val="24"/>
        </w:rPr>
        <w:t>Ackroyd v Smith</w:t>
      </w:r>
      <w:r>
        <w:rPr>
          <w:sz w:val="24"/>
        </w:rPr>
        <w:t xml:space="preserve"> [1850] 10 CB 164, an easement cannot exist “in gross”</w:t>
      </w:r>
    </w:p>
    <w:p w14:paraId="7D806E8C" w14:textId="77777777" w:rsidR="00574383" w:rsidRDefault="00574383" w:rsidP="00574383">
      <w:pPr>
        <w:numPr>
          <w:ilvl w:val="12"/>
          <w:numId w:val="0"/>
        </w:numPr>
        <w:rPr>
          <w:sz w:val="24"/>
        </w:rPr>
      </w:pPr>
      <w:r>
        <w:rPr>
          <w:sz w:val="24"/>
        </w:rPr>
        <w:t xml:space="preserve">(note however rights granted by statute to, E.g., public utilities). </w:t>
      </w:r>
    </w:p>
    <w:p w14:paraId="431DE6A6" w14:textId="77777777" w:rsidR="00574383" w:rsidRDefault="00574383" w:rsidP="00574383">
      <w:pPr>
        <w:numPr>
          <w:ilvl w:val="12"/>
          <w:numId w:val="0"/>
        </w:numPr>
        <w:rPr>
          <w:sz w:val="24"/>
        </w:rPr>
      </w:pPr>
    </w:p>
    <w:p w14:paraId="6D263675" w14:textId="77777777" w:rsidR="00574383" w:rsidRDefault="00574383" w:rsidP="00574383">
      <w:pPr>
        <w:numPr>
          <w:ilvl w:val="12"/>
          <w:numId w:val="0"/>
        </w:numPr>
        <w:rPr>
          <w:sz w:val="24"/>
        </w:rPr>
      </w:pPr>
      <w:r>
        <w:rPr>
          <w:sz w:val="24"/>
        </w:rPr>
        <w:t xml:space="preserve">In </w:t>
      </w:r>
      <w:r>
        <w:rPr>
          <w:b/>
          <w:i/>
          <w:sz w:val="24"/>
        </w:rPr>
        <w:t>London and Blenheim Estates Ltd v Ladbroke Retail Parks Ltd</w:t>
      </w:r>
      <w:r>
        <w:rPr>
          <w:sz w:val="24"/>
        </w:rPr>
        <w:t xml:space="preserve"> [1993] 4 All ER 157, the Court of Appeal stated that an easement cannot be created where the dominant land is not clearly identified.  This was a case relating to the purported grant of an easement to park cars on an unspecified area of land.</w:t>
      </w:r>
    </w:p>
    <w:p w14:paraId="6E0423A2" w14:textId="77777777" w:rsidR="00574383" w:rsidRDefault="00574383" w:rsidP="00574383">
      <w:pPr>
        <w:numPr>
          <w:ilvl w:val="12"/>
          <w:numId w:val="0"/>
        </w:numPr>
        <w:rPr>
          <w:sz w:val="24"/>
          <w:u w:val="single"/>
        </w:rPr>
      </w:pPr>
    </w:p>
    <w:p w14:paraId="2FD7E4E1" w14:textId="77777777" w:rsidR="00574383" w:rsidRDefault="00574383" w:rsidP="00574383">
      <w:pPr>
        <w:numPr>
          <w:ilvl w:val="12"/>
          <w:numId w:val="0"/>
        </w:numPr>
        <w:rPr>
          <w:b/>
          <w:sz w:val="24"/>
        </w:rPr>
      </w:pPr>
      <w:r>
        <w:rPr>
          <w:b/>
          <w:sz w:val="24"/>
        </w:rPr>
        <w:t xml:space="preserve">2) </w:t>
      </w:r>
      <w:r>
        <w:rPr>
          <w:b/>
          <w:sz w:val="24"/>
          <w:u w:val="single"/>
        </w:rPr>
        <w:t>The easement must “accommodate” the dominant tenement</w:t>
      </w:r>
    </w:p>
    <w:p w14:paraId="08745C4A" w14:textId="77777777" w:rsidR="00574383" w:rsidRDefault="00574383" w:rsidP="00574383">
      <w:pPr>
        <w:numPr>
          <w:ilvl w:val="12"/>
          <w:numId w:val="0"/>
        </w:numPr>
        <w:rPr>
          <w:b/>
          <w:sz w:val="24"/>
        </w:rPr>
      </w:pPr>
    </w:p>
    <w:p w14:paraId="73054079" w14:textId="77777777" w:rsidR="00574383" w:rsidRDefault="00574383" w:rsidP="00574383">
      <w:pPr>
        <w:numPr>
          <w:ilvl w:val="12"/>
          <w:numId w:val="0"/>
        </w:numPr>
        <w:rPr>
          <w:sz w:val="24"/>
        </w:rPr>
      </w:pPr>
      <w:r>
        <w:rPr>
          <w:sz w:val="24"/>
        </w:rPr>
        <w:t xml:space="preserve">So, the right must benefit the dominant </w:t>
      </w:r>
      <w:r>
        <w:rPr>
          <w:sz w:val="24"/>
          <w:u w:val="single"/>
        </w:rPr>
        <w:t>land</w:t>
      </w:r>
      <w:r>
        <w:rPr>
          <w:sz w:val="24"/>
        </w:rPr>
        <w:t xml:space="preserve">, not just the owner of the land.  </w:t>
      </w:r>
    </w:p>
    <w:p w14:paraId="2B8747A3" w14:textId="77777777" w:rsidR="00574383" w:rsidRDefault="00574383" w:rsidP="00574383">
      <w:pPr>
        <w:numPr>
          <w:ilvl w:val="12"/>
          <w:numId w:val="0"/>
        </w:numPr>
        <w:rPr>
          <w:sz w:val="24"/>
        </w:rPr>
      </w:pPr>
    </w:p>
    <w:p w14:paraId="7FD3FE6B" w14:textId="77777777" w:rsidR="00574383" w:rsidRDefault="00574383" w:rsidP="00574383">
      <w:pPr>
        <w:numPr>
          <w:ilvl w:val="12"/>
          <w:numId w:val="0"/>
        </w:numPr>
        <w:rPr>
          <w:sz w:val="24"/>
        </w:rPr>
      </w:pPr>
      <w:r>
        <w:rPr>
          <w:sz w:val="24"/>
        </w:rPr>
        <w:t xml:space="preserve">See </w:t>
      </w:r>
      <w:r>
        <w:rPr>
          <w:b/>
          <w:i/>
          <w:sz w:val="24"/>
        </w:rPr>
        <w:t>Hill v Tupper</w:t>
      </w:r>
      <w:r>
        <w:rPr>
          <w:sz w:val="24"/>
        </w:rPr>
        <w:t xml:space="preserve"> [1863] 2 H&amp;C 121, where, Hill was granted a right to hire out pleasure boats from a designated stretch of canal bank, and subsequently tried to stop another entrepreneur doing the same.  </w:t>
      </w:r>
    </w:p>
    <w:p w14:paraId="02D456A5" w14:textId="77777777" w:rsidR="00574383" w:rsidRDefault="00574383" w:rsidP="00574383">
      <w:pPr>
        <w:numPr>
          <w:ilvl w:val="12"/>
          <w:numId w:val="0"/>
        </w:numPr>
        <w:rPr>
          <w:sz w:val="24"/>
        </w:rPr>
      </w:pPr>
    </w:p>
    <w:p w14:paraId="270CB084" w14:textId="77777777" w:rsidR="00574383" w:rsidRDefault="00574383" w:rsidP="00574383">
      <w:pPr>
        <w:numPr>
          <w:ilvl w:val="12"/>
          <w:numId w:val="0"/>
        </w:numPr>
        <w:rPr>
          <w:sz w:val="24"/>
        </w:rPr>
      </w:pPr>
      <w:r>
        <w:rPr>
          <w:sz w:val="24"/>
        </w:rPr>
        <w:t>Held:  The right benefited Hill personally only, and so could not be an easement.</w:t>
      </w:r>
    </w:p>
    <w:p w14:paraId="2CDC70C1" w14:textId="77777777" w:rsidR="00574383" w:rsidRDefault="00574383" w:rsidP="00574383">
      <w:pPr>
        <w:numPr>
          <w:ilvl w:val="12"/>
          <w:numId w:val="0"/>
        </w:numPr>
        <w:rPr>
          <w:sz w:val="24"/>
        </w:rPr>
      </w:pPr>
    </w:p>
    <w:p w14:paraId="1FDE5A75" w14:textId="77777777" w:rsidR="00574383" w:rsidRDefault="00574383" w:rsidP="00574383">
      <w:pPr>
        <w:numPr>
          <w:ilvl w:val="12"/>
          <w:numId w:val="0"/>
        </w:numPr>
        <w:rPr>
          <w:rFonts w:cs="Arial"/>
          <w:sz w:val="24"/>
          <w:szCs w:val="24"/>
        </w:rPr>
      </w:pPr>
      <w:r>
        <w:rPr>
          <w:sz w:val="24"/>
        </w:rPr>
        <w:t xml:space="preserve">In contrast, have a look at </w:t>
      </w:r>
      <w:r>
        <w:rPr>
          <w:b/>
          <w:i/>
          <w:sz w:val="24"/>
        </w:rPr>
        <w:t xml:space="preserve">Moody v </w:t>
      </w:r>
      <w:proofErr w:type="spellStart"/>
      <w:r>
        <w:rPr>
          <w:b/>
          <w:i/>
          <w:sz w:val="24"/>
        </w:rPr>
        <w:t>Steggles</w:t>
      </w:r>
      <w:proofErr w:type="spellEnd"/>
      <w:r>
        <w:rPr>
          <w:sz w:val="24"/>
        </w:rPr>
        <w:t xml:space="preserve"> [1879] 12 Ch D 261, </w:t>
      </w:r>
      <w:r>
        <w:rPr>
          <w:rFonts w:cs="Arial"/>
          <w:sz w:val="24"/>
          <w:szCs w:val="24"/>
        </w:rPr>
        <w:t>where the p</w:t>
      </w:r>
      <w:r>
        <w:rPr>
          <w:rFonts w:cs="Arial"/>
          <w:color w:val="000000"/>
          <w:sz w:val="24"/>
          <w:szCs w:val="24"/>
        </w:rPr>
        <w:t>laintiffs were the owners of a public-house and were claiming the right to affix a signboard to the wall of defendants’ house.</w:t>
      </w:r>
    </w:p>
    <w:p w14:paraId="3040F2C7" w14:textId="77777777" w:rsidR="00574383" w:rsidRDefault="00574383" w:rsidP="00574383">
      <w:pPr>
        <w:numPr>
          <w:ilvl w:val="12"/>
          <w:numId w:val="0"/>
        </w:numPr>
        <w:rPr>
          <w:sz w:val="24"/>
        </w:rPr>
      </w:pPr>
    </w:p>
    <w:p w14:paraId="46AE7F94" w14:textId="77777777" w:rsidR="00574383" w:rsidRDefault="00574383" w:rsidP="00574383">
      <w:pPr>
        <w:numPr>
          <w:ilvl w:val="12"/>
          <w:numId w:val="0"/>
        </w:numPr>
        <w:rPr>
          <w:sz w:val="24"/>
        </w:rPr>
      </w:pPr>
      <w:r>
        <w:rPr>
          <w:sz w:val="24"/>
        </w:rPr>
        <w:lastRenderedPageBreak/>
        <w:t>Note also that the two pieces of land must be reasonably close together, though not necessarily adjacent.  If not adjacent the dominant owner must have a legal right to pass over the third party land which divides the two pieces of land.</w:t>
      </w:r>
    </w:p>
    <w:p w14:paraId="2F612EF4" w14:textId="77777777" w:rsidR="00574383" w:rsidRDefault="00574383" w:rsidP="00574383">
      <w:pPr>
        <w:numPr>
          <w:ilvl w:val="12"/>
          <w:numId w:val="0"/>
        </w:numPr>
        <w:rPr>
          <w:sz w:val="24"/>
        </w:rPr>
      </w:pPr>
    </w:p>
    <w:p w14:paraId="3E53067B" w14:textId="77777777" w:rsidR="00574383" w:rsidRDefault="00574383" w:rsidP="00574383">
      <w:pPr>
        <w:rPr>
          <w:rFonts w:cs="Arial"/>
          <w:sz w:val="24"/>
          <w:szCs w:val="24"/>
        </w:rPr>
      </w:pPr>
      <w:r>
        <w:rPr>
          <w:sz w:val="24"/>
        </w:rPr>
        <w:t xml:space="preserve">In the recent case of </w:t>
      </w:r>
      <w:proofErr w:type="spellStart"/>
      <w:r>
        <w:rPr>
          <w:b/>
          <w:bCs/>
          <w:i/>
          <w:iCs/>
          <w:sz w:val="24"/>
        </w:rPr>
        <w:t>Kennerley</w:t>
      </w:r>
      <w:proofErr w:type="spellEnd"/>
      <w:r>
        <w:rPr>
          <w:b/>
          <w:bCs/>
          <w:i/>
          <w:iCs/>
          <w:sz w:val="24"/>
        </w:rPr>
        <w:t xml:space="preserve"> v Beech &amp; </w:t>
      </w:r>
      <w:proofErr w:type="spellStart"/>
      <w:r>
        <w:rPr>
          <w:b/>
          <w:bCs/>
          <w:i/>
          <w:iCs/>
          <w:sz w:val="24"/>
        </w:rPr>
        <w:t>A’nor</w:t>
      </w:r>
      <w:proofErr w:type="spellEnd"/>
      <w:r>
        <w:rPr>
          <w:rFonts w:cs="Arial"/>
          <w:sz w:val="14"/>
          <w:szCs w:val="14"/>
        </w:rPr>
        <w:t xml:space="preserve">  </w:t>
      </w:r>
      <w:r>
        <w:rPr>
          <w:rFonts w:cs="Arial"/>
          <w:vanish/>
          <w:sz w:val="24"/>
          <w:szCs w:val="24"/>
        </w:rPr>
        <w:br/>
      </w:r>
      <w:r>
        <w:rPr>
          <w:rFonts w:cs="Arial"/>
          <w:sz w:val="24"/>
          <w:szCs w:val="24"/>
        </w:rPr>
        <w:t xml:space="preserve">[2012] EWCA </w:t>
      </w:r>
      <w:proofErr w:type="spellStart"/>
      <w:r>
        <w:rPr>
          <w:rFonts w:cs="Arial"/>
          <w:sz w:val="24"/>
          <w:szCs w:val="24"/>
        </w:rPr>
        <w:t>Civ</w:t>
      </w:r>
      <w:proofErr w:type="spellEnd"/>
      <w:r>
        <w:rPr>
          <w:rFonts w:cs="Arial"/>
          <w:sz w:val="24"/>
          <w:szCs w:val="24"/>
        </w:rPr>
        <w:t xml:space="preserve"> 158, R owned large house and gardens known as “Old </w:t>
      </w:r>
      <w:proofErr w:type="spellStart"/>
      <w:r>
        <w:rPr>
          <w:rFonts w:cs="Arial"/>
          <w:sz w:val="24"/>
          <w:szCs w:val="24"/>
        </w:rPr>
        <w:t>Westwick</w:t>
      </w:r>
      <w:proofErr w:type="spellEnd"/>
      <w:r>
        <w:rPr>
          <w:rFonts w:cs="Arial"/>
          <w:sz w:val="24"/>
          <w:szCs w:val="24"/>
        </w:rPr>
        <w:t xml:space="preserve">”.  In November 1954, </w:t>
      </w:r>
      <w:proofErr w:type="spellStart"/>
      <w:r>
        <w:rPr>
          <w:rFonts w:cs="Arial"/>
          <w:sz w:val="24"/>
          <w:szCs w:val="24"/>
        </w:rPr>
        <w:t>R</w:t>
      </w:r>
      <w:proofErr w:type="spellEnd"/>
      <w:r>
        <w:rPr>
          <w:rFonts w:cs="Arial"/>
          <w:sz w:val="24"/>
          <w:szCs w:val="24"/>
        </w:rPr>
        <w:t xml:space="preserve"> sold part of garden to T and in 1955, T built house on land.  The 1954 Transfer reserved a right of way to R over a “wiggly path”.  The wiggly path ran down the eastern side of T’s garden where it joined another pathway (the second path).  The second path also within T’s title but R had not reserved a right of way over it.  R’s tenant of a flat in Old </w:t>
      </w:r>
      <w:proofErr w:type="spellStart"/>
      <w:r>
        <w:rPr>
          <w:rFonts w:cs="Arial"/>
          <w:sz w:val="24"/>
          <w:szCs w:val="24"/>
        </w:rPr>
        <w:t>Westwick</w:t>
      </w:r>
      <w:proofErr w:type="spellEnd"/>
      <w:r>
        <w:rPr>
          <w:rFonts w:cs="Arial"/>
          <w:sz w:val="24"/>
          <w:szCs w:val="24"/>
        </w:rPr>
        <w:t xml:space="preserve"> used the right of way for about 12 months to gain access to a kitchen garden on part of T’s land.  The tenant’s use of kitchen garden had therefore depended on a licence from T to use the second path.  Without this, the tenant would only have been able to walk from Old </w:t>
      </w:r>
      <w:proofErr w:type="spellStart"/>
      <w:r>
        <w:rPr>
          <w:rFonts w:cs="Arial"/>
          <w:sz w:val="24"/>
          <w:szCs w:val="24"/>
        </w:rPr>
        <w:t>Westwick</w:t>
      </w:r>
      <w:proofErr w:type="spellEnd"/>
      <w:r>
        <w:rPr>
          <w:rFonts w:cs="Arial"/>
          <w:sz w:val="24"/>
          <w:szCs w:val="24"/>
        </w:rPr>
        <w:t xml:space="preserve"> to the end of wiggly path and back.  </w:t>
      </w:r>
    </w:p>
    <w:p w14:paraId="122C6D3C" w14:textId="77777777" w:rsidR="00574383" w:rsidRDefault="00574383" w:rsidP="00574383">
      <w:pPr>
        <w:ind w:left="720"/>
        <w:rPr>
          <w:rFonts w:cs="Arial"/>
          <w:sz w:val="24"/>
          <w:szCs w:val="24"/>
        </w:rPr>
      </w:pPr>
    </w:p>
    <w:p w14:paraId="4D675463" w14:textId="77777777" w:rsidR="00574383" w:rsidRDefault="00574383" w:rsidP="00574383">
      <w:pPr>
        <w:rPr>
          <w:rFonts w:cs="Arial"/>
          <w:sz w:val="24"/>
          <w:szCs w:val="24"/>
        </w:rPr>
      </w:pPr>
      <w:r>
        <w:rPr>
          <w:rFonts w:cs="Arial"/>
          <w:sz w:val="24"/>
          <w:szCs w:val="24"/>
        </w:rPr>
        <w:t xml:space="preserve">The wiggly path never linked Old </w:t>
      </w:r>
      <w:proofErr w:type="spellStart"/>
      <w:r>
        <w:rPr>
          <w:rFonts w:cs="Arial"/>
          <w:sz w:val="24"/>
          <w:szCs w:val="24"/>
        </w:rPr>
        <w:t>Westwick</w:t>
      </w:r>
      <w:proofErr w:type="spellEnd"/>
      <w:r>
        <w:rPr>
          <w:rFonts w:cs="Arial"/>
          <w:sz w:val="24"/>
          <w:szCs w:val="24"/>
        </w:rPr>
        <w:t xml:space="preserve"> with public highway or any other land owned by R (or over which R had a right to pass).  </w:t>
      </w:r>
    </w:p>
    <w:p w14:paraId="101D3FA5" w14:textId="77777777" w:rsidR="00574383" w:rsidRDefault="00574383" w:rsidP="00574383">
      <w:pPr>
        <w:rPr>
          <w:rFonts w:cs="Arial"/>
          <w:sz w:val="24"/>
          <w:szCs w:val="24"/>
        </w:rPr>
      </w:pPr>
    </w:p>
    <w:p w14:paraId="4D1F6313" w14:textId="77777777" w:rsidR="00574383" w:rsidRDefault="00574383" w:rsidP="00574383">
      <w:pPr>
        <w:rPr>
          <w:rFonts w:cs="Arial"/>
          <w:sz w:val="24"/>
          <w:szCs w:val="24"/>
        </w:rPr>
      </w:pPr>
      <w:r>
        <w:rPr>
          <w:rFonts w:cs="Arial"/>
          <w:sz w:val="24"/>
          <w:szCs w:val="24"/>
        </w:rPr>
        <w:t xml:space="preserve">Held:  The right of way, as granted, had not constituted a valid easement.  The right of way never enabled R, etc, to walk from Old </w:t>
      </w:r>
      <w:proofErr w:type="spellStart"/>
      <w:r>
        <w:rPr>
          <w:rFonts w:cs="Arial"/>
          <w:sz w:val="24"/>
          <w:szCs w:val="24"/>
        </w:rPr>
        <w:t>Westwick</w:t>
      </w:r>
      <w:proofErr w:type="spellEnd"/>
      <w:r>
        <w:rPr>
          <w:rFonts w:cs="Arial"/>
          <w:sz w:val="24"/>
          <w:szCs w:val="24"/>
        </w:rPr>
        <w:t xml:space="preserve"> to kitchen garden rather it only allowed them to walk to the end of the wiggly path and back!</w:t>
      </w:r>
    </w:p>
    <w:p w14:paraId="4828AA57" w14:textId="77777777" w:rsidR="00574383" w:rsidRDefault="00574383" w:rsidP="00574383">
      <w:pPr>
        <w:numPr>
          <w:ilvl w:val="12"/>
          <w:numId w:val="0"/>
        </w:numPr>
        <w:rPr>
          <w:sz w:val="24"/>
        </w:rPr>
      </w:pPr>
    </w:p>
    <w:p w14:paraId="5B1BAEA9" w14:textId="77777777" w:rsidR="00574383" w:rsidRDefault="00574383" w:rsidP="00574383">
      <w:pPr>
        <w:numPr>
          <w:ilvl w:val="12"/>
          <w:numId w:val="0"/>
        </w:numPr>
        <w:rPr>
          <w:sz w:val="24"/>
        </w:rPr>
      </w:pPr>
      <w:r>
        <w:rPr>
          <w:sz w:val="24"/>
        </w:rPr>
        <w:t>One test (though not conclusive) is, does the easement increase the value of the land?</w:t>
      </w:r>
    </w:p>
    <w:p w14:paraId="5008682E" w14:textId="77777777" w:rsidR="00574383" w:rsidRDefault="00574383" w:rsidP="00574383">
      <w:pPr>
        <w:numPr>
          <w:ilvl w:val="12"/>
          <w:numId w:val="0"/>
        </w:numPr>
        <w:rPr>
          <w:sz w:val="24"/>
        </w:rPr>
      </w:pPr>
    </w:p>
    <w:p w14:paraId="6D917DEE" w14:textId="77777777" w:rsidR="00574383" w:rsidRDefault="00574383" w:rsidP="00574383">
      <w:pPr>
        <w:numPr>
          <w:ilvl w:val="12"/>
          <w:numId w:val="0"/>
        </w:numPr>
        <w:rPr>
          <w:b/>
          <w:sz w:val="24"/>
        </w:rPr>
      </w:pPr>
      <w:r>
        <w:rPr>
          <w:b/>
          <w:sz w:val="24"/>
        </w:rPr>
        <w:t xml:space="preserve">3) </w:t>
      </w:r>
      <w:r>
        <w:rPr>
          <w:b/>
          <w:sz w:val="24"/>
          <w:u w:val="single"/>
        </w:rPr>
        <w:t>The dominant and servient tenements must be owned or occupied by different persons</w:t>
      </w:r>
    </w:p>
    <w:p w14:paraId="01990FC5" w14:textId="77777777" w:rsidR="00574383" w:rsidRDefault="00574383" w:rsidP="00574383">
      <w:pPr>
        <w:numPr>
          <w:ilvl w:val="12"/>
          <w:numId w:val="0"/>
        </w:numPr>
        <w:rPr>
          <w:b/>
          <w:sz w:val="24"/>
        </w:rPr>
      </w:pPr>
    </w:p>
    <w:p w14:paraId="67FEB93A" w14:textId="77777777" w:rsidR="00574383" w:rsidRDefault="00574383" w:rsidP="00574383">
      <w:pPr>
        <w:numPr>
          <w:ilvl w:val="12"/>
          <w:numId w:val="0"/>
        </w:numPr>
        <w:rPr>
          <w:sz w:val="24"/>
        </w:rPr>
      </w:pPr>
      <w:r>
        <w:rPr>
          <w:sz w:val="24"/>
        </w:rPr>
        <w:t>So, a person cannot have an easement over his own land, but note, however, that a tenant can have an easement over the landlord’s land.  For example, the tenant might have the right to walk over the “common parts” such as hallways and staircases in a block of flats.</w:t>
      </w:r>
    </w:p>
    <w:p w14:paraId="3214DCE9" w14:textId="77777777" w:rsidR="00574383" w:rsidRDefault="00574383" w:rsidP="00574383">
      <w:pPr>
        <w:numPr>
          <w:ilvl w:val="12"/>
          <w:numId w:val="0"/>
        </w:numPr>
        <w:rPr>
          <w:sz w:val="24"/>
          <w:u w:val="single"/>
        </w:rPr>
      </w:pPr>
    </w:p>
    <w:p w14:paraId="656B98BB" w14:textId="77777777" w:rsidR="00574383" w:rsidRDefault="00574383" w:rsidP="00574383">
      <w:pPr>
        <w:numPr>
          <w:ilvl w:val="12"/>
          <w:numId w:val="0"/>
        </w:numPr>
        <w:rPr>
          <w:b/>
          <w:sz w:val="24"/>
        </w:rPr>
      </w:pPr>
      <w:r>
        <w:rPr>
          <w:b/>
          <w:sz w:val="24"/>
        </w:rPr>
        <w:t xml:space="preserve">4) </w:t>
      </w:r>
      <w:r>
        <w:rPr>
          <w:b/>
          <w:sz w:val="24"/>
          <w:u w:val="single"/>
        </w:rPr>
        <w:t>The easement must be capable of forming the subject matter of a grant</w:t>
      </w:r>
    </w:p>
    <w:p w14:paraId="6BCF1FB6" w14:textId="77777777" w:rsidR="00574383" w:rsidRDefault="00574383" w:rsidP="00574383">
      <w:pPr>
        <w:numPr>
          <w:ilvl w:val="12"/>
          <w:numId w:val="0"/>
        </w:numPr>
        <w:rPr>
          <w:b/>
          <w:sz w:val="24"/>
        </w:rPr>
      </w:pPr>
    </w:p>
    <w:p w14:paraId="04008AE6" w14:textId="77777777" w:rsidR="00574383" w:rsidRDefault="00574383" w:rsidP="00574383">
      <w:pPr>
        <w:numPr>
          <w:ilvl w:val="12"/>
          <w:numId w:val="0"/>
        </w:numPr>
        <w:rPr>
          <w:rFonts w:cs="Arial"/>
          <w:sz w:val="24"/>
          <w:szCs w:val="24"/>
        </w:rPr>
      </w:pPr>
      <w:r>
        <w:rPr>
          <w:rFonts w:cs="Arial"/>
          <w:sz w:val="24"/>
          <w:szCs w:val="24"/>
        </w:rPr>
        <w:t xml:space="preserve">Essentially, </w:t>
      </w:r>
      <w:r>
        <w:rPr>
          <w:rFonts w:cs="Arial"/>
          <w:sz w:val="24"/>
          <w:szCs w:val="24"/>
          <w:lang w:eastAsia="en-GB"/>
        </w:rPr>
        <w:t>all easements “</w:t>
      </w:r>
      <w:r>
        <w:rPr>
          <w:rFonts w:cs="Arial"/>
          <w:sz w:val="24"/>
          <w:szCs w:val="24"/>
        </w:rPr>
        <w:t>lie in grant” meaning that they must either:</w:t>
      </w:r>
    </w:p>
    <w:p w14:paraId="23DD3DBF" w14:textId="77777777" w:rsidR="00574383" w:rsidRDefault="00574383" w:rsidP="00574383">
      <w:pPr>
        <w:numPr>
          <w:ilvl w:val="12"/>
          <w:numId w:val="0"/>
        </w:numPr>
        <w:rPr>
          <w:rFonts w:cs="Arial"/>
          <w:sz w:val="24"/>
          <w:szCs w:val="24"/>
        </w:rPr>
      </w:pPr>
    </w:p>
    <w:p w14:paraId="799697F5" w14:textId="77777777" w:rsidR="00574383" w:rsidRDefault="00574383" w:rsidP="00574383">
      <w:pPr>
        <w:numPr>
          <w:ilvl w:val="12"/>
          <w:numId w:val="0"/>
        </w:numPr>
        <w:ind w:left="284"/>
        <w:rPr>
          <w:rFonts w:cs="Arial"/>
          <w:sz w:val="24"/>
          <w:szCs w:val="24"/>
        </w:rPr>
      </w:pPr>
      <w:r>
        <w:rPr>
          <w:rFonts w:cs="Arial"/>
          <w:sz w:val="24"/>
          <w:szCs w:val="24"/>
        </w:rPr>
        <w:t xml:space="preserve">1. be granted expressly; or </w:t>
      </w:r>
    </w:p>
    <w:p w14:paraId="21508E76" w14:textId="77777777" w:rsidR="00574383" w:rsidRDefault="00574383" w:rsidP="00574383">
      <w:pPr>
        <w:numPr>
          <w:ilvl w:val="12"/>
          <w:numId w:val="0"/>
        </w:numPr>
        <w:ind w:left="284"/>
        <w:rPr>
          <w:rFonts w:cs="Arial"/>
          <w:sz w:val="24"/>
          <w:szCs w:val="24"/>
        </w:rPr>
      </w:pPr>
    </w:p>
    <w:p w14:paraId="2A761378" w14:textId="77777777" w:rsidR="00574383" w:rsidRDefault="00574383" w:rsidP="00574383">
      <w:pPr>
        <w:numPr>
          <w:ilvl w:val="12"/>
          <w:numId w:val="0"/>
        </w:numPr>
        <w:ind w:left="284"/>
        <w:rPr>
          <w:rFonts w:cs="Arial"/>
          <w:sz w:val="24"/>
          <w:szCs w:val="24"/>
        </w:rPr>
      </w:pPr>
      <w:r>
        <w:rPr>
          <w:rFonts w:cs="Arial"/>
          <w:sz w:val="24"/>
          <w:szCs w:val="24"/>
        </w:rPr>
        <w:t>2. are assumed to have been granted impliedly or by prescription.</w:t>
      </w:r>
    </w:p>
    <w:p w14:paraId="0ED5AAD4" w14:textId="77777777" w:rsidR="00574383" w:rsidRDefault="00574383" w:rsidP="00574383">
      <w:pPr>
        <w:numPr>
          <w:ilvl w:val="12"/>
          <w:numId w:val="0"/>
        </w:numPr>
        <w:ind w:left="284"/>
        <w:rPr>
          <w:rFonts w:cs="Arial"/>
          <w:sz w:val="24"/>
          <w:szCs w:val="24"/>
        </w:rPr>
      </w:pPr>
    </w:p>
    <w:p w14:paraId="36073E63" w14:textId="77777777" w:rsidR="00574383" w:rsidRDefault="00574383" w:rsidP="00574383">
      <w:pPr>
        <w:numPr>
          <w:ilvl w:val="12"/>
          <w:numId w:val="0"/>
        </w:numPr>
        <w:rPr>
          <w:rFonts w:cs="Arial"/>
          <w:sz w:val="24"/>
          <w:szCs w:val="24"/>
        </w:rPr>
      </w:pPr>
      <w:r>
        <w:rPr>
          <w:rFonts w:cs="Arial"/>
          <w:sz w:val="24"/>
          <w:szCs w:val="24"/>
        </w:rPr>
        <w:t>This aspect has several elements:</w:t>
      </w:r>
    </w:p>
    <w:p w14:paraId="4EF13EB8" w14:textId="77777777" w:rsidR="00574383" w:rsidRDefault="00574383" w:rsidP="00574383">
      <w:pPr>
        <w:numPr>
          <w:ilvl w:val="12"/>
          <w:numId w:val="0"/>
        </w:numPr>
        <w:ind w:left="270" w:hanging="270"/>
        <w:rPr>
          <w:sz w:val="24"/>
        </w:rPr>
      </w:pPr>
    </w:p>
    <w:p w14:paraId="1800021F" w14:textId="77777777" w:rsidR="00574383" w:rsidRDefault="00574383" w:rsidP="00574383">
      <w:pPr>
        <w:numPr>
          <w:ilvl w:val="12"/>
          <w:numId w:val="0"/>
        </w:numPr>
        <w:ind w:left="270" w:hanging="270"/>
        <w:rPr>
          <w:sz w:val="24"/>
        </w:rPr>
      </w:pPr>
      <w:r>
        <w:rPr>
          <w:sz w:val="24"/>
        </w:rPr>
        <w:t>a)</w:t>
      </w:r>
      <w:r>
        <w:rPr>
          <w:sz w:val="24"/>
        </w:rPr>
        <w:tab/>
        <w:t>There must be a capable grantor and grantee, so, a grant to “a village” will not succeed.</w:t>
      </w:r>
    </w:p>
    <w:p w14:paraId="535E1A9B" w14:textId="77777777" w:rsidR="00574383" w:rsidRDefault="00574383" w:rsidP="00574383">
      <w:pPr>
        <w:numPr>
          <w:ilvl w:val="12"/>
          <w:numId w:val="0"/>
        </w:numPr>
        <w:ind w:left="270" w:hanging="270"/>
        <w:rPr>
          <w:sz w:val="24"/>
        </w:rPr>
      </w:pPr>
    </w:p>
    <w:p w14:paraId="5C2F80C0" w14:textId="77777777" w:rsidR="00574383" w:rsidRDefault="00574383" w:rsidP="00574383">
      <w:pPr>
        <w:numPr>
          <w:ilvl w:val="12"/>
          <w:numId w:val="0"/>
        </w:numPr>
        <w:ind w:left="270" w:hanging="270"/>
        <w:rPr>
          <w:sz w:val="24"/>
        </w:rPr>
      </w:pPr>
      <w:r>
        <w:rPr>
          <w:sz w:val="24"/>
        </w:rPr>
        <w:t xml:space="preserve">b) The right must be sufficiently definite, E.g., no right to a view, or to wander at will over property. In relation to the former of these, in </w:t>
      </w:r>
      <w:r>
        <w:rPr>
          <w:b/>
          <w:i/>
          <w:sz w:val="24"/>
        </w:rPr>
        <w:t xml:space="preserve">William </w:t>
      </w:r>
      <w:proofErr w:type="spellStart"/>
      <w:r>
        <w:rPr>
          <w:b/>
          <w:i/>
          <w:sz w:val="24"/>
        </w:rPr>
        <w:t>Aldred’s</w:t>
      </w:r>
      <w:proofErr w:type="spellEnd"/>
      <w:r>
        <w:rPr>
          <w:b/>
          <w:i/>
          <w:sz w:val="24"/>
        </w:rPr>
        <w:t xml:space="preserve"> Case</w:t>
      </w:r>
      <w:r>
        <w:rPr>
          <w:sz w:val="24"/>
        </w:rPr>
        <w:t xml:space="preserve"> [1610] 9 Co Rep 57b,  a statement was made to the effect that, “the law does not give an action for such things of delight.”</w:t>
      </w:r>
    </w:p>
    <w:p w14:paraId="256B3ACA" w14:textId="77777777" w:rsidR="00574383" w:rsidRDefault="00574383" w:rsidP="00574383">
      <w:pPr>
        <w:numPr>
          <w:ilvl w:val="12"/>
          <w:numId w:val="0"/>
        </w:numPr>
        <w:ind w:left="270" w:hanging="270"/>
        <w:rPr>
          <w:rFonts w:cs="Arial"/>
          <w:sz w:val="24"/>
        </w:rPr>
      </w:pPr>
    </w:p>
    <w:p w14:paraId="1DBB2696" w14:textId="77777777" w:rsidR="00574383" w:rsidRDefault="00574383" w:rsidP="00574383">
      <w:pPr>
        <w:numPr>
          <w:ilvl w:val="12"/>
          <w:numId w:val="0"/>
        </w:numPr>
        <w:ind w:left="270" w:hanging="270"/>
        <w:rPr>
          <w:sz w:val="24"/>
        </w:rPr>
      </w:pPr>
      <w:r>
        <w:rPr>
          <w:rFonts w:cs="Arial"/>
          <w:sz w:val="24"/>
        </w:rPr>
        <w:t xml:space="preserve">c) </w:t>
      </w:r>
      <w:r>
        <w:rPr>
          <w:rFonts w:cs="Arial"/>
          <w:sz w:val="24"/>
          <w:szCs w:val="24"/>
          <w:lang w:eastAsia="en-GB"/>
        </w:rPr>
        <w:t>An easement must not amount to a possessory interest.  Put another way, t</w:t>
      </w:r>
      <w:r>
        <w:rPr>
          <w:rFonts w:cs="Arial"/>
          <w:sz w:val="24"/>
          <w:szCs w:val="24"/>
        </w:rPr>
        <w:t>here must not be excessive user; if the person claiming the right is using the land to the exclusion of the owner, this amounts to more than just an easement.  Remember, an easement is a right over land, and not a right to possession of the land or a right of joint user of it (</w:t>
      </w:r>
      <w:r>
        <w:rPr>
          <w:rFonts w:cs="Arial"/>
          <w:b/>
          <w:i/>
          <w:sz w:val="24"/>
          <w:szCs w:val="24"/>
        </w:rPr>
        <w:t xml:space="preserve">Copeland v </w:t>
      </w:r>
      <w:proofErr w:type="spellStart"/>
      <w:r>
        <w:rPr>
          <w:rFonts w:cs="Arial"/>
          <w:b/>
          <w:i/>
          <w:sz w:val="24"/>
          <w:szCs w:val="24"/>
        </w:rPr>
        <w:t>Greenhalf</w:t>
      </w:r>
      <w:proofErr w:type="spellEnd"/>
      <w:r>
        <w:rPr>
          <w:rFonts w:cs="Arial"/>
          <w:sz w:val="24"/>
          <w:szCs w:val="24"/>
        </w:rPr>
        <w:t>).  It is an established legal principle (known as the “ouster” principle), that an easement cannot be claimed if its effect is to deprive the servient owner of the benefits of ownership.</w:t>
      </w:r>
    </w:p>
    <w:p w14:paraId="2FC3FBBF" w14:textId="77777777" w:rsidR="00574383" w:rsidRDefault="00574383" w:rsidP="00574383">
      <w:pPr>
        <w:numPr>
          <w:ilvl w:val="12"/>
          <w:numId w:val="0"/>
        </w:numPr>
        <w:ind w:left="270" w:hanging="270"/>
        <w:rPr>
          <w:sz w:val="24"/>
        </w:rPr>
      </w:pPr>
    </w:p>
    <w:p w14:paraId="0C9D8B28" w14:textId="77777777" w:rsidR="00574383" w:rsidRDefault="00574383" w:rsidP="00574383">
      <w:pPr>
        <w:numPr>
          <w:ilvl w:val="12"/>
          <w:numId w:val="0"/>
        </w:numPr>
        <w:ind w:left="270" w:hanging="270"/>
        <w:rPr>
          <w:sz w:val="24"/>
        </w:rPr>
      </w:pPr>
      <w:r>
        <w:rPr>
          <w:sz w:val="24"/>
        </w:rPr>
        <w:t xml:space="preserve">d) The right must be within the general nature of rights capable of existing as an easement.  This last requirement seems to mean that any proposed new easement must be sufficiently like the old ones.  Courts are very unlikely to allow new easements, particularly those which will involve the burdened land in expense, E.g., </w:t>
      </w:r>
      <w:r>
        <w:rPr>
          <w:b/>
          <w:i/>
          <w:sz w:val="24"/>
        </w:rPr>
        <w:t>Phipps v Pears</w:t>
      </w:r>
      <w:r>
        <w:rPr>
          <w:sz w:val="24"/>
        </w:rPr>
        <w:t>.</w:t>
      </w:r>
    </w:p>
    <w:p w14:paraId="12F03CEC" w14:textId="77777777" w:rsidR="00574383" w:rsidRDefault="00574383" w:rsidP="00574383">
      <w:pPr>
        <w:numPr>
          <w:ilvl w:val="12"/>
          <w:numId w:val="0"/>
        </w:numPr>
        <w:ind w:left="270" w:hanging="270"/>
        <w:rPr>
          <w:sz w:val="24"/>
        </w:rPr>
      </w:pPr>
    </w:p>
    <w:p w14:paraId="255DF6D6" w14:textId="77777777" w:rsidR="00574383" w:rsidRDefault="00574383" w:rsidP="00574383">
      <w:pPr>
        <w:numPr>
          <w:ilvl w:val="12"/>
          <w:numId w:val="0"/>
        </w:numPr>
        <w:rPr>
          <w:rFonts w:cs="Arial"/>
          <w:sz w:val="24"/>
          <w:szCs w:val="24"/>
          <w:lang w:eastAsia="en-GB"/>
        </w:rPr>
      </w:pPr>
      <w:r>
        <w:rPr>
          <w:sz w:val="24"/>
          <w:szCs w:val="24"/>
        </w:rPr>
        <w:t xml:space="preserve">In the recent case of </w:t>
      </w:r>
      <w:r>
        <w:rPr>
          <w:b/>
          <w:bCs/>
          <w:i/>
          <w:iCs/>
          <w:sz w:val="24"/>
          <w:szCs w:val="24"/>
        </w:rPr>
        <w:t xml:space="preserve">Regency Villas Title Ltd &amp; </w:t>
      </w:r>
      <w:proofErr w:type="spellStart"/>
      <w:r>
        <w:rPr>
          <w:b/>
          <w:bCs/>
          <w:i/>
          <w:iCs/>
          <w:sz w:val="24"/>
          <w:szCs w:val="24"/>
        </w:rPr>
        <w:t>O’rs</w:t>
      </w:r>
      <w:proofErr w:type="spellEnd"/>
      <w:r>
        <w:rPr>
          <w:b/>
          <w:bCs/>
          <w:i/>
          <w:iCs/>
          <w:sz w:val="24"/>
          <w:szCs w:val="24"/>
        </w:rPr>
        <w:t xml:space="preserve"> v Diamond Resorts (Europe) Ltd &amp; </w:t>
      </w:r>
      <w:proofErr w:type="spellStart"/>
      <w:r>
        <w:rPr>
          <w:b/>
          <w:bCs/>
          <w:i/>
          <w:iCs/>
          <w:sz w:val="24"/>
          <w:szCs w:val="24"/>
        </w:rPr>
        <w:t>Ano’r</w:t>
      </w:r>
      <w:proofErr w:type="spellEnd"/>
      <w:r>
        <w:rPr>
          <w:b/>
          <w:bCs/>
          <w:i/>
          <w:iCs/>
          <w:sz w:val="24"/>
          <w:szCs w:val="24"/>
        </w:rPr>
        <w:t xml:space="preserve"> </w:t>
      </w:r>
      <w:r>
        <w:rPr>
          <w:rFonts w:cs="Arial"/>
          <w:bCs/>
          <w:iCs/>
          <w:sz w:val="24"/>
          <w:szCs w:val="24"/>
        </w:rPr>
        <w:t>[</w:t>
      </w:r>
      <w:r>
        <w:rPr>
          <w:rFonts w:cs="Arial"/>
          <w:sz w:val="24"/>
          <w:szCs w:val="24"/>
          <w:lang w:eastAsia="en-GB"/>
        </w:rPr>
        <w:t xml:space="preserve">2015] EWHC 3564, the High Court was required to consider if the right to use leisure facilities was capable of being an easement.  </w:t>
      </w:r>
    </w:p>
    <w:p w14:paraId="20D34610" w14:textId="77777777" w:rsidR="00574383" w:rsidRDefault="00574383" w:rsidP="00574383">
      <w:pPr>
        <w:numPr>
          <w:ilvl w:val="12"/>
          <w:numId w:val="0"/>
        </w:numPr>
        <w:rPr>
          <w:rFonts w:cs="Arial"/>
          <w:sz w:val="24"/>
          <w:szCs w:val="24"/>
          <w:lang w:eastAsia="en-GB"/>
        </w:rPr>
      </w:pPr>
    </w:p>
    <w:p w14:paraId="643390E1" w14:textId="77777777" w:rsidR="00574383" w:rsidRDefault="00574383" w:rsidP="00574383">
      <w:pPr>
        <w:rPr>
          <w:sz w:val="24"/>
          <w:szCs w:val="24"/>
        </w:rPr>
      </w:pPr>
      <w:r>
        <w:rPr>
          <w:sz w:val="24"/>
          <w:szCs w:val="24"/>
        </w:rPr>
        <w:t xml:space="preserve">In that case, RVT was freehold proprietor of a timeshare holiday park (the Park) in Kent &amp; DR owned the adjacent Broome Park Estate (the Estate).  Prior to 1981 the Park and the Estate were in common ownership. In 1981, the Park was transferred together with rights of services and rights of way over roadways and rights “for the Transferee its successors in title its lessees and the occupiers from time to time of the property to use the swimming pool, golf course, squash courts, tennis courts, the ground and basement floor of Broome Park Mansion House, gardens and any other sporting or recreational facilities… on the Transferor’s adjoining estate”. </w:t>
      </w:r>
    </w:p>
    <w:p w14:paraId="2949E301" w14:textId="77777777" w:rsidR="00574383" w:rsidRDefault="00574383" w:rsidP="00574383">
      <w:pPr>
        <w:rPr>
          <w:sz w:val="24"/>
          <w:szCs w:val="24"/>
        </w:rPr>
      </w:pPr>
    </w:p>
    <w:p w14:paraId="129659FC" w14:textId="77777777" w:rsidR="00574383" w:rsidRDefault="00574383" w:rsidP="00574383">
      <w:pPr>
        <w:rPr>
          <w:sz w:val="24"/>
          <w:szCs w:val="24"/>
        </w:rPr>
      </w:pPr>
      <w:r>
        <w:rPr>
          <w:sz w:val="24"/>
          <w:szCs w:val="24"/>
        </w:rPr>
        <w:t>The claimants (including RVT) sought a declaration that they were entitled to use the recreational rights free of charge.  So were the rights personal rights or easements?</w:t>
      </w:r>
    </w:p>
    <w:p w14:paraId="2D06CA00" w14:textId="77777777" w:rsidR="00574383" w:rsidRDefault="00574383" w:rsidP="00574383">
      <w:pPr>
        <w:rPr>
          <w:sz w:val="24"/>
          <w:szCs w:val="24"/>
        </w:rPr>
      </w:pPr>
    </w:p>
    <w:p w14:paraId="78803757" w14:textId="77777777" w:rsidR="00574383" w:rsidRDefault="00574383" w:rsidP="00574383">
      <w:pPr>
        <w:rPr>
          <w:sz w:val="24"/>
          <w:szCs w:val="24"/>
        </w:rPr>
      </w:pPr>
      <w:r>
        <w:rPr>
          <w:sz w:val="24"/>
          <w:szCs w:val="24"/>
        </w:rPr>
        <w:t xml:space="preserve">Held: Applying the four essential ingredients laid down in </w:t>
      </w:r>
      <w:r>
        <w:rPr>
          <w:b/>
          <w:bCs/>
          <w:i/>
          <w:iCs/>
          <w:sz w:val="24"/>
          <w:szCs w:val="24"/>
        </w:rPr>
        <w:t>Re Ellenborough Park</w:t>
      </w:r>
      <w:r>
        <w:rPr>
          <w:bCs/>
          <w:iCs/>
          <w:sz w:val="24"/>
          <w:szCs w:val="24"/>
        </w:rPr>
        <w:t xml:space="preserve">, the High Court decided that the </w:t>
      </w:r>
      <w:r>
        <w:rPr>
          <w:sz w:val="24"/>
          <w:szCs w:val="24"/>
        </w:rPr>
        <w:t>rights took effect as easements and could, therefore, be used free of charge! Essentially, the rights accommodated the Park.</w:t>
      </w:r>
    </w:p>
    <w:p w14:paraId="69D80089" w14:textId="77777777" w:rsidR="00574383" w:rsidRDefault="00574383" w:rsidP="00574383">
      <w:pPr>
        <w:numPr>
          <w:ilvl w:val="12"/>
          <w:numId w:val="0"/>
        </w:numPr>
        <w:rPr>
          <w:rFonts w:cs="Arial"/>
          <w:sz w:val="24"/>
          <w:szCs w:val="24"/>
          <w:lang w:eastAsia="en-GB"/>
        </w:rPr>
      </w:pPr>
    </w:p>
    <w:p w14:paraId="1E997265" w14:textId="77777777" w:rsidR="00574383" w:rsidRDefault="00574383" w:rsidP="00574383">
      <w:pPr>
        <w:numPr>
          <w:ilvl w:val="12"/>
          <w:numId w:val="0"/>
        </w:numPr>
        <w:rPr>
          <w:sz w:val="24"/>
        </w:rPr>
      </w:pPr>
      <w:r>
        <w:rPr>
          <w:sz w:val="24"/>
        </w:rPr>
        <w:t>Other examples include:</w:t>
      </w:r>
    </w:p>
    <w:p w14:paraId="7FC6525F" w14:textId="77777777" w:rsidR="00574383" w:rsidRDefault="00574383" w:rsidP="00574383">
      <w:pPr>
        <w:numPr>
          <w:ilvl w:val="12"/>
          <w:numId w:val="0"/>
        </w:numPr>
        <w:rPr>
          <w:b/>
          <w:i/>
          <w:sz w:val="24"/>
        </w:rPr>
      </w:pPr>
    </w:p>
    <w:p w14:paraId="765303DD" w14:textId="77777777" w:rsidR="00574383" w:rsidRDefault="00574383" w:rsidP="00574383">
      <w:pPr>
        <w:numPr>
          <w:ilvl w:val="12"/>
          <w:numId w:val="0"/>
        </w:numPr>
        <w:rPr>
          <w:sz w:val="24"/>
        </w:rPr>
      </w:pPr>
      <w:r>
        <w:rPr>
          <w:b/>
          <w:i/>
          <w:sz w:val="24"/>
        </w:rPr>
        <w:t>AG of S Nigeria v John Holt &amp; Co</w:t>
      </w:r>
      <w:r>
        <w:rPr>
          <w:sz w:val="24"/>
        </w:rPr>
        <w:t xml:space="preserve"> [1915] AC 599 - the right to store casks and trade produce on a neighbour's land;</w:t>
      </w:r>
    </w:p>
    <w:p w14:paraId="69C83124" w14:textId="77777777" w:rsidR="00574383" w:rsidRDefault="00574383" w:rsidP="00574383">
      <w:pPr>
        <w:numPr>
          <w:ilvl w:val="12"/>
          <w:numId w:val="0"/>
        </w:numPr>
        <w:rPr>
          <w:b/>
          <w:i/>
          <w:sz w:val="24"/>
        </w:rPr>
      </w:pPr>
    </w:p>
    <w:p w14:paraId="401215A8" w14:textId="77777777" w:rsidR="00574383" w:rsidRDefault="00574383" w:rsidP="00574383">
      <w:pPr>
        <w:numPr>
          <w:ilvl w:val="12"/>
          <w:numId w:val="0"/>
        </w:numPr>
        <w:rPr>
          <w:sz w:val="24"/>
        </w:rPr>
      </w:pPr>
      <w:r>
        <w:rPr>
          <w:b/>
          <w:i/>
          <w:sz w:val="24"/>
        </w:rPr>
        <w:t xml:space="preserve">Moody v </w:t>
      </w:r>
      <w:proofErr w:type="spellStart"/>
      <w:r>
        <w:rPr>
          <w:b/>
          <w:i/>
          <w:sz w:val="24"/>
        </w:rPr>
        <w:t>Steggles</w:t>
      </w:r>
      <w:proofErr w:type="spellEnd"/>
      <w:r>
        <w:rPr>
          <w:sz w:val="24"/>
        </w:rPr>
        <w:t xml:space="preserve"> [1879] 12 CH D 261 - the right to hang an advertising sign on neighbouring land;</w:t>
      </w:r>
    </w:p>
    <w:p w14:paraId="10D5B73C" w14:textId="77777777" w:rsidR="00574383" w:rsidRDefault="00574383" w:rsidP="00574383">
      <w:pPr>
        <w:numPr>
          <w:ilvl w:val="12"/>
          <w:numId w:val="0"/>
        </w:numPr>
        <w:rPr>
          <w:b/>
          <w:i/>
          <w:sz w:val="24"/>
        </w:rPr>
      </w:pPr>
    </w:p>
    <w:p w14:paraId="71E32D2B" w14:textId="77777777" w:rsidR="00574383" w:rsidRDefault="00574383" w:rsidP="00574383">
      <w:pPr>
        <w:numPr>
          <w:ilvl w:val="12"/>
          <w:numId w:val="0"/>
        </w:numPr>
        <w:rPr>
          <w:sz w:val="24"/>
        </w:rPr>
      </w:pPr>
      <w:r>
        <w:rPr>
          <w:b/>
          <w:i/>
          <w:sz w:val="24"/>
        </w:rPr>
        <w:t xml:space="preserve">Copeland v </w:t>
      </w:r>
      <w:proofErr w:type="spellStart"/>
      <w:r>
        <w:rPr>
          <w:b/>
          <w:i/>
          <w:sz w:val="24"/>
        </w:rPr>
        <w:t>Greenhalf</w:t>
      </w:r>
      <w:proofErr w:type="spellEnd"/>
      <w:r>
        <w:rPr>
          <w:sz w:val="24"/>
        </w:rPr>
        <w:t xml:space="preserve"> [1952] Ch 488 – here, the claimant (a wheelwright) had used his neighbour's land for 50 years to store vehicles awaiting repair.  The court here held that this was more than just an easement, effectively amounting to a claim to joint user of the land (the “ouster principle”).</w:t>
      </w:r>
    </w:p>
    <w:p w14:paraId="3348C98D" w14:textId="77777777" w:rsidR="00574383" w:rsidRDefault="00574383" w:rsidP="00574383">
      <w:pPr>
        <w:numPr>
          <w:ilvl w:val="12"/>
          <w:numId w:val="0"/>
        </w:numPr>
        <w:rPr>
          <w:b/>
          <w:i/>
          <w:sz w:val="24"/>
        </w:rPr>
      </w:pPr>
    </w:p>
    <w:p w14:paraId="0A68F4AD" w14:textId="77777777" w:rsidR="00574383" w:rsidRDefault="00574383" w:rsidP="00574383">
      <w:pPr>
        <w:numPr>
          <w:ilvl w:val="12"/>
          <w:numId w:val="0"/>
        </w:numPr>
        <w:rPr>
          <w:sz w:val="24"/>
        </w:rPr>
      </w:pPr>
      <w:r>
        <w:rPr>
          <w:b/>
          <w:i/>
          <w:sz w:val="24"/>
        </w:rPr>
        <w:t>Ward v Kirkland</w:t>
      </w:r>
      <w:r>
        <w:rPr>
          <w:sz w:val="24"/>
        </w:rPr>
        <w:t xml:space="preserve"> [1967] Ch 194 - the right to go onto neighbours’ land to repair a wall was accepted as it would not involve more frequent visits than once a month;</w:t>
      </w:r>
    </w:p>
    <w:p w14:paraId="777F4B24" w14:textId="77777777" w:rsidR="00574383" w:rsidRDefault="00574383" w:rsidP="00574383">
      <w:pPr>
        <w:numPr>
          <w:ilvl w:val="12"/>
          <w:numId w:val="0"/>
        </w:numPr>
        <w:rPr>
          <w:b/>
          <w:i/>
          <w:sz w:val="24"/>
        </w:rPr>
      </w:pPr>
    </w:p>
    <w:p w14:paraId="69728A0E" w14:textId="77777777" w:rsidR="00574383" w:rsidRDefault="00574383" w:rsidP="00574383">
      <w:pPr>
        <w:numPr>
          <w:ilvl w:val="12"/>
          <w:numId w:val="0"/>
        </w:numPr>
        <w:rPr>
          <w:sz w:val="24"/>
        </w:rPr>
      </w:pPr>
      <w:r>
        <w:rPr>
          <w:b/>
          <w:i/>
          <w:sz w:val="24"/>
        </w:rPr>
        <w:t>Grigsby v Melville</w:t>
      </w:r>
      <w:r>
        <w:rPr>
          <w:sz w:val="24"/>
        </w:rPr>
        <w:t xml:space="preserve"> [1974] 1 WLR 80 - here, the right to store bottles in a cellar was doubted as it amounted to exclusive use, but in </w:t>
      </w:r>
      <w:r>
        <w:rPr>
          <w:b/>
          <w:i/>
          <w:sz w:val="24"/>
        </w:rPr>
        <w:t>Wright v Macadam</w:t>
      </w:r>
      <w:r>
        <w:rPr>
          <w:sz w:val="24"/>
        </w:rPr>
        <w:t xml:space="preserve"> (above) the right to store coal in the landlord's coal shed was upheld as an easement - perhaps because the landlord had destroyed the shed before the hearing!</w:t>
      </w:r>
    </w:p>
    <w:p w14:paraId="6A271D2A" w14:textId="77777777" w:rsidR="00574383" w:rsidRDefault="00574383" w:rsidP="00574383">
      <w:pPr>
        <w:numPr>
          <w:ilvl w:val="12"/>
          <w:numId w:val="0"/>
        </w:numPr>
        <w:rPr>
          <w:b/>
          <w:i/>
          <w:sz w:val="24"/>
        </w:rPr>
      </w:pPr>
    </w:p>
    <w:p w14:paraId="7996CB8A" w14:textId="77777777" w:rsidR="00574383" w:rsidRDefault="00574383" w:rsidP="00574383">
      <w:pPr>
        <w:numPr>
          <w:ilvl w:val="12"/>
          <w:numId w:val="0"/>
        </w:numPr>
        <w:rPr>
          <w:sz w:val="24"/>
        </w:rPr>
      </w:pPr>
      <w:r>
        <w:rPr>
          <w:b/>
          <w:i/>
          <w:sz w:val="24"/>
        </w:rPr>
        <w:t>London and Blenheim Estates Ltd v Ladbroke Retail Parks</w:t>
      </w:r>
      <w:r>
        <w:rPr>
          <w:sz w:val="24"/>
        </w:rPr>
        <w:t xml:space="preserve"> [1994] 1 WLR 31 - right to park cars can be an easement (obiter), but not if it amounts to such extensive user of the land as to deprive the legal owner (the “ouster principle”). </w:t>
      </w:r>
    </w:p>
    <w:p w14:paraId="290B73EE" w14:textId="77777777" w:rsidR="00574383" w:rsidRDefault="00574383" w:rsidP="00574383">
      <w:pPr>
        <w:numPr>
          <w:ilvl w:val="12"/>
          <w:numId w:val="0"/>
        </w:numPr>
        <w:rPr>
          <w:sz w:val="24"/>
        </w:rPr>
      </w:pPr>
    </w:p>
    <w:p w14:paraId="376B429C" w14:textId="77777777" w:rsidR="00574383" w:rsidRDefault="00574383" w:rsidP="00574383">
      <w:pPr>
        <w:numPr>
          <w:ilvl w:val="12"/>
          <w:numId w:val="0"/>
        </w:numPr>
        <w:rPr>
          <w:sz w:val="24"/>
        </w:rPr>
      </w:pPr>
      <w:r>
        <w:rPr>
          <w:sz w:val="24"/>
        </w:rPr>
        <w:t xml:space="preserve">See also </w:t>
      </w:r>
      <w:r>
        <w:rPr>
          <w:b/>
          <w:i/>
          <w:sz w:val="24"/>
        </w:rPr>
        <w:t>Batchelor v Marlow</w:t>
      </w:r>
      <w:r>
        <w:rPr>
          <w:sz w:val="24"/>
        </w:rPr>
        <w:t xml:space="preserve"> [2003] 1 WLR 764 and </w:t>
      </w:r>
      <w:r>
        <w:rPr>
          <w:b/>
          <w:i/>
          <w:sz w:val="24"/>
        </w:rPr>
        <w:t>Central Midland Estates v Leicester Dyers</w:t>
      </w:r>
      <w:r>
        <w:rPr>
          <w:sz w:val="24"/>
        </w:rPr>
        <w:t xml:space="preserve"> [2003], where a claim to be allowed to park an unlimited number of cars anywhere on the land was rejected.  See also </w:t>
      </w:r>
      <w:proofErr w:type="spellStart"/>
      <w:r>
        <w:rPr>
          <w:b/>
          <w:sz w:val="24"/>
        </w:rPr>
        <w:t>Virdi</w:t>
      </w:r>
      <w:proofErr w:type="spellEnd"/>
      <w:r>
        <w:rPr>
          <w:b/>
          <w:sz w:val="24"/>
        </w:rPr>
        <w:t xml:space="preserve"> v Chana &amp; others</w:t>
      </w:r>
      <w:r>
        <w:rPr>
          <w:sz w:val="24"/>
        </w:rPr>
        <w:t xml:space="preserve"> [2008] EWHC 2901 Ch.</w:t>
      </w:r>
    </w:p>
    <w:p w14:paraId="28E729A6" w14:textId="77777777" w:rsidR="00574383" w:rsidRDefault="00574383" w:rsidP="00574383">
      <w:pPr>
        <w:numPr>
          <w:ilvl w:val="12"/>
          <w:numId w:val="0"/>
        </w:numPr>
        <w:rPr>
          <w:sz w:val="24"/>
        </w:rPr>
      </w:pPr>
    </w:p>
    <w:p w14:paraId="47358A04" w14:textId="77777777" w:rsidR="00574383" w:rsidRDefault="00574383" w:rsidP="00574383">
      <w:pPr>
        <w:numPr>
          <w:ilvl w:val="12"/>
          <w:numId w:val="0"/>
        </w:numPr>
        <w:rPr>
          <w:sz w:val="24"/>
        </w:rPr>
      </w:pPr>
      <w:r>
        <w:rPr>
          <w:sz w:val="24"/>
        </w:rPr>
        <w:t>Often whether or not something is capable of being an easement seems to be a question of degree.</w:t>
      </w:r>
    </w:p>
    <w:p w14:paraId="6BFC8495" w14:textId="77777777" w:rsidR="00574383" w:rsidRDefault="00574383" w:rsidP="00574383">
      <w:pPr>
        <w:numPr>
          <w:ilvl w:val="12"/>
          <w:numId w:val="0"/>
        </w:numPr>
        <w:jc w:val="center"/>
        <w:rPr>
          <w:b/>
          <w:caps/>
          <w:sz w:val="24"/>
        </w:rPr>
      </w:pPr>
    </w:p>
    <w:p w14:paraId="51772CC2" w14:textId="77777777" w:rsidR="00574383" w:rsidRDefault="00574383" w:rsidP="00574383">
      <w:pPr>
        <w:numPr>
          <w:ilvl w:val="12"/>
          <w:numId w:val="0"/>
        </w:numPr>
        <w:rPr>
          <w:sz w:val="24"/>
        </w:rPr>
      </w:pPr>
      <w:r>
        <w:rPr>
          <w:b/>
          <w:sz w:val="24"/>
        </w:rPr>
        <w:t>Easements and other rights</w:t>
      </w:r>
    </w:p>
    <w:p w14:paraId="63FCE637" w14:textId="77777777" w:rsidR="00574383" w:rsidRDefault="00574383" w:rsidP="00574383">
      <w:pPr>
        <w:numPr>
          <w:ilvl w:val="12"/>
          <w:numId w:val="0"/>
        </w:numPr>
        <w:rPr>
          <w:sz w:val="24"/>
        </w:rPr>
      </w:pPr>
    </w:p>
    <w:p w14:paraId="7818C0B7" w14:textId="77777777" w:rsidR="00574383" w:rsidRDefault="00574383" w:rsidP="00574383">
      <w:pPr>
        <w:numPr>
          <w:ilvl w:val="12"/>
          <w:numId w:val="0"/>
        </w:numPr>
        <w:ind w:left="720" w:hanging="720"/>
        <w:rPr>
          <w:sz w:val="24"/>
        </w:rPr>
      </w:pPr>
      <w:r>
        <w:rPr>
          <w:sz w:val="24"/>
        </w:rPr>
        <w:t>(a)</w:t>
      </w:r>
      <w:r>
        <w:rPr>
          <w:sz w:val="24"/>
        </w:rPr>
        <w:tab/>
      </w:r>
      <w:r>
        <w:rPr>
          <w:b/>
          <w:sz w:val="24"/>
        </w:rPr>
        <w:t>Restrictive Covenants</w:t>
      </w:r>
    </w:p>
    <w:p w14:paraId="68A62C88" w14:textId="77777777" w:rsidR="00574383" w:rsidRDefault="00574383" w:rsidP="00574383">
      <w:pPr>
        <w:numPr>
          <w:ilvl w:val="12"/>
          <w:numId w:val="0"/>
        </w:numPr>
        <w:ind w:left="720" w:hanging="720"/>
        <w:rPr>
          <w:sz w:val="24"/>
        </w:rPr>
      </w:pPr>
      <w:r>
        <w:rPr>
          <w:sz w:val="24"/>
        </w:rPr>
        <w:tab/>
      </w:r>
    </w:p>
    <w:p w14:paraId="4A074794" w14:textId="77777777" w:rsidR="00574383" w:rsidRDefault="00574383" w:rsidP="00574383">
      <w:pPr>
        <w:numPr>
          <w:ilvl w:val="12"/>
          <w:numId w:val="0"/>
        </w:numPr>
        <w:ind w:left="720"/>
        <w:rPr>
          <w:sz w:val="24"/>
        </w:rPr>
      </w:pPr>
      <w:r>
        <w:rPr>
          <w:sz w:val="24"/>
        </w:rPr>
        <w:t xml:space="preserve">It is important to distinguish between these two.  Easements are </w:t>
      </w:r>
      <w:r>
        <w:rPr>
          <w:sz w:val="24"/>
          <w:u w:val="single"/>
        </w:rPr>
        <w:t>rights</w:t>
      </w:r>
      <w:r>
        <w:rPr>
          <w:sz w:val="24"/>
        </w:rPr>
        <w:t xml:space="preserve"> whereas covenants are </w:t>
      </w:r>
      <w:r>
        <w:rPr>
          <w:sz w:val="24"/>
          <w:u w:val="single"/>
        </w:rPr>
        <w:t>obligations</w:t>
      </w:r>
      <w:r>
        <w:rPr>
          <w:sz w:val="24"/>
        </w:rPr>
        <w:t>.</w:t>
      </w:r>
    </w:p>
    <w:p w14:paraId="1451E15E" w14:textId="77777777" w:rsidR="00574383" w:rsidRDefault="00574383" w:rsidP="00574383">
      <w:pPr>
        <w:numPr>
          <w:ilvl w:val="12"/>
          <w:numId w:val="0"/>
        </w:numPr>
        <w:ind w:left="720" w:hanging="720"/>
        <w:rPr>
          <w:sz w:val="24"/>
        </w:rPr>
      </w:pPr>
    </w:p>
    <w:p w14:paraId="243F9C81" w14:textId="77777777" w:rsidR="00574383" w:rsidRDefault="00574383" w:rsidP="00574383">
      <w:pPr>
        <w:numPr>
          <w:ilvl w:val="12"/>
          <w:numId w:val="0"/>
        </w:numPr>
        <w:ind w:left="720" w:hanging="720"/>
        <w:rPr>
          <w:sz w:val="24"/>
        </w:rPr>
      </w:pPr>
      <w:r>
        <w:rPr>
          <w:sz w:val="24"/>
        </w:rPr>
        <w:t>(b)</w:t>
      </w:r>
      <w:r>
        <w:rPr>
          <w:sz w:val="24"/>
        </w:rPr>
        <w:tab/>
      </w:r>
      <w:r>
        <w:rPr>
          <w:b/>
          <w:sz w:val="24"/>
        </w:rPr>
        <w:t>Profits a prendre</w:t>
      </w:r>
    </w:p>
    <w:p w14:paraId="3763D409" w14:textId="77777777" w:rsidR="00574383" w:rsidRDefault="00574383" w:rsidP="00574383">
      <w:pPr>
        <w:numPr>
          <w:ilvl w:val="12"/>
          <w:numId w:val="0"/>
        </w:numPr>
        <w:ind w:left="720" w:hanging="720"/>
        <w:rPr>
          <w:sz w:val="24"/>
        </w:rPr>
      </w:pPr>
      <w:r>
        <w:rPr>
          <w:sz w:val="24"/>
        </w:rPr>
        <w:tab/>
      </w:r>
    </w:p>
    <w:p w14:paraId="0BCA2893" w14:textId="77777777" w:rsidR="00574383" w:rsidRDefault="00574383" w:rsidP="00574383">
      <w:pPr>
        <w:numPr>
          <w:ilvl w:val="12"/>
          <w:numId w:val="0"/>
        </w:numPr>
        <w:ind w:left="720"/>
        <w:rPr>
          <w:sz w:val="24"/>
        </w:rPr>
      </w:pPr>
      <w:r>
        <w:rPr>
          <w:sz w:val="24"/>
        </w:rPr>
        <w:t>This is the right to go onto land and remove something, for example, the right to hunt and take away the prey; the right to go onto land and take away fruit.  Unlike easements, profits can exist “in gross”, E.g., there is no need for a dominant tenement.</w:t>
      </w:r>
    </w:p>
    <w:p w14:paraId="658357EE" w14:textId="77777777" w:rsidR="00574383" w:rsidRDefault="00574383" w:rsidP="00574383">
      <w:pPr>
        <w:numPr>
          <w:ilvl w:val="12"/>
          <w:numId w:val="0"/>
        </w:numPr>
        <w:ind w:left="720" w:hanging="720"/>
        <w:rPr>
          <w:sz w:val="24"/>
        </w:rPr>
      </w:pPr>
    </w:p>
    <w:p w14:paraId="7AD13F11" w14:textId="77777777" w:rsidR="00574383" w:rsidRDefault="00574383" w:rsidP="00574383">
      <w:pPr>
        <w:numPr>
          <w:ilvl w:val="12"/>
          <w:numId w:val="0"/>
        </w:numPr>
        <w:ind w:left="720" w:hanging="720"/>
        <w:rPr>
          <w:sz w:val="24"/>
        </w:rPr>
      </w:pPr>
      <w:r>
        <w:rPr>
          <w:sz w:val="24"/>
        </w:rPr>
        <w:t>(c)</w:t>
      </w:r>
      <w:r>
        <w:rPr>
          <w:sz w:val="24"/>
        </w:rPr>
        <w:tab/>
      </w:r>
      <w:r>
        <w:rPr>
          <w:b/>
          <w:sz w:val="24"/>
        </w:rPr>
        <w:t>Licences</w:t>
      </w:r>
    </w:p>
    <w:p w14:paraId="486D67CF" w14:textId="77777777" w:rsidR="00574383" w:rsidRDefault="00574383" w:rsidP="00574383">
      <w:pPr>
        <w:numPr>
          <w:ilvl w:val="12"/>
          <w:numId w:val="0"/>
        </w:numPr>
        <w:ind w:left="720" w:hanging="720"/>
        <w:rPr>
          <w:sz w:val="24"/>
        </w:rPr>
      </w:pPr>
      <w:r>
        <w:rPr>
          <w:sz w:val="24"/>
        </w:rPr>
        <w:tab/>
      </w:r>
    </w:p>
    <w:p w14:paraId="28345B20" w14:textId="77777777" w:rsidR="00574383" w:rsidRDefault="00574383" w:rsidP="00574383">
      <w:pPr>
        <w:numPr>
          <w:ilvl w:val="12"/>
          <w:numId w:val="0"/>
        </w:numPr>
        <w:ind w:left="720"/>
        <w:rPr>
          <w:sz w:val="24"/>
        </w:rPr>
      </w:pPr>
      <w:r>
        <w:rPr>
          <w:sz w:val="24"/>
        </w:rPr>
        <w:t xml:space="preserve">These are simple permissions.  They are not rights in land but rights in </w:t>
      </w:r>
      <w:proofErr w:type="spellStart"/>
      <w:r>
        <w:rPr>
          <w:sz w:val="24"/>
        </w:rPr>
        <w:t>personalty</w:t>
      </w:r>
      <w:proofErr w:type="spellEnd"/>
      <w:r>
        <w:rPr>
          <w:sz w:val="24"/>
        </w:rPr>
        <w:t xml:space="preserve"> and so they do not, unlike easements, bind third parties.</w:t>
      </w:r>
    </w:p>
    <w:p w14:paraId="7B9895D1" w14:textId="77777777" w:rsidR="00574383" w:rsidRDefault="00574383" w:rsidP="00574383">
      <w:pPr>
        <w:numPr>
          <w:ilvl w:val="12"/>
          <w:numId w:val="0"/>
        </w:numPr>
        <w:ind w:left="720"/>
        <w:rPr>
          <w:sz w:val="24"/>
        </w:rPr>
      </w:pPr>
    </w:p>
    <w:p w14:paraId="27B85FCC" w14:textId="77777777" w:rsidR="00574383" w:rsidRDefault="00574383" w:rsidP="00574383">
      <w:pPr>
        <w:numPr>
          <w:ilvl w:val="12"/>
          <w:numId w:val="0"/>
        </w:numPr>
        <w:ind w:left="720" w:hanging="720"/>
        <w:rPr>
          <w:sz w:val="24"/>
        </w:rPr>
      </w:pPr>
      <w:r>
        <w:rPr>
          <w:sz w:val="24"/>
        </w:rPr>
        <w:t>(d)</w:t>
      </w:r>
      <w:r>
        <w:rPr>
          <w:sz w:val="24"/>
        </w:rPr>
        <w:tab/>
      </w:r>
      <w:r>
        <w:rPr>
          <w:b/>
          <w:sz w:val="24"/>
        </w:rPr>
        <w:t xml:space="preserve">Local customary rights or under the </w:t>
      </w:r>
      <w:r>
        <w:rPr>
          <w:b/>
          <w:i/>
          <w:sz w:val="24"/>
        </w:rPr>
        <w:t>Countryside and Rights of Way Act 2000</w:t>
      </w:r>
    </w:p>
    <w:p w14:paraId="673FEC19" w14:textId="77777777" w:rsidR="00574383" w:rsidRDefault="00574383" w:rsidP="00574383">
      <w:pPr>
        <w:numPr>
          <w:ilvl w:val="12"/>
          <w:numId w:val="0"/>
        </w:numPr>
        <w:ind w:left="720" w:hanging="720"/>
        <w:rPr>
          <w:sz w:val="24"/>
        </w:rPr>
      </w:pPr>
      <w:r>
        <w:rPr>
          <w:sz w:val="24"/>
        </w:rPr>
        <w:tab/>
      </w:r>
    </w:p>
    <w:p w14:paraId="1A5176DE" w14:textId="77777777" w:rsidR="00574383" w:rsidRDefault="00574383" w:rsidP="00574383">
      <w:pPr>
        <w:numPr>
          <w:ilvl w:val="12"/>
          <w:numId w:val="0"/>
        </w:numPr>
        <w:ind w:left="720"/>
        <w:rPr>
          <w:sz w:val="24"/>
        </w:rPr>
      </w:pPr>
      <w:r>
        <w:rPr>
          <w:sz w:val="24"/>
        </w:rPr>
        <w:t xml:space="preserve">We have seen that a body of people without a legal </w:t>
      </w:r>
      <w:proofErr w:type="spellStart"/>
      <w:r>
        <w:rPr>
          <w:sz w:val="24"/>
        </w:rPr>
        <w:t>personalty</w:t>
      </w:r>
      <w:proofErr w:type="spellEnd"/>
      <w:r>
        <w:rPr>
          <w:sz w:val="24"/>
        </w:rPr>
        <w:t xml:space="preserve">, such as the inhabitants of a particular town, cannot claim an easement as they are not a capable grantee.  However, they would claim, for example, the right to fish in the local pond as a customary right or a right to roam under the above statute.  </w:t>
      </w:r>
    </w:p>
    <w:p w14:paraId="4249D8D2" w14:textId="77777777" w:rsidR="00574383" w:rsidRDefault="00574383" w:rsidP="00574383">
      <w:pPr>
        <w:numPr>
          <w:ilvl w:val="12"/>
          <w:numId w:val="0"/>
        </w:numPr>
        <w:ind w:left="720" w:hanging="720"/>
        <w:rPr>
          <w:sz w:val="24"/>
        </w:rPr>
      </w:pPr>
    </w:p>
    <w:p w14:paraId="260FD6A5" w14:textId="77777777" w:rsidR="00574383" w:rsidRDefault="00574383" w:rsidP="00574383">
      <w:pPr>
        <w:numPr>
          <w:ilvl w:val="12"/>
          <w:numId w:val="0"/>
        </w:numPr>
        <w:ind w:left="720" w:hanging="720"/>
        <w:rPr>
          <w:sz w:val="24"/>
        </w:rPr>
      </w:pPr>
      <w:r>
        <w:rPr>
          <w:sz w:val="24"/>
        </w:rPr>
        <w:t>(e)</w:t>
      </w:r>
      <w:r>
        <w:rPr>
          <w:sz w:val="24"/>
        </w:rPr>
        <w:tab/>
      </w:r>
      <w:r>
        <w:rPr>
          <w:b/>
          <w:sz w:val="24"/>
        </w:rPr>
        <w:t>Natural rights</w:t>
      </w:r>
    </w:p>
    <w:p w14:paraId="48AA3010" w14:textId="77777777" w:rsidR="00574383" w:rsidRDefault="00574383" w:rsidP="00574383">
      <w:pPr>
        <w:numPr>
          <w:ilvl w:val="12"/>
          <w:numId w:val="0"/>
        </w:numPr>
        <w:ind w:left="720" w:hanging="720"/>
        <w:rPr>
          <w:sz w:val="24"/>
        </w:rPr>
      </w:pPr>
      <w:r>
        <w:rPr>
          <w:sz w:val="24"/>
        </w:rPr>
        <w:tab/>
      </w:r>
    </w:p>
    <w:p w14:paraId="4402B186" w14:textId="77777777" w:rsidR="00574383" w:rsidRDefault="00574383" w:rsidP="00574383">
      <w:pPr>
        <w:numPr>
          <w:ilvl w:val="12"/>
          <w:numId w:val="0"/>
        </w:numPr>
        <w:ind w:left="720"/>
        <w:rPr>
          <w:sz w:val="24"/>
        </w:rPr>
      </w:pPr>
      <w:r>
        <w:rPr>
          <w:sz w:val="24"/>
        </w:rPr>
        <w:t>For example, rights of drainage from one area of land to another, provided that this occurs by natural and not manmade means.</w:t>
      </w:r>
    </w:p>
    <w:p w14:paraId="3661481C" w14:textId="77777777" w:rsidR="00574383" w:rsidRDefault="00574383" w:rsidP="00574383">
      <w:pPr>
        <w:numPr>
          <w:ilvl w:val="12"/>
          <w:numId w:val="0"/>
        </w:numPr>
        <w:ind w:left="720" w:hanging="720"/>
        <w:rPr>
          <w:sz w:val="24"/>
        </w:rPr>
      </w:pPr>
    </w:p>
    <w:p w14:paraId="4D181943" w14:textId="77777777" w:rsidR="00574383" w:rsidRDefault="00574383" w:rsidP="00574383">
      <w:pPr>
        <w:numPr>
          <w:ilvl w:val="12"/>
          <w:numId w:val="0"/>
        </w:numPr>
        <w:ind w:left="720" w:hanging="720"/>
        <w:rPr>
          <w:sz w:val="24"/>
        </w:rPr>
      </w:pPr>
      <w:r>
        <w:rPr>
          <w:sz w:val="24"/>
        </w:rPr>
        <w:lastRenderedPageBreak/>
        <w:t>(f)</w:t>
      </w:r>
      <w:r>
        <w:rPr>
          <w:sz w:val="24"/>
        </w:rPr>
        <w:tab/>
      </w:r>
      <w:r>
        <w:rPr>
          <w:b/>
          <w:sz w:val="24"/>
        </w:rPr>
        <w:t>Public rights</w:t>
      </w:r>
    </w:p>
    <w:p w14:paraId="308DF6EF" w14:textId="77777777" w:rsidR="00574383" w:rsidRDefault="00574383" w:rsidP="00574383">
      <w:pPr>
        <w:numPr>
          <w:ilvl w:val="12"/>
          <w:numId w:val="0"/>
        </w:numPr>
        <w:ind w:left="720" w:hanging="720"/>
        <w:rPr>
          <w:sz w:val="24"/>
        </w:rPr>
      </w:pPr>
      <w:r>
        <w:rPr>
          <w:sz w:val="24"/>
        </w:rPr>
        <w:tab/>
      </w:r>
    </w:p>
    <w:p w14:paraId="5146EF43" w14:textId="77777777" w:rsidR="00574383" w:rsidRDefault="00574383" w:rsidP="00574383">
      <w:pPr>
        <w:numPr>
          <w:ilvl w:val="12"/>
          <w:numId w:val="0"/>
        </w:numPr>
        <w:ind w:left="720"/>
        <w:rPr>
          <w:sz w:val="24"/>
        </w:rPr>
      </w:pPr>
      <w:r>
        <w:rPr>
          <w:sz w:val="24"/>
        </w:rPr>
        <w:t>Perhaps the most important of these is the right to use a public highway, which is available to all members of the public and does not depend on a grant.</w:t>
      </w:r>
    </w:p>
    <w:p w14:paraId="2955BF46" w14:textId="77777777" w:rsidR="00574383" w:rsidRDefault="00574383" w:rsidP="00574383">
      <w:pPr>
        <w:numPr>
          <w:ilvl w:val="12"/>
          <w:numId w:val="0"/>
        </w:numPr>
        <w:ind w:left="720" w:hanging="720"/>
        <w:rPr>
          <w:sz w:val="24"/>
        </w:rPr>
      </w:pPr>
    </w:p>
    <w:p w14:paraId="5997A36A" w14:textId="77777777" w:rsidR="00574383" w:rsidRDefault="00574383" w:rsidP="00574383">
      <w:pPr>
        <w:numPr>
          <w:ilvl w:val="12"/>
          <w:numId w:val="0"/>
        </w:numPr>
        <w:ind w:left="720" w:hanging="720"/>
        <w:rPr>
          <w:sz w:val="24"/>
        </w:rPr>
      </w:pPr>
    </w:p>
    <w:p w14:paraId="2965022F" w14:textId="77777777" w:rsidR="00574383" w:rsidRDefault="00574383" w:rsidP="00574383">
      <w:pPr>
        <w:numPr>
          <w:ilvl w:val="12"/>
          <w:numId w:val="0"/>
        </w:numPr>
        <w:rPr>
          <w:sz w:val="24"/>
        </w:rPr>
      </w:pPr>
      <w:r>
        <w:rPr>
          <w:b/>
          <w:sz w:val="24"/>
        </w:rPr>
        <w:t>Acquisition of Easements</w:t>
      </w:r>
    </w:p>
    <w:p w14:paraId="23119566" w14:textId="77777777" w:rsidR="00574383" w:rsidRDefault="00574383" w:rsidP="00574383">
      <w:pPr>
        <w:numPr>
          <w:ilvl w:val="12"/>
          <w:numId w:val="0"/>
        </w:numPr>
        <w:rPr>
          <w:sz w:val="24"/>
        </w:rPr>
      </w:pPr>
    </w:p>
    <w:p w14:paraId="749D391A" w14:textId="77777777" w:rsidR="00574383" w:rsidRDefault="00574383" w:rsidP="00574383">
      <w:pPr>
        <w:numPr>
          <w:ilvl w:val="12"/>
          <w:numId w:val="0"/>
        </w:numPr>
        <w:rPr>
          <w:sz w:val="24"/>
        </w:rPr>
      </w:pPr>
      <w:r>
        <w:rPr>
          <w:sz w:val="24"/>
        </w:rPr>
        <w:t xml:space="preserve">We have seen that the first step in answering a question about easements is to identify whether what is being exercised can be an easement, using the rules in </w:t>
      </w:r>
      <w:r>
        <w:rPr>
          <w:b/>
          <w:i/>
          <w:sz w:val="24"/>
        </w:rPr>
        <w:t>Re Ellenborough Park</w:t>
      </w:r>
      <w:r>
        <w:rPr>
          <w:sz w:val="24"/>
        </w:rPr>
        <w:t>.</w:t>
      </w:r>
    </w:p>
    <w:p w14:paraId="4EA48C7C" w14:textId="77777777" w:rsidR="00574383" w:rsidRDefault="00574383" w:rsidP="00574383">
      <w:pPr>
        <w:numPr>
          <w:ilvl w:val="12"/>
          <w:numId w:val="0"/>
        </w:numPr>
        <w:rPr>
          <w:sz w:val="24"/>
        </w:rPr>
      </w:pPr>
    </w:p>
    <w:p w14:paraId="19AE5C92" w14:textId="77777777" w:rsidR="00574383" w:rsidRDefault="00574383" w:rsidP="00574383">
      <w:pPr>
        <w:numPr>
          <w:ilvl w:val="12"/>
          <w:numId w:val="0"/>
        </w:numPr>
        <w:rPr>
          <w:sz w:val="24"/>
        </w:rPr>
      </w:pPr>
      <w:r>
        <w:rPr>
          <w:sz w:val="24"/>
        </w:rPr>
        <w:t>The second question to ask is “has the easement been acquired?”</w:t>
      </w:r>
    </w:p>
    <w:p w14:paraId="5122199D" w14:textId="77777777" w:rsidR="00574383" w:rsidRDefault="00574383" w:rsidP="00574383">
      <w:pPr>
        <w:numPr>
          <w:ilvl w:val="12"/>
          <w:numId w:val="0"/>
        </w:numPr>
        <w:rPr>
          <w:sz w:val="24"/>
        </w:rPr>
      </w:pPr>
    </w:p>
    <w:p w14:paraId="243D8E4E" w14:textId="77777777" w:rsidR="00574383" w:rsidRDefault="00574383" w:rsidP="00574383">
      <w:pPr>
        <w:numPr>
          <w:ilvl w:val="12"/>
          <w:numId w:val="0"/>
        </w:numPr>
        <w:rPr>
          <w:sz w:val="24"/>
        </w:rPr>
      </w:pPr>
      <w:r>
        <w:rPr>
          <w:sz w:val="24"/>
        </w:rPr>
        <w:t>Easements can be acquired:</w:t>
      </w:r>
    </w:p>
    <w:p w14:paraId="6888F9E2" w14:textId="77777777" w:rsidR="00574383" w:rsidRDefault="00574383" w:rsidP="00574383">
      <w:pPr>
        <w:numPr>
          <w:ilvl w:val="12"/>
          <w:numId w:val="0"/>
        </w:numPr>
        <w:rPr>
          <w:sz w:val="24"/>
        </w:rPr>
      </w:pPr>
    </w:p>
    <w:p w14:paraId="69E7521A" w14:textId="77777777" w:rsidR="00574383" w:rsidRDefault="00574383" w:rsidP="00574383">
      <w:pPr>
        <w:numPr>
          <w:ilvl w:val="0"/>
          <w:numId w:val="16"/>
        </w:numPr>
        <w:rPr>
          <w:sz w:val="24"/>
        </w:rPr>
      </w:pPr>
      <w:r>
        <w:rPr>
          <w:sz w:val="24"/>
        </w:rPr>
        <w:t xml:space="preserve">Expressly (by grant or reservation or statute); or </w:t>
      </w:r>
    </w:p>
    <w:p w14:paraId="6A45AB13" w14:textId="77777777" w:rsidR="00574383" w:rsidRDefault="00574383" w:rsidP="00574383">
      <w:pPr>
        <w:ind w:left="720"/>
        <w:rPr>
          <w:sz w:val="24"/>
        </w:rPr>
      </w:pPr>
    </w:p>
    <w:p w14:paraId="0DC0ECDE" w14:textId="77777777" w:rsidR="00574383" w:rsidRDefault="00574383" w:rsidP="00574383">
      <w:pPr>
        <w:numPr>
          <w:ilvl w:val="0"/>
          <w:numId w:val="16"/>
        </w:numPr>
        <w:rPr>
          <w:sz w:val="24"/>
        </w:rPr>
      </w:pPr>
      <w:r>
        <w:rPr>
          <w:sz w:val="24"/>
        </w:rPr>
        <w:t xml:space="preserve">By implication; or </w:t>
      </w:r>
    </w:p>
    <w:p w14:paraId="3D4BC8E1" w14:textId="77777777" w:rsidR="00574383" w:rsidRDefault="00574383" w:rsidP="00574383">
      <w:pPr>
        <w:rPr>
          <w:sz w:val="24"/>
        </w:rPr>
      </w:pPr>
    </w:p>
    <w:p w14:paraId="1F663D7A" w14:textId="77777777" w:rsidR="00574383" w:rsidRDefault="00574383" w:rsidP="00574383">
      <w:pPr>
        <w:numPr>
          <w:ilvl w:val="0"/>
          <w:numId w:val="16"/>
        </w:numPr>
        <w:rPr>
          <w:sz w:val="24"/>
        </w:rPr>
      </w:pPr>
      <w:r>
        <w:rPr>
          <w:sz w:val="24"/>
        </w:rPr>
        <w:t>By prescription.</w:t>
      </w:r>
    </w:p>
    <w:p w14:paraId="30512DB7" w14:textId="77777777" w:rsidR="00574383" w:rsidRDefault="00574383" w:rsidP="00574383">
      <w:pPr>
        <w:rPr>
          <w:b/>
          <w:sz w:val="24"/>
        </w:rPr>
      </w:pPr>
    </w:p>
    <w:p w14:paraId="35538864" w14:textId="77777777" w:rsidR="00574383" w:rsidRDefault="00574383" w:rsidP="00574383">
      <w:pPr>
        <w:numPr>
          <w:ilvl w:val="12"/>
          <w:numId w:val="0"/>
        </w:numPr>
        <w:rPr>
          <w:b/>
          <w:sz w:val="24"/>
        </w:rPr>
      </w:pPr>
    </w:p>
    <w:p w14:paraId="60A44608" w14:textId="77777777" w:rsidR="00574383" w:rsidRDefault="00574383" w:rsidP="00574383">
      <w:pPr>
        <w:numPr>
          <w:ilvl w:val="12"/>
          <w:numId w:val="0"/>
        </w:numPr>
        <w:rPr>
          <w:b/>
          <w:sz w:val="24"/>
        </w:rPr>
      </w:pPr>
      <w:r>
        <w:rPr>
          <w:b/>
          <w:sz w:val="24"/>
        </w:rPr>
        <w:t>Express Acquisition</w:t>
      </w:r>
    </w:p>
    <w:p w14:paraId="191F9BB7" w14:textId="77777777" w:rsidR="00574383" w:rsidRDefault="00574383" w:rsidP="00574383">
      <w:pPr>
        <w:numPr>
          <w:ilvl w:val="12"/>
          <w:numId w:val="0"/>
        </w:numPr>
        <w:rPr>
          <w:b/>
          <w:sz w:val="24"/>
        </w:rPr>
      </w:pPr>
    </w:p>
    <w:p w14:paraId="6CA58A27" w14:textId="77777777" w:rsidR="00574383" w:rsidRDefault="00574383" w:rsidP="00574383">
      <w:pPr>
        <w:numPr>
          <w:ilvl w:val="12"/>
          <w:numId w:val="0"/>
        </w:numPr>
        <w:rPr>
          <w:sz w:val="24"/>
        </w:rPr>
      </w:pPr>
      <w:r>
        <w:rPr>
          <w:b/>
          <w:sz w:val="24"/>
        </w:rPr>
        <w:t>Statutory</w:t>
      </w:r>
      <w:r>
        <w:rPr>
          <w:sz w:val="24"/>
        </w:rPr>
        <w:t xml:space="preserve"> - for example, rights for electricity and other services to pass under land. These statutory rights are given to Statutory Undertakers.</w:t>
      </w:r>
    </w:p>
    <w:p w14:paraId="25B1EFBB" w14:textId="77777777" w:rsidR="00574383" w:rsidRDefault="00574383" w:rsidP="00574383">
      <w:pPr>
        <w:numPr>
          <w:ilvl w:val="12"/>
          <w:numId w:val="0"/>
        </w:numPr>
        <w:rPr>
          <w:sz w:val="24"/>
        </w:rPr>
      </w:pPr>
    </w:p>
    <w:p w14:paraId="3646B2A0" w14:textId="77777777" w:rsidR="00574383" w:rsidRDefault="00574383" w:rsidP="00574383">
      <w:pPr>
        <w:numPr>
          <w:ilvl w:val="12"/>
          <w:numId w:val="0"/>
        </w:numPr>
        <w:rPr>
          <w:sz w:val="24"/>
        </w:rPr>
      </w:pPr>
      <w:r>
        <w:rPr>
          <w:b/>
          <w:sz w:val="24"/>
        </w:rPr>
        <w:t>Express Reservation</w:t>
      </w:r>
      <w:r>
        <w:rPr>
          <w:sz w:val="24"/>
        </w:rPr>
        <w:t xml:space="preserve"> - if A owns Heath House and sells part of the garden to B who builds Rose Cottage, A might wish to </w:t>
      </w:r>
      <w:r>
        <w:rPr>
          <w:sz w:val="24"/>
          <w:u w:val="single"/>
        </w:rPr>
        <w:t>reserve</w:t>
      </w:r>
      <w:r>
        <w:rPr>
          <w:sz w:val="24"/>
        </w:rPr>
        <w:t xml:space="preserve"> himself the right to use B’s land in some way; for example, his water pipe may cross B’s land.  In such circumstances he would try to ensure that the deed transferring the land to B expressly provided for this.</w:t>
      </w:r>
    </w:p>
    <w:p w14:paraId="513F67DC" w14:textId="77777777" w:rsidR="00574383" w:rsidRDefault="00574383" w:rsidP="00574383">
      <w:pPr>
        <w:numPr>
          <w:ilvl w:val="12"/>
          <w:numId w:val="0"/>
        </w:numPr>
        <w:rPr>
          <w:sz w:val="24"/>
        </w:rPr>
      </w:pPr>
    </w:p>
    <w:p w14:paraId="0880448F" w14:textId="77777777" w:rsidR="00574383" w:rsidRDefault="00574383" w:rsidP="00574383">
      <w:pPr>
        <w:numPr>
          <w:ilvl w:val="12"/>
          <w:numId w:val="0"/>
        </w:numPr>
        <w:rPr>
          <w:sz w:val="24"/>
        </w:rPr>
      </w:pPr>
      <w:r>
        <w:rPr>
          <w:b/>
          <w:sz w:val="24"/>
        </w:rPr>
        <w:t>Express Grant</w:t>
      </w:r>
      <w:r>
        <w:rPr>
          <w:sz w:val="24"/>
        </w:rPr>
        <w:t xml:space="preserve"> - take the situation described above, but imagine that B needs to use A’s land in some way; for example, the driveway by which B reaches the main road passes through A’s land.  B will insist that there is an express </w:t>
      </w:r>
      <w:r>
        <w:rPr>
          <w:sz w:val="24"/>
          <w:u w:val="single"/>
        </w:rPr>
        <w:t>grant</w:t>
      </w:r>
      <w:r>
        <w:rPr>
          <w:sz w:val="24"/>
        </w:rPr>
        <w:t xml:space="preserve"> for this right of way in the transfer to him.  </w:t>
      </w:r>
    </w:p>
    <w:p w14:paraId="3BD2C910" w14:textId="77777777" w:rsidR="00574383" w:rsidRDefault="00574383" w:rsidP="00574383">
      <w:pPr>
        <w:numPr>
          <w:ilvl w:val="12"/>
          <w:numId w:val="0"/>
        </w:numPr>
        <w:rPr>
          <w:sz w:val="24"/>
        </w:rPr>
      </w:pPr>
    </w:p>
    <w:p w14:paraId="20783D9C" w14:textId="77777777" w:rsidR="00574383" w:rsidRDefault="00574383" w:rsidP="00574383">
      <w:pPr>
        <w:numPr>
          <w:ilvl w:val="12"/>
          <w:numId w:val="0"/>
        </w:numPr>
        <w:rPr>
          <w:sz w:val="24"/>
        </w:rPr>
      </w:pPr>
      <w:r>
        <w:rPr>
          <w:sz w:val="24"/>
        </w:rPr>
        <w:t>The diagram on the following page illustrates this.</w:t>
      </w:r>
    </w:p>
    <w:p w14:paraId="3FE0587F" w14:textId="77777777" w:rsidR="00574383" w:rsidRDefault="00574383" w:rsidP="00574383">
      <w:pPr>
        <w:numPr>
          <w:ilvl w:val="12"/>
          <w:numId w:val="0"/>
        </w:numPr>
        <w:rPr>
          <w:sz w:val="24"/>
        </w:rPr>
      </w:pPr>
      <w:r>
        <w:rPr>
          <w:sz w:val="24"/>
        </w:rPr>
        <w:br w:type="page"/>
      </w:r>
    </w:p>
    <w:p w14:paraId="1CAFDD46" w14:textId="231983B4" w:rsidR="00574383" w:rsidRDefault="00574383" w:rsidP="00574383">
      <w:pPr>
        <w:numPr>
          <w:ilvl w:val="12"/>
          <w:numId w:val="0"/>
        </w:numPr>
        <w:rPr>
          <w:sz w:val="24"/>
        </w:rPr>
      </w:pPr>
      <w:r>
        <w:rPr>
          <w:noProof/>
        </w:rPr>
        <w:lastRenderedPageBreak/>
        <mc:AlternateContent>
          <mc:Choice Requires="wps">
            <w:drawing>
              <wp:anchor distT="0" distB="0" distL="114300" distR="114300" simplePos="0" relativeHeight="251658240" behindDoc="0" locked="0" layoutInCell="1" allowOverlap="1" wp14:anchorId="5C297E53" wp14:editId="70A91F0F">
                <wp:simplePos x="0" y="0"/>
                <wp:positionH relativeFrom="column">
                  <wp:posOffset>0</wp:posOffset>
                </wp:positionH>
                <wp:positionV relativeFrom="paragraph">
                  <wp:posOffset>84455</wp:posOffset>
                </wp:positionV>
                <wp:extent cx="914400" cy="342900"/>
                <wp:effectExtent l="9525" t="8255" r="9525" b="10795"/>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42900"/>
                        </a:xfrm>
                        <a:prstGeom prst="rect">
                          <a:avLst/>
                        </a:prstGeom>
                        <a:solidFill>
                          <a:srgbClr val="FFFFFF"/>
                        </a:solidFill>
                        <a:ln w="9525">
                          <a:solidFill>
                            <a:srgbClr val="000000"/>
                          </a:solidFill>
                          <a:miter lim="800000"/>
                          <a:headEnd/>
                          <a:tailEnd/>
                        </a:ln>
                      </wps:spPr>
                      <wps:txbx>
                        <w:txbxContent>
                          <w:p w14:paraId="0E888917" w14:textId="77777777" w:rsidR="00574383" w:rsidRDefault="00574383" w:rsidP="00574383">
                            <w:pPr>
                              <w:shd w:val="thinDiagStripe" w:color="auto" w:fill="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C297E53" id="_x0000_t202" coordsize="21600,21600" o:spt="202" path="m,l,21600r21600,l21600,xe">
                <v:stroke joinstyle="miter"/>
                <v:path gradientshapeok="t" o:connecttype="rect"/>
              </v:shapetype>
              <v:shape id="Text Box 42" o:spid="_x0000_s1026" type="#_x0000_t202" style="position:absolute;margin-left:0;margin-top:6.65pt;width:1in;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">
                <v:textbox>
                  <w:txbxContent>
                    <w:p w14:paraId="0E888917" w14:textId="77777777" w:rsidR="00574383" w:rsidRDefault="00574383" w:rsidP="00574383">
                      <w:pPr>
                        <w:shd w:val="thinDiagStripe" w:color="auto" w:fill="auto"/>
                      </w:pPr>
                    </w:p>
                  </w:txbxContent>
                </v:textbox>
              </v:shape>
            </w:pict>
          </mc:Fallback>
        </mc:AlternateContent>
      </w:r>
    </w:p>
    <w:p w14:paraId="21C897CE" w14:textId="77777777" w:rsidR="00574383" w:rsidRDefault="00574383" w:rsidP="00574383">
      <w:pPr>
        <w:numPr>
          <w:ilvl w:val="12"/>
          <w:numId w:val="0"/>
        </w:numPr>
        <w:rPr>
          <w:sz w:val="24"/>
        </w:rPr>
      </w:pPr>
      <w:r>
        <w:rPr>
          <w:sz w:val="24"/>
        </w:rPr>
        <w:t xml:space="preserve">                        Driveway used by B</w:t>
      </w:r>
    </w:p>
    <w:p w14:paraId="2774775B" w14:textId="77777777" w:rsidR="00574383" w:rsidRDefault="00574383" w:rsidP="00574383">
      <w:pPr>
        <w:numPr>
          <w:ilvl w:val="12"/>
          <w:numId w:val="0"/>
        </w:numPr>
        <w:rPr>
          <w:sz w:val="24"/>
        </w:rPr>
      </w:pPr>
    </w:p>
    <w:p w14:paraId="3A139668" w14:textId="77777777" w:rsidR="00574383" w:rsidRDefault="00574383" w:rsidP="00574383">
      <w:pPr>
        <w:numPr>
          <w:ilvl w:val="12"/>
          <w:numId w:val="0"/>
        </w:numPr>
        <w:rPr>
          <w:sz w:val="24"/>
        </w:rPr>
      </w:pPr>
    </w:p>
    <w:p w14:paraId="1C7DDE0A" w14:textId="5C2518DB" w:rsidR="00574383" w:rsidRDefault="00574383" w:rsidP="00574383">
      <w:pPr>
        <w:numPr>
          <w:ilvl w:val="12"/>
          <w:numId w:val="0"/>
        </w:numPr>
        <w:rPr>
          <w:sz w:val="24"/>
        </w:rPr>
      </w:pPr>
      <w:r>
        <w:rPr>
          <w:noProof/>
        </w:rPr>
        <mc:AlternateContent>
          <mc:Choice Requires="wps">
            <w:drawing>
              <wp:anchor distT="0" distB="0" distL="114300" distR="114300" simplePos="0" relativeHeight="251658240" behindDoc="0" locked="0" layoutInCell="1" allowOverlap="1" wp14:anchorId="3EE01340" wp14:editId="3BD45747">
                <wp:simplePos x="0" y="0"/>
                <wp:positionH relativeFrom="column">
                  <wp:posOffset>0</wp:posOffset>
                </wp:positionH>
                <wp:positionV relativeFrom="paragraph">
                  <wp:posOffset>69215</wp:posOffset>
                </wp:positionV>
                <wp:extent cx="908050" cy="0"/>
                <wp:effectExtent l="9525" t="12065" r="6350" b="698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8050" cy="0"/>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4E354B" id="Straight Connector 4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45pt" to="71.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">
                <v:stroke dashstyle="dash"/>
              </v:line>
            </w:pict>
          </mc:Fallback>
        </mc:AlternateContent>
      </w:r>
      <w:r>
        <w:rPr>
          <w:sz w:val="24"/>
        </w:rPr>
        <w:tab/>
      </w:r>
      <w:r>
        <w:rPr>
          <w:sz w:val="24"/>
        </w:rPr>
        <w:tab/>
        <w:t xml:space="preserve">   Water pipe used by A</w:t>
      </w:r>
    </w:p>
    <w:p w14:paraId="23BBD956" w14:textId="77777777" w:rsidR="00574383" w:rsidRDefault="00574383" w:rsidP="00574383">
      <w:pPr>
        <w:numPr>
          <w:ilvl w:val="12"/>
          <w:numId w:val="0"/>
        </w:numPr>
        <w:rPr>
          <w:sz w:val="24"/>
        </w:rPr>
      </w:pPr>
    </w:p>
    <w:p w14:paraId="788D7874" w14:textId="77777777" w:rsidR="00574383" w:rsidRDefault="00574383" w:rsidP="00574383">
      <w:pPr>
        <w:numPr>
          <w:ilvl w:val="12"/>
          <w:numId w:val="0"/>
        </w:numPr>
        <w:rPr>
          <w:sz w:val="24"/>
        </w:rPr>
      </w:pPr>
    </w:p>
    <w:p w14:paraId="6652ED87" w14:textId="77777777" w:rsidR="00574383" w:rsidRDefault="00574383" w:rsidP="00574383">
      <w:pPr>
        <w:numPr>
          <w:ilvl w:val="12"/>
          <w:numId w:val="0"/>
        </w:numPr>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494"/>
        <w:gridCol w:w="550"/>
        <w:gridCol w:w="2970"/>
        <w:gridCol w:w="1100"/>
        <w:gridCol w:w="1705"/>
      </w:tblGrid>
      <w:tr w:rsidR="00574383" w14:paraId="5B97F8D1" w14:textId="77777777">
        <w:trPr>
          <w:trHeight w:val="746"/>
        </w:trPr>
        <w:tc>
          <w:tcPr>
            <w:tcW w:w="1704" w:type="dxa"/>
            <w:tcBorders>
              <w:top w:val="single" w:sz="4" w:space="0" w:color="auto"/>
              <w:left w:val="single" w:sz="4" w:space="0" w:color="auto"/>
              <w:bottom w:val="nil"/>
              <w:right w:val="nil"/>
            </w:tcBorders>
          </w:tcPr>
          <w:p w14:paraId="166F49C2" w14:textId="77777777" w:rsidR="00574383" w:rsidRDefault="00574383">
            <w:pPr>
              <w:numPr>
                <w:ilvl w:val="12"/>
                <w:numId w:val="0"/>
              </w:numPr>
              <w:rPr>
                <w:sz w:val="24"/>
              </w:rPr>
            </w:pPr>
          </w:p>
          <w:p w14:paraId="466D58AA" w14:textId="77777777" w:rsidR="00574383" w:rsidRDefault="00574383">
            <w:pPr>
              <w:numPr>
                <w:ilvl w:val="12"/>
                <w:numId w:val="0"/>
              </w:numPr>
              <w:rPr>
                <w:sz w:val="24"/>
              </w:rPr>
            </w:pPr>
            <w:r>
              <w:rPr>
                <w:sz w:val="24"/>
              </w:rPr>
              <w:t>B’s land</w:t>
            </w:r>
          </w:p>
          <w:p w14:paraId="6BEF4CA5" w14:textId="77777777" w:rsidR="00574383" w:rsidRDefault="00574383">
            <w:pPr>
              <w:numPr>
                <w:ilvl w:val="12"/>
                <w:numId w:val="0"/>
              </w:numPr>
              <w:rPr>
                <w:sz w:val="24"/>
              </w:rPr>
            </w:pPr>
          </w:p>
          <w:p w14:paraId="565C3C71" w14:textId="77777777" w:rsidR="00574383" w:rsidRDefault="00574383">
            <w:pPr>
              <w:numPr>
                <w:ilvl w:val="12"/>
                <w:numId w:val="0"/>
              </w:numPr>
              <w:rPr>
                <w:sz w:val="24"/>
              </w:rPr>
            </w:pPr>
          </w:p>
        </w:tc>
        <w:tc>
          <w:tcPr>
            <w:tcW w:w="494" w:type="dxa"/>
            <w:tcBorders>
              <w:top w:val="single" w:sz="4" w:space="0" w:color="auto"/>
              <w:left w:val="nil"/>
              <w:bottom w:val="single" w:sz="4" w:space="0" w:color="auto"/>
              <w:right w:val="nil"/>
            </w:tcBorders>
          </w:tcPr>
          <w:p w14:paraId="2B87A779" w14:textId="77777777" w:rsidR="00574383" w:rsidRDefault="00574383">
            <w:pPr>
              <w:numPr>
                <w:ilvl w:val="12"/>
                <w:numId w:val="0"/>
              </w:numPr>
              <w:rPr>
                <w:sz w:val="24"/>
              </w:rPr>
            </w:pPr>
          </w:p>
        </w:tc>
        <w:tc>
          <w:tcPr>
            <w:tcW w:w="550" w:type="dxa"/>
            <w:tcBorders>
              <w:top w:val="single" w:sz="4" w:space="0" w:color="auto"/>
              <w:left w:val="nil"/>
              <w:bottom w:val="single" w:sz="4" w:space="0" w:color="auto"/>
              <w:right w:val="nil"/>
            </w:tcBorders>
          </w:tcPr>
          <w:p w14:paraId="0E30A06E" w14:textId="77777777" w:rsidR="00574383" w:rsidRDefault="00574383">
            <w:pPr>
              <w:numPr>
                <w:ilvl w:val="12"/>
                <w:numId w:val="0"/>
              </w:numPr>
              <w:rPr>
                <w:sz w:val="24"/>
              </w:rPr>
            </w:pPr>
          </w:p>
          <w:p w14:paraId="7A875CC5" w14:textId="77777777" w:rsidR="00574383" w:rsidRDefault="00574383">
            <w:pPr>
              <w:numPr>
                <w:ilvl w:val="12"/>
                <w:numId w:val="0"/>
              </w:numPr>
              <w:rPr>
                <w:sz w:val="24"/>
              </w:rPr>
            </w:pPr>
          </w:p>
        </w:tc>
        <w:tc>
          <w:tcPr>
            <w:tcW w:w="2970" w:type="dxa"/>
            <w:tcBorders>
              <w:top w:val="single" w:sz="4" w:space="0" w:color="auto"/>
              <w:left w:val="nil"/>
              <w:bottom w:val="nil"/>
              <w:right w:val="single" w:sz="4" w:space="0" w:color="auto"/>
            </w:tcBorders>
            <w:hideMark/>
          </w:tcPr>
          <w:p w14:paraId="35FEF657" w14:textId="26776E5F"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1" allowOverlap="1" wp14:anchorId="354F5F5C" wp14:editId="08CFC9A5">
                      <wp:simplePos x="0" y="0"/>
                      <wp:positionH relativeFrom="column">
                        <wp:posOffset>-68580</wp:posOffset>
                      </wp:positionH>
                      <wp:positionV relativeFrom="paragraph">
                        <wp:posOffset>474345</wp:posOffset>
                      </wp:positionV>
                      <wp:extent cx="914400" cy="571500"/>
                      <wp:effectExtent l="7620" t="7620" r="11430" b="1143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571500"/>
                              </a:xfrm>
                              <a:prstGeom prst="rect">
                                <a:avLst/>
                              </a:prstGeom>
                              <a:solidFill>
                                <a:srgbClr val="FFFFFF"/>
                              </a:solidFill>
                              <a:ln w="9525">
                                <a:solidFill>
                                  <a:srgbClr val="000000"/>
                                </a:solidFill>
                                <a:miter lim="800000"/>
                                <a:headEnd/>
                                <a:tailEnd/>
                              </a:ln>
                            </wps:spPr>
                            <wps:txbx>
                              <w:txbxContent>
                                <w:p w14:paraId="459E1F7F" w14:textId="77777777" w:rsidR="00574383" w:rsidRDefault="00574383" w:rsidP="00574383">
                                  <w:pPr>
                                    <w:jc w:val="center"/>
                                  </w:pPr>
                                  <w:r>
                                    <w:t>Rose Cottage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4F5F5C" id="Text Box 40" o:spid="_x0000_s1027" type="#_x0000_t202" style="position:absolute;margin-left:-5.4pt;margin-top:37.35pt;width:1in;height: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">
                      <v:textbox>
                        <w:txbxContent>
                          <w:p w14:paraId="459E1F7F" w14:textId="77777777" w:rsidR="00574383" w:rsidRDefault="00574383" w:rsidP="00574383">
                            <w:pPr>
                              <w:jc w:val="center"/>
                            </w:pPr>
                            <w:r>
                              <w:t>Rose Cottage</w:t>
                            </w:r>
                          </w:p>
                        </w:txbxContent>
                      </v:textbox>
                    </v:shape>
                  </w:pict>
                </mc:Fallback>
              </mc:AlternateContent>
            </w:r>
          </w:p>
        </w:tc>
        <w:tc>
          <w:tcPr>
            <w:tcW w:w="1100" w:type="dxa"/>
            <w:vMerge w:val="restart"/>
            <w:tcBorders>
              <w:top w:val="nil"/>
              <w:left w:val="single" w:sz="4" w:space="0" w:color="auto"/>
              <w:bottom w:val="nil"/>
              <w:right w:val="single" w:sz="4" w:space="0" w:color="auto"/>
            </w:tcBorders>
            <w:textDirection w:val="btLr"/>
            <w:hideMark/>
          </w:tcPr>
          <w:p w14:paraId="113D3C5A" w14:textId="77777777" w:rsidR="00574383" w:rsidRDefault="00574383">
            <w:pPr>
              <w:numPr>
                <w:ilvl w:val="12"/>
                <w:numId w:val="0"/>
              </w:numPr>
              <w:ind w:left="113" w:right="113"/>
              <w:jc w:val="center"/>
              <w:rPr>
                <w:sz w:val="24"/>
              </w:rPr>
            </w:pPr>
            <w:r>
              <w:rPr>
                <w:sz w:val="24"/>
              </w:rPr>
              <w:t>THE LANE</w:t>
            </w:r>
          </w:p>
        </w:tc>
        <w:tc>
          <w:tcPr>
            <w:tcW w:w="1705" w:type="dxa"/>
            <w:vMerge w:val="restart"/>
            <w:tcBorders>
              <w:top w:val="nil"/>
              <w:left w:val="single" w:sz="4" w:space="0" w:color="auto"/>
              <w:bottom w:val="single" w:sz="4" w:space="0" w:color="auto"/>
              <w:right w:val="nil"/>
            </w:tcBorders>
          </w:tcPr>
          <w:p w14:paraId="75410CE1" w14:textId="77777777" w:rsidR="00574383" w:rsidRDefault="00574383">
            <w:pPr>
              <w:numPr>
                <w:ilvl w:val="12"/>
                <w:numId w:val="0"/>
              </w:numPr>
              <w:rPr>
                <w:sz w:val="24"/>
              </w:rPr>
            </w:pPr>
          </w:p>
        </w:tc>
      </w:tr>
      <w:tr w:rsidR="00574383" w14:paraId="10883CF3" w14:textId="77777777">
        <w:trPr>
          <w:trHeight w:val="90"/>
        </w:trPr>
        <w:tc>
          <w:tcPr>
            <w:tcW w:w="1704" w:type="dxa"/>
            <w:tcBorders>
              <w:top w:val="nil"/>
              <w:left w:val="single" w:sz="4" w:space="0" w:color="auto"/>
              <w:bottom w:val="nil"/>
              <w:right w:val="single" w:sz="4" w:space="0" w:color="auto"/>
            </w:tcBorders>
          </w:tcPr>
          <w:p w14:paraId="7031451C" w14:textId="77777777" w:rsidR="00574383" w:rsidRDefault="00574383">
            <w:pPr>
              <w:numPr>
                <w:ilvl w:val="12"/>
                <w:numId w:val="0"/>
              </w:numPr>
              <w:rPr>
                <w:sz w:val="24"/>
              </w:rPr>
            </w:pPr>
          </w:p>
        </w:tc>
        <w:tc>
          <w:tcPr>
            <w:tcW w:w="494" w:type="dxa"/>
            <w:tcBorders>
              <w:top w:val="single" w:sz="4" w:space="0" w:color="auto"/>
              <w:left w:val="single" w:sz="4" w:space="0" w:color="auto"/>
              <w:bottom w:val="nil"/>
              <w:right w:val="nil"/>
            </w:tcBorders>
            <w:shd w:val="thinDiagStripe" w:color="auto" w:fill="auto"/>
          </w:tcPr>
          <w:p w14:paraId="2D35458C" w14:textId="77777777" w:rsidR="00574383" w:rsidRDefault="00574383">
            <w:pPr>
              <w:numPr>
                <w:ilvl w:val="12"/>
                <w:numId w:val="0"/>
              </w:numPr>
              <w:rPr>
                <w:sz w:val="24"/>
              </w:rPr>
            </w:pPr>
          </w:p>
        </w:tc>
        <w:tc>
          <w:tcPr>
            <w:tcW w:w="550" w:type="dxa"/>
            <w:tcBorders>
              <w:top w:val="single" w:sz="4" w:space="0" w:color="auto"/>
              <w:left w:val="nil"/>
              <w:bottom w:val="single" w:sz="4" w:space="0" w:color="auto"/>
              <w:right w:val="nil"/>
            </w:tcBorders>
            <w:shd w:val="thinDiagStripe" w:color="auto" w:fill="auto"/>
          </w:tcPr>
          <w:p w14:paraId="6FB9E7CB" w14:textId="77777777" w:rsidR="00574383" w:rsidRDefault="00574383">
            <w:pPr>
              <w:numPr>
                <w:ilvl w:val="12"/>
                <w:numId w:val="0"/>
              </w:numPr>
              <w:rPr>
                <w:sz w:val="24"/>
              </w:rPr>
            </w:pPr>
          </w:p>
        </w:tc>
        <w:tc>
          <w:tcPr>
            <w:tcW w:w="2970" w:type="dxa"/>
            <w:tcBorders>
              <w:top w:val="nil"/>
              <w:left w:val="nil"/>
              <w:bottom w:val="nil"/>
              <w:right w:val="single" w:sz="4" w:space="0" w:color="auto"/>
            </w:tcBorders>
            <w:hideMark/>
          </w:tcPr>
          <w:p w14:paraId="49FE5214" w14:textId="35CC7B18"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1" allowOverlap="1" wp14:anchorId="410A0F7C" wp14:editId="2C0E25CA">
                      <wp:simplePos x="0" y="0"/>
                      <wp:positionH relativeFrom="column">
                        <wp:posOffset>1118870</wp:posOffset>
                      </wp:positionH>
                      <wp:positionV relativeFrom="paragraph">
                        <wp:posOffset>109855</wp:posOffset>
                      </wp:positionV>
                      <wp:extent cx="0" cy="1028700"/>
                      <wp:effectExtent l="13970" t="5080" r="5080" b="13970"/>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8700"/>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2E86CB" id="Straight Connector 3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8.1pt,8.65pt" to="88.1pt,8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">
                      <v:stroke dashstyle="dash"/>
                    </v:line>
                  </w:pict>
                </mc:Fallback>
              </mc:AlternateContent>
            </w:r>
            <w:r>
              <w:rPr>
                <w:noProof/>
              </w:rPr>
              <mc:AlternateContent>
                <mc:Choice Requires="wps">
                  <w:drawing>
                    <wp:anchor distT="0" distB="0" distL="114300" distR="114300" simplePos="0" relativeHeight="251658240" behindDoc="0" locked="0" layoutInCell="1" allowOverlap="1" wp14:anchorId="3A00D154" wp14:editId="01D1925B">
                      <wp:simplePos x="0" y="0"/>
                      <wp:positionH relativeFrom="column">
                        <wp:posOffset>1118870</wp:posOffset>
                      </wp:positionH>
                      <wp:positionV relativeFrom="paragraph">
                        <wp:posOffset>109855</wp:posOffset>
                      </wp:positionV>
                      <wp:extent cx="698500" cy="0"/>
                      <wp:effectExtent l="13970" t="5080" r="11430" b="13970"/>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98500" cy="0"/>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0E614E" id="Straight Connector 38"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8.1pt,8.65pt" to="143.1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">
                      <v:stroke dashstyle="dash"/>
                    </v:line>
                  </w:pict>
                </mc:Fallback>
              </mc:AlternateContent>
            </w:r>
          </w:p>
        </w:tc>
        <w:tc>
          <w:tcPr>
            <w:tcW w:w="0" w:type="auto"/>
            <w:vMerge/>
            <w:tcBorders>
              <w:top w:val="nil"/>
              <w:left w:val="single" w:sz="4" w:space="0" w:color="auto"/>
              <w:bottom w:val="nil"/>
              <w:right w:val="single" w:sz="4" w:space="0" w:color="auto"/>
            </w:tcBorders>
            <w:vAlign w:val="center"/>
            <w:hideMark/>
          </w:tcPr>
          <w:p w14:paraId="3C9FA281" w14:textId="77777777" w:rsidR="00574383" w:rsidRDefault="00574383">
            <w:pPr>
              <w:rPr>
                <w:sz w:val="24"/>
              </w:rPr>
            </w:pPr>
          </w:p>
        </w:tc>
        <w:tc>
          <w:tcPr>
            <w:tcW w:w="0" w:type="auto"/>
            <w:vMerge/>
            <w:tcBorders>
              <w:top w:val="nil"/>
              <w:left w:val="single" w:sz="4" w:space="0" w:color="auto"/>
              <w:bottom w:val="single" w:sz="4" w:space="0" w:color="auto"/>
              <w:right w:val="nil"/>
            </w:tcBorders>
            <w:vAlign w:val="center"/>
            <w:hideMark/>
          </w:tcPr>
          <w:p w14:paraId="532A1584" w14:textId="77777777" w:rsidR="00574383" w:rsidRDefault="00574383">
            <w:pPr>
              <w:rPr>
                <w:sz w:val="24"/>
              </w:rPr>
            </w:pPr>
          </w:p>
        </w:tc>
      </w:tr>
      <w:tr w:rsidR="00574383" w14:paraId="6555EC74" w14:textId="77777777">
        <w:tc>
          <w:tcPr>
            <w:tcW w:w="1704" w:type="dxa"/>
            <w:tcBorders>
              <w:top w:val="nil"/>
              <w:left w:val="single" w:sz="4" w:space="0" w:color="auto"/>
              <w:bottom w:val="single" w:sz="4" w:space="0" w:color="auto"/>
              <w:right w:val="single" w:sz="4" w:space="0" w:color="auto"/>
            </w:tcBorders>
          </w:tcPr>
          <w:p w14:paraId="55970181" w14:textId="77777777" w:rsidR="00574383" w:rsidRDefault="00574383">
            <w:pPr>
              <w:numPr>
                <w:ilvl w:val="12"/>
                <w:numId w:val="0"/>
              </w:numPr>
              <w:rPr>
                <w:sz w:val="24"/>
              </w:rPr>
            </w:pPr>
          </w:p>
          <w:p w14:paraId="1D2199CB" w14:textId="77777777" w:rsidR="00574383" w:rsidRDefault="00574383">
            <w:pPr>
              <w:numPr>
                <w:ilvl w:val="12"/>
                <w:numId w:val="0"/>
              </w:numPr>
              <w:rPr>
                <w:sz w:val="24"/>
              </w:rPr>
            </w:pPr>
          </w:p>
          <w:p w14:paraId="2D15B1C0" w14:textId="77777777" w:rsidR="00574383" w:rsidRDefault="00574383">
            <w:pPr>
              <w:numPr>
                <w:ilvl w:val="12"/>
                <w:numId w:val="0"/>
              </w:numPr>
              <w:rPr>
                <w:sz w:val="24"/>
              </w:rPr>
            </w:pPr>
          </w:p>
        </w:tc>
        <w:tc>
          <w:tcPr>
            <w:tcW w:w="494" w:type="dxa"/>
            <w:tcBorders>
              <w:top w:val="nil"/>
              <w:left w:val="single" w:sz="4" w:space="0" w:color="auto"/>
              <w:bottom w:val="single" w:sz="4" w:space="0" w:color="auto"/>
              <w:right w:val="single" w:sz="4" w:space="0" w:color="auto"/>
            </w:tcBorders>
            <w:shd w:val="thinDiagStripe" w:color="auto" w:fill="auto"/>
          </w:tcPr>
          <w:p w14:paraId="3450E4A6" w14:textId="77777777" w:rsidR="00574383" w:rsidRDefault="00574383">
            <w:pPr>
              <w:numPr>
                <w:ilvl w:val="12"/>
                <w:numId w:val="0"/>
              </w:numPr>
              <w:rPr>
                <w:sz w:val="24"/>
              </w:rPr>
            </w:pPr>
          </w:p>
        </w:tc>
        <w:tc>
          <w:tcPr>
            <w:tcW w:w="550" w:type="dxa"/>
            <w:tcBorders>
              <w:top w:val="single" w:sz="4" w:space="0" w:color="auto"/>
              <w:left w:val="single" w:sz="4" w:space="0" w:color="auto"/>
              <w:bottom w:val="single" w:sz="4" w:space="0" w:color="auto"/>
              <w:right w:val="nil"/>
            </w:tcBorders>
          </w:tcPr>
          <w:p w14:paraId="1E607C3D" w14:textId="77777777" w:rsidR="00574383" w:rsidRDefault="00574383">
            <w:pPr>
              <w:numPr>
                <w:ilvl w:val="12"/>
                <w:numId w:val="0"/>
              </w:numPr>
              <w:rPr>
                <w:sz w:val="24"/>
              </w:rPr>
            </w:pPr>
          </w:p>
        </w:tc>
        <w:tc>
          <w:tcPr>
            <w:tcW w:w="2970" w:type="dxa"/>
            <w:tcBorders>
              <w:top w:val="nil"/>
              <w:left w:val="nil"/>
              <w:bottom w:val="single" w:sz="4" w:space="0" w:color="auto"/>
              <w:right w:val="single" w:sz="4" w:space="0" w:color="auto"/>
            </w:tcBorders>
          </w:tcPr>
          <w:p w14:paraId="768AF205" w14:textId="77777777" w:rsidR="00574383" w:rsidRDefault="00574383">
            <w:pPr>
              <w:numPr>
                <w:ilvl w:val="12"/>
                <w:numId w:val="0"/>
              </w:numPr>
              <w:rPr>
                <w:sz w:val="24"/>
              </w:rPr>
            </w:pPr>
          </w:p>
        </w:tc>
        <w:tc>
          <w:tcPr>
            <w:tcW w:w="0" w:type="auto"/>
            <w:vMerge/>
            <w:tcBorders>
              <w:top w:val="nil"/>
              <w:left w:val="single" w:sz="4" w:space="0" w:color="auto"/>
              <w:bottom w:val="nil"/>
              <w:right w:val="single" w:sz="4" w:space="0" w:color="auto"/>
            </w:tcBorders>
            <w:vAlign w:val="center"/>
            <w:hideMark/>
          </w:tcPr>
          <w:p w14:paraId="4B739D0E" w14:textId="77777777" w:rsidR="00574383" w:rsidRDefault="00574383">
            <w:pPr>
              <w:rPr>
                <w:sz w:val="24"/>
              </w:rPr>
            </w:pPr>
          </w:p>
        </w:tc>
        <w:tc>
          <w:tcPr>
            <w:tcW w:w="0" w:type="auto"/>
            <w:vMerge/>
            <w:tcBorders>
              <w:top w:val="nil"/>
              <w:left w:val="single" w:sz="4" w:space="0" w:color="auto"/>
              <w:bottom w:val="single" w:sz="4" w:space="0" w:color="auto"/>
              <w:right w:val="nil"/>
            </w:tcBorders>
            <w:vAlign w:val="center"/>
            <w:hideMark/>
          </w:tcPr>
          <w:p w14:paraId="2D5D0A03" w14:textId="77777777" w:rsidR="00574383" w:rsidRDefault="00574383">
            <w:pPr>
              <w:rPr>
                <w:sz w:val="24"/>
              </w:rPr>
            </w:pPr>
          </w:p>
        </w:tc>
      </w:tr>
      <w:tr w:rsidR="00574383" w14:paraId="01221985" w14:textId="77777777">
        <w:tc>
          <w:tcPr>
            <w:tcW w:w="1704" w:type="dxa"/>
            <w:tcBorders>
              <w:top w:val="single" w:sz="4" w:space="0" w:color="auto"/>
              <w:left w:val="single" w:sz="4" w:space="0" w:color="auto"/>
              <w:bottom w:val="single" w:sz="4" w:space="0" w:color="auto"/>
              <w:right w:val="single" w:sz="4" w:space="0" w:color="auto"/>
            </w:tcBorders>
          </w:tcPr>
          <w:p w14:paraId="2C5D1667" w14:textId="77777777" w:rsidR="00574383" w:rsidRDefault="00574383">
            <w:pPr>
              <w:numPr>
                <w:ilvl w:val="12"/>
                <w:numId w:val="0"/>
              </w:numPr>
              <w:rPr>
                <w:sz w:val="24"/>
              </w:rPr>
            </w:pPr>
          </w:p>
          <w:p w14:paraId="0A31355A" w14:textId="77777777" w:rsidR="00574383" w:rsidRDefault="00574383">
            <w:pPr>
              <w:numPr>
                <w:ilvl w:val="12"/>
                <w:numId w:val="0"/>
              </w:numPr>
              <w:rPr>
                <w:sz w:val="24"/>
              </w:rPr>
            </w:pPr>
            <w:r>
              <w:rPr>
                <w:sz w:val="24"/>
              </w:rPr>
              <w:t>A’s land</w:t>
            </w:r>
          </w:p>
          <w:p w14:paraId="1CD87F8F" w14:textId="77777777" w:rsidR="00574383" w:rsidRDefault="00574383">
            <w:pPr>
              <w:numPr>
                <w:ilvl w:val="12"/>
                <w:numId w:val="0"/>
              </w:numPr>
              <w:rPr>
                <w:sz w:val="24"/>
              </w:rPr>
            </w:pPr>
          </w:p>
          <w:p w14:paraId="38A25DD4" w14:textId="77777777" w:rsidR="00574383" w:rsidRDefault="00574383">
            <w:pPr>
              <w:numPr>
                <w:ilvl w:val="12"/>
                <w:numId w:val="0"/>
              </w:numPr>
              <w:rPr>
                <w:sz w:val="24"/>
              </w:rPr>
            </w:pPr>
          </w:p>
          <w:p w14:paraId="47F64F6E" w14:textId="77777777" w:rsidR="00574383" w:rsidRDefault="00574383">
            <w:pPr>
              <w:numPr>
                <w:ilvl w:val="12"/>
                <w:numId w:val="0"/>
              </w:numPr>
              <w:rPr>
                <w:sz w:val="24"/>
              </w:rPr>
            </w:pPr>
          </w:p>
          <w:p w14:paraId="4F51F864" w14:textId="77777777" w:rsidR="00574383" w:rsidRDefault="00574383">
            <w:pPr>
              <w:numPr>
                <w:ilvl w:val="12"/>
                <w:numId w:val="0"/>
              </w:numPr>
              <w:rPr>
                <w:sz w:val="24"/>
              </w:rPr>
            </w:pPr>
          </w:p>
          <w:p w14:paraId="16B2EE78" w14:textId="77777777" w:rsidR="00574383" w:rsidRDefault="00574383">
            <w:pPr>
              <w:numPr>
                <w:ilvl w:val="12"/>
                <w:numId w:val="0"/>
              </w:numPr>
              <w:rPr>
                <w:sz w:val="24"/>
              </w:rPr>
            </w:pPr>
          </w:p>
          <w:p w14:paraId="697338C6" w14:textId="77777777" w:rsidR="00574383" w:rsidRDefault="00574383">
            <w:pPr>
              <w:numPr>
                <w:ilvl w:val="12"/>
                <w:numId w:val="0"/>
              </w:numPr>
              <w:rPr>
                <w:sz w:val="24"/>
              </w:rPr>
            </w:pPr>
          </w:p>
          <w:p w14:paraId="0455F334" w14:textId="77777777" w:rsidR="00574383" w:rsidRDefault="00574383">
            <w:pPr>
              <w:numPr>
                <w:ilvl w:val="12"/>
                <w:numId w:val="0"/>
              </w:numPr>
              <w:rPr>
                <w:sz w:val="24"/>
              </w:rPr>
            </w:pPr>
          </w:p>
        </w:tc>
        <w:tc>
          <w:tcPr>
            <w:tcW w:w="494" w:type="dxa"/>
            <w:tcBorders>
              <w:top w:val="single" w:sz="4" w:space="0" w:color="auto"/>
              <w:left w:val="single" w:sz="4" w:space="0" w:color="auto"/>
              <w:bottom w:val="single" w:sz="4" w:space="0" w:color="auto"/>
              <w:right w:val="single" w:sz="4" w:space="0" w:color="auto"/>
            </w:tcBorders>
            <w:shd w:val="thinDiagStripe" w:color="auto" w:fill="auto"/>
          </w:tcPr>
          <w:p w14:paraId="705FBB40" w14:textId="77777777" w:rsidR="00574383" w:rsidRDefault="00574383">
            <w:pPr>
              <w:numPr>
                <w:ilvl w:val="12"/>
                <w:numId w:val="0"/>
              </w:numPr>
              <w:rPr>
                <w:sz w:val="24"/>
              </w:rPr>
            </w:pPr>
          </w:p>
        </w:tc>
        <w:tc>
          <w:tcPr>
            <w:tcW w:w="3520" w:type="dxa"/>
            <w:gridSpan w:val="2"/>
            <w:tcBorders>
              <w:top w:val="single" w:sz="4" w:space="0" w:color="auto"/>
              <w:left w:val="single" w:sz="4" w:space="0" w:color="auto"/>
              <w:bottom w:val="single" w:sz="4" w:space="0" w:color="auto"/>
              <w:right w:val="single" w:sz="4" w:space="0" w:color="auto"/>
            </w:tcBorders>
            <w:hideMark/>
          </w:tcPr>
          <w:p w14:paraId="239F6A48" w14:textId="3644B1E0" w:rsidR="00574383" w:rsidRDefault="00574383">
            <w:pPr>
              <w:numPr>
                <w:ilvl w:val="12"/>
                <w:numId w:val="0"/>
              </w:numPr>
              <w:rPr>
                <w:sz w:val="24"/>
              </w:rPr>
            </w:pPr>
            <w:r>
              <w:rPr>
                <w:noProof/>
              </w:rPr>
              <mc:AlternateContent>
                <mc:Choice Requires="wps">
                  <w:drawing>
                    <wp:anchor distT="0" distB="0" distL="114300" distR="114300" simplePos="0" relativeHeight="251658240" behindDoc="0" locked="0" layoutInCell="1" allowOverlap="1" wp14:anchorId="4C6B4FB8" wp14:editId="5E4C7581">
                      <wp:simplePos x="0" y="0"/>
                      <wp:positionH relativeFrom="column">
                        <wp:posOffset>839470</wp:posOffset>
                      </wp:positionH>
                      <wp:positionV relativeFrom="paragraph">
                        <wp:posOffset>424815</wp:posOffset>
                      </wp:positionV>
                      <wp:extent cx="914400" cy="914400"/>
                      <wp:effectExtent l="10795" t="5715" r="8255" b="13335"/>
                      <wp:wrapNone/>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solidFill>
                                <a:srgbClr val="FFFFFF"/>
                              </a:solidFill>
                              <a:ln w="9525">
                                <a:solidFill>
                                  <a:srgbClr val="000000"/>
                                </a:solidFill>
                                <a:miter lim="800000"/>
                                <a:headEnd/>
                                <a:tailEnd/>
                              </a:ln>
                            </wps:spPr>
                            <wps:txbx>
                              <w:txbxContent>
                                <w:p w14:paraId="36EEAB3C" w14:textId="77777777" w:rsidR="00574383" w:rsidRDefault="00574383" w:rsidP="00574383">
                                  <w:pPr>
                                    <w:jc w:val="center"/>
                                  </w:pPr>
                                </w:p>
                                <w:p w14:paraId="7D2BFFA0" w14:textId="77777777" w:rsidR="00574383" w:rsidRDefault="00574383" w:rsidP="00574383">
                                  <w:pPr>
                                    <w:jc w:val="center"/>
                                  </w:pPr>
                                  <w:r>
                                    <w:t>Heath House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6B4FB8" id="Text Box 37" o:spid="_x0000_s1028" type="#_x0000_t202" style="position:absolute;margin-left:66.1pt;margin-top:33.45pt;width:1in;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">
                      <v:textbox>
                        <w:txbxContent>
                          <w:p w14:paraId="36EEAB3C" w14:textId="77777777" w:rsidR="00574383" w:rsidRDefault="00574383" w:rsidP="00574383">
                            <w:pPr>
                              <w:jc w:val="center"/>
                            </w:pPr>
                          </w:p>
                          <w:p w14:paraId="7D2BFFA0" w14:textId="77777777" w:rsidR="00574383" w:rsidRDefault="00574383" w:rsidP="00574383">
                            <w:pPr>
                              <w:jc w:val="center"/>
                            </w:pPr>
                            <w:r>
                              <w:t>Heath House</w:t>
                            </w:r>
                          </w:p>
                        </w:txbxContent>
                      </v:textbox>
                    </v:shape>
                  </w:pict>
                </mc:Fallback>
              </mc:AlternateContent>
            </w:r>
          </w:p>
        </w:tc>
        <w:tc>
          <w:tcPr>
            <w:tcW w:w="0" w:type="auto"/>
            <w:vMerge/>
            <w:tcBorders>
              <w:top w:val="nil"/>
              <w:left w:val="single" w:sz="4" w:space="0" w:color="auto"/>
              <w:bottom w:val="nil"/>
              <w:right w:val="single" w:sz="4" w:space="0" w:color="auto"/>
            </w:tcBorders>
            <w:vAlign w:val="center"/>
            <w:hideMark/>
          </w:tcPr>
          <w:p w14:paraId="35BD1284" w14:textId="77777777" w:rsidR="00574383" w:rsidRDefault="00574383">
            <w:pPr>
              <w:rPr>
                <w:sz w:val="24"/>
              </w:rPr>
            </w:pPr>
          </w:p>
        </w:tc>
        <w:tc>
          <w:tcPr>
            <w:tcW w:w="0" w:type="auto"/>
            <w:vMerge/>
            <w:tcBorders>
              <w:top w:val="nil"/>
              <w:left w:val="single" w:sz="4" w:space="0" w:color="auto"/>
              <w:bottom w:val="single" w:sz="4" w:space="0" w:color="auto"/>
              <w:right w:val="nil"/>
            </w:tcBorders>
            <w:vAlign w:val="center"/>
            <w:hideMark/>
          </w:tcPr>
          <w:p w14:paraId="317C1AEF" w14:textId="77777777" w:rsidR="00574383" w:rsidRDefault="00574383">
            <w:pPr>
              <w:rPr>
                <w:sz w:val="24"/>
              </w:rPr>
            </w:pPr>
          </w:p>
        </w:tc>
      </w:tr>
      <w:tr w:rsidR="00574383" w14:paraId="5AFADA88" w14:textId="77777777">
        <w:trPr>
          <w:trHeight w:val="892"/>
        </w:trPr>
        <w:tc>
          <w:tcPr>
            <w:tcW w:w="5718" w:type="dxa"/>
            <w:gridSpan w:val="4"/>
            <w:tcBorders>
              <w:top w:val="single" w:sz="4" w:space="0" w:color="auto"/>
              <w:left w:val="nil"/>
              <w:bottom w:val="single" w:sz="4" w:space="0" w:color="auto"/>
              <w:right w:val="nil"/>
            </w:tcBorders>
          </w:tcPr>
          <w:p w14:paraId="1439BCDD" w14:textId="77777777" w:rsidR="00574383" w:rsidRDefault="00574383">
            <w:pPr>
              <w:numPr>
                <w:ilvl w:val="12"/>
                <w:numId w:val="0"/>
              </w:numPr>
              <w:rPr>
                <w:sz w:val="24"/>
              </w:rPr>
            </w:pPr>
          </w:p>
          <w:p w14:paraId="060F30F3" w14:textId="77777777" w:rsidR="00574383" w:rsidRDefault="00574383">
            <w:pPr>
              <w:numPr>
                <w:ilvl w:val="12"/>
                <w:numId w:val="0"/>
              </w:numPr>
              <w:jc w:val="center"/>
              <w:rPr>
                <w:sz w:val="24"/>
              </w:rPr>
            </w:pPr>
            <w:r>
              <w:rPr>
                <w:sz w:val="24"/>
              </w:rPr>
              <w:t>LONG ROAD</w:t>
            </w:r>
          </w:p>
        </w:tc>
        <w:tc>
          <w:tcPr>
            <w:tcW w:w="1100" w:type="dxa"/>
            <w:tcBorders>
              <w:top w:val="nil"/>
              <w:left w:val="nil"/>
              <w:bottom w:val="single" w:sz="4" w:space="0" w:color="auto"/>
              <w:right w:val="nil"/>
            </w:tcBorders>
          </w:tcPr>
          <w:p w14:paraId="0FD57DE9" w14:textId="77777777" w:rsidR="00574383" w:rsidRDefault="00574383">
            <w:pPr>
              <w:numPr>
                <w:ilvl w:val="12"/>
                <w:numId w:val="0"/>
              </w:numPr>
              <w:rPr>
                <w:sz w:val="24"/>
              </w:rPr>
            </w:pPr>
          </w:p>
        </w:tc>
        <w:tc>
          <w:tcPr>
            <w:tcW w:w="1705" w:type="dxa"/>
            <w:tcBorders>
              <w:top w:val="single" w:sz="4" w:space="0" w:color="auto"/>
              <w:left w:val="nil"/>
              <w:bottom w:val="single" w:sz="4" w:space="0" w:color="auto"/>
              <w:right w:val="nil"/>
            </w:tcBorders>
          </w:tcPr>
          <w:p w14:paraId="0C4C0224" w14:textId="77777777" w:rsidR="00574383" w:rsidRDefault="00574383">
            <w:pPr>
              <w:numPr>
                <w:ilvl w:val="12"/>
                <w:numId w:val="0"/>
              </w:numPr>
              <w:rPr>
                <w:sz w:val="24"/>
              </w:rPr>
            </w:pPr>
          </w:p>
        </w:tc>
      </w:tr>
    </w:tbl>
    <w:p w14:paraId="649E857C" w14:textId="77777777" w:rsidR="00574383" w:rsidRDefault="00574383" w:rsidP="00574383">
      <w:pPr>
        <w:numPr>
          <w:ilvl w:val="12"/>
          <w:numId w:val="0"/>
        </w:numPr>
        <w:rPr>
          <w:sz w:val="24"/>
        </w:rPr>
      </w:pPr>
    </w:p>
    <w:p w14:paraId="3073C1C3" w14:textId="77777777" w:rsidR="00574383" w:rsidRDefault="00574383" w:rsidP="00574383">
      <w:pPr>
        <w:numPr>
          <w:ilvl w:val="12"/>
          <w:numId w:val="0"/>
        </w:numPr>
        <w:rPr>
          <w:b/>
          <w:sz w:val="24"/>
        </w:rPr>
      </w:pPr>
    </w:p>
    <w:p w14:paraId="63DD15E7" w14:textId="77777777" w:rsidR="00574383" w:rsidRDefault="00574383" w:rsidP="00574383">
      <w:pPr>
        <w:numPr>
          <w:ilvl w:val="12"/>
          <w:numId w:val="0"/>
        </w:numPr>
        <w:rPr>
          <w:b/>
          <w:sz w:val="24"/>
        </w:rPr>
      </w:pPr>
      <w:r>
        <w:rPr>
          <w:b/>
          <w:sz w:val="24"/>
        </w:rPr>
        <w:t>Acquisition by Implication</w:t>
      </w:r>
    </w:p>
    <w:p w14:paraId="339E245F" w14:textId="77777777" w:rsidR="00574383" w:rsidRDefault="00574383" w:rsidP="00574383">
      <w:pPr>
        <w:numPr>
          <w:ilvl w:val="12"/>
          <w:numId w:val="0"/>
        </w:numPr>
        <w:rPr>
          <w:sz w:val="24"/>
        </w:rPr>
      </w:pPr>
    </w:p>
    <w:p w14:paraId="54E6281A" w14:textId="77777777" w:rsidR="00574383" w:rsidRDefault="00574383" w:rsidP="00574383">
      <w:pPr>
        <w:numPr>
          <w:ilvl w:val="12"/>
          <w:numId w:val="0"/>
        </w:numPr>
        <w:rPr>
          <w:sz w:val="24"/>
        </w:rPr>
      </w:pPr>
      <w:r>
        <w:rPr>
          <w:sz w:val="24"/>
        </w:rPr>
        <w:t>Sometimes there is neither a statute nor a deed to assist.  In such cases, when trying to decide whether an easement has been acquired it is necessary to look at whether a grant or reservation can be implied from the surrounding circumstances.</w:t>
      </w:r>
    </w:p>
    <w:p w14:paraId="1C9D5440" w14:textId="77777777" w:rsidR="00574383" w:rsidRDefault="00574383" w:rsidP="00574383">
      <w:pPr>
        <w:numPr>
          <w:ilvl w:val="12"/>
          <w:numId w:val="0"/>
        </w:numPr>
        <w:rPr>
          <w:b/>
          <w:sz w:val="24"/>
          <w:u w:val="single"/>
        </w:rPr>
      </w:pPr>
    </w:p>
    <w:p w14:paraId="5AB5D6D1" w14:textId="77777777" w:rsidR="00574383" w:rsidRDefault="00574383" w:rsidP="00574383">
      <w:pPr>
        <w:numPr>
          <w:ilvl w:val="12"/>
          <w:numId w:val="0"/>
        </w:numPr>
        <w:rPr>
          <w:b/>
          <w:sz w:val="24"/>
          <w:u w:val="single"/>
        </w:rPr>
      </w:pPr>
      <w:r>
        <w:rPr>
          <w:b/>
          <w:sz w:val="24"/>
          <w:u w:val="single"/>
        </w:rPr>
        <w:t>Grant</w:t>
      </w:r>
    </w:p>
    <w:p w14:paraId="0CFEF947" w14:textId="77777777" w:rsidR="00574383" w:rsidRDefault="00574383" w:rsidP="00574383">
      <w:pPr>
        <w:numPr>
          <w:ilvl w:val="12"/>
          <w:numId w:val="0"/>
        </w:numPr>
        <w:rPr>
          <w:b/>
          <w:sz w:val="24"/>
        </w:rPr>
      </w:pPr>
    </w:p>
    <w:p w14:paraId="2CADDB1B" w14:textId="77777777" w:rsidR="00574383" w:rsidRDefault="00574383" w:rsidP="00574383">
      <w:pPr>
        <w:numPr>
          <w:ilvl w:val="0"/>
          <w:numId w:val="17"/>
        </w:numPr>
        <w:rPr>
          <w:sz w:val="24"/>
        </w:rPr>
      </w:pPr>
      <w:r>
        <w:rPr>
          <w:b/>
          <w:sz w:val="24"/>
        </w:rPr>
        <w:t>Necessity</w:t>
      </w:r>
    </w:p>
    <w:p w14:paraId="24BB6B22" w14:textId="77777777" w:rsidR="00574383" w:rsidRDefault="00574383" w:rsidP="00574383">
      <w:pPr>
        <w:rPr>
          <w:sz w:val="24"/>
        </w:rPr>
      </w:pPr>
    </w:p>
    <w:p w14:paraId="4509C667" w14:textId="77777777" w:rsidR="00574383" w:rsidRDefault="00574383" w:rsidP="00574383">
      <w:pPr>
        <w:numPr>
          <w:ilvl w:val="12"/>
          <w:numId w:val="0"/>
        </w:numPr>
        <w:rPr>
          <w:sz w:val="24"/>
        </w:rPr>
      </w:pPr>
      <w:r>
        <w:rPr>
          <w:sz w:val="24"/>
        </w:rPr>
        <w:t>The easement will only be implied where it is essential.  If the object of the right could be achieved without the easement, even if it would be more difficult, the easement will not be granted.  Landlocking is a good example of where an easement of necessity arises.</w:t>
      </w:r>
    </w:p>
    <w:p w14:paraId="230D2919" w14:textId="77777777" w:rsidR="00574383" w:rsidRDefault="00574383" w:rsidP="00574383">
      <w:pPr>
        <w:numPr>
          <w:ilvl w:val="12"/>
          <w:numId w:val="0"/>
        </w:numPr>
        <w:rPr>
          <w:sz w:val="24"/>
        </w:rPr>
      </w:pPr>
    </w:p>
    <w:p w14:paraId="4AEE6917" w14:textId="77777777" w:rsidR="00574383" w:rsidRDefault="00574383" w:rsidP="00574383">
      <w:pPr>
        <w:numPr>
          <w:ilvl w:val="12"/>
          <w:numId w:val="0"/>
        </w:numPr>
        <w:rPr>
          <w:sz w:val="24"/>
        </w:rPr>
      </w:pPr>
      <w:r>
        <w:rPr>
          <w:sz w:val="24"/>
        </w:rPr>
        <w:t xml:space="preserve">In </w:t>
      </w:r>
      <w:r>
        <w:rPr>
          <w:b/>
          <w:i/>
          <w:sz w:val="24"/>
        </w:rPr>
        <w:t>Wong v Beaumont Property Trust Ltd</w:t>
      </w:r>
      <w:r>
        <w:rPr>
          <w:sz w:val="24"/>
        </w:rPr>
        <w:t xml:space="preserve"> [1965] 1 QB 173, a lease of basement premises was granted to a restaurant owner.  It then transpired that it would be necessary to put a ventilation duct through the landlord’s premises, without which the restaurant could not function.  It was held that the easement to do this would be granted.</w:t>
      </w:r>
    </w:p>
    <w:p w14:paraId="37427C5C" w14:textId="77777777" w:rsidR="00574383" w:rsidRDefault="00574383" w:rsidP="00574383">
      <w:pPr>
        <w:numPr>
          <w:ilvl w:val="12"/>
          <w:numId w:val="0"/>
        </w:numPr>
        <w:rPr>
          <w:sz w:val="24"/>
        </w:rPr>
      </w:pPr>
    </w:p>
    <w:p w14:paraId="0CA9A992" w14:textId="77777777" w:rsidR="00574383" w:rsidRDefault="00574383" w:rsidP="00574383">
      <w:pPr>
        <w:numPr>
          <w:ilvl w:val="0"/>
          <w:numId w:val="17"/>
        </w:numPr>
        <w:rPr>
          <w:sz w:val="24"/>
        </w:rPr>
      </w:pPr>
      <w:r>
        <w:rPr>
          <w:b/>
          <w:sz w:val="24"/>
        </w:rPr>
        <w:t>Common Intention</w:t>
      </w:r>
    </w:p>
    <w:p w14:paraId="63DAF8D7" w14:textId="77777777" w:rsidR="00574383" w:rsidRDefault="00574383" w:rsidP="00574383">
      <w:pPr>
        <w:rPr>
          <w:sz w:val="24"/>
        </w:rPr>
      </w:pPr>
    </w:p>
    <w:p w14:paraId="62892FCA" w14:textId="77777777" w:rsidR="00574383" w:rsidRDefault="00574383" w:rsidP="00574383">
      <w:pPr>
        <w:numPr>
          <w:ilvl w:val="12"/>
          <w:numId w:val="0"/>
        </w:numPr>
        <w:rPr>
          <w:sz w:val="24"/>
          <w:szCs w:val="24"/>
        </w:rPr>
      </w:pPr>
      <w:r>
        <w:rPr>
          <w:rFonts w:cs="Arial"/>
          <w:sz w:val="24"/>
          <w:szCs w:val="24"/>
        </w:rPr>
        <w:t>This is relevant where it is necessary for the easement to be granted for the land in question to be used for the purpose for which it was granted.  See, f</w:t>
      </w:r>
      <w:r>
        <w:rPr>
          <w:sz w:val="24"/>
          <w:szCs w:val="24"/>
        </w:rPr>
        <w:t xml:space="preserve">or example, </w:t>
      </w:r>
      <w:proofErr w:type="spellStart"/>
      <w:r>
        <w:rPr>
          <w:b/>
          <w:i/>
          <w:sz w:val="24"/>
          <w:szCs w:val="24"/>
        </w:rPr>
        <w:t>Pwllbach</w:t>
      </w:r>
      <w:proofErr w:type="spellEnd"/>
      <w:r>
        <w:rPr>
          <w:b/>
          <w:i/>
          <w:sz w:val="24"/>
          <w:szCs w:val="24"/>
        </w:rPr>
        <w:t xml:space="preserve"> Colliery Co Ltd v Woodman</w:t>
      </w:r>
      <w:r>
        <w:rPr>
          <w:sz w:val="24"/>
          <w:szCs w:val="24"/>
        </w:rPr>
        <w:t xml:space="preserve"> [1915] AC 634.  </w:t>
      </w:r>
    </w:p>
    <w:p w14:paraId="43FB3080" w14:textId="77777777" w:rsidR="00574383" w:rsidRDefault="00574383" w:rsidP="00574383">
      <w:pPr>
        <w:numPr>
          <w:ilvl w:val="12"/>
          <w:numId w:val="0"/>
        </w:numPr>
        <w:rPr>
          <w:sz w:val="24"/>
          <w:szCs w:val="24"/>
        </w:rPr>
      </w:pPr>
    </w:p>
    <w:p w14:paraId="1680695B" w14:textId="77777777" w:rsidR="00574383" w:rsidRDefault="00574383" w:rsidP="00574383">
      <w:pPr>
        <w:numPr>
          <w:ilvl w:val="12"/>
          <w:numId w:val="0"/>
        </w:numPr>
        <w:rPr>
          <w:sz w:val="24"/>
        </w:rPr>
      </w:pPr>
      <w:r>
        <w:rPr>
          <w:sz w:val="24"/>
          <w:szCs w:val="24"/>
        </w:rPr>
        <w:t>Easements may be inferred</w:t>
      </w:r>
      <w:r>
        <w:rPr>
          <w:sz w:val="24"/>
        </w:rPr>
        <w:t xml:space="preserve"> from an evidenced common intention of the parties.  This could come about, for instance, where in correspondence the parties have agreed a right but this has mistakenly not been included in the transfer deed.  </w:t>
      </w:r>
      <w:r>
        <w:rPr>
          <w:b/>
          <w:i/>
          <w:sz w:val="24"/>
        </w:rPr>
        <w:t>Wong v Beaumont Property Trust Ltd</w:t>
      </w:r>
      <w:r>
        <w:rPr>
          <w:sz w:val="24"/>
        </w:rPr>
        <w:t xml:space="preserve"> could have been decided on this ground.</w:t>
      </w:r>
    </w:p>
    <w:p w14:paraId="57568D24" w14:textId="77777777" w:rsidR="00574383" w:rsidRDefault="00574383" w:rsidP="00574383">
      <w:pPr>
        <w:numPr>
          <w:ilvl w:val="12"/>
          <w:numId w:val="0"/>
        </w:numPr>
        <w:rPr>
          <w:sz w:val="24"/>
        </w:rPr>
      </w:pPr>
    </w:p>
    <w:p w14:paraId="2E718A0D" w14:textId="77777777" w:rsidR="00574383" w:rsidRDefault="00574383" w:rsidP="00574383">
      <w:pPr>
        <w:tabs>
          <w:tab w:val="num" w:pos="360"/>
        </w:tabs>
        <w:rPr>
          <w:rFonts w:cs="Arial"/>
          <w:sz w:val="24"/>
          <w:szCs w:val="24"/>
          <w:lang w:eastAsia="en-GB"/>
        </w:rPr>
      </w:pPr>
      <w:r>
        <w:rPr>
          <w:bCs/>
          <w:iCs/>
          <w:sz w:val="24"/>
          <w:szCs w:val="24"/>
        </w:rPr>
        <w:t xml:space="preserve">Cases exploring common intention are few and far between.  However, recently in </w:t>
      </w:r>
      <w:r>
        <w:rPr>
          <w:b/>
          <w:bCs/>
          <w:i/>
          <w:iCs/>
          <w:sz w:val="24"/>
          <w:szCs w:val="24"/>
        </w:rPr>
        <w:t xml:space="preserve">Donovan and Another v Rana and Another </w:t>
      </w:r>
      <w:r>
        <w:rPr>
          <w:rFonts w:cs="Arial"/>
          <w:sz w:val="24"/>
          <w:szCs w:val="24"/>
          <w:lang w:eastAsia="en-GB"/>
        </w:rPr>
        <w:t xml:space="preserve">[2014] EWCA </w:t>
      </w:r>
      <w:proofErr w:type="spellStart"/>
      <w:r>
        <w:rPr>
          <w:rFonts w:cs="Arial"/>
          <w:sz w:val="24"/>
          <w:szCs w:val="24"/>
          <w:lang w:eastAsia="en-GB"/>
        </w:rPr>
        <w:t>Civ</w:t>
      </w:r>
      <w:proofErr w:type="spellEnd"/>
      <w:r>
        <w:rPr>
          <w:rFonts w:cs="Arial"/>
          <w:sz w:val="24"/>
          <w:szCs w:val="24"/>
          <w:lang w:eastAsia="en-GB"/>
        </w:rPr>
        <w:t xml:space="preserve"> 99, the Court of Appeal has considered this method of acquisition.</w:t>
      </w:r>
    </w:p>
    <w:p w14:paraId="54C9E4BF" w14:textId="77777777" w:rsidR="00574383" w:rsidRDefault="00574383" w:rsidP="00574383">
      <w:pPr>
        <w:tabs>
          <w:tab w:val="num" w:pos="360"/>
        </w:tabs>
        <w:rPr>
          <w:rFonts w:cs="Arial"/>
          <w:sz w:val="24"/>
          <w:szCs w:val="24"/>
          <w:lang w:eastAsia="en-GB"/>
        </w:rPr>
      </w:pPr>
    </w:p>
    <w:p w14:paraId="60594CED" w14:textId="77777777" w:rsidR="00574383" w:rsidRDefault="00574383" w:rsidP="00574383">
      <w:pPr>
        <w:tabs>
          <w:tab w:val="num" w:pos="360"/>
        </w:tabs>
        <w:rPr>
          <w:sz w:val="24"/>
          <w:szCs w:val="24"/>
        </w:rPr>
      </w:pPr>
      <w:r>
        <w:rPr>
          <w:rFonts w:cs="Arial"/>
          <w:sz w:val="24"/>
          <w:szCs w:val="24"/>
          <w:lang w:eastAsia="en-GB"/>
        </w:rPr>
        <w:t>Donovan (</w:t>
      </w:r>
      <w:r>
        <w:rPr>
          <w:sz w:val="24"/>
          <w:szCs w:val="24"/>
        </w:rPr>
        <w:t xml:space="preserve">D) sold off some land in Gravesend as a building plot for construction of a house.  The transfer included the grant of a right of way over part of D’s retained land (“the Blue Land”) but the transfer granted </w:t>
      </w:r>
      <w:r>
        <w:rPr>
          <w:sz w:val="24"/>
          <w:szCs w:val="24"/>
          <w:u w:val="single"/>
        </w:rPr>
        <w:t>no</w:t>
      </w:r>
      <w:r>
        <w:rPr>
          <w:sz w:val="24"/>
          <w:szCs w:val="24"/>
        </w:rPr>
        <w:t xml:space="preserve"> right to lay utilities and expressly excluded any other rights passing impliedly.</w:t>
      </w:r>
    </w:p>
    <w:p w14:paraId="5CE8FC42" w14:textId="77777777" w:rsidR="00574383" w:rsidRDefault="00574383" w:rsidP="00574383">
      <w:pPr>
        <w:tabs>
          <w:tab w:val="num" w:pos="360"/>
        </w:tabs>
        <w:rPr>
          <w:sz w:val="24"/>
          <w:szCs w:val="24"/>
        </w:rPr>
      </w:pPr>
    </w:p>
    <w:p w14:paraId="712259D9" w14:textId="77777777" w:rsidR="00574383" w:rsidRDefault="00574383" w:rsidP="00574383">
      <w:pPr>
        <w:tabs>
          <w:tab w:val="num" w:pos="360"/>
        </w:tabs>
        <w:rPr>
          <w:sz w:val="24"/>
          <w:szCs w:val="24"/>
        </w:rPr>
      </w:pPr>
      <w:r>
        <w:rPr>
          <w:sz w:val="24"/>
          <w:szCs w:val="24"/>
        </w:rPr>
        <w:t xml:space="preserve">Rana (R) ultimately purchased the building plot and proceeded to build a new house on the land.  As part of the work R dug up part of the Blue Land to lay cables and pipes so as to connect their drainage, water, gas, electricity to the main services.  </w:t>
      </w:r>
    </w:p>
    <w:p w14:paraId="4DDDCCEC" w14:textId="77777777" w:rsidR="00574383" w:rsidRDefault="00574383" w:rsidP="00574383">
      <w:pPr>
        <w:tabs>
          <w:tab w:val="num" w:pos="360"/>
        </w:tabs>
        <w:rPr>
          <w:sz w:val="24"/>
          <w:szCs w:val="24"/>
        </w:rPr>
      </w:pPr>
    </w:p>
    <w:p w14:paraId="510B5393" w14:textId="77777777" w:rsidR="00574383" w:rsidRDefault="00574383" w:rsidP="00574383">
      <w:pPr>
        <w:tabs>
          <w:tab w:val="num" w:pos="360"/>
        </w:tabs>
        <w:rPr>
          <w:sz w:val="24"/>
          <w:szCs w:val="24"/>
        </w:rPr>
      </w:pPr>
      <w:r>
        <w:rPr>
          <w:sz w:val="24"/>
          <w:szCs w:val="24"/>
        </w:rPr>
        <w:t>D claimed damages on the basis there was only a right of way in relation to the Blue Land.</w:t>
      </w:r>
    </w:p>
    <w:p w14:paraId="3A920013" w14:textId="77777777" w:rsidR="00574383" w:rsidRDefault="00574383" w:rsidP="00574383">
      <w:pPr>
        <w:tabs>
          <w:tab w:val="num" w:pos="360"/>
        </w:tabs>
        <w:rPr>
          <w:sz w:val="24"/>
          <w:szCs w:val="24"/>
        </w:rPr>
      </w:pPr>
    </w:p>
    <w:p w14:paraId="0E19B24C" w14:textId="77777777" w:rsidR="00574383" w:rsidRDefault="00574383" w:rsidP="00574383">
      <w:pPr>
        <w:tabs>
          <w:tab w:val="num" w:pos="360"/>
        </w:tabs>
        <w:rPr>
          <w:sz w:val="24"/>
          <w:szCs w:val="24"/>
        </w:rPr>
      </w:pPr>
      <w:r>
        <w:rPr>
          <w:sz w:val="24"/>
          <w:szCs w:val="24"/>
        </w:rPr>
        <w:t>Held:  At first instance, the County Court judge dismissed D’s claim and ordered D to pay R’s costs.  The court’s view was that it was clearly the common intention of the parties that the house to be built would have connections to the utilities.  D appealed submitting that:</w:t>
      </w:r>
    </w:p>
    <w:p w14:paraId="0AD9B57A" w14:textId="77777777" w:rsidR="00574383" w:rsidRDefault="00574383" w:rsidP="00574383">
      <w:pPr>
        <w:tabs>
          <w:tab w:val="num" w:pos="360"/>
        </w:tabs>
        <w:rPr>
          <w:sz w:val="24"/>
          <w:szCs w:val="24"/>
        </w:rPr>
      </w:pPr>
    </w:p>
    <w:p w14:paraId="5D13AEB5" w14:textId="77777777" w:rsidR="00574383" w:rsidRDefault="00574383" w:rsidP="00574383">
      <w:pPr>
        <w:numPr>
          <w:ilvl w:val="0"/>
          <w:numId w:val="18"/>
        </w:numPr>
        <w:rPr>
          <w:sz w:val="24"/>
          <w:szCs w:val="24"/>
        </w:rPr>
      </w:pPr>
      <w:r>
        <w:rPr>
          <w:sz w:val="24"/>
          <w:szCs w:val="24"/>
        </w:rPr>
        <w:t>as the Transfer expressly excluded any further rights of access the judge was wrong to imply an easement; and</w:t>
      </w:r>
    </w:p>
    <w:p w14:paraId="57224818" w14:textId="77777777" w:rsidR="00574383" w:rsidRDefault="00574383" w:rsidP="00574383">
      <w:pPr>
        <w:ind w:left="720"/>
        <w:rPr>
          <w:sz w:val="24"/>
          <w:szCs w:val="24"/>
        </w:rPr>
      </w:pPr>
    </w:p>
    <w:p w14:paraId="5934A19A" w14:textId="77777777" w:rsidR="00574383" w:rsidRDefault="00574383" w:rsidP="00574383">
      <w:pPr>
        <w:numPr>
          <w:ilvl w:val="0"/>
          <w:numId w:val="18"/>
        </w:numPr>
        <w:rPr>
          <w:sz w:val="24"/>
          <w:szCs w:val="24"/>
        </w:rPr>
      </w:pPr>
      <w:r>
        <w:rPr>
          <w:sz w:val="24"/>
          <w:szCs w:val="24"/>
        </w:rPr>
        <w:t>whilst it was common ground that the plot was sold with the common intention that a house would be built on it, the judge was wrong to infer the further intention that the house would be connected to all normal utilities.</w:t>
      </w:r>
    </w:p>
    <w:p w14:paraId="53286577" w14:textId="77777777" w:rsidR="00574383" w:rsidRDefault="00574383" w:rsidP="00574383">
      <w:pPr>
        <w:rPr>
          <w:sz w:val="24"/>
          <w:szCs w:val="24"/>
        </w:rPr>
      </w:pPr>
    </w:p>
    <w:p w14:paraId="4FC95BDF" w14:textId="77777777" w:rsidR="00574383" w:rsidRDefault="00574383" w:rsidP="00574383">
      <w:pPr>
        <w:rPr>
          <w:sz w:val="24"/>
          <w:szCs w:val="24"/>
        </w:rPr>
      </w:pPr>
      <w:r>
        <w:rPr>
          <w:sz w:val="24"/>
          <w:szCs w:val="24"/>
        </w:rPr>
        <w:t xml:space="preserve">Held:  The Court of Appeal dismissed D’s appeal.  </w:t>
      </w:r>
    </w:p>
    <w:p w14:paraId="7AD66B73" w14:textId="77777777" w:rsidR="00574383" w:rsidRDefault="00574383" w:rsidP="00574383">
      <w:pPr>
        <w:rPr>
          <w:sz w:val="24"/>
          <w:szCs w:val="24"/>
        </w:rPr>
      </w:pPr>
    </w:p>
    <w:p w14:paraId="0EE51B22" w14:textId="77777777" w:rsidR="00574383" w:rsidRDefault="00574383" w:rsidP="00574383">
      <w:pPr>
        <w:rPr>
          <w:sz w:val="24"/>
          <w:szCs w:val="24"/>
        </w:rPr>
      </w:pPr>
      <w:r>
        <w:rPr>
          <w:sz w:val="24"/>
          <w:szCs w:val="24"/>
        </w:rPr>
        <w:t>An easement was to be implied in the transfer allowing R and successors in title to have access to Blue Land to install and maintain connections to public utility services in the road.  R was granted an express right of way over Blue Land “</w:t>
      </w:r>
      <w:r>
        <w:rPr>
          <w:b/>
          <w:bCs/>
          <w:i/>
          <w:iCs/>
          <w:sz w:val="24"/>
          <w:szCs w:val="24"/>
        </w:rPr>
        <w:t xml:space="preserve">for all purposes connected with the use and enjoyment of the property </w:t>
      </w:r>
      <w:r>
        <w:rPr>
          <w:sz w:val="24"/>
          <w:szCs w:val="24"/>
        </w:rPr>
        <w:t>but not for any other purpose”.  The Court of Appeal’s view was that one such purpose would be laying of connections to utilities.</w:t>
      </w:r>
    </w:p>
    <w:p w14:paraId="064EA0AD" w14:textId="77777777" w:rsidR="00574383" w:rsidRDefault="00574383" w:rsidP="00574383">
      <w:pPr>
        <w:numPr>
          <w:ilvl w:val="12"/>
          <w:numId w:val="0"/>
        </w:numPr>
        <w:rPr>
          <w:sz w:val="24"/>
        </w:rPr>
      </w:pPr>
    </w:p>
    <w:p w14:paraId="1176BE9A" w14:textId="77777777" w:rsidR="00574383" w:rsidRDefault="00574383" w:rsidP="00574383">
      <w:pPr>
        <w:numPr>
          <w:ilvl w:val="0"/>
          <w:numId w:val="17"/>
        </w:numPr>
        <w:rPr>
          <w:sz w:val="24"/>
        </w:rPr>
      </w:pPr>
      <w:r>
        <w:rPr>
          <w:b/>
          <w:sz w:val="24"/>
        </w:rPr>
        <w:t xml:space="preserve">The </w:t>
      </w:r>
      <w:r>
        <w:rPr>
          <w:b/>
          <w:i/>
          <w:sz w:val="24"/>
        </w:rPr>
        <w:t>Rule in Wheeldon v Burrows</w:t>
      </w:r>
    </w:p>
    <w:p w14:paraId="137AE4CD" w14:textId="77777777" w:rsidR="00574383" w:rsidRDefault="00574383" w:rsidP="00574383">
      <w:pPr>
        <w:rPr>
          <w:sz w:val="24"/>
        </w:rPr>
      </w:pPr>
    </w:p>
    <w:p w14:paraId="6CA8518E" w14:textId="77777777" w:rsidR="00574383" w:rsidRDefault="00574383" w:rsidP="00574383">
      <w:pPr>
        <w:numPr>
          <w:ilvl w:val="12"/>
          <w:numId w:val="0"/>
        </w:numPr>
        <w:rPr>
          <w:sz w:val="24"/>
        </w:rPr>
      </w:pPr>
      <w:r>
        <w:rPr>
          <w:sz w:val="24"/>
        </w:rPr>
        <w:t>Where an owner has been in the habit of using a right over part of his land this will not be an easement because you cannot have an easement over your own land.  If, however, the owner now sells the part of the land over which he is enjoying the right (or quasi easement), the new owner will acquire the right as a full blown easement provided the quasi easement is:</w:t>
      </w:r>
    </w:p>
    <w:p w14:paraId="104DA090" w14:textId="77777777" w:rsidR="00574383" w:rsidRDefault="00574383" w:rsidP="00574383">
      <w:pPr>
        <w:numPr>
          <w:ilvl w:val="12"/>
          <w:numId w:val="0"/>
        </w:numPr>
        <w:rPr>
          <w:sz w:val="24"/>
        </w:rPr>
      </w:pPr>
    </w:p>
    <w:p w14:paraId="0D155E0D" w14:textId="77777777" w:rsidR="00574383" w:rsidRDefault="00574383" w:rsidP="00574383">
      <w:pPr>
        <w:numPr>
          <w:ilvl w:val="0"/>
          <w:numId w:val="19"/>
        </w:numPr>
        <w:rPr>
          <w:sz w:val="24"/>
        </w:rPr>
      </w:pPr>
      <w:r>
        <w:rPr>
          <w:sz w:val="24"/>
        </w:rPr>
        <w:t>continuous and apparent;</w:t>
      </w:r>
    </w:p>
    <w:p w14:paraId="07C5D2DF" w14:textId="77777777" w:rsidR="00574383" w:rsidRDefault="00574383" w:rsidP="00574383">
      <w:pPr>
        <w:ind w:left="648"/>
        <w:rPr>
          <w:sz w:val="24"/>
        </w:rPr>
      </w:pPr>
    </w:p>
    <w:p w14:paraId="4B3766B0" w14:textId="77777777" w:rsidR="00574383" w:rsidRDefault="00574383" w:rsidP="00574383">
      <w:pPr>
        <w:numPr>
          <w:ilvl w:val="0"/>
          <w:numId w:val="19"/>
        </w:numPr>
        <w:rPr>
          <w:sz w:val="24"/>
        </w:rPr>
      </w:pPr>
      <w:r>
        <w:rPr>
          <w:sz w:val="24"/>
        </w:rPr>
        <w:t>“necessary to the reasonable enjoyment of the property”; and</w:t>
      </w:r>
    </w:p>
    <w:p w14:paraId="276B5830" w14:textId="77777777" w:rsidR="00574383" w:rsidRDefault="00574383" w:rsidP="00574383">
      <w:pPr>
        <w:rPr>
          <w:sz w:val="24"/>
        </w:rPr>
      </w:pPr>
    </w:p>
    <w:p w14:paraId="5C22F2A4" w14:textId="77777777" w:rsidR="00574383" w:rsidRDefault="00574383" w:rsidP="00574383">
      <w:pPr>
        <w:numPr>
          <w:ilvl w:val="0"/>
          <w:numId w:val="19"/>
        </w:numPr>
        <w:rPr>
          <w:sz w:val="24"/>
        </w:rPr>
      </w:pPr>
      <w:r>
        <w:rPr>
          <w:sz w:val="24"/>
        </w:rPr>
        <w:t>used at the time of the transfer by the grantor for the benefit of the part of the land transferred.</w:t>
      </w:r>
    </w:p>
    <w:p w14:paraId="43C3692D" w14:textId="77777777" w:rsidR="00574383" w:rsidRDefault="00574383" w:rsidP="00574383">
      <w:pPr>
        <w:rPr>
          <w:sz w:val="24"/>
        </w:rPr>
      </w:pPr>
    </w:p>
    <w:p w14:paraId="3AA6B6E5" w14:textId="77777777" w:rsidR="00574383" w:rsidRDefault="00574383" w:rsidP="00574383">
      <w:pPr>
        <w:rPr>
          <w:sz w:val="24"/>
        </w:rPr>
      </w:pPr>
      <w:r>
        <w:rPr>
          <w:sz w:val="24"/>
        </w:rPr>
        <w:t xml:space="preserve">These rules were laid down in </w:t>
      </w:r>
      <w:r>
        <w:rPr>
          <w:b/>
          <w:i/>
          <w:sz w:val="24"/>
        </w:rPr>
        <w:t>Wheeldon v Burrows</w:t>
      </w:r>
      <w:r>
        <w:rPr>
          <w:sz w:val="24"/>
        </w:rPr>
        <w:t xml:space="preserve"> [1879] 12 </w:t>
      </w:r>
      <w:proofErr w:type="spellStart"/>
      <w:r>
        <w:rPr>
          <w:sz w:val="24"/>
        </w:rPr>
        <w:t>ChD</w:t>
      </w:r>
      <w:proofErr w:type="spellEnd"/>
      <w:r>
        <w:rPr>
          <w:sz w:val="24"/>
        </w:rPr>
        <w:t xml:space="preserve"> 31.</w:t>
      </w:r>
    </w:p>
    <w:p w14:paraId="28C336F9" w14:textId="77777777" w:rsidR="00574383" w:rsidRDefault="00574383" w:rsidP="00574383">
      <w:pPr>
        <w:rPr>
          <w:sz w:val="24"/>
        </w:rPr>
      </w:pPr>
    </w:p>
    <w:p w14:paraId="6420C8BE" w14:textId="77777777" w:rsidR="00574383" w:rsidRDefault="00574383" w:rsidP="00574383">
      <w:pPr>
        <w:numPr>
          <w:ilvl w:val="0"/>
          <w:numId w:val="17"/>
        </w:numPr>
        <w:rPr>
          <w:i/>
          <w:sz w:val="24"/>
        </w:rPr>
      </w:pPr>
      <w:r>
        <w:rPr>
          <w:b/>
          <w:sz w:val="24"/>
        </w:rPr>
        <w:t xml:space="preserve">Statute - </w:t>
      </w:r>
      <w:r>
        <w:rPr>
          <w:b/>
          <w:i/>
          <w:sz w:val="24"/>
        </w:rPr>
        <w:t>Law of Property Act 1925; section 62</w:t>
      </w:r>
    </w:p>
    <w:p w14:paraId="58C21C81" w14:textId="77777777" w:rsidR="00574383" w:rsidRDefault="00574383" w:rsidP="00574383">
      <w:pPr>
        <w:rPr>
          <w:sz w:val="24"/>
        </w:rPr>
      </w:pPr>
    </w:p>
    <w:p w14:paraId="29CC67E4" w14:textId="77777777" w:rsidR="00574383" w:rsidRDefault="00574383" w:rsidP="00574383">
      <w:pPr>
        <w:rPr>
          <w:sz w:val="24"/>
        </w:rPr>
      </w:pPr>
      <w:r>
        <w:rPr>
          <w:sz w:val="24"/>
        </w:rPr>
        <w:t xml:space="preserve">Unlike the rule in </w:t>
      </w:r>
      <w:r>
        <w:rPr>
          <w:b/>
          <w:i/>
          <w:sz w:val="24"/>
        </w:rPr>
        <w:t>Wheeldon v Burrows</w:t>
      </w:r>
      <w:r>
        <w:rPr>
          <w:sz w:val="24"/>
        </w:rPr>
        <w:t>, this (usually) needs diversity of ownership or occupation of the dominant and servient tenements (</w:t>
      </w:r>
      <w:proofErr w:type="spellStart"/>
      <w:r>
        <w:rPr>
          <w:b/>
          <w:i/>
          <w:sz w:val="24"/>
        </w:rPr>
        <w:t>Sovmots</w:t>
      </w:r>
      <w:proofErr w:type="spellEnd"/>
      <w:r>
        <w:rPr>
          <w:b/>
          <w:i/>
          <w:sz w:val="24"/>
        </w:rPr>
        <w:t xml:space="preserve"> Investments Ltd v Secretary of State for the Environment</w:t>
      </w:r>
      <w:r>
        <w:rPr>
          <w:sz w:val="24"/>
        </w:rPr>
        <w:t xml:space="preserve"> [1979] AC 144).</w:t>
      </w:r>
    </w:p>
    <w:p w14:paraId="21BA664E" w14:textId="77777777" w:rsidR="00574383" w:rsidRDefault="00574383" w:rsidP="00574383">
      <w:pPr>
        <w:rPr>
          <w:sz w:val="24"/>
        </w:rPr>
      </w:pPr>
    </w:p>
    <w:p w14:paraId="06F374F6" w14:textId="77777777" w:rsidR="00574383" w:rsidRDefault="00574383" w:rsidP="00574383">
      <w:pPr>
        <w:rPr>
          <w:sz w:val="24"/>
        </w:rPr>
      </w:pPr>
      <w:r>
        <w:rPr>
          <w:i/>
          <w:sz w:val="24"/>
        </w:rPr>
        <w:t>LPA 1925; s62</w:t>
      </w:r>
      <w:r>
        <w:rPr>
          <w:sz w:val="24"/>
        </w:rPr>
        <w:t xml:space="preserve"> operates to transfer easements automatically when land is transferred, unless there is an express provision to the contrary in the contract/deed.  </w:t>
      </w:r>
    </w:p>
    <w:p w14:paraId="44DAC4CD" w14:textId="77777777" w:rsidR="00574383" w:rsidRDefault="00574383" w:rsidP="00574383">
      <w:pPr>
        <w:rPr>
          <w:sz w:val="24"/>
        </w:rPr>
      </w:pPr>
    </w:p>
    <w:p w14:paraId="17BCD899" w14:textId="77777777" w:rsidR="00574383" w:rsidRDefault="00574383" w:rsidP="00574383">
      <w:pPr>
        <w:rPr>
          <w:sz w:val="24"/>
        </w:rPr>
      </w:pPr>
      <w:r>
        <w:rPr>
          <w:sz w:val="24"/>
        </w:rPr>
        <w:t>There are three requirements which must be satisfied:</w:t>
      </w:r>
    </w:p>
    <w:p w14:paraId="42CE1D2E" w14:textId="77777777" w:rsidR="00574383" w:rsidRDefault="00574383" w:rsidP="00574383">
      <w:pPr>
        <w:rPr>
          <w:sz w:val="24"/>
        </w:rPr>
      </w:pPr>
    </w:p>
    <w:p w14:paraId="78423F01" w14:textId="77777777" w:rsidR="00574383" w:rsidRDefault="00574383" w:rsidP="00574383">
      <w:pPr>
        <w:ind w:left="720" w:hanging="720"/>
        <w:rPr>
          <w:sz w:val="24"/>
        </w:rPr>
      </w:pPr>
      <w:r>
        <w:rPr>
          <w:sz w:val="24"/>
        </w:rPr>
        <w:t>(</w:t>
      </w:r>
      <w:proofErr w:type="spellStart"/>
      <w:r>
        <w:rPr>
          <w:sz w:val="24"/>
        </w:rPr>
        <w:t>i</w:t>
      </w:r>
      <w:proofErr w:type="spellEnd"/>
      <w:r>
        <w:rPr>
          <w:sz w:val="24"/>
        </w:rPr>
        <w:t>)</w:t>
      </w:r>
      <w:r>
        <w:rPr>
          <w:sz w:val="24"/>
        </w:rPr>
        <w:tab/>
        <w:t xml:space="preserve">The right must be capable of being an easement, E.g., must satisfy the rules in </w:t>
      </w:r>
      <w:r>
        <w:rPr>
          <w:b/>
          <w:i/>
          <w:sz w:val="24"/>
        </w:rPr>
        <w:t>Re Ellenborough Park</w:t>
      </w:r>
      <w:r>
        <w:rPr>
          <w:sz w:val="24"/>
        </w:rPr>
        <w:t>;</w:t>
      </w:r>
    </w:p>
    <w:p w14:paraId="20780CA4" w14:textId="77777777" w:rsidR="00574383" w:rsidRDefault="00574383" w:rsidP="00574383">
      <w:pPr>
        <w:ind w:left="720" w:hanging="720"/>
        <w:rPr>
          <w:sz w:val="24"/>
        </w:rPr>
      </w:pPr>
    </w:p>
    <w:p w14:paraId="3889AC0C" w14:textId="77777777" w:rsidR="00574383" w:rsidRDefault="00574383" w:rsidP="00574383">
      <w:pPr>
        <w:ind w:left="720" w:hanging="720"/>
        <w:rPr>
          <w:sz w:val="24"/>
        </w:rPr>
      </w:pPr>
      <w:r>
        <w:rPr>
          <w:sz w:val="24"/>
        </w:rPr>
        <w:t>(ii)</w:t>
      </w:r>
      <w:r>
        <w:rPr>
          <w:sz w:val="24"/>
        </w:rPr>
        <w:tab/>
        <w:t>The dominant and servient land must (usually) be in different ownership or occupation; and</w:t>
      </w:r>
    </w:p>
    <w:p w14:paraId="149A123E" w14:textId="77777777" w:rsidR="00574383" w:rsidRDefault="00574383" w:rsidP="00574383">
      <w:pPr>
        <w:ind w:left="720" w:hanging="720"/>
        <w:rPr>
          <w:sz w:val="24"/>
        </w:rPr>
      </w:pPr>
    </w:p>
    <w:p w14:paraId="75BA8BBE" w14:textId="77777777" w:rsidR="00574383" w:rsidRDefault="00574383" w:rsidP="00574383">
      <w:pPr>
        <w:ind w:left="720" w:hanging="720"/>
        <w:rPr>
          <w:sz w:val="24"/>
        </w:rPr>
      </w:pPr>
      <w:r>
        <w:rPr>
          <w:sz w:val="24"/>
        </w:rPr>
        <w:t>(iii)</w:t>
      </w:r>
      <w:r>
        <w:rPr>
          <w:sz w:val="24"/>
        </w:rPr>
        <w:tab/>
        <w:t>The transfer of the land must be made by deed.</w:t>
      </w:r>
    </w:p>
    <w:p w14:paraId="108FF335" w14:textId="77777777" w:rsidR="00574383" w:rsidRDefault="00574383" w:rsidP="00574383">
      <w:pPr>
        <w:ind w:left="720" w:hanging="720"/>
        <w:rPr>
          <w:sz w:val="24"/>
        </w:rPr>
      </w:pPr>
    </w:p>
    <w:p w14:paraId="7D720367" w14:textId="77777777" w:rsidR="00574383" w:rsidRDefault="00574383" w:rsidP="00574383">
      <w:pPr>
        <w:rPr>
          <w:sz w:val="24"/>
        </w:rPr>
      </w:pPr>
      <w:r>
        <w:rPr>
          <w:i/>
          <w:sz w:val="24"/>
        </w:rPr>
        <w:t>LPA 1925; s62</w:t>
      </w:r>
      <w:r>
        <w:rPr>
          <w:sz w:val="24"/>
        </w:rPr>
        <w:t xml:space="preserve"> is uncontroversial when applied in its usual role of transferring </w:t>
      </w:r>
      <w:r>
        <w:rPr>
          <w:sz w:val="24"/>
          <w:u w:val="single"/>
        </w:rPr>
        <w:t>existing</w:t>
      </w:r>
      <w:r>
        <w:rPr>
          <w:sz w:val="24"/>
        </w:rPr>
        <w:t xml:space="preserve"> easements.  In that case, it is simply a word saving provision.  However, it can also operate to commute lesser rights into easements.  </w:t>
      </w:r>
    </w:p>
    <w:p w14:paraId="19F98DBE" w14:textId="77777777" w:rsidR="00574383" w:rsidRDefault="00574383" w:rsidP="00574383">
      <w:pPr>
        <w:rPr>
          <w:sz w:val="24"/>
        </w:rPr>
      </w:pPr>
    </w:p>
    <w:p w14:paraId="15BF674D" w14:textId="77777777" w:rsidR="00574383" w:rsidRDefault="00574383" w:rsidP="00574383">
      <w:pPr>
        <w:rPr>
          <w:sz w:val="24"/>
        </w:rPr>
      </w:pPr>
      <w:r>
        <w:rPr>
          <w:sz w:val="24"/>
        </w:rPr>
        <w:t xml:space="preserve">For example, A leases to </w:t>
      </w:r>
      <w:proofErr w:type="spellStart"/>
      <w:r>
        <w:rPr>
          <w:sz w:val="24"/>
        </w:rPr>
        <w:t>B</w:t>
      </w:r>
      <w:proofErr w:type="spellEnd"/>
      <w:r>
        <w:rPr>
          <w:sz w:val="24"/>
        </w:rPr>
        <w:t xml:space="preserve"> a piece of land.  B has a licence to pass over A’s land.  A then sells B the freehold (or renews the lease) by deed.  Even without any express grant, the law could operate to convert the licence to a full easement.</w:t>
      </w:r>
    </w:p>
    <w:p w14:paraId="6AEAAE11" w14:textId="77777777" w:rsidR="00574383" w:rsidRDefault="00574383" w:rsidP="00574383">
      <w:pPr>
        <w:rPr>
          <w:sz w:val="24"/>
        </w:rPr>
      </w:pPr>
    </w:p>
    <w:p w14:paraId="4824ABC0" w14:textId="77777777" w:rsidR="00574383" w:rsidRDefault="00574383" w:rsidP="00574383">
      <w:pPr>
        <w:rPr>
          <w:sz w:val="24"/>
        </w:rPr>
      </w:pPr>
      <w:r>
        <w:rPr>
          <w:sz w:val="24"/>
        </w:rPr>
        <w:t xml:space="preserve">See: </w:t>
      </w:r>
    </w:p>
    <w:p w14:paraId="41DDBC0B" w14:textId="77777777" w:rsidR="00574383" w:rsidRDefault="00574383" w:rsidP="00574383">
      <w:pPr>
        <w:rPr>
          <w:sz w:val="24"/>
        </w:rPr>
      </w:pPr>
    </w:p>
    <w:p w14:paraId="7283BCEC" w14:textId="77777777" w:rsidR="00574383" w:rsidRDefault="00574383" w:rsidP="00574383">
      <w:pPr>
        <w:rPr>
          <w:sz w:val="24"/>
        </w:rPr>
      </w:pPr>
      <w:r>
        <w:rPr>
          <w:b/>
          <w:i/>
          <w:sz w:val="24"/>
        </w:rPr>
        <w:t>Wright v McAdam</w:t>
      </w:r>
      <w:r>
        <w:rPr>
          <w:sz w:val="24"/>
        </w:rPr>
        <w:t xml:space="preserve"> [1949] 2 </w:t>
      </w:r>
      <w:proofErr w:type="spellStart"/>
      <w:r>
        <w:rPr>
          <w:sz w:val="24"/>
        </w:rPr>
        <w:t>AllER</w:t>
      </w:r>
      <w:proofErr w:type="spellEnd"/>
      <w:r>
        <w:rPr>
          <w:sz w:val="24"/>
        </w:rPr>
        <w:t xml:space="preserve"> 565;</w:t>
      </w:r>
    </w:p>
    <w:p w14:paraId="42F39C26" w14:textId="77777777" w:rsidR="00574383" w:rsidRDefault="00574383" w:rsidP="00574383">
      <w:pPr>
        <w:rPr>
          <w:sz w:val="24"/>
        </w:rPr>
      </w:pPr>
      <w:proofErr w:type="spellStart"/>
      <w:r>
        <w:rPr>
          <w:b/>
          <w:i/>
          <w:sz w:val="24"/>
        </w:rPr>
        <w:t>Goldbery</w:t>
      </w:r>
      <w:proofErr w:type="spellEnd"/>
      <w:r>
        <w:rPr>
          <w:b/>
          <w:i/>
          <w:sz w:val="24"/>
        </w:rPr>
        <w:t xml:space="preserve"> v Edwards</w:t>
      </w:r>
      <w:r>
        <w:rPr>
          <w:sz w:val="24"/>
        </w:rPr>
        <w:t xml:space="preserve"> [1950] Ch 247; and</w:t>
      </w:r>
    </w:p>
    <w:p w14:paraId="16BA45BC" w14:textId="77777777" w:rsidR="00574383" w:rsidRDefault="00574383" w:rsidP="00574383">
      <w:pPr>
        <w:rPr>
          <w:sz w:val="24"/>
        </w:rPr>
      </w:pPr>
      <w:r>
        <w:rPr>
          <w:b/>
          <w:i/>
          <w:sz w:val="24"/>
        </w:rPr>
        <w:t>Ward v Kirkland</w:t>
      </w:r>
      <w:r>
        <w:rPr>
          <w:sz w:val="24"/>
        </w:rPr>
        <w:t xml:space="preserve"> [1967] Ch 194.</w:t>
      </w:r>
    </w:p>
    <w:p w14:paraId="0311EE4E" w14:textId="77777777" w:rsidR="00574383" w:rsidRDefault="00574383" w:rsidP="00574383">
      <w:pPr>
        <w:rPr>
          <w:sz w:val="24"/>
        </w:rPr>
      </w:pPr>
    </w:p>
    <w:p w14:paraId="61EFD1DE" w14:textId="77777777" w:rsidR="00574383" w:rsidRDefault="00574383" w:rsidP="00574383">
      <w:pPr>
        <w:rPr>
          <w:sz w:val="24"/>
        </w:rPr>
      </w:pPr>
      <w:r>
        <w:rPr>
          <w:sz w:val="24"/>
        </w:rPr>
        <w:lastRenderedPageBreak/>
        <w:t xml:space="preserve">In practice, quite often the contract for the sale of land will expressly exclude the operation of the rule in </w:t>
      </w:r>
      <w:r>
        <w:rPr>
          <w:b/>
          <w:i/>
          <w:sz w:val="24"/>
        </w:rPr>
        <w:t>Wheeldon v Burrows</w:t>
      </w:r>
      <w:r>
        <w:rPr>
          <w:sz w:val="24"/>
        </w:rPr>
        <w:t xml:space="preserve"> and the operation of </w:t>
      </w:r>
      <w:r>
        <w:rPr>
          <w:i/>
          <w:sz w:val="24"/>
        </w:rPr>
        <w:t>LPA 1925; s62</w:t>
      </w:r>
      <w:r>
        <w:rPr>
          <w:sz w:val="24"/>
        </w:rPr>
        <w:t xml:space="preserve">.  </w:t>
      </w:r>
    </w:p>
    <w:p w14:paraId="48531FF2" w14:textId="77777777" w:rsidR="00574383" w:rsidRDefault="00574383" w:rsidP="00574383">
      <w:pPr>
        <w:rPr>
          <w:sz w:val="24"/>
        </w:rPr>
      </w:pPr>
    </w:p>
    <w:p w14:paraId="37FD5FC8" w14:textId="77777777" w:rsidR="00574383" w:rsidRDefault="00574383" w:rsidP="00574383">
      <w:pPr>
        <w:rPr>
          <w:sz w:val="24"/>
        </w:rPr>
      </w:pPr>
      <w:r>
        <w:rPr>
          <w:sz w:val="24"/>
        </w:rPr>
        <w:t>Can you think why that would be?</w:t>
      </w:r>
    </w:p>
    <w:p w14:paraId="0E503F78" w14:textId="77777777" w:rsidR="00574383" w:rsidRDefault="00574383" w:rsidP="00574383">
      <w:pPr>
        <w:rPr>
          <w:sz w:val="24"/>
        </w:rPr>
      </w:pPr>
    </w:p>
    <w:p w14:paraId="379FA0D5" w14:textId="77777777" w:rsidR="00574383" w:rsidRDefault="00574383" w:rsidP="00574383">
      <w:pPr>
        <w:rPr>
          <w:rFonts w:cs="Arial"/>
          <w:sz w:val="24"/>
          <w:szCs w:val="24"/>
        </w:rPr>
      </w:pPr>
      <w:r>
        <w:rPr>
          <w:bCs/>
          <w:iCs/>
          <w:sz w:val="24"/>
          <w:szCs w:val="24"/>
        </w:rPr>
        <w:t>In the recent case of</w:t>
      </w:r>
      <w:r>
        <w:rPr>
          <w:b/>
          <w:bCs/>
          <w:i/>
          <w:iCs/>
          <w:sz w:val="24"/>
          <w:szCs w:val="24"/>
        </w:rPr>
        <w:t xml:space="preserve"> Wood v Waddington </w:t>
      </w:r>
      <w:r>
        <w:rPr>
          <w:rFonts w:cs="Arial"/>
          <w:bCs/>
          <w:iCs/>
          <w:sz w:val="24"/>
          <w:szCs w:val="24"/>
        </w:rPr>
        <w:t xml:space="preserve">[2015] </w:t>
      </w:r>
      <w:r>
        <w:rPr>
          <w:i/>
          <w:iCs/>
          <w:sz w:val="24"/>
          <w:szCs w:val="24"/>
        </w:rPr>
        <w:t xml:space="preserve">EWCA </w:t>
      </w:r>
      <w:proofErr w:type="spellStart"/>
      <w:r>
        <w:rPr>
          <w:i/>
          <w:iCs/>
          <w:sz w:val="24"/>
          <w:szCs w:val="24"/>
        </w:rPr>
        <w:t>Civ</w:t>
      </w:r>
      <w:proofErr w:type="spellEnd"/>
      <w:r>
        <w:rPr>
          <w:i/>
          <w:iCs/>
          <w:sz w:val="24"/>
          <w:szCs w:val="24"/>
        </w:rPr>
        <w:t xml:space="preserve"> 538</w:t>
      </w:r>
      <w:r>
        <w:rPr>
          <w:rFonts w:cs="Arial"/>
          <w:sz w:val="24"/>
          <w:szCs w:val="24"/>
        </w:rPr>
        <w:t xml:space="preserve">, the Court of Appeal (and the High Court beforehand) looked at whether various rights had been acquired expressly or by implication as easements.  </w:t>
      </w:r>
    </w:p>
    <w:p w14:paraId="01E9D4BD" w14:textId="77777777" w:rsidR="00574383" w:rsidRDefault="00574383" w:rsidP="00574383">
      <w:pPr>
        <w:rPr>
          <w:rFonts w:cs="Arial"/>
          <w:sz w:val="24"/>
          <w:szCs w:val="24"/>
        </w:rPr>
      </w:pPr>
    </w:p>
    <w:p w14:paraId="02930379" w14:textId="77777777" w:rsidR="00574383" w:rsidRDefault="00574383" w:rsidP="00574383">
      <w:pPr>
        <w:rPr>
          <w:sz w:val="24"/>
          <w:szCs w:val="24"/>
        </w:rPr>
      </w:pPr>
      <w:r>
        <w:rPr>
          <w:rFonts w:cs="Arial"/>
          <w:sz w:val="24"/>
          <w:szCs w:val="24"/>
        </w:rPr>
        <w:t xml:space="preserve">In that case, </w:t>
      </w:r>
      <w:r>
        <w:rPr>
          <w:sz w:val="24"/>
          <w:szCs w:val="24"/>
        </w:rPr>
        <w:t>C owned a residential / agricultural / sporting estate of about 1,392 acres and various tracks and accessways crossed the estate.  On 29</w:t>
      </w:r>
      <w:r>
        <w:rPr>
          <w:sz w:val="24"/>
          <w:szCs w:val="24"/>
          <w:vertAlign w:val="superscript"/>
        </w:rPr>
        <w:t>th</w:t>
      </w:r>
      <w:r>
        <w:rPr>
          <w:sz w:val="24"/>
          <w:szCs w:val="24"/>
        </w:rPr>
        <w:t xml:space="preserve"> September 1998 C transferred part of the estate to S (Wood’s (WO) predecessors) and part to </w:t>
      </w:r>
      <w:r>
        <w:rPr>
          <w:bCs/>
          <w:iCs/>
          <w:sz w:val="24"/>
          <w:szCs w:val="24"/>
        </w:rPr>
        <w:t>Waddington</w:t>
      </w:r>
      <w:r>
        <w:rPr>
          <w:sz w:val="24"/>
          <w:szCs w:val="24"/>
        </w:rPr>
        <w:t xml:space="preserve"> (WA).  Both transfers were in similar form containing an express grant and reservation of detailed rights of way over specified routes with S and WA being required to share the costs of maintenance of the accessways.</w:t>
      </w:r>
    </w:p>
    <w:p w14:paraId="5CF8DDE6" w14:textId="77777777" w:rsidR="00574383" w:rsidRDefault="00574383" w:rsidP="00574383">
      <w:pPr>
        <w:rPr>
          <w:sz w:val="24"/>
          <w:szCs w:val="24"/>
        </w:rPr>
      </w:pPr>
      <w:r>
        <w:rPr>
          <w:sz w:val="24"/>
          <w:szCs w:val="24"/>
        </w:rPr>
        <w:t xml:space="preserve"> </w:t>
      </w:r>
    </w:p>
    <w:p w14:paraId="5265A015" w14:textId="77777777" w:rsidR="00574383" w:rsidRDefault="00574383" w:rsidP="00574383">
      <w:pPr>
        <w:rPr>
          <w:sz w:val="24"/>
          <w:szCs w:val="24"/>
        </w:rPr>
      </w:pPr>
      <w:r>
        <w:rPr>
          <w:sz w:val="24"/>
          <w:szCs w:val="24"/>
        </w:rPr>
        <w:t>Each transfer also included a general clause which stated:</w:t>
      </w:r>
    </w:p>
    <w:p w14:paraId="1FBB2E88" w14:textId="77777777" w:rsidR="00574383" w:rsidRDefault="00574383" w:rsidP="00574383">
      <w:pPr>
        <w:rPr>
          <w:sz w:val="24"/>
          <w:szCs w:val="24"/>
        </w:rPr>
      </w:pPr>
    </w:p>
    <w:p w14:paraId="6AF4D645" w14:textId="77777777" w:rsidR="00574383" w:rsidRDefault="00574383" w:rsidP="00574383">
      <w:pPr>
        <w:ind w:left="720" w:firstLine="45"/>
        <w:rPr>
          <w:sz w:val="24"/>
          <w:szCs w:val="24"/>
        </w:rPr>
      </w:pPr>
      <w:r>
        <w:rPr>
          <w:sz w:val="24"/>
          <w:szCs w:val="24"/>
        </w:rPr>
        <w:t>“... the Property is sold subject to and with the benefit of all liberties privileges and advantages of a continuous nature now used or enjoyed by or over the Property... and without any liability on the Transferor to define the same”.</w:t>
      </w:r>
    </w:p>
    <w:p w14:paraId="4DCCFE1E" w14:textId="77777777" w:rsidR="00574383" w:rsidRDefault="00574383" w:rsidP="00574383">
      <w:pPr>
        <w:rPr>
          <w:sz w:val="24"/>
          <w:szCs w:val="24"/>
        </w:rPr>
      </w:pPr>
    </w:p>
    <w:p w14:paraId="4C3D91D9" w14:textId="77777777" w:rsidR="00574383" w:rsidRDefault="00574383" w:rsidP="00574383">
      <w:pPr>
        <w:rPr>
          <w:sz w:val="24"/>
          <w:szCs w:val="24"/>
        </w:rPr>
      </w:pPr>
      <w:r>
        <w:rPr>
          <w:sz w:val="24"/>
          <w:szCs w:val="24"/>
        </w:rPr>
        <w:t>WO claimed to have additional vehicular and equestrian rights of way over WA’s land arguing several grounds.</w:t>
      </w:r>
    </w:p>
    <w:p w14:paraId="71112093" w14:textId="77777777" w:rsidR="00574383" w:rsidRDefault="00574383" w:rsidP="00574383">
      <w:pPr>
        <w:rPr>
          <w:sz w:val="24"/>
          <w:szCs w:val="24"/>
        </w:rPr>
      </w:pPr>
    </w:p>
    <w:p w14:paraId="391B9313" w14:textId="77777777" w:rsidR="00574383" w:rsidRDefault="00574383" w:rsidP="00574383">
      <w:pPr>
        <w:rPr>
          <w:sz w:val="24"/>
          <w:szCs w:val="24"/>
        </w:rPr>
      </w:pPr>
      <w:r>
        <w:rPr>
          <w:sz w:val="24"/>
          <w:szCs w:val="24"/>
        </w:rPr>
        <w:t xml:space="preserve">Held: The High Court decided that WO was not entitled to the claimed rights either by express grant, pursuant to </w:t>
      </w:r>
      <w:r>
        <w:rPr>
          <w:i/>
          <w:iCs/>
          <w:sz w:val="24"/>
          <w:szCs w:val="24"/>
        </w:rPr>
        <w:t>s62</w:t>
      </w:r>
      <w:r>
        <w:rPr>
          <w:sz w:val="24"/>
          <w:szCs w:val="24"/>
        </w:rPr>
        <w:t xml:space="preserve"> or via the Rule in </w:t>
      </w:r>
      <w:r>
        <w:rPr>
          <w:i/>
          <w:sz w:val="24"/>
          <w:szCs w:val="24"/>
        </w:rPr>
        <w:t>Wheeldon v Burrows</w:t>
      </w:r>
      <w:r>
        <w:rPr>
          <w:sz w:val="24"/>
          <w:szCs w:val="24"/>
        </w:rPr>
        <w:t>.  Running through each in turn:</w:t>
      </w:r>
    </w:p>
    <w:p w14:paraId="71E61A7D" w14:textId="77777777" w:rsidR="00574383" w:rsidRDefault="00574383" w:rsidP="00574383">
      <w:pPr>
        <w:rPr>
          <w:sz w:val="24"/>
          <w:szCs w:val="24"/>
        </w:rPr>
      </w:pPr>
    </w:p>
    <w:p w14:paraId="23931E67" w14:textId="77777777" w:rsidR="00574383" w:rsidRDefault="00574383" w:rsidP="00574383">
      <w:pPr>
        <w:pStyle w:val="ListParagraph"/>
        <w:numPr>
          <w:ilvl w:val="0"/>
          <w:numId w:val="20"/>
        </w:numPr>
        <w:tabs>
          <w:tab w:val="clear" w:pos="360"/>
          <w:tab w:val="num" w:pos="709"/>
        </w:tabs>
        <w:ind w:left="709" w:hanging="283"/>
        <w:contextualSpacing/>
        <w:rPr>
          <w:sz w:val="24"/>
          <w:szCs w:val="24"/>
        </w:rPr>
      </w:pPr>
      <w:r>
        <w:rPr>
          <w:sz w:val="24"/>
          <w:szCs w:val="24"/>
        </w:rPr>
        <w:t xml:space="preserve">Express grant - the general clause was intended to cover matters that would be difficult to identify, E.g. pipes and wires </w:t>
      </w:r>
      <w:r>
        <w:rPr>
          <w:sz w:val="24"/>
          <w:szCs w:val="24"/>
          <w:u w:val="single"/>
        </w:rPr>
        <w:t>not</w:t>
      </w:r>
      <w:r>
        <w:rPr>
          <w:sz w:val="24"/>
          <w:szCs w:val="24"/>
        </w:rPr>
        <w:t xml:space="preserve"> rights of way;</w:t>
      </w:r>
    </w:p>
    <w:p w14:paraId="5E022BF5" w14:textId="77777777" w:rsidR="00574383" w:rsidRDefault="00574383" w:rsidP="00574383">
      <w:pPr>
        <w:pStyle w:val="ListParagraph"/>
        <w:tabs>
          <w:tab w:val="num" w:pos="709"/>
        </w:tabs>
        <w:ind w:left="709" w:hanging="283"/>
        <w:rPr>
          <w:sz w:val="24"/>
          <w:szCs w:val="24"/>
        </w:rPr>
      </w:pPr>
    </w:p>
    <w:p w14:paraId="145D4E57" w14:textId="77777777" w:rsidR="00574383" w:rsidRDefault="00574383" w:rsidP="00574383">
      <w:pPr>
        <w:pStyle w:val="ListParagraph"/>
        <w:numPr>
          <w:ilvl w:val="0"/>
          <w:numId w:val="20"/>
        </w:numPr>
        <w:tabs>
          <w:tab w:val="clear" w:pos="360"/>
          <w:tab w:val="num" w:pos="709"/>
        </w:tabs>
        <w:ind w:left="709" w:hanging="283"/>
        <w:contextualSpacing/>
        <w:rPr>
          <w:sz w:val="24"/>
          <w:szCs w:val="24"/>
        </w:rPr>
      </w:pPr>
      <w:r>
        <w:rPr>
          <w:i/>
          <w:sz w:val="24"/>
        </w:rPr>
        <w:t>LPA 1925; s62 -</w:t>
      </w:r>
      <w:r>
        <w:rPr>
          <w:i/>
          <w:iCs/>
          <w:sz w:val="24"/>
          <w:szCs w:val="24"/>
        </w:rPr>
        <w:t xml:space="preserve"> </w:t>
      </w:r>
      <w:r>
        <w:rPr>
          <w:iCs/>
          <w:sz w:val="24"/>
          <w:szCs w:val="24"/>
        </w:rPr>
        <w:t>WO</w:t>
      </w:r>
      <w:r>
        <w:rPr>
          <w:i/>
          <w:iCs/>
          <w:sz w:val="24"/>
          <w:szCs w:val="24"/>
        </w:rPr>
        <w:t xml:space="preserve"> </w:t>
      </w:r>
      <w:r>
        <w:rPr>
          <w:sz w:val="24"/>
          <w:szCs w:val="24"/>
        </w:rPr>
        <w:t xml:space="preserve">had to show that before the conveyance to him, the advantage was being enjoyed </w:t>
      </w:r>
      <w:r>
        <w:rPr>
          <w:sz w:val="24"/>
          <w:szCs w:val="24"/>
          <w:u w:val="single"/>
        </w:rPr>
        <w:t>with</w:t>
      </w:r>
      <w:r>
        <w:rPr>
          <w:sz w:val="24"/>
          <w:szCs w:val="24"/>
        </w:rPr>
        <w:t xml:space="preserve"> the land being conveyed rather than as part of the rights of ownership of all the land then in common ownership.  That had not been proven;</w:t>
      </w:r>
    </w:p>
    <w:p w14:paraId="5A932E81" w14:textId="77777777" w:rsidR="00574383" w:rsidRDefault="00574383" w:rsidP="00574383">
      <w:pPr>
        <w:tabs>
          <w:tab w:val="num" w:pos="709"/>
        </w:tabs>
        <w:ind w:left="709" w:hanging="283"/>
        <w:rPr>
          <w:sz w:val="24"/>
          <w:szCs w:val="24"/>
        </w:rPr>
      </w:pPr>
    </w:p>
    <w:p w14:paraId="5B6BEEF7" w14:textId="77777777" w:rsidR="00574383" w:rsidRDefault="00574383" w:rsidP="00574383">
      <w:pPr>
        <w:numPr>
          <w:ilvl w:val="0"/>
          <w:numId w:val="20"/>
        </w:numPr>
        <w:tabs>
          <w:tab w:val="clear" w:pos="360"/>
          <w:tab w:val="num" w:pos="709"/>
        </w:tabs>
        <w:ind w:left="709" w:hanging="283"/>
        <w:rPr>
          <w:sz w:val="24"/>
          <w:szCs w:val="24"/>
        </w:rPr>
      </w:pPr>
      <w:r>
        <w:rPr>
          <w:sz w:val="24"/>
          <w:szCs w:val="24"/>
        </w:rPr>
        <w:t xml:space="preserve">Rule in </w:t>
      </w:r>
      <w:r>
        <w:rPr>
          <w:i/>
          <w:iCs/>
          <w:sz w:val="24"/>
          <w:szCs w:val="24"/>
        </w:rPr>
        <w:t xml:space="preserve">Wheeldon v Burrows - </w:t>
      </w:r>
      <w:r>
        <w:rPr>
          <w:sz w:val="24"/>
          <w:szCs w:val="24"/>
        </w:rPr>
        <w:t>on the evidence, the extent of the user of the accessways prior to the 1988 conveyance was very limited so not necessary for reasonable/ convenient enjoyment of land conveyed.</w:t>
      </w:r>
    </w:p>
    <w:p w14:paraId="56BB6D58" w14:textId="77777777" w:rsidR="00574383" w:rsidRDefault="00574383" w:rsidP="00574383">
      <w:pPr>
        <w:rPr>
          <w:sz w:val="24"/>
        </w:rPr>
      </w:pPr>
    </w:p>
    <w:p w14:paraId="6F5EAD38" w14:textId="77777777" w:rsidR="00574383" w:rsidRDefault="00574383" w:rsidP="00574383">
      <w:pPr>
        <w:rPr>
          <w:sz w:val="24"/>
          <w:szCs w:val="24"/>
        </w:rPr>
      </w:pPr>
      <w:r>
        <w:rPr>
          <w:sz w:val="24"/>
          <w:szCs w:val="24"/>
        </w:rPr>
        <w:t xml:space="preserve">Held:  In the Court of Appeal WO’s appeal was allowed.  The express grant argument was rejected. The Court of Appeal noted that there is a difference between the word “continuous” when used expressly and the word when used in the context of implied rights, namely “continuous &amp; apparent” in </w:t>
      </w:r>
      <w:r>
        <w:rPr>
          <w:b/>
          <w:i/>
          <w:iCs/>
          <w:sz w:val="24"/>
          <w:szCs w:val="24"/>
        </w:rPr>
        <w:t>Wheeldon v Burrows</w:t>
      </w:r>
      <w:r>
        <w:rPr>
          <w:i/>
          <w:iCs/>
          <w:sz w:val="24"/>
          <w:szCs w:val="24"/>
        </w:rPr>
        <w:t xml:space="preserve"> </w:t>
      </w:r>
      <w:r>
        <w:rPr>
          <w:sz w:val="24"/>
          <w:szCs w:val="24"/>
        </w:rPr>
        <w:t xml:space="preserve">where it is more to do with the right being in constant and uninterrupted use (and not only intermittently used) and being discernible to the eye.  </w:t>
      </w:r>
    </w:p>
    <w:p w14:paraId="1E283EE6" w14:textId="77777777" w:rsidR="00574383" w:rsidRDefault="00574383" w:rsidP="00574383">
      <w:pPr>
        <w:rPr>
          <w:sz w:val="24"/>
          <w:szCs w:val="24"/>
        </w:rPr>
      </w:pPr>
    </w:p>
    <w:p w14:paraId="0901B348" w14:textId="77777777" w:rsidR="00574383" w:rsidRDefault="00574383" w:rsidP="00574383">
      <w:pPr>
        <w:rPr>
          <w:sz w:val="24"/>
          <w:szCs w:val="24"/>
        </w:rPr>
      </w:pPr>
      <w:r>
        <w:rPr>
          <w:sz w:val="24"/>
          <w:szCs w:val="24"/>
        </w:rPr>
        <w:t xml:space="preserve">However, the Court of Appeal felt that </w:t>
      </w:r>
      <w:r>
        <w:rPr>
          <w:i/>
          <w:iCs/>
          <w:sz w:val="24"/>
          <w:szCs w:val="24"/>
        </w:rPr>
        <w:t>s62</w:t>
      </w:r>
      <w:r>
        <w:rPr>
          <w:sz w:val="24"/>
          <w:szCs w:val="24"/>
        </w:rPr>
        <w:t xml:space="preserve"> could be applied even though there was no diversity of occupation prior to the 1998 transfer The court stated that for </w:t>
      </w:r>
      <w:r>
        <w:rPr>
          <w:i/>
          <w:iCs/>
          <w:sz w:val="24"/>
          <w:szCs w:val="24"/>
        </w:rPr>
        <w:t xml:space="preserve">LPA </w:t>
      </w:r>
      <w:r>
        <w:rPr>
          <w:i/>
          <w:iCs/>
          <w:sz w:val="24"/>
          <w:szCs w:val="24"/>
        </w:rPr>
        <w:lastRenderedPageBreak/>
        <w:t>1925; s62</w:t>
      </w:r>
      <w:r>
        <w:rPr>
          <w:sz w:val="24"/>
          <w:szCs w:val="24"/>
        </w:rPr>
        <w:t xml:space="preserve"> to operate, diversity of occupation prior to transfer was not an absolute rule – it could be departed from if visible signs of existence of right &amp; right “enjoyed with” land sold.</w:t>
      </w:r>
    </w:p>
    <w:p w14:paraId="21478DB3" w14:textId="77777777" w:rsidR="00574383" w:rsidRDefault="00574383" w:rsidP="00574383">
      <w:pPr>
        <w:rPr>
          <w:sz w:val="24"/>
        </w:rPr>
      </w:pPr>
    </w:p>
    <w:p w14:paraId="5113DCE0" w14:textId="77777777" w:rsidR="00574383" w:rsidRDefault="00574383" w:rsidP="00574383">
      <w:pPr>
        <w:rPr>
          <w:sz w:val="24"/>
        </w:rPr>
      </w:pPr>
      <w:r>
        <w:rPr>
          <w:b/>
          <w:sz w:val="24"/>
          <w:u w:val="single"/>
        </w:rPr>
        <w:t>Reservation</w:t>
      </w:r>
    </w:p>
    <w:p w14:paraId="020D56D8" w14:textId="77777777" w:rsidR="00574383" w:rsidRDefault="00574383" w:rsidP="00574383">
      <w:pPr>
        <w:rPr>
          <w:sz w:val="24"/>
        </w:rPr>
      </w:pPr>
    </w:p>
    <w:p w14:paraId="54C94B4C" w14:textId="77777777" w:rsidR="00574383" w:rsidRDefault="00574383" w:rsidP="00574383">
      <w:pPr>
        <w:rPr>
          <w:sz w:val="24"/>
        </w:rPr>
      </w:pPr>
      <w:r>
        <w:rPr>
          <w:sz w:val="24"/>
        </w:rPr>
        <w:t xml:space="preserve">It is much more difficult to succeed in a claim for the acquisition of an easement of reservation.  Courts will </w:t>
      </w:r>
      <w:r>
        <w:rPr>
          <w:sz w:val="24"/>
          <w:u w:val="single"/>
        </w:rPr>
        <w:t>not</w:t>
      </w:r>
      <w:r>
        <w:rPr>
          <w:sz w:val="24"/>
        </w:rPr>
        <w:t xml:space="preserve">, if they can avoid it, imply easements </w:t>
      </w:r>
      <w:r>
        <w:rPr>
          <w:sz w:val="24"/>
          <w:u w:val="single"/>
        </w:rPr>
        <w:t>in favour of a seller</w:t>
      </w:r>
      <w:r>
        <w:rPr>
          <w:sz w:val="24"/>
        </w:rPr>
        <w:t xml:space="preserve">.  </w:t>
      </w:r>
    </w:p>
    <w:p w14:paraId="495A909B" w14:textId="77777777" w:rsidR="00574383" w:rsidRDefault="00574383" w:rsidP="00574383">
      <w:pPr>
        <w:rPr>
          <w:sz w:val="24"/>
        </w:rPr>
      </w:pPr>
    </w:p>
    <w:p w14:paraId="326A6DAA" w14:textId="77777777" w:rsidR="00574383" w:rsidRDefault="00574383" w:rsidP="00574383">
      <w:pPr>
        <w:rPr>
          <w:b/>
          <w:sz w:val="24"/>
        </w:rPr>
      </w:pPr>
      <w:r>
        <w:rPr>
          <w:sz w:val="24"/>
        </w:rPr>
        <w:t xml:space="preserve">However, cases have on occasion succeeded on the basis of </w:t>
      </w:r>
      <w:r>
        <w:rPr>
          <w:b/>
          <w:sz w:val="24"/>
        </w:rPr>
        <w:t>necessity</w:t>
      </w:r>
      <w:r>
        <w:rPr>
          <w:sz w:val="24"/>
        </w:rPr>
        <w:t xml:space="preserve"> and </w:t>
      </w:r>
      <w:r>
        <w:rPr>
          <w:b/>
          <w:sz w:val="24"/>
        </w:rPr>
        <w:t xml:space="preserve">common intention.  </w:t>
      </w:r>
    </w:p>
    <w:p w14:paraId="37FDE70E" w14:textId="77777777" w:rsidR="00574383" w:rsidRDefault="00574383" w:rsidP="00574383">
      <w:pPr>
        <w:rPr>
          <w:b/>
          <w:sz w:val="24"/>
        </w:rPr>
      </w:pPr>
    </w:p>
    <w:p w14:paraId="2295C4D3" w14:textId="77777777" w:rsidR="00574383" w:rsidRDefault="00574383" w:rsidP="00574383">
      <w:pPr>
        <w:rPr>
          <w:sz w:val="24"/>
        </w:rPr>
      </w:pPr>
      <w:r>
        <w:rPr>
          <w:sz w:val="24"/>
        </w:rPr>
        <w:t xml:space="preserve">For example, </w:t>
      </w:r>
      <w:r>
        <w:rPr>
          <w:b/>
          <w:i/>
          <w:sz w:val="24"/>
        </w:rPr>
        <w:t xml:space="preserve">Sweet v Sommer </w:t>
      </w:r>
      <w:r>
        <w:rPr>
          <w:sz w:val="24"/>
        </w:rPr>
        <w:t>[2004] EWHC 1504 an easement of necessity was implied even though there was no landlocking.</w:t>
      </w:r>
    </w:p>
    <w:p w14:paraId="66ACAA17" w14:textId="77777777" w:rsidR="00574383" w:rsidRDefault="00574383" w:rsidP="00574383">
      <w:pPr>
        <w:rPr>
          <w:sz w:val="24"/>
        </w:rPr>
      </w:pPr>
    </w:p>
    <w:p w14:paraId="09063396" w14:textId="77777777" w:rsidR="00574383" w:rsidRDefault="00574383" w:rsidP="00574383">
      <w:pPr>
        <w:rPr>
          <w:sz w:val="24"/>
        </w:rPr>
      </w:pPr>
      <w:r>
        <w:rPr>
          <w:b/>
          <w:sz w:val="24"/>
        </w:rPr>
        <w:t>Acquisition by Prescription</w:t>
      </w:r>
    </w:p>
    <w:p w14:paraId="4DF5C54D" w14:textId="77777777" w:rsidR="00574383" w:rsidRDefault="00574383" w:rsidP="00574383">
      <w:pPr>
        <w:rPr>
          <w:sz w:val="24"/>
        </w:rPr>
      </w:pPr>
    </w:p>
    <w:p w14:paraId="689F0392" w14:textId="77777777" w:rsidR="00574383" w:rsidRDefault="00574383" w:rsidP="00574383">
      <w:pPr>
        <w:rPr>
          <w:sz w:val="24"/>
        </w:rPr>
      </w:pPr>
      <w:r>
        <w:rPr>
          <w:sz w:val="24"/>
        </w:rPr>
        <w:t>It is possible to acquire an easement (which is still a legal easement) on the basis of long user.  This works on the basis that, if you can show you have used a right for (normally) at least twenty years, it will be presumed that there was a formal grant of an easement at some time in the past.</w:t>
      </w:r>
    </w:p>
    <w:p w14:paraId="3758E7C2" w14:textId="77777777" w:rsidR="00574383" w:rsidRDefault="00574383" w:rsidP="00574383">
      <w:pPr>
        <w:rPr>
          <w:sz w:val="24"/>
        </w:rPr>
      </w:pPr>
    </w:p>
    <w:p w14:paraId="68BFD0A5" w14:textId="77777777" w:rsidR="00574383" w:rsidRDefault="00574383" w:rsidP="00574383">
      <w:pPr>
        <w:rPr>
          <w:sz w:val="24"/>
        </w:rPr>
      </w:pPr>
      <w:r>
        <w:rPr>
          <w:sz w:val="24"/>
        </w:rPr>
        <w:t>The use must be as of right, so:</w:t>
      </w:r>
    </w:p>
    <w:p w14:paraId="21B43B9C" w14:textId="77777777" w:rsidR="00574383" w:rsidRDefault="00574383" w:rsidP="00574383">
      <w:pPr>
        <w:rPr>
          <w:sz w:val="24"/>
        </w:rPr>
      </w:pPr>
    </w:p>
    <w:p w14:paraId="1A5F9835" w14:textId="77777777" w:rsidR="00574383" w:rsidRDefault="00574383" w:rsidP="00574383">
      <w:pPr>
        <w:rPr>
          <w:sz w:val="24"/>
        </w:rPr>
      </w:pPr>
      <w:r>
        <w:rPr>
          <w:sz w:val="24"/>
        </w:rPr>
        <w:t>(1)</w:t>
      </w:r>
      <w:r>
        <w:rPr>
          <w:sz w:val="24"/>
        </w:rPr>
        <w:tab/>
        <w:t>without force;</w:t>
      </w:r>
    </w:p>
    <w:p w14:paraId="605ED622" w14:textId="77777777" w:rsidR="00574383" w:rsidRDefault="00574383" w:rsidP="00574383">
      <w:pPr>
        <w:rPr>
          <w:sz w:val="24"/>
        </w:rPr>
      </w:pPr>
    </w:p>
    <w:p w14:paraId="3149CEFD" w14:textId="77777777" w:rsidR="00574383" w:rsidRDefault="00574383" w:rsidP="00574383">
      <w:pPr>
        <w:rPr>
          <w:sz w:val="24"/>
        </w:rPr>
      </w:pPr>
      <w:r>
        <w:rPr>
          <w:sz w:val="24"/>
        </w:rPr>
        <w:t>(2)</w:t>
      </w:r>
      <w:r>
        <w:rPr>
          <w:sz w:val="24"/>
        </w:rPr>
        <w:tab/>
        <w:t>without secrecy; and</w:t>
      </w:r>
    </w:p>
    <w:p w14:paraId="77968451" w14:textId="77777777" w:rsidR="00574383" w:rsidRDefault="00574383" w:rsidP="00574383">
      <w:pPr>
        <w:rPr>
          <w:sz w:val="24"/>
        </w:rPr>
      </w:pPr>
    </w:p>
    <w:p w14:paraId="645F1168" w14:textId="77777777" w:rsidR="00574383" w:rsidRDefault="00574383" w:rsidP="00574383">
      <w:pPr>
        <w:rPr>
          <w:sz w:val="24"/>
        </w:rPr>
      </w:pPr>
      <w:r>
        <w:rPr>
          <w:sz w:val="24"/>
        </w:rPr>
        <w:t>(3)</w:t>
      </w:r>
      <w:r>
        <w:rPr>
          <w:sz w:val="24"/>
        </w:rPr>
        <w:tab/>
        <w:t>without permission.</w:t>
      </w:r>
    </w:p>
    <w:p w14:paraId="2E2BB7E5" w14:textId="77777777" w:rsidR="00574383" w:rsidRDefault="00574383" w:rsidP="00574383">
      <w:pPr>
        <w:rPr>
          <w:sz w:val="24"/>
        </w:rPr>
      </w:pPr>
    </w:p>
    <w:p w14:paraId="5E3AA25C" w14:textId="77777777" w:rsidR="00574383" w:rsidRDefault="00574383" w:rsidP="00574383">
      <w:pPr>
        <w:rPr>
          <w:sz w:val="24"/>
        </w:rPr>
      </w:pPr>
      <w:r>
        <w:rPr>
          <w:sz w:val="24"/>
        </w:rPr>
        <w:t>The use must be continuous, E.g., not very occasional or a “one off”.</w:t>
      </w:r>
    </w:p>
    <w:p w14:paraId="0A7378EB" w14:textId="77777777" w:rsidR="00574383" w:rsidRDefault="00574383" w:rsidP="00574383">
      <w:pPr>
        <w:rPr>
          <w:sz w:val="24"/>
        </w:rPr>
      </w:pPr>
    </w:p>
    <w:p w14:paraId="0AF28C84" w14:textId="77777777" w:rsidR="00574383" w:rsidRDefault="00574383" w:rsidP="00574383">
      <w:pPr>
        <w:rPr>
          <w:sz w:val="24"/>
        </w:rPr>
      </w:pPr>
      <w:r>
        <w:rPr>
          <w:sz w:val="24"/>
        </w:rPr>
        <w:t>The use must be by the fee simple owner of the dominant tenement and against the fee simple owner of the servient tenement.</w:t>
      </w:r>
    </w:p>
    <w:p w14:paraId="16055FD3" w14:textId="77777777" w:rsidR="00574383" w:rsidRDefault="00574383" w:rsidP="00574383">
      <w:pPr>
        <w:rPr>
          <w:sz w:val="24"/>
        </w:rPr>
      </w:pPr>
    </w:p>
    <w:p w14:paraId="6739DA25" w14:textId="77777777" w:rsidR="00574383" w:rsidRDefault="00574383" w:rsidP="00574383">
      <w:pPr>
        <w:rPr>
          <w:b/>
          <w:sz w:val="24"/>
        </w:rPr>
      </w:pPr>
    </w:p>
    <w:p w14:paraId="3172BBFF" w14:textId="77777777" w:rsidR="00574383" w:rsidRDefault="00574383" w:rsidP="00574383">
      <w:pPr>
        <w:rPr>
          <w:b/>
          <w:sz w:val="24"/>
        </w:rPr>
      </w:pPr>
    </w:p>
    <w:p w14:paraId="19A2F776" w14:textId="77777777" w:rsidR="00574383" w:rsidRDefault="00574383" w:rsidP="00574383">
      <w:pPr>
        <w:rPr>
          <w:b/>
          <w:sz w:val="24"/>
        </w:rPr>
      </w:pPr>
    </w:p>
    <w:p w14:paraId="1BFC2AD5" w14:textId="77777777" w:rsidR="00574383" w:rsidRDefault="00574383" w:rsidP="00574383">
      <w:pPr>
        <w:rPr>
          <w:b/>
          <w:sz w:val="24"/>
        </w:rPr>
      </w:pPr>
      <w:r>
        <w:rPr>
          <w:b/>
          <w:sz w:val="24"/>
        </w:rPr>
        <w:t>For how long must the right be used?</w:t>
      </w:r>
    </w:p>
    <w:p w14:paraId="3403F35D" w14:textId="77777777" w:rsidR="00574383" w:rsidRDefault="00574383" w:rsidP="00574383">
      <w:pPr>
        <w:rPr>
          <w:sz w:val="24"/>
        </w:rPr>
      </w:pPr>
    </w:p>
    <w:p w14:paraId="169C034A" w14:textId="77777777" w:rsidR="00574383" w:rsidRDefault="00574383" w:rsidP="00574383">
      <w:pPr>
        <w:rPr>
          <w:sz w:val="24"/>
        </w:rPr>
      </w:pPr>
      <w:r>
        <w:rPr>
          <w:sz w:val="24"/>
        </w:rPr>
        <w:t xml:space="preserve">At common law, the claimant has to show use “since time immemorial”. This was decided by the </w:t>
      </w:r>
      <w:r>
        <w:rPr>
          <w:i/>
          <w:sz w:val="24"/>
        </w:rPr>
        <w:t>Statute of Westminster 1275</w:t>
      </w:r>
      <w:r>
        <w:rPr>
          <w:sz w:val="24"/>
        </w:rPr>
        <w:t xml:space="preserve"> to be the year 1189.  Not surprisingly, it is easy to defeat such a claim.</w:t>
      </w:r>
    </w:p>
    <w:p w14:paraId="7A36F2D0" w14:textId="77777777" w:rsidR="00574383" w:rsidRDefault="00574383" w:rsidP="00574383">
      <w:pPr>
        <w:rPr>
          <w:sz w:val="24"/>
        </w:rPr>
      </w:pPr>
    </w:p>
    <w:p w14:paraId="290E19F6" w14:textId="77777777" w:rsidR="00574383" w:rsidRDefault="00574383" w:rsidP="00574383">
      <w:pPr>
        <w:rPr>
          <w:sz w:val="24"/>
        </w:rPr>
      </w:pPr>
      <w:r>
        <w:rPr>
          <w:sz w:val="24"/>
        </w:rPr>
        <w:t xml:space="preserve">This led to the introduction of the Doctrine of Lost Modern Grant.  This doctrine relied on the legal fiction that, if the right had been used for at least twenty years, there must have been a formal grant since 1189 but the deed has been lost!  </w:t>
      </w:r>
      <w:r>
        <w:rPr>
          <w:b/>
          <w:i/>
          <w:sz w:val="24"/>
        </w:rPr>
        <w:t>Dalton v Angus</w:t>
      </w:r>
      <w:r>
        <w:rPr>
          <w:sz w:val="24"/>
        </w:rPr>
        <w:t xml:space="preserve"> [1881] 6 App Cas 740.</w:t>
      </w:r>
    </w:p>
    <w:p w14:paraId="1D06CAB6" w14:textId="77777777" w:rsidR="00574383" w:rsidRDefault="00574383" w:rsidP="00574383">
      <w:pPr>
        <w:rPr>
          <w:sz w:val="24"/>
        </w:rPr>
      </w:pPr>
    </w:p>
    <w:p w14:paraId="289B6184" w14:textId="77777777" w:rsidR="00574383" w:rsidRDefault="00574383" w:rsidP="00574383">
      <w:pPr>
        <w:rPr>
          <w:sz w:val="24"/>
        </w:rPr>
      </w:pPr>
      <w:r>
        <w:rPr>
          <w:sz w:val="24"/>
        </w:rPr>
        <w:lastRenderedPageBreak/>
        <w:t xml:space="preserve">The two doctrines above had their obvious drawbacks, and the </w:t>
      </w:r>
      <w:r>
        <w:rPr>
          <w:i/>
          <w:sz w:val="24"/>
        </w:rPr>
        <w:t>Prescription Act 1832</w:t>
      </w:r>
      <w:r>
        <w:rPr>
          <w:sz w:val="24"/>
        </w:rPr>
        <w:t xml:space="preserve"> was introduced to counter some of these.</w:t>
      </w:r>
    </w:p>
    <w:p w14:paraId="6BF8BDAC" w14:textId="77777777" w:rsidR="00574383" w:rsidRDefault="00574383" w:rsidP="00574383">
      <w:pPr>
        <w:rPr>
          <w:sz w:val="24"/>
        </w:rPr>
      </w:pPr>
    </w:p>
    <w:p w14:paraId="40915C95" w14:textId="77777777" w:rsidR="00574383" w:rsidRDefault="00574383" w:rsidP="00574383">
      <w:pPr>
        <w:rPr>
          <w:sz w:val="24"/>
        </w:rPr>
      </w:pPr>
      <w:r>
        <w:rPr>
          <w:i/>
          <w:sz w:val="24"/>
        </w:rPr>
        <w:t>Prescription Act 1832</w:t>
      </w:r>
      <w:r>
        <w:rPr>
          <w:sz w:val="24"/>
        </w:rPr>
        <w:t xml:space="preserve">; </w:t>
      </w:r>
      <w:r>
        <w:rPr>
          <w:i/>
          <w:sz w:val="24"/>
        </w:rPr>
        <w:t>s2</w:t>
      </w:r>
      <w:r>
        <w:rPr>
          <w:sz w:val="24"/>
        </w:rPr>
        <w:t xml:space="preserve"> provides that, if a right (other than a right to light) has been used for twenty uninterrupted years, it cannot be defeated by proof that it actually commenced later than 1189.  It can be defeated by proof that it fails to satisfy one of the other common law rules, for example, if it was only used secretly.</w:t>
      </w:r>
    </w:p>
    <w:p w14:paraId="23998597" w14:textId="77777777" w:rsidR="00574383" w:rsidRDefault="00574383" w:rsidP="00574383">
      <w:pPr>
        <w:rPr>
          <w:sz w:val="24"/>
        </w:rPr>
      </w:pPr>
    </w:p>
    <w:p w14:paraId="53A6B3F1" w14:textId="77777777" w:rsidR="00574383" w:rsidRDefault="00574383" w:rsidP="00574383">
      <w:pPr>
        <w:rPr>
          <w:sz w:val="24"/>
        </w:rPr>
      </w:pPr>
      <w:r>
        <w:rPr>
          <w:sz w:val="24"/>
        </w:rPr>
        <w:t xml:space="preserve">Note also the </w:t>
      </w:r>
      <w:r>
        <w:rPr>
          <w:i/>
          <w:sz w:val="24"/>
        </w:rPr>
        <w:t>Access to Neighbouring Land Act 1992</w:t>
      </w:r>
      <w:r>
        <w:rPr>
          <w:sz w:val="24"/>
        </w:rPr>
        <w:t>.</w:t>
      </w:r>
    </w:p>
    <w:p w14:paraId="3D520655" w14:textId="77777777" w:rsidR="00574383" w:rsidRDefault="00574383" w:rsidP="00574383">
      <w:pPr>
        <w:rPr>
          <w:sz w:val="24"/>
        </w:rPr>
      </w:pPr>
    </w:p>
    <w:p w14:paraId="0EC9C64B" w14:textId="77777777" w:rsidR="00574383" w:rsidRDefault="00574383" w:rsidP="00574383">
      <w:pPr>
        <w:rPr>
          <w:sz w:val="24"/>
        </w:rPr>
      </w:pPr>
      <w:r>
        <w:rPr>
          <w:sz w:val="24"/>
        </w:rPr>
        <w:t xml:space="preserve">Notwithstanding the apparent drawbacks of the Doctrine of Lost Modern Grant, in a number of recent cases, the doctrine has successfully been relied on.  </w:t>
      </w:r>
    </w:p>
    <w:p w14:paraId="6DC8F5CC" w14:textId="77777777" w:rsidR="00574383" w:rsidRDefault="00574383" w:rsidP="00574383">
      <w:pPr>
        <w:rPr>
          <w:sz w:val="24"/>
        </w:rPr>
      </w:pPr>
    </w:p>
    <w:p w14:paraId="518A890C" w14:textId="77777777" w:rsidR="00574383" w:rsidRDefault="00574383" w:rsidP="00574383">
      <w:pPr>
        <w:rPr>
          <w:sz w:val="24"/>
          <w:szCs w:val="24"/>
        </w:rPr>
      </w:pPr>
      <w:r>
        <w:rPr>
          <w:sz w:val="24"/>
        </w:rPr>
        <w:t xml:space="preserve">In </w:t>
      </w:r>
      <w:r>
        <w:rPr>
          <w:b/>
          <w:bCs/>
          <w:i/>
          <w:iCs/>
          <w:sz w:val="24"/>
          <w:szCs w:val="24"/>
        </w:rPr>
        <w:t xml:space="preserve">Orme v Lyons </w:t>
      </w:r>
      <w:r>
        <w:rPr>
          <w:rFonts w:cs="Arial"/>
          <w:bCs/>
          <w:iCs/>
          <w:sz w:val="24"/>
          <w:szCs w:val="24"/>
        </w:rPr>
        <w:t xml:space="preserve">[2012] </w:t>
      </w:r>
      <w:r>
        <w:rPr>
          <w:rFonts w:cs="Arial"/>
          <w:sz w:val="24"/>
          <w:szCs w:val="24"/>
          <w:lang w:eastAsia="en-GB"/>
        </w:rPr>
        <w:t>EWHC 3308, a</w:t>
      </w:r>
      <w:r>
        <w:rPr>
          <w:sz w:val="24"/>
          <w:szCs w:val="24"/>
        </w:rPr>
        <w:t xml:space="preserve"> rural track formed part of land owned by O.  At its southern end the track met a public highway and the Ls’ property (which the Ls’ acquired in 1988) was at the other end.</w:t>
      </w:r>
    </w:p>
    <w:p w14:paraId="4AB8679A" w14:textId="77777777" w:rsidR="00574383" w:rsidRDefault="00574383" w:rsidP="00574383">
      <w:pPr>
        <w:rPr>
          <w:sz w:val="24"/>
          <w:szCs w:val="24"/>
        </w:rPr>
      </w:pPr>
    </w:p>
    <w:p w14:paraId="1F6B5B69" w14:textId="77777777" w:rsidR="00574383" w:rsidRDefault="00574383" w:rsidP="00574383">
      <w:pPr>
        <w:rPr>
          <w:sz w:val="24"/>
          <w:szCs w:val="24"/>
        </w:rPr>
      </w:pPr>
      <w:r>
        <w:rPr>
          <w:sz w:val="24"/>
          <w:szCs w:val="24"/>
        </w:rPr>
        <w:t xml:space="preserve">The Ls’ argued that their property benefitted from a vehicular right of way over the track via the Doctrine of Lost Modern Grant.  For a successful action they had to show “use....was of such a character degree &amp; frequency as to carry to the mind of a reasonable person in possession of the </w:t>
      </w:r>
      <w:r>
        <w:rPr>
          <w:i/>
          <w:iCs/>
          <w:sz w:val="24"/>
          <w:szCs w:val="24"/>
        </w:rPr>
        <w:t xml:space="preserve">[track] </w:t>
      </w:r>
      <w:r>
        <w:rPr>
          <w:sz w:val="24"/>
          <w:szCs w:val="24"/>
        </w:rPr>
        <w:t xml:space="preserve">that a continuous right to enjoyment of the </w:t>
      </w:r>
      <w:r>
        <w:rPr>
          <w:i/>
          <w:iCs/>
          <w:sz w:val="24"/>
          <w:szCs w:val="24"/>
        </w:rPr>
        <w:t>[track]</w:t>
      </w:r>
      <w:r>
        <w:rPr>
          <w:sz w:val="24"/>
          <w:szCs w:val="24"/>
        </w:rPr>
        <w:t xml:space="preserve"> was being asserted &amp; ought to be resisted”.</w:t>
      </w:r>
    </w:p>
    <w:p w14:paraId="749E8429" w14:textId="77777777" w:rsidR="00574383" w:rsidRDefault="00574383" w:rsidP="00574383">
      <w:pPr>
        <w:rPr>
          <w:sz w:val="24"/>
          <w:szCs w:val="24"/>
        </w:rPr>
      </w:pPr>
    </w:p>
    <w:p w14:paraId="004121DE" w14:textId="77777777" w:rsidR="00574383" w:rsidRDefault="00574383" w:rsidP="00574383">
      <w:pPr>
        <w:rPr>
          <w:sz w:val="24"/>
          <w:szCs w:val="24"/>
          <w:lang w:val="en-US"/>
        </w:rPr>
      </w:pPr>
      <w:r>
        <w:rPr>
          <w:sz w:val="24"/>
          <w:szCs w:val="24"/>
        </w:rPr>
        <w:t xml:space="preserve">Held:  The Land Registry Adjudicator concluded they had shown this.  For most of the relevant period (1971 to 1991) the Ls’ predecessors (H) had owned the dominant land and they had made extensive use of the track (on average at least once per month between 1971 and 1988).   The </w:t>
      </w:r>
      <w:r>
        <w:rPr>
          <w:sz w:val="24"/>
          <w:szCs w:val="24"/>
          <w:lang w:val="en-US"/>
        </w:rPr>
        <w:t>Ls’ made much less use of track.  Evidence was that the Ls’ had used the track “sometimes”.</w:t>
      </w:r>
    </w:p>
    <w:p w14:paraId="5DBCF69F" w14:textId="77777777" w:rsidR="00574383" w:rsidRDefault="00574383" w:rsidP="00574383">
      <w:pPr>
        <w:rPr>
          <w:sz w:val="24"/>
          <w:szCs w:val="24"/>
          <w:lang w:val="en-US"/>
        </w:rPr>
      </w:pPr>
    </w:p>
    <w:p w14:paraId="354E1BB6" w14:textId="77777777" w:rsidR="00574383" w:rsidRDefault="00574383" w:rsidP="00574383">
      <w:pPr>
        <w:rPr>
          <w:sz w:val="24"/>
          <w:szCs w:val="24"/>
        </w:rPr>
      </w:pPr>
      <w:r>
        <w:rPr>
          <w:sz w:val="24"/>
          <w:szCs w:val="24"/>
          <w:lang w:val="en-US"/>
        </w:rPr>
        <w:t xml:space="preserve">Held:  The High Court dismissed O’s appeal.   </w:t>
      </w:r>
      <w:r>
        <w:rPr>
          <w:sz w:val="24"/>
          <w:szCs w:val="24"/>
        </w:rPr>
        <w:t>The Land Registry Adjudicator had been entitled to take the view that the Ls' user of track after 1988 was of sufficient frequency &amp; quality to sustain their case.  The fact that the Ls’ drove over the track infrequently during their ownership was sufficient.  There was no requirement for them to be driving up &amp; down the track, for example, each week or month.</w:t>
      </w:r>
    </w:p>
    <w:p w14:paraId="1089F734" w14:textId="77777777" w:rsidR="00574383" w:rsidRDefault="00574383" w:rsidP="00574383">
      <w:pPr>
        <w:rPr>
          <w:sz w:val="24"/>
          <w:szCs w:val="24"/>
        </w:rPr>
      </w:pPr>
    </w:p>
    <w:p w14:paraId="17DD3074" w14:textId="77777777" w:rsidR="00574383" w:rsidRDefault="00574383" w:rsidP="00574383">
      <w:pPr>
        <w:rPr>
          <w:bCs/>
          <w:iCs/>
          <w:sz w:val="24"/>
          <w:szCs w:val="24"/>
        </w:rPr>
      </w:pPr>
      <w:r>
        <w:rPr>
          <w:sz w:val="24"/>
          <w:szCs w:val="24"/>
        </w:rPr>
        <w:t xml:space="preserve">Also in </w:t>
      </w:r>
      <w:r>
        <w:rPr>
          <w:b/>
          <w:bCs/>
          <w:i/>
          <w:iCs/>
          <w:sz w:val="24"/>
          <w:szCs w:val="24"/>
        </w:rPr>
        <w:t xml:space="preserve">European Urban St </w:t>
      </w:r>
      <w:proofErr w:type="spellStart"/>
      <w:r>
        <w:rPr>
          <w:b/>
          <w:bCs/>
          <w:i/>
          <w:iCs/>
          <w:sz w:val="24"/>
          <w:szCs w:val="24"/>
        </w:rPr>
        <w:t>Pancra</w:t>
      </w:r>
      <w:proofErr w:type="spellEnd"/>
      <w:r>
        <w:rPr>
          <w:b/>
          <w:bCs/>
          <w:i/>
          <w:iCs/>
          <w:sz w:val="24"/>
          <w:szCs w:val="24"/>
        </w:rPr>
        <w:t xml:space="preserve"> 2 Ltd v Glynn </w:t>
      </w:r>
      <w:r>
        <w:rPr>
          <w:bCs/>
          <w:iCs/>
          <w:sz w:val="24"/>
          <w:szCs w:val="24"/>
        </w:rPr>
        <w:t xml:space="preserve">[2013] PLSCS 67, the court considered the acquisition of a prescriptive right to park.  </w:t>
      </w:r>
    </w:p>
    <w:p w14:paraId="1B988C36" w14:textId="77777777" w:rsidR="00574383" w:rsidRDefault="00574383" w:rsidP="00574383">
      <w:pPr>
        <w:rPr>
          <w:bCs/>
          <w:iCs/>
          <w:sz w:val="24"/>
          <w:szCs w:val="24"/>
        </w:rPr>
      </w:pPr>
    </w:p>
    <w:p w14:paraId="4647C4B1" w14:textId="77777777" w:rsidR="00574383" w:rsidRDefault="00574383" w:rsidP="00574383">
      <w:pPr>
        <w:rPr>
          <w:sz w:val="24"/>
          <w:szCs w:val="24"/>
        </w:rPr>
      </w:pPr>
      <w:r>
        <w:rPr>
          <w:sz w:val="24"/>
          <w:szCs w:val="24"/>
        </w:rPr>
        <w:t xml:space="preserve">In May 2008 </w:t>
      </w:r>
      <w:r>
        <w:rPr>
          <w:bCs/>
          <w:iCs/>
          <w:sz w:val="24"/>
          <w:szCs w:val="24"/>
        </w:rPr>
        <w:t xml:space="preserve">European Urban St </w:t>
      </w:r>
      <w:proofErr w:type="spellStart"/>
      <w:r>
        <w:rPr>
          <w:bCs/>
          <w:iCs/>
          <w:sz w:val="24"/>
          <w:szCs w:val="24"/>
        </w:rPr>
        <w:t>Pancra</w:t>
      </w:r>
      <w:proofErr w:type="spellEnd"/>
      <w:r>
        <w:rPr>
          <w:bCs/>
          <w:iCs/>
          <w:sz w:val="24"/>
          <w:szCs w:val="24"/>
        </w:rPr>
        <w:t xml:space="preserve"> 2 Ltd (</w:t>
      </w:r>
      <w:r>
        <w:rPr>
          <w:sz w:val="24"/>
          <w:szCs w:val="24"/>
        </w:rPr>
        <w:t xml:space="preserve">E) purchased land for £3m for residential development.  The land was a former petrol station (and was also the “servient land”).  </w:t>
      </w:r>
    </w:p>
    <w:p w14:paraId="4A51824E" w14:textId="77777777" w:rsidR="00574383" w:rsidRDefault="00574383" w:rsidP="00574383">
      <w:pPr>
        <w:rPr>
          <w:sz w:val="24"/>
          <w:szCs w:val="24"/>
        </w:rPr>
      </w:pPr>
    </w:p>
    <w:p w14:paraId="3400D988" w14:textId="77777777" w:rsidR="00574383" w:rsidRDefault="00574383" w:rsidP="00574383">
      <w:pPr>
        <w:rPr>
          <w:sz w:val="24"/>
          <w:szCs w:val="24"/>
        </w:rPr>
      </w:pPr>
      <w:r>
        <w:rPr>
          <w:sz w:val="24"/>
          <w:szCs w:val="24"/>
        </w:rPr>
        <w:t>Glynn (G) owned neighbouring land which had been used as a garage business since at least 1970 (“dominant land”).  G’s business was such that it required additional space to park customers’ cars.  G said it had directed customers to park on certain areas of the servient land. It was necessary for G to establish 20 years prescriptive use from 1983 to 2003 as, after 2003, the use was permissive.  Witness evidence suggested that about 15 cars would be parked on these areas at any one time.</w:t>
      </w:r>
    </w:p>
    <w:p w14:paraId="1FA5FF2A" w14:textId="77777777" w:rsidR="00574383" w:rsidRDefault="00574383" w:rsidP="00574383">
      <w:pPr>
        <w:rPr>
          <w:sz w:val="24"/>
          <w:szCs w:val="24"/>
        </w:rPr>
      </w:pPr>
    </w:p>
    <w:p w14:paraId="3E3AB00C" w14:textId="77777777" w:rsidR="00574383" w:rsidRDefault="00574383" w:rsidP="00574383">
      <w:pPr>
        <w:rPr>
          <w:sz w:val="24"/>
          <w:szCs w:val="24"/>
        </w:rPr>
      </w:pPr>
      <w:r>
        <w:rPr>
          <w:sz w:val="24"/>
          <w:szCs w:val="24"/>
        </w:rPr>
        <w:lastRenderedPageBreak/>
        <w:t>The County Court heard and accepted evidence from a variety of garage customers who confirmed they witnessed use of the servient land for the purposes of parking when attending G’s premises.</w:t>
      </w:r>
    </w:p>
    <w:p w14:paraId="6C808244" w14:textId="77777777" w:rsidR="00574383" w:rsidRDefault="00574383" w:rsidP="00574383">
      <w:pPr>
        <w:rPr>
          <w:sz w:val="24"/>
          <w:szCs w:val="24"/>
        </w:rPr>
      </w:pPr>
    </w:p>
    <w:p w14:paraId="1912569A" w14:textId="77777777" w:rsidR="00574383" w:rsidRDefault="00574383" w:rsidP="00574383">
      <w:pPr>
        <w:rPr>
          <w:sz w:val="24"/>
          <w:szCs w:val="24"/>
        </w:rPr>
      </w:pPr>
      <w:r>
        <w:rPr>
          <w:sz w:val="24"/>
          <w:szCs w:val="24"/>
        </w:rPr>
        <w:t xml:space="preserve">Held:  The County Court held that a prescriptive right to park on E’s property arose under the Doctrine of Lost Modern Grant, as there had been more than 20 years open continuous use without consent. </w:t>
      </w:r>
    </w:p>
    <w:p w14:paraId="6F911AFF" w14:textId="77777777" w:rsidR="00574383" w:rsidRDefault="00574383" w:rsidP="00574383">
      <w:pPr>
        <w:rPr>
          <w:sz w:val="24"/>
          <w:szCs w:val="24"/>
        </w:rPr>
      </w:pPr>
    </w:p>
    <w:p w14:paraId="2CC5ACA9" w14:textId="77777777" w:rsidR="00574383" w:rsidRDefault="00574383" w:rsidP="00574383">
      <w:pPr>
        <w:tabs>
          <w:tab w:val="num" w:pos="1440"/>
        </w:tabs>
        <w:rPr>
          <w:bCs/>
          <w:iCs/>
          <w:sz w:val="24"/>
        </w:rPr>
      </w:pPr>
      <w:r>
        <w:rPr>
          <w:sz w:val="24"/>
        </w:rPr>
        <w:t xml:space="preserve">On acquisition of an easement via prescription note should be made of the case of </w:t>
      </w:r>
      <w:r>
        <w:rPr>
          <w:b/>
          <w:bCs/>
          <w:i/>
          <w:iCs/>
          <w:sz w:val="24"/>
        </w:rPr>
        <w:t xml:space="preserve">London Tara Hotel Ltd v Kensington Close Hotel Ltd  </w:t>
      </w:r>
      <w:r>
        <w:rPr>
          <w:bCs/>
          <w:iCs/>
          <w:sz w:val="24"/>
        </w:rPr>
        <w:t xml:space="preserve">[2011] EWCA </w:t>
      </w:r>
      <w:proofErr w:type="spellStart"/>
      <w:r>
        <w:rPr>
          <w:bCs/>
          <w:iCs/>
          <w:sz w:val="24"/>
        </w:rPr>
        <w:t>Civ</w:t>
      </w:r>
      <w:proofErr w:type="spellEnd"/>
      <w:r>
        <w:rPr>
          <w:bCs/>
          <w:iCs/>
          <w:sz w:val="24"/>
        </w:rPr>
        <w:t xml:space="preserve"> 1356.  In 1973, the owner of Tara Hotel granted a licence to the original owner of Kensington Hotel (KCL).  The terms were that the licence was personal to KCL, it entitled KCL, its agents and business visitors (but not guests) to use Tara Hotel’s road to access Kensington Hotel with or without vehicles; and KCL was to pay £1 a year, as a licence fee, to Tara Hotel’s owner (if demanded). </w:t>
      </w:r>
    </w:p>
    <w:p w14:paraId="367DAB55" w14:textId="77777777" w:rsidR="00574383" w:rsidRDefault="00574383" w:rsidP="00574383">
      <w:pPr>
        <w:rPr>
          <w:bCs/>
          <w:iCs/>
          <w:sz w:val="24"/>
        </w:rPr>
      </w:pPr>
    </w:p>
    <w:p w14:paraId="0E22B0DA" w14:textId="77777777" w:rsidR="00574383" w:rsidRDefault="00574383" w:rsidP="00574383">
      <w:pPr>
        <w:tabs>
          <w:tab w:val="num" w:pos="720"/>
        </w:tabs>
        <w:rPr>
          <w:bCs/>
          <w:iCs/>
          <w:sz w:val="24"/>
        </w:rPr>
      </w:pPr>
      <w:r>
        <w:rPr>
          <w:bCs/>
          <w:iCs/>
          <w:sz w:val="24"/>
        </w:rPr>
        <w:t>KCL ceased trading in 1978 and from 1980 the Kensington Hotel was transferred several times.  Following a transfer to Posthouses Limited in 1996, Kensington Hotel was renamed Posthouse Kensington and in 2002 D acquired Posthouse Kensington.  In 2007 T (the owner of Tara Hotel) claimed D was trespassing.  D argued it had acquired a right to use the road by prescription.</w:t>
      </w:r>
    </w:p>
    <w:p w14:paraId="63E74DEB" w14:textId="77777777" w:rsidR="00574383" w:rsidRDefault="00574383" w:rsidP="00574383">
      <w:pPr>
        <w:tabs>
          <w:tab w:val="num" w:pos="720"/>
        </w:tabs>
        <w:rPr>
          <w:bCs/>
          <w:iCs/>
          <w:sz w:val="24"/>
        </w:rPr>
      </w:pPr>
    </w:p>
    <w:p w14:paraId="3BA52F73" w14:textId="77777777" w:rsidR="00574383" w:rsidRDefault="00574383" w:rsidP="00574383">
      <w:pPr>
        <w:rPr>
          <w:bCs/>
          <w:iCs/>
          <w:sz w:val="24"/>
        </w:rPr>
      </w:pPr>
      <w:r>
        <w:rPr>
          <w:bCs/>
          <w:iCs/>
          <w:sz w:val="24"/>
        </w:rPr>
        <w:t>T argued that D’s use was by permission as it was a continuation of the use subsisting under the 1973 licence.  T stated that there was nothing to suggest to it that the owner of “Kensington Hotel” had changed.</w:t>
      </w:r>
    </w:p>
    <w:p w14:paraId="4B1A2B04" w14:textId="77777777" w:rsidR="00574383" w:rsidRDefault="00574383" w:rsidP="00574383">
      <w:pPr>
        <w:rPr>
          <w:bCs/>
          <w:iCs/>
          <w:sz w:val="24"/>
        </w:rPr>
      </w:pPr>
    </w:p>
    <w:p w14:paraId="45F102EF" w14:textId="77777777" w:rsidR="00574383" w:rsidRDefault="00574383" w:rsidP="00574383">
      <w:pPr>
        <w:tabs>
          <w:tab w:val="num" w:pos="720"/>
        </w:tabs>
        <w:rPr>
          <w:bCs/>
          <w:iCs/>
          <w:sz w:val="24"/>
        </w:rPr>
      </w:pPr>
      <w:r>
        <w:rPr>
          <w:bCs/>
          <w:iCs/>
          <w:sz w:val="24"/>
        </w:rPr>
        <w:t>Held:  The High Court decided that D had acquired a right of way for commercial vehicles/coaches over the road and the use was from 1980 onwards.  The Court of Appeal dismissed T’s appeal.  The court’s view was that there was no permission - 1973 licence personal to KCL and terminated when the Kensington Hotel was transferred from KCL.  Also there was no secrecy as when the change of ownership occurred, there was no deliberate intention to keep the change quiet.  There was also no implied licence - there had to be a positive act, mere inactivity by T was insufficient.  The extent of right extended to coaches/commercial vehicles as this use accommodated the dominant land.</w:t>
      </w:r>
    </w:p>
    <w:p w14:paraId="4A0A536E" w14:textId="77777777" w:rsidR="00574383" w:rsidRDefault="00574383" w:rsidP="00574383">
      <w:pPr>
        <w:rPr>
          <w:sz w:val="24"/>
          <w:szCs w:val="24"/>
        </w:rPr>
      </w:pPr>
      <w:r>
        <w:rPr>
          <w:sz w:val="24"/>
        </w:rPr>
        <w:t xml:space="preserve">The recent case of </w:t>
      </w:r>
      <w:r>
        <w:rPr>
          <w:b/>
          <w:i/>
          <w:sz w:val="24"/>
        </w:rPr>
        <w:t xml:space="preserve">Bennett v Winterburn </w:t>
      </w:r>
      <w:r>
        <w:rPr>
          <w:rFonts w:cs="Arial"/>
          <w:iCs/>
          <w:sz w:val="24"/>
          <w:lang w:eastAsia="en-GB"/>
        </w:rPr>
        <w:t xml:space="preserve">[2016] EWCA </w:t>
      </w:r>
      <w:proofErr w:type="spellStart"/>
      <w:r>
        <w:rPr>
          <w:rFonts w:cs="Arial"/>
          <w:iCs/>
          <w:sz w:val="24"/>
          <w:lang w:eastAsia="en-GB"/>
        </w:rPr>
        <w:t>Civ</w:t>
      </w:r>
      <w:proofErr w:type="spellEnd"/>
      <w:r>
        <w:rPr>
          <w:rFonts w:cs="Arial"/>
          <w:iCs/>
          <w:sz w:val="24"/>
          <w:lang w:eastAsia="en-GB"/>
        </w:rPr>
        <w:t xml:space="preserve"> 482 </w:t>
      </w:r>
      <w:r>
        <w:rPr>
          <w:rFonts w:cs="Arial"/>
          <w:sz w:val="24"/>
        </w:rPr>
        <w:t>considered</w:t>
      </w:r>
      <w:r>
        <w:rPr>
          <w:sz w:val="24"/>
        </w:rPr>
        <w:t xml:space="preserve"> whether a prescriptive right of way could be acquired for the benefit of dominant land where it was third parties, as opposed to the owner of the dominant land, who were exercising the right in </w:t>
      </w:r>
      <w:r>
        <w:rPr>
          <w:sz w:val="24"/>
          <w:szCs w:val="24"/>
        </w:rPr>
        <w:t xml:space="preserve">question.  </w:t>
      </w:r>
    </w:p>
    <w:p w14:paraId="092F7D2E" w14:textId="77777777" w:rsidR="00574383" w:rsidRDefault="00574383" w:rsidP="00574383">
      <w:pPr>
        <w:rPr>
          <w:sz w:val="24"/>
          <w:szCs w:val="24"/>
        </w:rPr>
      </w:pPr>
    </w:p>
    <w:p w14:paraId="7DE1F57F" w14:textId="77777777" w:rsidR="00574383" w:rsidRDefault="00574383" w:rsidP="00574383">
      <w:pPr>
        <w:tabs>
          <w:tab w:val="num" w:pos="720"/>
        </w:tabs>
        <w:ind w:right="-1"/>
        <w:rPr>
          <w:sz w:val="24"/>
          <w:szCs w:val="24"/>
        </w:rPr>
      </w:pPr>
      <w:r>
        <w:rPr>
          <w:sz w:val="24"/>
          <w:szCs w:val="24"/>
        </w:rPr>
        <w:t xml:space="preserve">In that case, until 2010, a Conservative Club owned buildings in Keighley, West Yorkshire.  In front of the buildings was a small car park which provided the Club’s only access onto the highway.  In 2010, Bs acquired the buildings and car park. Adjacent to the car park entrance there was a fish and chip shop which had been owned by </w:t>
      </w:r>
      <w:proofErr w:type="spellStart"/>
      <w:r>
        <w:rPr>
          <w:sz w:val="24"/>
          <w:szCs w:val="24"/>
        </w:rPr>
        <w:t>Ws</w:t>
      </w:r>
      <w:proofErr w:type="spellEnd"/>
      <w:r>
        <w:rPr>
          <w:sz w:val="24"/>
          <w:szCs w:val="24"/>
        </w:rPr>
        <w:t xml:space="preserve"> from 1988.</w:t>
      </w:r>
    </w:p>
    <w:p w14:paraId="6093F448" w14:textId="77777777" w:rsidR="00574383" w:rsidRDefault="00574383" w:rsidP="00574383">
      <w:pPr>
        <w:tabs>
          <w:tab w:val="num" w:pos="720"/>
        </w:tabs>
        <w:ind w:right="-1"/>
        <w:rPr>
          <w:sz w:val="24"/>
          <w:szCs w:val="24"/>
        </w:rPr>
      </w:pPr>
    </w:p>
    <w:p w14:paraId="270F64C5" w14:textId="77777777" w:rsidR="00574383" w:rsidRDefault="00574383" w:rsidP="00574383">
      <w:pPr>
        <w:tabs>
          <w:tab w:val="num" w:pos="720"/>
        </w:tabs>
        <w:ind w:right="-1"/>
        <w:rPr>
          <w:sz w:val="24"/>
          <w:szCs w:val="24"/>
        </w:rPr>
      </w:pPr>
      <w:r>
        <w:rPr>
          <w:sz w:val="24"/>
          <w:szCs w:val="24"/>
        </w:rPr>
        <w:t xml:space="preserve">In 2012, </w:t>
      </w:r>
      <w:proofErr w:type="spellStart"/>
      <w:r>
        <w:rPr>
          <w:sz w:val="24"/>
          <w:szCs w:val="24"/>
        </w:rPr>
        <w:t>Ws</w:t>
      </w:r>
      <w:proofErr w:type="spellEnd"/>
      <w:r>
        <w:rPr>
          <w:sz w:val="24"/>
          <w:szCs w:val="24"/>
        </w:rPr>
        <w:t xml:space="preserve"> claimed prescriptive easements based on 20 years’ use from 1988 via the Doctrine of Lost Modern Grant relating to:</w:t>
      </w:r>
    </w:p>
    <w:p w14:paraId="1499A1A7" w14:textId="77777777" w:rsidR="00574383" w:rsidRDefault="00574383" w:rsidP="00574383">
      <w:pPr>
        <w:tabs>
          <w:tab w:val="num" w:pos="720"/>
        </w:tabs>
        <w:ind w:right="-1"/>
        <w:rPr>
          <w:sz w:val="24"/>
          <w:szCs w:val="24"/>
        </w:rPr>
      </w:pPr>
    </w:p>
    <w:p w14:paraId="64DB2D1A" w14:textId="77777777" w:rsidR="00574383" w:rsidRDefault="00574383" w:rsidP="00574383">
      <w:pPr>
        <w:ind w:right="-1" w:firstLine="284"/>
        <w:rPr>
          <w:sz w:val="24"/>
          <w:szCs w:val="24"/>
        </w:rPr>
      </w:pPr>
      <w:r>
        <w:rPr>
          <w:sz w:val="24"/>
          <w:szCs w:val="24"/>
        </w:rPr>
        <w:t xml:space="preserve">(1) a right for their suppliers to park when making deliveries; &amp; </w:t>
      </w:r>
    </w:p>
    <w:p w14:paraId="475E2971" w14:textId="77777777" w:rsidR="00574383" w:rsidRDefault="00574383" w:rsidP="00574383">
      <w:pPr>
        <w:ind w:left="709" w:right="-1"/>
        <w:rPr>
          <w:sz w:val="24"/>
          <w:szCs w:val="24"/>
        </w:rPr>
      </w:pPr>
    </w:p>
    <w:p w14:paraId="0268BC94" w14:textId="77777777" w:rsidR="00574383" w:rsidRDefault="00574383" w:rsidP="00574383">
      <w:pPr>
        <w:ind w:right="-1" w:firstLine="284"/>
        <w:rPr>
          <w:sz w:val="24"/>
          <w:szCs w:val="24"/>
        </w:rPr>
      </w:pPr>
      <w:r>
        <w:rPr>
          <w:sz w:val="24"/>
          <w:szCs w:val="24"/>
        </w:rPr>
        <w:t>(2) a right for their customers to park when collecting food.</w:t>
      </w:r>
    </w:p>
    <w:p w14:paraId="07173C28" w14:textId="77777777" w:rsidR="00574383" w:rsidRDefault="00574383" w:rsidP="00574383">
      <w:pPr>
        <w:ind w:right="-1"/>
        <w:rPr>
          <w:sz w:val="24"/>
          <w:szCs w:val="24"/>
        </w:rPr>
      </w:pPr>
    </w:p>
    <w:p w14:paraId="216B7B77" w14:textId="77777777" w:rsidR="00574383" w:rsidRDefault="00574383" w:rsidP="00574383">
      <w:pPr>
        <w:tabs>
          <w:tab w:val="num" w:pos="720"/>
        </w:tabs>
        <w:ind w:right="-1"/>
        <w:rPr>
          <w:sz w:val="24"/>
          <w:szCs w:val="24"/>
        </w:rPr>
      </w:pPr>
      <w:r>
        <w:rPr>
          <w:sz w:val="24"/>
          <w:szCs w:val="24"/>
        </w:rPr>
        <w:t xml:space="preserve">A notice was plainly visible to anyone entering the car park from the road stating, “Private car park. For use of club patrons only. By order of the committee”.  A similar sign was displayed in the club window.  The notices were largely ignored but their presence was known to </w:t>
      </w:r>
      <w:proofErr w:type="spellStart"/>
      <w:r>
        <w:rPr>
          <w:sz w:val="24"/>
          <w:szCs w:val="24"/>
        </w:rPr>
        <w:t>Ws</w:t>
      </w:r>
      <w:proofErr w:type="spellEnd"/>
      <w:r>
        <w:rPr>
          <w:sz w:val="24"/>
          <w:szCs w:val="24"/>
        </w:rPr>
        <w:t>.</w:t>
      </w:r>
    </w:p>
    <w:p w14:paraId="336C3FCA" w14:textId="77777777" w:rsidR="00574383" w:rsidRDefault="00574383" w:rsidP="00574383">
      <w:pPr>
        <w:tabs>
          <w:tab w:val="num" w:pos="720"/>
        </w:tabs>
        <w:ind w:right="-1"/>
        <w:rPr>
          <w:sz w:val="24"/>
          <w:szCs w:val="24"/>
        </w:rPr>
      </w:pPr>
      <w:r>
        <w:rPr>
          <w:sz w:val="24"/>
          <w:szCs w:val="24"/>
        </w:rPr>
        <w:t>Bs argued that parking was contentious and so forcible use (not “</w:t>
      </w:r>
      <w:proofErr w:type="spellStart"/>
      <w:r>
        <w:rPr>
          <w:sz w:val="24"/>
          <w:szCs w:val="24"/>
        </w:rPr>
        <w:t>nec</w:t>
      </w:r>
      <w:proofErr w:type="spellEnd"/>
      <w:r>
        <w:rPr>
          <w:sz w:val="24"/>
          <w:szCs w:val="24"/>
        </w:rPr>
        <w:t xml:space="preserve"> vi”).</w:t>
      </w:r>
    </w:p>
    <w:p w14:paraId="5AD8027C" w14:textId="77777777" w:rsidR="00574383" w:rsidRDefault="00574383" w:rsidP="00574383">
      <w:pPr>
        <w:ind w:right="-1"/>
        <w:rPr>
          <w:sz w:val="24"/>
          <w:szCs w:val="24"/>
        </w:rPr>
      </w:pPr>
    </w:p>
    <w:p w14:paraId="2BE425EE" w14:textId="77777777" w:rsidR="00574383" w:rsidRDefault="00574383" w:rsidP="00574383">
      <w:pPr>
        <w:tabs>
          <w:tab w:val="num" w:pos="720"/>
        </w:tabs>
        <w:ind w:right="-1"/>
        <w:rPr>
          <w:sz w:val="24"/>
          <w:szCs w:val="24"/>
        </w:rPr>
      </w:pPr>
      <w:r>
        <w:rPr>
          <w:sz w:val="24"/>
          <w:szCs w:val="24"/>
        </w:rPr>
        <w:t xml:space="preserve">Held: The First Tribunal found in W’s favour.  There had been continuous use in the manner argued by W for more than 20 years.  The signs pre-dated </w:t>
      </w:r>
      <w:proofErr w:type="spellStart"/>
      <w:r>
        <w:rPr>
          <w:sz w:val="24"/>
          <w:szCs w:val="24"/>
        </w:rPr>
        <w:t>Ws</w:t>
      </w:r>
      <w:proofErr w:type="spellEnd"/>
      <w:r>
        <w:rPr>
          <w:sz w:val="24"/>
          <w:szCs w:val="24"/>
        </w:rPr>
        <w:t xml:space="preserve"> arrival so they were not directed at them and the signs were passive and Bs and their predecessors in title had failed to escalate matters, E.g. by sending a solicitors’ letter.</w:t>
      </w:r>
    </w:p>
    <w:p w14:paraId="6A8FD335" w14:textId="77777777" w:rsidR="00574383" w:rsidRDefault="00574383" w:rsidP="00574383">
      <w:pPr>
        <w:tabs>
          <w:tab w:val="num" w:pos="720"/>
        </w:tabs>
        <w:ind w:right="-1"/>
        <w:rPr>
          <w:sz w:val="24"/>
          <w:szCs w:val="24"/>
        </w:rPr>
      </w:pPr>
    </w:p>
    <w:p w14:paraId="2AA6777D" w14:textId="77777777" w:rsidR="00574383" w:rsidRDefault="00574383" w:rsidP="00574383">
      <w:pPr>
        <w:tabs>
          <w:tab w:val="num" w:pos="720"/>
        </w:tabs>
        <w:ind w:right="-1"/>
        <w:rPr>
          <w:sz w:val="24"/>
          <w:szCs w:val="24"/>
        </w:rPr>
      </w:pPr>
      <w:r>
        <w:rPr>
          <w:sz w:val="24"/>
          <w:szCs w:val="24"/>
        </w:rPr>
        <w:t xml:space="preserve">B appealed.  </w:t>
      </w:r>
    </w:p>
    <w:p w14:paraId="4F42CB14" w14:textId="77777777" w:rsidR="00574383" w:rsidRDefault="00574383" w:rsidP="00574383">
      <w:pPr>
        <w:tabs>
          <w:tab w:val="num" w:pos="720"/>
        </w:tabs>
        <w:ind w:right="-1"/>
        <w:rPr>
          <w:sz w:val="24"/>
          <w:szCs w:val="24"/>
        </w:rPr>
      </w:pPr>
    </w:p>
    <w:p w14:paraId="5075A1D8" w14:textId="77777777" w:rsidR="00574383" w:rsidRDefault="00574383" w:rsidP="00574383">
      <w:pPr>
        <w:tabs>
          <w:tab w:val="num" w:pos="720"/>
        </w:tabs>
        <w:ind w:right="-1"/>
        <w:rPr>
          <w:sz w:val="24"/>
          <w:szCs w:val="24"/>
        </w:rPr>
      </w:pPr>
      <w:r>
        <w:rPr>
          <w:sz w:val="24"/>
          <w:szCs w:val="24"/>
        </w:rPr>
        <w:t xml:space="preserve">Held: The Upper Tribunal allowed B’s appeal. </w:t>
      </w:r>
    </w:p>
    <w:p w14:paraId="4BCEC4AB" w14:textId="77777777" w:rsidR="00574383" w:rsidRDefault="00574383" w:rsidP="00574383">
      <w:pPr>
        <w:tabs>
          <w:tab w:val="num" w:pos="720"/>
        </w:tabs>
        <w:ind w:right="-1"/>
        <w:rPr>
          <w:rFonts w:cs="Arial"/>
          <w:sz w:val="24"/>
          <w:szCs w:val="24"/>
        </w:rPr>
      </w:pPr>
    </w:p>
    <w:p w14:paraId="565BAEDC" w14:textId="77777777" w:rsidR="00574383" w:rsidRDefault="00574383" w:rsidP="00574383">
      <w:pPr>
        <w:tabs>
          <w:tab w:val="num" w:pos="720"/>
        </w:tabs>
        <w:ind w:right="-1"/>
        <w:rPr>
          <w:rFonts w:cs="Arial"/>
          <w:sz w:val="24"/>
          <w:szCs w:val="24"/>
        </w:rPr>
      </w:pPr>
      <w:r>
        <w:rPr>
          <w:rFonts w:cs="Arial"/>
          <w:sz w:val="24"/>
          <w:szCs w:val="24"/>
        </w:rPr>
        <w:t>W appealed!</w:t>
      </w:r>
    </w:p>
    <w:p w14:paraId="1650067D" w14:textId="77777777" w:rsidR="00574383" w:rsidRDefault="00574383" w:rsidP="00574383">
      <w:pPr>
        <w:pStyle w:val="NormalWeb"/>
        <w:rPr>
          <w:rFonts w:ascii="Arial" w:hAnsi="Arial" w:cs="Arial"/>
        </w:rPr>
      </w:pPr>
      <w:r>
        <w:rPr>
          <w:rFonts w:ascii="Arial" w:hAnsi="Arial" w:cs="Arial"/>
        </w:rPr>
        <w:t>Held: The Court of Appeal dismissed W’s appeal.  In order to establish an easement for parking by prescription, W had to show 20 years’ uninterrupted use “as of right”.  Looking at the three elements to be proven, it was the "without force" element that was pivotal.  Parking on the land in question was done in an open manner and it was known to the Conservative Club and it was done without permission from that Club.</w:t>
      </w:r>
    </w:p>
    <w:p w14:paraId="1715B7B7" w14:textId="77777777" w:rsidR="00574383" w:rsidRDefault="00574383" w:rsidP="00574383">
      <w:pPr>
        <w:pStyle w:val="NormalWeb"/>
        <w:rPr>
          <w:rFonts w:ascii="Arial" w:hAnsi="Arial" w:cs="Arial"/>
        </w:rPr>
      </w:pPr>
      <w:r>
        <w:rPr>
          <w:rFonts w:ascii="Arial" w:hAnsi="Arial" w:cs="Arial"/>
        </w:rPr>
        <w:t>The term “without force” means more than its literal meaning. It is not enough for the person claiming the easement to show that it has not used violence; it must show that its use was not contentious. Here the Court of Appeal was satisfied that the legal owner of land does not have to take physical steps or legal proceedings to prevent the wrongful user, in order to avoid acquiescing to that use.</w:t>
      </w:r>
    </w:p>
    <w:p w14:paraId="373593D7" w14:textId="77777777" w:rsidR="00574383" w:rsidRDefault="00574383" w:rsidP="00574383">
      <w:pPr>
        <w:ind w:right="-1"/>
        <w:rPr>
          <w:sz w:val="24"/>
          <w:szCs w:val="24"/>
        </w:rPr>
      </w:pPr>
    </w:p>
    <w:p w14:paraId="1D7566F7" w14:textId="77777777" w:rsidR="00574383" w:rsidRDefault="00574383" w:rsidP="00574383">
      <w:pPr>
        <w:ind w:right="-1"/>
        <w:rPr>
          <w:sz w:val="24"/>
          <w:szCs w:val="24"/>
        </w:rPr>
      </w:pPr>
      <w:r>
        <w:rPr>
          <w:sz w:val="24"/>
          <w:szCs w:val="24"/>
        </w:rPr>
        <w:t>As an aside it is not necessary for the servient owner to have been able to sue the dominant owner in trespass in order for time to start to run in respect of this prescriptive easement.  All that is needed is for the right to accommodate the dominant land.</w:t>
      </w:r>
    </w:p>
    <w:p w14:paraId="3BFBCCA0" w14:textId="77777777" w:rsidR="00574383" w:rsidRDefault="00574383" w:rsidP="00574383">
      <w:pPr>
        <w:rPr>
          <w:sz w:val="24"/>
        </w:rPr>
      </w:pPr>
    </w:p>
    <w:p w14:paraId="45E5E71F" w14:textId="77777777" w:rsidR="00574383" w:rsidRDefault="00574383" w:rsidP="00574383">
      <w:pPr>
        <w:rPr>
          <w:sz w:val="24"/>
        </w:rPr>
      </w:pPr>
    </w:p>
    <w:p w14:paraId="1FE077AA" w14:textId="77777777" w:rsidR="00574383" w:rsidRDefault="00574383" w:rsidP="00574383">
      <w:pPr>
        <w:rPr>
          <w:sz w:val="24"/>
        </w:rPr>
      </w:pPr>
      <w:r>
        <w:rPr>
          <w:sz w:val="24"/>
        </w:rPr>
        <w:t>What if you cannot satisfy the time requirement - what right (if any) would you have?  Maybe the right is merely a licence.</w:t>
      </w:r>
    </w:p>
    <w:p w14:paraId="015B81B7" w14:textId="77777777" w:rsidR="00574383" w:rsidRDefault="00574383" w:rsidP="00574383">
      <w:pPr>
        <w:rPr>
          <w:sz w:val="24"/>
        </w:rPr>
      </w:pPr>
    </w:p>
    <w:p w14:paraId="2E8BEB80" w14:textId="77777777" w:rsidR="00574383" w:rsidRDefault="00574383" w:rsidP="00574383">
      <w:pPr>
        <w:rPr>
          <w:sz w:val="24"/>
          <w:szCs w:val="24"/>
        </w:rPr>
      </w:pPr>
    </w:p>
    <w:p w14:paraId="48D652CF" w14:textId="77777777" w:rsidR="00574383" w:rsidRDefault="00574383" w:rsidP="00574383">
      <w:pPr>
        <w:rPr>
          <w:sz w:val="24"/>
          <w:szCs w:val="24"/>
        </w:rPr>
      </w:pPr>
      <w:r>
        <w:rPr>
          <w:sz w:val="24"/>
          <w:szCs w:val="24"/>
        </w:rPr>
        <w:t xml:space="preserve">What if none of the methods of creation/acquisition are satisfied?  Consider relying on the equitable remedy of proprietary estoppel.  </w:t>
      </w:r>
    </w:p>
    <w:p w14:paraId="6133B536" w14:textId="77777777" w:rsidR="00574383" w:rsidRDefault="00574383" w:rsidP="00574383">
      <w:pPr>
        <w:rPr>
          <w:sz w:val="24"/>
          <w:szCs w:val="24"/>
        </w:rPr>
      </w:pPr>
    </w:p>
    <w:p w14:paraId="17BBD141" w14:textId="77777777" w:rsidR="00574383" w:rsidRDefault="00574383" w:rsidP="00574383">
      <w:pPr>
        <w:rPr>
          <w:sz w:val="24"/>
          <w:szCs w:val="24"/>
        </w:rPr>
      </w:pPr>
      <w:r>
        <w:rPr>
          <w:sz w:val="24"/>
          <w:szCs w:val="24"/>
        </w:rPr>
        <w:t xml:space="preserve">In </w:t>
      </w:r>
      <w:r>
        <w:rPr>
          <w:b/>
          <w:bCs/>
          <w:i/>
          <w:iCs/>
          <w:sz w:val="24"/>
          <w:szCs w:val="24"/>
        </w:rPr>
        <w:t xml:space="preserve">Joyce v Epsom &amp; Ewell Borough Council </w:t>
      </w:r>
      <w:r>
        <w:rPr>
          <w:bCs/>
          <w:sz w:val="24"/>
          <w:szCs w:val="24"/>
        </w:rPr>
        <w:t xml:space="preserve">[2012] EWCA </w:t>
      </w:r>
      <w:proofErr w:type="spellStart"/>
      <w:r>
        <w:rPr>
          <w:bCs/>
          <w:sz w:val="24"/>
          <w:szCs w:val="24"/>
        </w:rPr>
        <w:t>Civ</w:t>
      </w:r>
      <w:proofErr w:type="spellEnd"/>
      <w:r>
        <w:rPr>
          <w:bCs/>
          <w:sz w:val="24"/>
          <w:szCs w:val="24"/>
        </w:rPr>
        <w:t xml:space="preserve"> 1398, </w:t>
      </w:r>
      <w:r>
        <w:rPr>
          <w:sz w:val="24"/>
          <w:szCs w:val="24"/>
        </w:rPr>
        <w:t xml:space="preserve">J’s predecessor in title had objected to a planning application to build a supermarket near his property.  He withdrew his objection on the basis that he would be granted a </w:t>
      </w:r>
      <w:r>
        <w:rPr>
          <w:sz w:val="24"/>
          <w:szCs w:val="24"/>
        </w:rPr>
        <w:lastRenderedPageBreak/>
        <w:t>new right of way to the rear of his property provided by E.  In practical terms, the right of way was used for a number of years.</w:t>
      </w:r>
    </w:p>
    <w:p w14:paraId="1B576F06" w14:textId="77777777" w:rsidR="00574383" w:rsidRDefault="00574383" w:rsidP="00574383">
      <w:pPr>
        <w:rPr>
          <w:sz w:val="24"/>
          <w:szCs w:val="24"/>
        </w:rPr>
      </w:pPr>
    </w:p>
    <w:p w14:paraId="044B0CCE" w14:textId="77777777" w:rsidR="00574383" w:rsidRDefault="00574383" w:rsidP="00574383">
      <w:pPr>
        <w:rPr>
          <w:sz w:val="24"/>
          <w:szCs w:val="24"/>
        </w:rPr>
      </w:pPr>
      <w:r>
        <w:rPr>
          <w:sz w:val="24"/>
          <w:szCs w:val="24"/>
        </w:rPr>
        <w:t xml:space="preserve">J purchased the property &amp; wanted to develop it.  He entered into correspondence with E regarding access.  </w:t>
      </w:r>
      <w:proofErr w:type="spellStart"/>
      <w:r>
        <w:rPr>
          <w:sz w:val="24"/>
          <w:szCs w:val="24"/>
        </w:rPr>
        <w:t>E</w:t>
      </w:r>
      <w:proofErr w:type="spellEnd"/>
      <w:r>
        <w:rPr>
          <w:sz w:val="24"/>
          <w:szCs w:val="24"/>
        </w:rPr>
        <w:t xml:space="preserve"> indicated it wanted £5,000 for the grant of the express right of way J was seeking.  J brought a claim founded on proprietary estoppels.</w:t>
      </w:r>
    </w:p>
    <w:p w14:paraId="4E36E339" w14:textId="77777777" w:rsidR="00574383" w:rsidRDefault="00574383" w:rsidP="00574383">
      <w:pPr>
        <w:rPr>
          <w:sz w:val="24"/>
          <w:szCs w:val="24"/>
        </w:rPr>
      </w:pPr>
    </w:p>
    <w:p w14:paraId="2AB7D7E0" w14:textId="77777777" w:rsidR="00574383" w:rsidRDefault="00574383" w:rsidP="00574383">
      <w:pPr>
        <w:rPr>
          <w:sz w:val="24"/>
          <w:szCs w:val="24"/>
        </w:rPr>
      </w:pPr>
      <w:r>
        <w:rPr>
          <w:sz w:val="24"/>
          <w:szCs w:val="24"/>
        </w:rPr>
        <w:t>Held:  The High Court decided that J had failed to establish that E had acted unconscionably in refusing to accept he had a right of way.  J appealed.</w:t>
      </w:r>
    </w:p>
    <w:p w14:paraId="69E181DE" w14:textId="77777777" w:rsidR="00574383" w:rsidRDefault="00574383" w:rsidP="00574383">
      <w:pPr>
        <w:rPr>
          <w:sz w:val="24"/>
          <w:szCs w:val="24"/>
        </w:rPr>
      </w:pPr>
    </w:p>
    <w:p w14:paraId="0B400528" w14:textId="77777777" w:rsidR="00574383" w:rsidRDefault="00574383" w:rsidP="00574383">
      <w:pPr>
        <w:rPr>
          <w:sz w:val="24"/>
          <w:szCs w:val="24"/>
        </w:rPr>
      </w:pPr>
      <w:r>
        <w:rPr>
          <w:sz w:val="24"/>
          <w:szCs w:val="24"/>
        </w:rPr>
        <w:t xml:space="preserve">The Court of Appeal found in favour of J.  Its view was that there was a mutual understanding which E could not resile from.  Accordingly, J was entitled to a formal grant of a right of way for a single dwelling house but if he wanted to develop his land to provide something more than a single dwelling he would need to negotiate terms for an enhanced right. </w:t>
      </w:r>
    </w:p>
    <w:p w14:paraId="32128B66" w14:textId="77777777" w:rsidR="00574383" w:rsidRDefault="00574383" w:rsidP="00574383">
      <w:pPr>
        <w:rPr>
          <w:sz w:val="24"/>
          <w:szCs w:val="24"/>
        </w:rPr>
      </w:pPr>
    </w:p>
    <w:p w14:paraId="0C7AA6EB" w14:textId="77777777" w:rsidR="00574383" w:rsidRDefault="00574383" w:rsidP="00574383">
      <w:pPr>
        <w:rPr>
          <w:sz w:val="24"/>
          <w:szCs w:val="24"/>
        </w:rPr>
      </w:pPr>
      <w:r>
        <w:rPr>
          <w:sz w:val="24"/>
          <w:szCs w:val="24"/>
        </w:rPr>
        <w:t xml:space="preserve">In the more recent case of </w:t>
      </w:r>
      <w:proofErr w:type="spellStart"/>
      <w:r>
        <w:rPr>
          <w:b/>
          <w:bCs/>
          <w:i/>
          <w:iCs/>
          <w:sz w:val="24"/>
          <w:szCs w:val="24"/>
        </w:rPr>
        <w:t>Hoyl</w:t>
      </w:r>
      <w:proofErr w:type="spellEnd"/>
      <w:r>
        <w:rPr>
          <w:b/>
          <w:bCs/>
          <w:i/>
          <w:iCs/>
          <w:sz w:val="24"/>
          <w:szCs w:val="24"/>
        </w:rPr>
        <w:t xml:space="preserve"> Group Ltd v Cromer Town Council </w:t>
      </w:r>
      <w:r>
        <w:rPr>
          <w:rStyle w:val="Strong"/>
          <w:rFonts w:cs="Arial"/>
          <w:b w:val="0"/>
          <w:sz w:val="24"/>
          <w:szCs w:val="24"/>
        </w:rPr>
        <w:t xml:space="preserve">[2015] EWCA </w:t>
      </w:r>
      <w:proofErr w:type="spellStart"/>
      <w:r>
        <w:rPr>
          <w:rStyle w:val="Strong"/>
          <w:rFonts w:cs="Arial"/>
          <w:b w:val="0"/>
          <w:sz w:val="24"/>
          <w:szCs w:val="24"/>
        </w:rPr>
        <w:t>Civ</w:t>
      </w:r>
      <w:proofErr w:type="spellEnd"/>
      <w:r>
        <w:rPr>
          <w:rStyle w:val="Strong"/>
          <w:rFonts w:cs="Arial"/>
          <w:b w:val="0"/>
          <w:sz w:val="24"/>
          <w:szCs w:val="24"/>
        </w:rPr>
        <w:t xml:space="preserve"> 782</w:t>
      </w:r>
      <w:r>
        <w:rPr>
          <w:sz w:val="24"/>
          <w:szCs w:val="24"/>
        </w:rPr>
        <w:t xml:space="preserve">, CTC owned North Lodge on Cromer seafront and H agreed to a 21 year lease of the upper floors of the building and a 99 year lease of the basement. H planned to convert the basement in to residential accommodation. </w:t>
      </w:r>
    </w:p>
    <w:p w14:paraId="58623732" w14:textId="77777777" w:rsidR="00574383" w:rsidRDefault="00574383" w:rsidP="00574383">
      <w:pPr>
        <w:rPr>
          <w:sz w:val="24"/>
          <w:szCs w:val="24"/>
        </w:rPr>
      </w:pPr>
    </w:p>
    <w:p w14:paraId="4AEC7159" w14:textId="77777777" w:rsidR="00574383" w:rsidRDefault="00574383" w:rsidP="00574383">
      <w:pPr>
        <w:rPr>
          <w:sz w:val="24"/>
          <w:szCs w:val="24"/>
        </w:rPr>
      </w:pPr>
      <w:r>
        <w:rPr>
          <w:sz w:val="24"/>
          <w:szCs w:val="24"/>
        </w:rPr>
        <w:t>There were three different accesses for the basement, namely an internal access, an access through a garden area and an access through a parking area. H obtained planning permission for the conversion and prepared a plan of the works, including the proposed access routes. H needed CTC’s consent to the works as landlord. The lease was completed but the licence for alterations was not and the only access included in the lease was the parking area route.</w:t>
      </w:r>
    </w:p>
    <w:p w14:paraId="6BC54AA8" w14:textId="77777777" w:rsidR="00574383" w:rsidRDefault="00574383" w:rsidP="00574383">
      <w:pPr>
        <w:rPr>
          <w:sz w:val="24"/>
          <w:szCs w:val="24"/>
        </w:rPr>
      </w:pPr>
    </w:p>
    <w:p w14:paraId="0ACDFB62" w14:textId="77777777" w:rsidR="00574383" w:rsidRDefault="00574383" w:rsidP="00574383">
      <w:pPr>
        <w:rPr>
          <w:sz w:val="24"/>
          <w:szCs w:val="24"/>
        </w:rPr>
      </w:pPr>
      <w:r>
        <w:rPr>
          <w:sz w:val="24"/>
          <w:szCs w:val="24"/>
        </w:rPr>
        <w:t xml:space="preserve">H later revised its plans and made the garden route the main access. Revisions were discussed with CTC who indicated this was likely to be acceptable and the licence for alterations was completed in accordance with the revised plan. </w:t>
      </w:r>
    </w:p>
    <w:p w14:paraId="1B3184E4" w14:textId="77777777" w:rsidR="00574383" w:rsidRDefault="00574383" w:rsidP="00574383">
      <w:pPr>
        <w:rPr>
          <w:sz w:val="24"/>
          <w:szCs w:val="24"/>
        </w:rPr>
      </w:pPr>
    </w:p>
    <w:p w14:paraId="55C3F1B3" w14:textId="77777777" w:rsidR="00574383" w:rsidRDefault="00574383" w:rsidP="00574383">
      <w:pPr>
        <w:rPr>
          <w:sz w:val="24"/>
          <w:szCs w:val="24"/>
        </w:rPr>
      </w:pPr>
      <w:r>
        <w:rPr>
          <w:sz w:val="24"/>
          <w:szCs w:val="24"/>
        </w:rPr>
        <w:t xml:space="preserve">H continued to use the internal access (and occasionally the garden access route) for three years without objection from CTC. H later surrendered its lease of the upper floor and closed off the internal access. H sought to sell the basement flat but the buyer was concerned that the lease did not grant a formal right of way over the garden route! CTC would not agree to vary the lease so H sought a declaration regarding the existence of an easement via the garden access route. </w:t>
      </w:r>
    </w:p>
    <w:p w14:paraId="591C35D2" w14:textId="77777777" w:rsidR="00574383" w:rsidRDefault="00574383" w:rsidP="00574383">
      <w:pPr>
        <w:rPr>
          <w:sz w:val="24"/>
          <w:szCs w:val="24"/>
        </w:rPr>
      </w:pPr>
    </w:p>
    <w:p w14:paraId="2A49924E" w14:textId="77777777" w:rsidR="00574383" w:rsidRDefault="00574383" w:rsidP="00574383">
      <w:pPr>
        <w:rPr>
          <w:sz w:val="24"/>
          <w:szCs w:val="24"/>
        </w:rPr>
      </w:pPr>
      <w:r>
        <w:rPr>
          <w:sz w:val="24"/>
          <w:szCs w:val="24"/>
        </w:rPr>
        <w:t xml:space="preserve">Held: The Court of Appeal decided that H had an equitable right of way over the garden access via proprietary estoppel.  The Court of Appeal’s judgment is useful in terms of setting out the modern approach to proprietary estoppel cases, namely taking a holistic view.  </w:t>
      </w:r>
    </w:p>
    <w:p w14:paraId="637E8C15" w14:textId="77777777" w:rsidR="00574383" w:rsidRDefault="00574383" w:rsidP="00574383">
      <w:pPr>
        <w:rPr>
          <w:sz w:val="24"/>
          <w:szCs w:val="24"/>
        </w:rPr>
      </w:pPr>
    </w:p>
    <w:p w14:paraId="08D0E1FE" w14:textId="77777777" w:rsidR="00574383" w:rsidRDefault="00574383" w:rsidP="00574383">
      <w:pPr>
        <w:rPr>
          <w:sz w:val="24"/>
          <w:szCs w:val="24"/>
        </w:rPr>
      </w:pPr>
      <w:r>
        <w:rPr>
          <w:sz w:val="24"/>
          <w:szCs w:val="24"/>
        </w:rPr>
        <w:t>If seeking to make out a proprietary estoppel you need to look for assurance, reliance and detriment then the court will go on to consider whether it is unconscionable for the rights in question to be denied.</w:t>
      </w:r>
    </w:p>
    <w:p w14:paraId="507A7103" w14:textId="77777777" w:rsidR="00574383" w:rsidRDefault="00574383" w:rsidP="00574383">
      <w:pPr>
        <w:rPr>
          <w:b/>
          <w:bCs/>
          <w:sz w:val="24"/>
          <w:szCs w:val="24"/>
        </w:rPr>
      </w:pPr>
    </w:p>
    <w:p w14:paraId="044E7296" w14:textId="77777777" w:rsidR="00574383" w:rsidRDefault="00574383" w:rsidP="00574383">
      <w:pPr>
        <w:rPr>
          <w:sz w:val="24"/>
          <w:szCs w:val="24"/>
        </w:rPr>
      </w:pPr>
      <w:r>
        <w:rPr>
          <w:bCs/>
          <w:sz w:val="24"/>
          <w:szCs w:val="24"/>
        </w:rPr>
        <w:t xml:space="preserve">NB: </w:t>
      </w:r>
      <w:r>
        <w:rPr>
          <w:sz w:val="24"/>
          <w:szCs w:val="24"/>
        </w:rPr>
        <w:t>Equitable easements do not override, so must be registered correctly</w:t>
      </w:r>
    </w:p>
    <w:p w14:paraId="508E8695" w14:textId="77777777" w:rsidR="00574383" w:rsidRDefault="00574383" w:rsidP="00574383">
      <w:pPr>
        <w:rPr>
          <w:sz w:val="24"/>
          <w:szCs w:val="24"/>
        </w:rPr>
      </w:pPr>
    </w:p>
    <w:p w14:paraId="06CDF4C6" w14:textId="77777777" w:rsidR="00574383" w:rsidRDefault="00574383" w:rsidP="00574383">
      <w:pPr>
        <w:rPr>
          <w:sz w:val="24"/>
          <w:szCs w:val="24"/>
        </w:rPr>
      </w:pPr>
    </w:p>
    <w:p w14:paraId="2633FFF6" w14:textId="77777777" w:rsidR="00574383" w:rsidRDefault="00574383" w:rsidP="00574383">
      <w:pPr>
        <w:pStyle w:val="cpe3"/>
        <w:numPr>
          <w:ilvl w:val="12"/>
          <w:numId w:val="0"/>
        </w:numPr>
        <w:rPr>
          <w:rFonts w:ascii="Arial" w:hAnsi="Arial"/>
          <w:lang w:eastAsia="en-US"/>
        </w:rPr>
      </w:pPr>
      <w:r>
        <w:rPr>
          <w:rFonts w:ascii="Arial" w:hAnsi="Arial"/>
          <w:lang w:eastAsia="en-US"/>
        </w:rPr>
        <w:t>Extinguishment of an Easement</w:t>
      </w:r>
    </w:p>
    <w:p w14:paraId="33EF4467" w14:textId="77777777" w:rsidR="00574383" w:rsidRDefault="00574383" w:rsidP="00574383">
      <w:pPr>
        <w:pStyle w:val="cpe3"/>
        <w:numPr>
          <w:ilvl w:val="12"/>
          <w:numId w:val="0"/>
        </w:numPr>
        <w:rPr>
          <w:rFonts w:ascii="Arial" w:hAnsi="Arial"/>
          <w:lang w:eastAsia="en-US"/>
        </w:rPr>
      </w:pPr>
    </w:p>
    <w:p w14:paraId="7D1FFA8E" w14:textId="77777777" w:rsidR="00574383" w:rsidRDefault="00574383" w:rsidP="00574383">
      <w:pPr>
        <w:pStyle w:val="cpe3"/>
        <w:numPr>
          <w:ilvl w:val="12"/>
          <w:numId w:val="0"/>
        </w:numPr>
        <w:rPr>
          <w:rFonts w:ascii="Arial" w:hAnsi="Arial"/>
          <w:b w:val="0"/>
          <w:lang w:eastAsia="en-US"/>
        </w:rPr>
      </w:pPr>
      <w:r>
        <w:rPr>
          <w:rFonts w:ascii="Arial" w:hAnsi="Arial"/>
          <w:b w:val="0"/>
          <w:lang w:eastAsia="en-US"/>
        </w:rPr>
        <w:t>An easement can come to an end in several ways.</w:t>
      </w:r>
    </w:p>
    <w:p w14:paraId="4EDC234E" w14:textId="77777777" w:rsidR="00574383" w:rsidRDefault="00574383" w:rsidP="00574383">
      <w:pPr>
        <w:pStyle w:val="cpe3"/>
        <w:numPr>
          <w:ilvl w:val="12"/>
          <w:numId w:val="0"/>
        </w:numPr>
        <w:rPr>
          <w:rFonts w:ascii="Arial" w:hAnsi="Arial"/>
          <w:b w:val="0"/>
          <w:lang w:eastAsia="en-US"/>
        </w:rPr>
      </w:pPr>
    </w:p>
    <w:p w14:paraId="6E433BC7" w14:textId="77777777" w:rsidR="00574383" w:rsidRDefault="00574383" w:rsidP="00574383">
      <w:pPr>
        <w:pStyle w:val="cpe3"/>
        <w:numPr>
          <w:ilvl w:val="12"/>
          <w:numId w:val="0"/>
        </w:numPr>
        <w:rPr>
          <w:rFonts w:ascii="Arial" w:hAnsi="Arial"/>
          <w:b w:val="0"/>
          <w:lang w:eastAsia="en-US"/>
        </w:rPr>
      </w:pPr>
      <w:r>
        <w:rPr>
          <w:rFonts w:ascii="Arial" w:hAnsi="Arial"/>
          <w:b w:val="0"/>
          <w:lang w:eastAsia="en-US"/>
        </w:rPr>
        <w:t>1.  Express release by deed.</w:t>
      </w:r>
    </w:p>
    <w:p w14:paraId="24593655" w14:textId="77777777" w:rsidR="00574383" w:rsidRDefault="00574383" w:rsidP="00574383">
      <w:pPr>
        <w:pStyle w:val="cpe3"/>
        <w:numPr>
          <w:ilvl w:val="12"/>
          <w:numId w:val="0"/>
        </w:numPr>
        <w:rPr>
          <w:rFonts w:ascii="Arial" w:hAnsi="Arial"/>
          <w:b w:val="0"/>
          <w:lang w:eastAsia="en-US"/>
        </w:rPr>
      </w:pPr>
    </w:p>
    <w:p w14:paraId="0D862A3B" w14:textId="77777777" w:rsidR="00574383" w:rsidRDefault="00574383" w:rsidP="00574383">
      <w:pPr>
        <w:pStyle w:val="cpe3"/>
        <w:numPr>
          <w:ilvl w:val="12"/>
          <w:numId w:val="0"/>
        </w:numPr>
        <w:rPr>
          <w:rFonts w:ascii="Arial" w:hAnsi="Arial"/>
          <w:b w:val="0"/>
          <w:lang w:eastAsia="en-US"/>
        </w:rPr>
      </w:pPr>
      <w:r>
        <w:rPr>
          <w:rFonts w:ascii="Arial" w:hAnsi="Arial"/>
          <w:b w:val="0"/>
          <w:lang w:eastAsia="en-US"/>
        </w:rPr>
        <w:t xml:space="preserve">2.  Excessive user - this may only cause the easement to come to an end altogether with easements such as rights of light and support.  </w:t>
      </w:r>
    </w:p>
    <w:p w14:paraId="6F0EDA9E" w14:textId="77777777" w:rsidR="00574383" w:rsidRDefault="00574383" w:rsidP="00574383">
      <w:pPr>
        <w:pStyle w:val="cpe3"/>
        <w:numPr>
          <w:ilvl w:val="12"/>
          <w:numId w:val="0"/>
        </w:numPr>
        <w:rPr>
          <w:rFonts w:ascii="Arial" w:hAnsi="Arial"/>
          <w:b w:val="0"/>
          <w:lang w:eastAsia="en-US"/>
        </w:rPr>
      </w:pPr>
    </w:p>
    <w:p w14:paraId="27E5E0A7" w14:textId="77777777" w:rsidR="00574383" w:rsidRDefault="00574383" w:rsidP="00574383">
      <w:pPr>
        <w:pStyle w:val="cpe3"/>
        <w:numPr>
          <w:ilvl w:val="12"/>
          <w:numId w:val="0"/>
        </w:numPr>
        <w:rPr>
          <w:rFonts w:ascii="Arial" w:hAnsi="Arial"/>
          <w:b w:val="0"/>
          <w:lang w:eastAsia="en-US"/>
        </w:rPr>
      </w:pPr>
      <w:r>
        <w:rPr>
          <w:rFonts w:ascii="Arial" w:hAnsi="Arial"/>
          <w:b w:val="0"/>
          <w:lang w:eastAsia="en-US"/>
        </w:rPr>
        <w:t>If the user is excessive the dominant landowner will be liable in nuisance (</w:t>
      </w:r>
      <w:r>
        <w:rPr>
          <w:rFonts w:ascii="Arial" w:hAnsi="Arial"/>
          <w:i/>
          <w:lang w:eastAsia="en-US"/>
        </w:rPr>
        <w:t>McAdams Homes Ltd v Robinson</w:t>
      </w:r>
      <w:r>
        <w:rPr>
          <w:rFonts w:ascii="Arial" w:hAnsi="Arial"/>
          <w:b w:val="0"/>
          <w:lang w:eastAsia="en-US"/>
        </w:rPr>
        <w:t xml:space="preserve"> [2004] EWCA 214) and the servient landowner is then entitled to an injunction to restrain the excessive user (</w:t>
      </w:r>
      <w:proofErr w:type="spellStart"/>
      <w:r>
        <w:rPr>
          <w:rFonts w:ascii="Arial" w:hAnsi="Arial"/>
          <w:i/>
          <w:lang w:eastAsia="en-US"/>
        </w:rPr>
        <w:t>Jelbert</w:t>
      </w:r>
      <w:proofErr w:type="spellEnd"/>
      <w:r>
        <w:rPr>
          <w:rFonts w:ascii="Arial" w:hAnsi="Arial"/>
          <w:i/>
          <w:lang w:eastAsia="en-US"/>
        </w:rPr>
        <w:t xml:space="preserve"> v Davis</w:t>
      </w:r>
      <w:r>
        <w:rPr>
          <w:rFonts w:ascii="Arial" w:hAnsi="Arial"/>
          <w:b w:val="0"/>
          <w:lang w:eastAsia="en-US"/>
        </w:rPr>
        <w:t xml:space="preserve"> [1968] 1 WLR 589).  However, the grant of an injunction will not suspend or extinguish the easement itself and once the dominant landowner reverts to the lawful use, the prior excessive use will become irrelevant (</w:t>
      </w:r>
      <w:r>
        <w:rPr>
          <w:rFonts w:ascii="Arial" w:hAnsi="Arial"/>
          <w:i/>
          <w:lang w:eastAsia="en-US"/>
        </w:rPr>
        <w:t xml:space="preserve">Graham v </w:t>
      </w:r>
      <w:proofErr w:type="spellStart"/>
      <w:r>
        <w:rPr>
          <w:rFonts w:ascii="Arial" w:hAnsi="Arial"/>
          <w:i/>
          <w:lang w:eastAsia="en-US"/>
        </w:rPr>
        <w:t>Philcox</w:t>
      </w:r>
      <w:proofErr w:type="spellEnd"/>
      <w:r>
        <w:rPr>
          <w:rFonts w:ascii="Arial" w:hAnsi="Arial"/>
          <w:b w:val="0"/>
          <w:lang w:eastAsia="en-US"/>
        </w:rPr>
        <w:t xml:space="preserve"> [1984] QB 747).  </w:t>
      </w:r>
    </w:p>
    <w:p w14:paraId="38E826E2" w14:textId="77777777" w:rsidR="00574383" w:rsidRDefault="00574383" w:rsidP="00574383">
      <w:pPr>
        <w:pStyle w:val="cpe3"/>
        <w:numPr>
          <w:ilvl w:val="12"/>
          <w:numId w:val="0"/>
        </w:numPr>
        <w:rPr>
          <w:rFonts w:ascii="Arial" w:hAnsi="Arial"/>
          <w:b w:val="0"/>
          <w:lang w:eastAsia="en-US"/>
        </w:rPr>
      </w:pPr>
    </w:p>
    <w:p w14:paraId="3D287921" w14:textId="77777777" w:rsidR="00574383" w:rsidRDefault="00574383" w:rsidP="00574383">
      <w:pPr>
        <w:pStyle w:val="cpe3"/>
        <w:numPr>
          <w:ilvl w:val="12"/>
          <w:numId w:val="0"/>
        </w:numPr>
        <w:rPr>
          <w:rFonts w:ascii="Arial" w:hAnsi="Arial" w:cs="Arial"/>
          <w:b w:val="0"/>
          <w:szCs w:val="22"/>
        </w:rPr>
      </w:pPr>
      <w:r>
        <w:rPr>
          <w:rFonts w:ascii="Arial" w:hAnsi="Arial"/>
          <w:b w:val="0"/>
          <w:lang w:eastAsia="en-US"/>
        </w:rPr>
        <w:t xml:space="preserve">The servient landowner may obstruct the exercise of an easement where it is being used excessively.  But note the recent case of </w:t>
      </w:r>
      <w:r>
        <w:rPr>
          <w:rFonts w:ascii="Arial" w:hAnsi="Arial" w:cs="Arial"/>
          <w:bCs/>
          <w:i/>
          <w:iCs/>
        </w:rPr>
        <w:t>Emmett v Sisson (Rev 1)</w:t>
      </w:r>
      <w:r>
        <w:rPr>
          <w:rFonts w:ascii="Arial" w:hAnsi="Arial" w:cs="Arial"/>
          <w:b w:val="0"/>
          <w:bCs/>
          <w:i/>
          <w:iCs/>
        </w:rPr>
        <w:t xml:space="preserve"> </w:t>
      </w:r>
      <w:r>
        <w:rPr>
          <w:rFonts w:ascii="Arial" w:hAnsi="Arial" w:cs="Arial"/>
          <w:b w:val="0"/>
          <w:bCs/>
          <w:iCs/>
          <w:szCs w:val="22"/>
        </w:rPr>
        <w:t xml:space="preserve">[2014] </w:t>
      </w:r>
      <w:r>
        <w:rPr>
          <w:rFonts w:ascii="Arial" w:hAnsi="Arial" w:cs="Arial"/>
          <w:b w:val="0"/>
          <w:szCs w:val="22"/>
        </w:rPr>
        <w:t xml:space="preserve">EWCA </w:t>
      </w:r>
      <w:proofErr w:type="spellStart"/>
      <w:r>
        <w:rPr>
          <w:rFonts w:ascii="Arial" w:hAnsi="Arial" w:cs="Arial"/>
          <w:b w:val="0"/>
          <w:szCs w:val="22"/>
        </w:rPr>
        <w:t>Civ</w:t>
      </w:r>
      <w:proofErr w:type="spellEnd"/>
      <w:r>
        <w:rPr>
          <w:rFonts w:ascii="Arial" w:hAnsi="Arial" w:cs="Arial"/>
          <w:b w:val="0"/>
          <w:szCs w:val="22"/>
        </w:rPr>
        <w:t xml:space="preserve"> 64 where the tables were turned.</w:t>
      </w:r>
    </w:p>
    <w:p w14:paraId="54BBB656" w14:textId="77777777" w:rsidR="00574383" w:rsidRDefault="00574383" w:rsidP="00574383">
      <w:pPr>
        <w:pStyle w:val="cpe3"/>
        <w:numPr>
          <w:ilvl w:val="12"/>
          <w:numId w:val="0"/>
        </w:numPr>
        <w:rPr>
          <w:rFonts w:ascii="Arial" w:hAnsi="Arial" w:cs="Arial"/>
          <w:b w:val="0"/>
          <w:szCs w:val="22"/>
        </w:rPr>
      </w:pPr>
    </w:p>
    <w:p w14:paraId="404EE8CB" w14:textId="77777777" w:rsidR="00574383" w:rsidRDefault="00574383" w:rsidP="00574383">
      <w:pPr>
        <w:rPr>
          <w:sz w:val="24"/>
          <w:szCs w:val="24"/>
        </w:rPr>
      </w:pPr>
      <w:r>
        <w:rPr>
          <w:bCs/>
          <w:iCs/>
          <w:sz w:val="24"/>
          <w:szCs w:val="24"/>
        </w:rPr>
        <w:t>Emmett (</w:t>
      </w:r>
      <w:r>
        <w:rPr>
          <w:sz w:val="24"/>
          <w:szCs w:val="24"/>
        </w:rPr>
        <w:t xml:space="preserve">E) and </w:t>
      </w:r>
      <w:r>
        <w:rPr>
          <w:bCs/>
          <w:iCs/>
          <w:sz w:val="24"/>
          <w:szCs w:val="24"/>
        </w:rPr>
        <w:t>Sisson</w:t>
      </w:r>
      <w:r>
        <w:rPr>
          <w:sz w:val="24"/>
          <w:szCs w:val="24"/>
        </w:rPr>
        <w:t xml:space="preserve"> (S) owned property on either side of a 30 foot long driveway over which S had a vehicular and pedestrian right of way.  The driveway was the only legal access to S’s property and the driveway land was later conveyed to E.  </w:t>
      </w:r>
      <w:proofErr w:type="spellStart"/>
      <w:r>
        <w:rPr>
          <w:sz w:val="24"/>
          <w:szCs w:val="24"/>
        </w:rPr>
        <w:t>E</w:t>
      </w:r>
      <w:proofErr w:type="spellEnd"/>
      <w:r>
        <w:rPr>
          <w:sz w:val="24"/>
          <w:szCs w:val="24"/>
        </w:rPr>
        <w:t xml:space="preserve"> wanted to build a wall along boundary between driveway land and S’s land with a gate for S to access their property.  S sought an injunction to prevent the erection of the wall.</w:t>
      </w:r>
    </w:p>
    <w:p w14:paraId="2E458EA3" w14:textId="77777777" w:rsidR="00574383" w:rsidRDefault="00574383" w:rsidP="00574383">
      <w:pPr>
        <w:rPr>
          <w:sz w:val="24"/>
          <w:szCs w:val="24"/>
        </w:rPr>
      </w:pPr>
    </w:p>
    <w:p w14:paraId="3D7DC35B" w14:textId="77777777" w:rsidR="00574383" w:rsidRDefault="00574383" w:rsidP="00574383">
      <w:pPr>
        <w:rPr>
          <w:sz w:val="24"/>
          <w:szCs w:val="24"/>
        </w:rPr>
      </w:pPr>
      <w:r>
        <w:rPr>
          <w:sz w:val="24"/>
          <w:szCs w:val="24"/>
        </w:rPr>
        <w:t xml:space="preserve">Held:  The High Court decided that the right of way was coterminous with the whole of the boundary between driveway land and S’s land.  As a result, S could gain access to their property from all points along the boundary.  Accordingly, the building of the wall would be an unreasonable interference with S’s entitlement.  </w:t>
      </w:r>
      <w:proofErr w:type="spellStart"/>
      <w:r>
        <w:rPr>
          <w:sz w:val="24"/>
          <w:szCs w:val="24"/>
        </w:rPr>
        <w:t>E</w:t>
      </w:r>
      <w:proofErr w:type="spellEnd"/>
      <w:r>
        <w:rPr>
          <w:sz w:val="24"/>
          <w:szCs w:val="24"/>
        </w:rPr>
        <w:t xml:space="preserve"> appealed.</w:t>
      </w:r>
    </w:p>
    <w:p w14:paraId="1CBC401E" w14:textId="77777777" w:rsidR="00574383" w:rsidRDefault="00574383" w:rsidP="00574383">
      <w:pPr>
        <w:rPr>
          <w:sz w:val="24"/>
          <w:szCs w:val="24"/>
        </w:rPr>
      </w:pPr>
    </w:p>
    <w:p w14:paraId="7CF4925D" w14:textId="77777777" w:rsidR="00574383" w:rsidRDefault="00574383" w:rsidP="00574383">
      <w:pPr>
        <w:rPr>
          <w:sz w:val="24"/>
          <w:szCs w:val="24"/>
        </w:rPr>
      </w:pPr>
      <w:r>
        <w:rPr>
          <w:sz w:val="24"/>
          <w:szCs w:val="24"/>
        </w:rPr>
        <w:t xml:space="preserve">Held:  The Court of Appeal dismissed E’s appeal.  </w:t>
      </w:r>
    </w:p>
    <w:p w14:paraId="4DA00753" w14:textId="77777777" w:rsidR="00574383" w:rsidRDefault="00574383" w:rsidP="00574383">
      <w:pPr>
        <w:rPr>
          <w:sz w:val="24"/>
          <w:szCs w:val="24"/>
        </w:rPr>
      </w:pPr>
    </w:p>
    <w:p w14:paraId="0F45D9A4" w14:textId="77777777" w:rsidR="00574383" w:rsidRDefault="00574383" w:rsidP="00574383">
      <w:pPr>
        <w:rPr>
          <w:sz w:val="24"/>
          <w:szCs w:val="24"/>
        </w:rPr>
      </w:pPr>
      <w:r>
        <w:rPr>
          <w:sz w:val="24"/>
          <w:szCs w:val="24"/>
        </w:rPr>
        <w:t>The wording of easement clearly granted a linear access along the whole of boundary and there was nothing expressly or impliedly restricting access to a particular point or points.  While the proposed wall would provide vehicular access through one entrance it would restrict  both pedestrian and vehicular access.</w:t>
      </w:r>
    </w:p>
    <w:p w14:paraId="05BB1DEE" w14:textId="77777777" w:rsidR="00574383" w:rsidRDefault="00574383" w:rsidP="00574383">
      <w:pPr>
        <w:rPr>
          <w:b/>
          <w:bCs/>
          <w:sz w:val="24"/>
          <w:szCs w:val="24"/>
        </w:rPr>
      </w:pPr>
    </w:p>
    <w:p w14:paraId="7677F386" w14:textId="77777777" w:rsidR="00574383" w:rsidRDefault="00574383" w:rsidP="00574383">
      <w:pPr>
        <w:rPr>
          <w:sz w:val="24"/>
          <w:szCs w:val="24"/>
        </w:rPr>
      </w:pPr>
      <w:r>
        <w:rPr>
          <w:bCs/>
          <w:sz w:val="24"/>
          <w:szCs w:val="24"/>
        </w:rPr>
        <w:t xml:space="preserve">So, in practice, if express </w:t>
      </w:r>
      <w:r>
        <w:rPr>
          <w:sz w:val="24"/>
          <w:szCs w:val="24"/>
        </w:rPr>
        <w:t>easements are to be limited in some way the wording of the easement will need to provide for this.  The more expansive a grant, the more likely any interference with it will be actionable!</w:t>
      </w:r>
    </w:p>
    <w:p w14:paraId="72C64121" w14:textId="77777777" w:rsidR="00574383" w:rsidRDefault="00574383" w:rsidP="00574383">
      <w:pPr>
        <w:pStyle w:val="cpe3"/>
        <w:numPr>
          <w:ilvl w:val="12"/>
          <w:numId w:val="0"/>
        </w:numPr>
        <w:rPr>
          <w:rFonts w:ascii="Arial" w:hAnsi="Arial" w:cs="Arial"/>
          <w:b w:val="0"/>
          <w:lang w:eastAsia="en-US"/>
        </w:rPr>
      </w:pPr>
    </w:p>
    <w:p w14:paraId="3ABD8D18" w14:textId="77777777" w:rsidR="00574383" w:rsidRDefault="00574383" w:rsidP="00574383">
      <w:pPr>
        <w:pStyle w:val="cpe3"/>
        <w:numPr>
          <w:ilvl w:val="12"/>
          <w:numId w:val="0"/>
        </w:numPr>
        <w:rPr>
          <w:rFonts w:ascii="Arial" w:hAnsi="Arial"/>
          <w:b w:val="0"/>
          <w:lang w:eastAsia="en-US"/>
        </w:rPr>
      </w:pPr>
      <w:r>
        <w:rPr>
          <w:rFonts w:ascii="Arial" w:hAnsi="Arial"/>
          <w:b w:val="0"/>
          <w:lang w:eastAsia="en-US"/>
        </w:rPr>
        <w:t xml:space="preserve">3.  Where the dominant and servient tenements come into (common) ownership </w:t>
      </w:r>
      <w:r>
        <w:rPr>
          <w:rFonts w:ascii="Arial" w:hAnsi="Arial"/>
          <w:b w:val="0"/>
          <w:u w:val="single"/>
          <w:lang w:eastAsia="en-US"/>
        </w:rPr>
        <w:t>and</w:t>
      </w:r>
      <w:r>
        <w:rPr>
          <w:rFonts w:ascii="Arial" w:hAnsi="Arial"/>
          <w:b w:val="0"/>
          <w:lang w:eastAsia="en-US"/>
        </w:rPr>
        <w:t xml:space="preserve"> possession of the same person the easement will be extinguished.  In the case of leasehold land, where the dominant and servient tenements come into common occupation the easement will be suspended.</w:t>
      </w:r>
    </w:p>
    <w:p w14:paraId="14DAA02C" w14:textId="77777777" w:rsidR="00574383" w:rsidRDefault="00574383" w:rsidP="00574383">
      <w:pPr>
        <w:pStyle w:val="cpe3"/>
        <w:numPr>
          <w:ilvl w:val="12"/>
          <w:numId w:val="0"/>
        </w:numPr>
        <w:rPr>
          <w:rFonts w:ascii="Arial" w:hAnsi="Arial"/>
          <w:b w:val="0"/>
          <w:lang w:eastAsia="en-US"/>
        </w:rPr>
      </w:pPr>
    </w:p>
    <w:p w14:paraId="223F7248" w14:textId="77777777" w:rsidR="00574383" w:rsidRDefault="00574383" w:rsidP="00574383">
      <w:pPr>
        <w:pStyle w:val="cpe3"/>
        <w:numPr>
          <w:ilvl w:val="12"/>
          <w:numId w:val="0"/>
        </w:numPr>
        <w:rPr>
          <w:rFonts w:ascii="Arial" w:hAnsi="Arial"/>
          <w:b w:val="0"/>
          <w:lang w:eastAsia="en-US"/>
        </w:rPr>
      </w:pPr>
      <w:r>
        <w:rPr>
          <w:rFonts w:ascii="Arial" w:hAnsi="Arial"/>
          <w:b w:val="0"/>
          <w:lang w:eastAsia="en-US"/>
        </w:rPr>
        <w:lastRenderedPageBreak/>
        <w:t xml:space="preserve">4. Abandonment - an easement is viewed as being abandoned if the dominant owner acts, or fails to act, with an intention to relinquish the right.  </w:t>
      </w:r>
    </w:p>
    <w:p w14:paraId="770FF3C4" w14:textId="77777777" w:rsidR="00574383" w:rsidRDefault="00574383" w:rsidP="00574383">
      <w:pPr>
        <w:pStyle w:val="cpe3"/>
        <w:numPr>
          <w:ilvl w:val="12"/>
          <w:numId w:val="0"/>
        </w:numPr>
        <w:rPr>
          <w:rFonts w:ascii="Arial" w:hAnsi="Arial"/>
          <w:b w:val="0"/>
          <w:lang w:eastAsia="en-US"/>
        </w:rPr>
      </w:pPr>
    </w:p>
    <w:p w14:paraId="3A07AE93" w14:textId="77777777" w:rsidR="00574383" w:rsidRDefault="00574383" w:rsidP="00574383">
      <w:pPr>
        <w:rPr>
          <w:sz w:val="24"/>
          <w:szCs w:val="24"/>
        </w:rPr>
      </w:pPr>
      <w:r>
        <w:rPr>
          <w:sz w:val="24"/>
          <w:szCs w:val="24"/>
        </w:rPr>
        <w:t xml:space="preserve">The difficulty often comes with proving that intention, as can be seen in the recent case of </w:t>
      </w:r>
      <w:r>
        <w:rPr>
          <w:b/>
          <w:bCs/>
          <w:i/>
          <w:iCs/>
          <w:sz w:val="24"/>
          <w:szCs w:val="24"/>
        </w:rPr>
        <w:t xml:space="preserve">Henry Dwyer v Westminster City Council </w:t>
      </w:r>
      <w:r>
        <w:rPr>
          <w:bCs/>
          <w:iCs/>
          <w:sz w:val="24"/>
          <w:szCs w:val="24"/>
        </w:rPr>
        <w:t>[2014</w:t>
      </w:r>
      <w:r>
        <w:rPr>
          <w:rFonts w:cs="Arial"/>
          <w:bCs/>
          <w:iCs/>
          <w:sz w:val="24"/>
          <w:szCs w:val="24"/>
        </w:rPr>
        <w:t>]</w:t>
      </w:r>
      <w:r>
        <w:rPr>
          <w:rFonts w:cs="Arial"/>
          <w:b/>
          <w:bCs/>
          <w:iCs/>
          <w:sz w:val="24"/>
          <w:szCs w:val="24"/>
        </w:rPr>
        <w:t xml:space="preserve"> </w:t>
      </w:r>
      <w:r>
        <w:rPr>
          <w:rFonts w:cs="Arial"/>
          <w:sz w:val="24"/>
          <w:szCs w:val="24"/>
        </w:rPr>
        <w:t xml:space="preserve">EWCA </w:t>
      </w:r>
      <w:proofErr w:type="spellStart"/>
      <w:r>
        <w:rPr>
          <w:rFonts w:cs="Arial"/>
          <w:sz w:val="24"/>
          <w:szCs w:val="24"/>
        </w:rPr>
        <w:t>Civ</w:t>
      </w:r>
      <w:proofErr w:type="spellEnd"/>
      <w:r>
        <w:rPr>
          <w:rFonts w:cs="Arial"/>
          <w:sz w:val="24"/>
          <w:szCs w:val="24"/>
        </w:rPr>
        <w:t xml:space="preserve"> 153.  In</w:t>
      </w:r>
      <w:r>
        <w:rPr>
          <w:sz w:val="24"/>
          <w:szCs w:val="24"/>
        </w:rPr>
        <w:t xml:space="preserve"> 1922 a large site was sold to a company with the benefit of a pedestrian and vehicular right of way over a passageway.  </w:t>
      </w:r>
    </w:p>
    <w:p w14:paraId="53C1075B" w14:textId="77777777" w:rsidR="00574383" w:rsidRDefault="00574383" w:rsidP="00574383">
      <w:pPr>
        <w:rPr>
          <w:sz w:val="24"/>
          <w:szCs w:val="24"/>
        </w:rPr>
      </w:pPr>
    </w:p>
    <w:p w14:paraId="2F44129D" w14:textId="77777777" w:rsidR="00574383" w:rsidRDefault="00574383" w:rsidP="00574383">
      <w:pPr>
        <w:rPr>
          <w:sz w:val="24"/>
          <w:szCs w:val="24"/>
        </w:rPr>
      </w:pPr>
      <w:r>
        <w:rPr>
          <w:sz w:val="24"/>
          <w:szCs w:val="24"/>
        </w:rPr>
        <w:t>The company ceased trading and in the 1960s W developed the land for council housing. The housing estate was designed such that the right of way over the passageway was not needed or used.</w:t>
      </w:r>
    </w:p>
    <w:p w14:paraId="618AE1BB" w14:textId="77777777" w:rsidR="00574383" w:rsidRDefault="00574383" w:rsidP="00574383">
      <w:pPr>
        <w:rPr>
          <w:sz w:val="24"/>
          <w:szCs w:val="24"/>
        </w:rPr>
      </w:pPr>
    </w:p>
    <w:p w14:paraId="2802B4D4" w14:textId="77777777" w:rsidR="00574383" w:rsidRDefault="00574383" w:rsidP="00574383">
      <w:pPr>
        <w:rPr>
          <w:sz w:val="24"/>
          <w:szCs w:val="24"/>
        </w:rPr>
      </w:pPr>
      <w:r>
        <w:rPr>
          <w:sz w:val="24"/>
          <w:szCs w:val="24"/>
        </w:rPr>
        <w:t>In the 1960s, Mr Dwyer (D) blocked off the passageway at both ends and started using it for storing his market trader equipment (both ends of the passageway were blocked off by a locked gate and door).   D obtained possessory title to the passageway in 2007.</w:t>
      </w:r>
    </w:p>
    <w:p w14:paraId="0ADFE017" w14:textId="77777777" w:rsidR="00574383" w:rsidRDefault="00574383" w:rsidP="00574383">
      <w:pPr>
        <w:rPr>
          <w:sz w:val="24"/>
          <w:szCs w:val="24"/>
        </w:rPr>
      </w:pPr>
    </w:p>
    <w:p w14:paraId="49A4993D" w14:textId="77777777" w:rsidR="00574383" w:rsidRDefault="00574383" w:rsidP="00574383">
      <w:pPr>
        <w:rPr>
          <w:sz w:val="24"/>
          <w:szCs w:val="24"/>
        </w:rPr>
      </w:pPr>
      <w:r>
        <w:rPr>
          <w:sz w:val="24"/>
          <w:szCs w:val="24"/>
        </w:rPr>
        <w:t xml:space="preserve">In 2010 </w:t>
      </w:r>
      <w:r>
        <w:rPr>
          <w:bCs/>
          <w:iCs/>
          <w:sz w:val="24"/>
          <w:szCs w:val="24"/>
        </w:rPr>
        <w:t>Westminster City Council (</w:t>
      </w:r>
      <w:r>
        <w:rPr>
          <w:sz w:val="24"/>
          <w:szCs w:val="24"/>
        </w:rPr>
        <w:t>W) wanted to redevelop the site and asked D to re-open the passageway so the right of way could be exercised again.  D claimed the right had been abandoned as it had not been used for 40 years.</w:t>
      </w:r>
    </w:p>
    <w:p w14:paraId="4A978C8E" w14:textId="77777777" w:rsidR="00574383" w:rsidRDefault="00574383" w:rsidP="00574383">
      <w:pPr>
        <w:rPr>
          <w:sz w:val="24"/>
          <w:szCs w:val="24"/>
        </w:rPr>
      </w:pPr>
    </w:p>
    <w:p w14:paraId="32F803CC" w14:textId="77777777" w:rsidR="00574383" w:rsidRDefault="00574383" w:rsidP="00574383">
      <w:pPr>
        <w:rPr>
          <w:sz w:val="24"/>
          <w:szCs w:val="24"/>
        </w:rPr>
      </w:pPr>
      <w:r>
        <w:rPr>
          <w:sz w:val="24"/>
          <w:szCs w:val="24"/>
        </w:rPr>
        <w:t>Held:  The High Court granted W an injunction requiring D to stop using the passageway as a storage area and to re-open it for access.  D appealed.</w:t>
      </w:r>
    </w:p>
    <w:p w14:paraId="6FB66546" w14:textId="77777777" w:rsidR="00574383" w:rsidRDefault="00574383" w:rsidP="00574383">
      <w:pPr>
        <w:rPr>
          <w:sz w:val="24"/>
          <w:szCs w:val="24"/>
        </w:rPr>
      </w:pPr>
    </w:p>
    <w:p w14:paraId="4358292A" w14:textId="77777777" w:rsidR="00574383" w:rsidRDefault="00574383" w:rsidP="00574383">
      <w:pPr>
        <w:rPr>
          <w:sz w:val="24"/>
          <w:szCs w:val="24"/>
        </w:rPr>
      </w:pPr>
      <w:r>
        <w:rPr>
          <w:sz w:val="24"/>
          <w:szCs w:val="24"/>
        </w:rPr>
        <w:t>Held:  The Court of Appeal dismissed D’s appeal.</w:t>
      </w:r>
    </w:p>
    <w:p w14:paraId="282FF81E" w14:textId="77777777" w:rsidR="00574383" w:rsidRDefault="00574383" w:rsidP="00574383">
      <w:pPr>
        <w:rPr>
          <w:sz w:val="24"/>
          <w:szCs w:val="24"/>
        </w:rPr>
      </w:pPr>
    </w:p>
    <w:p w14:paraId="534E51CB" w14:textId="77777777" w:rsidR="00574383" w:rsidRDefault="00574383" w:rsidP="00574383">
      <w:pPr>
        <w:rPr>
          <w:sz w:val="24"/>
          <w:szCs w:val="24"/>
        </w:rPr>
      </w:pPr>
      <w:r>
        <w:rPr>
          <w:sz w:val="24"/>
          <w:szCs w:val="24"/>
        </w:rPr>
        <w:t xml:space="preserve">As you can see, it is very difficult to prove a right of way has been abandoned - even a period of 40 years non-use was not sufficient in this case.  If there is a reason for the non-use (in this case the right was simply not needed) then abandonment is unlikely to be inferred. </w:t>
      </w:r>
    </w:p>
    <w:p w14:paraId="7EA4A9BD" w14:textId="77777777" w:rsidR="00574383" w:rsidRDefault="00574383" w:rsidP="00574383">
      <w:pPr>
        <w:rPr>
          <w:sz w:val="24"/>
          <w:szCs w:val="24"/>
        </w:rPr>
      </w:pPr>
    </w:p>
    <w:p w14:paraId="0E10C56E" w14:textId="77777777" w:rsidR="00574383" w:rsidRDefault="00574383" w:rsidP="00574383">
      <w:pPr>
        <w:pStyle w:val="cpe3"/>
        <w:numPr>
          <w:ilvl w:val="12"/>
          <w:numId w:val="0"/>
        </w:numPr>
        <w:rPr>
          <w:rFonts w:ascii="Arial" w:hAnsi="Arial"/>
        </w:rPr>
      </w:pPr>
      <w:r>
        <w:rPr>
          <w:rFonts w:ascii="Arial" w:hAnsi="Arial"/>
        </w:rPr>
        <w:t>Protection of Easements and Profits</w:t>
      </w:r>
    </w:p>
    <w:p w14:paraId="3472B38D" w14:textId="77777777" w:rsidR="00574383" w:rsidRDefault="00574383" w:rsidP="00574383">
      <w:pPr>
        <w:pStyle w:val="Heading6"/>
        <w:numPr>
          <w:ilvl w:val="12"/>
          <w:numId w:val="0"/>
        </w:numPr>
        <w:rPr>
          <w:rFonts w:ascii="Arial" w:hAnsi="Arial"/>
          <w:sz w:val="24"/>
          <w:szCs w:val="24"/>
        </w:rPr>
      </w:pPr>
      <w:r>
        <w:rPr>
          <w:rFonts w:ascii="Arial" w:hAnsi="Arial"/>
          <w:sz w:val="24"/>
          <w:szCs w:val="24"/>
        </w:rPr>
        <w:t>Unregistered Land</w:t>
      </w:r>
    </w:p>
    <w:p w14:paraId="2F5EF09B" w14:textId="77777777" w:rsidR="00574383" w:rsidRDefault="00574383" w:rsidP="00574383">
      <w:pPr>
        <w:numPr>
          <w:ilvl w:val="12"/>
          <w:numId w:val="0"/>
        </w:numPr>
        <w:rPr>
          <w:sz w:val="24"/>
        </w:rPr>
      </w:pPr>
    </w:p>
    <w:p w14:paraId="68412F9D" w14:textId="77777777" w:rsidR="00574383" w:rsidRDefault="00574383" w:rsidP="00574383">
      <w:pPr>
        <w:numPr>
          <w:ilvl w:val="12"/>
          <w:numId w:val="0"/>
        </w:numPr>
        <w:rPr>
          <w:sz w:val="24"/>
        </w:rPr>
      </w:pPr>
      <w:r>
        <w:rPr>
          <w:sz w:val="24"/>
        </w:rPr>
        <w:t>LEGAL easements bind the world without notice (</w:t>
      </w:r>
      <w:r>
        <w:rPr>
          <w:i/>
          <w:sz w:val="24"/>
        </w:rPr>
        <w:t>LPA 1925; s1(2)</w:t>
      </w:r>
      <w:r>
        <w:rPr>
          <w:sz w:val="24"/>
        </w:rPr>
        <w:t>).</w:t>
      </w:r>
    </w:p>
    <w:p w14:paraId="27CC9AEA" w14:textId="77777777" w:rsidR="00574383" w:rsidRDefault="00574383" w:rsidP="00574383">
      <w:pPr>
        <w:numPr>
          <w:ilvl w:val="12"/>
          <w:numId w:val="0"/>
        </w:numPr>
        <w:rPr>
          <w:sz w:val="24"/>
        </w:rPr>
      </w:pPr>
    </w:p>
    <w:p w14:paraId="6F5FC6AA" w14:textId="77777777" w:rsidR="00574383" w:rsidRDefault="00574383" w:rsidP="00574383">
      <w:pPr>
        <w:numPr>
          <w:ilvl w:val="12"/>
          <w:numId w:val="0"/>
        </w:numPr>
        <w:rPr>
          <w:sz w:val="24"/>
        </w:rPr>
      </w:pPr>
      <w:r>
        <w:rPr>
          <w:sz w:val="24"/>
        </w:rPr>
        <w:t xml:space="preserve">EQUITABLE easements are registrable as </w:t>
      </w:r>
      <w:r>
        <w:rPr>
          <w:i/>
          <w:sz w:val="24"/>
        </w:rPr>
        <w:t>D(iii)</w:t>
      </w:r>
      <w:r>
        <w:rPr>
          <w:sz w:val="24"/>
        </w:rPr>
        <w:t xml:space="preserve"> Central Land Charges (unless created before 1925, or by estoppel, in which case they are subject to the Doctrine of Notice).</w:t>
      </w:r>
    </w:p>
    <w:p w14:paraId="485568C9" w14:textId="77777777" w:rsidR="00574383" w:rsidRDefault="00574383" w:rsidP="00574383">
      <w:pPr>
        <w:pStyle w:val="Heading6"/>
        <w:numPr>
          <w:ilvl w:val="12"/>
          <w:numId w:val="0"/>
        </w:numPr>
        <w:rPr>
          <w:rFonts w:ascii="Arial" w:hAnsi="Arial"/>
          <w:sz w:val="24"/>
          <w:szCs w:val="24"/>
        </w:rPr>
      </w:pPr>
      <w:r>
        <w:rPr>
          <w:rFonts w:ascii="Arial" w:hAnsi="Arial"/>
          <w:sz w:val="24"/>
          <w:szCs w:val="24"/>
        </w:rPr>
        <w:t>Registered Land</w:t>
      </w:r>
    </w:p>
    <w:p w14:paraId="0FA1B8C5" w14:textId="77777777" w:rsidR="00574383" w:rsidRDefault="00574383" w:rsidP="00574383">
      <w:pPr>
        <w:numPr>
          <w:ilvl w:val="12"/>
          <w:numId w:val="0"/>
        </w:numPr>
        <w:rPr>
          <w:sz w:val="24"/>
        </w:rPr>
      </w:pPr>
    </w:p>
    <w:p w14:paraId="4A3A1790" w14:textId="77777777" w:rsidR="00574383" w:rsidRDefault="00574383" w:rsidP="00574383">
      <w:pPr>
        <w:numPr>
          <w:ilvl w:val="12"/>
          <w:numId w:val="0"/>
        </w:numPr>
        <w:rPr>
          <w:sz w:val="24"/>
        </w:rPr>
      </w:pPr>
      <w:r>
        <w:rPr>
          <w:sz w:val="24"/>
        </w:rPr>
        <w:t>LEGAL easements - any easement created after the date of registration of the estate concerned (or 13 October 2003, if later), must be registered for it to be legal (</w:t>
      </w:r>
      <w:r>
        <w:rPr>
          <w:i/>
          <w:sz w:val="24"/>
        </w:rPr>
        <w:t>LRA 2002; s27(1)</w:t>
      </w:r>
      <w:r>
        <w:rPr>
          <w:sz w:val="24"/>
        </w:rPr>
        <w:t xml:space="preserve">).  If an express easement is not completed by registration it will not operate at law and cannot, therefore, fall within </w:t>
      </w:r>
      <w:r>
        <w:rPr>
          <w:i/>
          <w:sz w:val="24"/>
        </w:rPr>
        <w:t>LRA 2002; Schedule 3 Paragraph 3</w:t>
      </w:r>
      <w:r>
        <w:rPr>
          <w:sz w:val="24"/>
        </w:rPr>
        <w:t xml:space="preserve">.  That part of the </w:t>
      </w:r>
      <w:r>
        <w:rPr>
          <w:i/>
          <w:sz w:val="24"/>
        </w:rPr>
        <w:t>LRA 2002</w:t>
      </w:r>
      <w:r>
        <w:rPr>
          <w:sz w:val="24"/>
        </w:rPr>
        <w:t xml:space="preserve"> deals with legal easements arising via prescription and implication.</w:t>
      </w:r>
    </w:p>
    <w:p w14:paraId="31A6B96B" w14:textId="77777777" w:rsidR="00574383" w:rsidRDefault="00574383" w:rsidP="00574383">
      <w:pPr>
        <w:numPr>
          <w:ilvl w:val="12"/>
          <w:numId w:val="0"/>
        </w:numPr>
        <w:rPr>
          <w:sz w:val="24"/>
        </w:rPr>
      </w:pPr>
    </w:p>
    <w:p w14:paraId="642409FF" w14:textId="77777777" w:rsidR="00574383" w:rsidRDefault="00574383" w:rsidP="00574383">
      <w:pPr>
        <w:numPr>
          <w:ilvl w:val="12"/>
          <w:numId w:val="0"/>
        </w:numPr>
        <w:rPr>
          <w:sz w:val="24"/>
        </w:rPr>
      </w:pPr>
      <w:r>
        <w:rPr>
          <w:i/>
          <w:sz w:val="24"/>
        </w:rPr>
        <w:lastRenderedPageBreak/>
        <w:t>Schedule 12; Paragraph 9</w:t>
      </w:r>
      <w:r>
        <w:rPr>
          <w:sz w:val="24"/>
        </w:rPr>
        <w:t xml:space="preserve"> indicates that easements which existed as overriding interests under </w:t>
      </w:r>
      <w:r>
        <w:rPr>
          <w:i/>
          <w:sz w:val="24"/>
        </w:rPr>
        <w:t>LRA 1925; s70(1)(a)</w:t>
      </w:r>
      <w:r>
        <w:rPr>
          <w:sz w:val="24"/>
        </w:rPr>
        <w:t xml:space="preserve"> before 13 October 2003 will continue to have overriding status.</w:t>
      </w:r>
    </w:p>
    <w:p w14:paraId="55A06A74" w14:textId="77777777" w:rsidR="00574383" w:rsidRDefault="00574383" w:rsidP="00574383">
      <w:pPr>
        <w:numPr>
          <w:ilvl w:val="12"/>
          <w:numId w:val="0"/>
        </w:numPr>
        <w:rPr>
          <w:sz w:val="24"/>
        </w:rPr>
      </w:pPr>
    </w:p>
    <w:p w14:paraId="0620D6C9" w14:textId="77777777" w:rsidR="00574383" w:rsidRDefault="00574383" w:rsidP="00574383">
      <w:pPr>
        <w:numPr>
          <w:ilvl w:val="12"/>
          <w:numId w:val="0"/>
        </w:numPr>
        <w:rPr>
          <w:sz w:val="24"/>
        </w:rPr>
      </w:pPr>
      <w:r>
        <w:rPr>
          <w:sz w:val="24"/>
        </w:rPr>
        <w:t xml:space="preserve">EQUITABLE easements - prior to the </w:t>
      </w:r>
      <w:r>
        <w:rPr>
          <w:i/>
          <w:sz w:val="24"/>
        </w:rPr>
        <w:t>LRA 2002</w:t>
      </w:r>
      <w:r>
        <w:rPr>
          <w:sz w:val="24"/>
        </w:rPr>
        <w:t xml:space="preserve"> these types of easement could be overriding if openly enjoyed - </w:t>
      </w:r>
      <w:proofErr w:type="spellStart"/>
      <w:r>
        <w:rPr>
          <w:b/>
          <w:i/>
          <w:sz w:val="24"/>
        </w:rPr>
        <w:t>Celsteel</w:t>
      </w:r>
      <w:proofErr w:type="spellEnd"/>
      <w:r>
        <w:rPr>
          <w:b/>
          <w:i/>
          <w:sz w:val="24"/>
        </w:rPr>
        <w:t xml:space="preserve"> v Alton</w:t>
      </w:r>
      <w:r>
        <w:rPr>
          <w:sz w:val="24"/>
        </w:rPr>
        <w:t xml:space="preserve"> (above).  Since the </w:t>
      </w:r>
      <w:r>
        <w:rPr>
          <w:i/>
          <w:sz w:val="24"/>
        </w:rPr>
        <w:t>LRA 2002</w:t>
      </w:r>
      <w:r>
        <w:rPr>
          <w:sz w:val="24"/>
        </w:rPr>
        <w:t xml:space="preserve">, equitable easements (which are rare anyway) will not be overriding and must be entered as a notice on the register pursuant to </w:t>
      </w:r>
      <w:r>
        <w:rPr>
          <w:i/>
          <w:sz w:val="24"/>
        </w:rPr>
        <w:t>LRA 2002; s34</w:t>
      </w:r>
      <w:r>
        <w:rPr>
          <w:sz w:val="24"/>
        </w:rPr>
        <w:t>.  But this does not include easements which should have been registered as legal easements to operate at law - these types of easement must be registered as per the paragraph immediately above.</w:t>
      </w:r>
    </w:p>
    <w:p w14:paraId="34DC8D0D" w14:textId="77777777" w:rsidR="00574383" w:rsidRDefault="00574383" w:rsidP="00574383">
      <w:pPr>
        <w:tabs>
          <w:tab w:val="left" w:pos="720"/>
        </w:tabs>
        <w:rPr>
          <w:sz w:val="24"/>
        </w:rPr>
      </w:pPr>
    </w:p>
    <w:p w14:paraId="0C1BEFC3" w14:textId="77777777" w:rsidR="00574383" w:rsidRDefault="00574383" w:rsidP="00574383">
      <w:pPr>
        <w:tabs>
          <w:tab w:val="left" w:pos="720"/>
        </w:tabs>
        <w:rPr>
          <w:sz w:val="24"/>
        </w:rPr>
      </w:pPr>
    </w:p>
    <w:p w14:paraId="26C9BC9F" w14:textId="77777777" w:rsidR="00574383" w:rsidRDefault="00574383" w:rsidP="00574383">
      <w:pPr>
        <w:tabs>
          <w:tab w:val="left" w:pos="720"/>
        </w:tabs>
        <w:rPr>
          <w:sz w:val="24"/>
        </w:rPr>
      </w:pPr>
    </w:p>
    <w:p w14:paraId="2455DCC1" w14:textId="77777777" w:rsidR="00574383" w:rsidRDefault="00574383" w:rsidP="00574383">
      <w:pPr>
        <w:pStyle w:val="Clause1"/>
        <w:numPr>
          <w:ilvl w:val="0"/>
          <w:numId w:val="0"/>
        </w:numPr>
        <w:tabs>
          <w:tab w:val="left" w:pos="720"/>
        </w:tabs>
        <w:ind w:left="1287" w:hanging="567"/>
        <w:jc w:val="center"/>
      </w:pPr>
    </w:p>
    <w:p w14:paraId="0D02AC69" w14:textId="77777777" w:rsidR="00574383" w:rsidRDefault="00574383" w:rsidP="00574383">
      <w:pPr>
        <w:pStyle w:val="Clause1"/>
        <w:numPr>
          <w:ilvl w:val="0"/>
          <w:numId w:val="0"/>
        </w:numPr>
        <w:tabs>
          <w:tab w:val="left" w:pos="720"/>
        </w:tabs>
        <w:ind w:left="1287" w:hanging="567"/>
        <w:jc w:val="center"/>
      </w:pPr>
    </w:p>
    <w:p w14:paraId="3A9CF8E2" w14:textId="77777777" w:rsidR="00574383" w:rsidRDefault="00574383" w:rsidP="00574383">
      <w:pPr>
        <w:pStyle w:val="Clause1"/>
        <w:numPr>
          <w:ilvl w:val="0"/>
          <w:numId w:val="0"/>
        </w:numPr>
        <w:tabs>
          <w:tab w:val="left" w:pos="720"/>
        </w:tabs>
        <w:ind w:left="1287" w:hanging="567"/>
        <w:jc w:val="center"/>
      </w:pPr>
    </w:p>
    <w:p w14:paraId="3304CD8B" w14:textId="77777777" w:rsidR="00574383" w:rsidRDefault="00574383" w:rsidP="00574383">
      <w:pPr>
        <w:pStyle w:val="Clause1"/>
        <w:numPr>
          <w:ilvl w:val="0"/>
          <w:numId w:val="0"/>
        </w:numPr>
        <w:tabs>
          <w:tab w:val="left" w:pos="720"/>
        </w:tabs>
        <w:ind w:left="1287" w:hanging="567"/>
        <w:jc w:val="center"/>
      </w:pPr>
    </w:p>
    <w:p w14:paraId="5A4E265C" w14:textId="77777777" w:rsidR="00574383" w:rsidRDefault="00574383" w:rsidP="00574383">
      <w:pPr>
        <w:pStyle w:val="Clause1"/>
        <w:numPr>
          <w:ilvl w:val="0"/>
          <w:numId w:val="0"/>
        </w:numPr>
        <w:tabs>
          <w:tab w:val="left" w:pos="720"/>
        </w:tabs>
        <w:ind w:left="1287" w:hanging="567"/>
        <w:jc w:val="center"/>
      </w:pPr>
    </w:p>
    <w:p w14:paraId="03228199" w14:textId="77777777" w:rsidR="00574383" w:rsidRDefault="00574383" w:rsidP="00574383">
      <w:pPr>
        <w:pStyle w:val="Clause1"/>
        <w:numPr>
          <w:ilvl w:val="0"/>
          <w:numId w:val="0"/>
        </w:numPr>
        <w:tabs>
          <w:tab w:val="left" w:pos="720"/>
        </w:tabs>
        <w:ind w:left="1287" w:hanging="567"/>
        <w:jc w:val="center"/>
      </w:pPr>
      <w:r>
        <w:t>METHODS BY WHICH AN EASEMENT CAN BE GRANTED</w:t>
      </w:r>
    </w:p>
    <w:p w14:paraId="5DD28CD1" w14:textId="77777777" w:rsidR="00574383" w:rsidRDefault="00574383" w:rsidP="00574383">
      <w:pPr>
        <w:pStyle w:val="cpe3"/>
        <w:jc w:val="center"/>
        <w:rPr>
          <w:rFonts w:ascii="Arial" w:hAnsi="Arial"/>
        </w:rPr>
      </w:pPr>
    </w:p>
    <w:p w14:paraId="71711DA5" w14:textId="77777777" w:rsidR="00574383" w:rsidRDefault="00574383" w:rsidP="00574383">
      <w:pPr>
        <w:pStyle w:val="cpe3"/>
        <w:numPr>
          <w:ilvl w:val="12"/>
          <w:numId w:val="0"/>
        </w:numPr>
        <w:jc w:val="center"/>
        <w:rPr>
          <w:rFonts w:ascii="Arial" w:hAnsi="Arial"/>
        </w:rPr>
      </w:pPr>
    </w:p>
    <w:p w14:paraId="1B8B2D1E" w14:textId="569CFE5D" w:rsidR="00574383" w:rsidRDefault="00574383" w:rsidP="00574383">
      <w:r>
        <w:rPr>
          <w:noProof/>
        </w:rPr>
        <mc:AlternateContent>
          <mc:Choice Requires="wps">
            <w:drawing>
              <wp:anchor distT="0" distB="0" distL="114300" distR="114300" simplePos="0" relativeHeight="251658240" behindDoc="0" locked="0" layoutInCell="1" allowOverlap="1" wp14:anchorId="4BDE1544" wp14:editId="468E27E3">
                <wp:simplePos x="0" y="0"/>
                <wp:positionH relativeFrom="column">
                  <wp:posOffset>-419100</wp:posOffset>
                </wp:positionH>
                <wp:positionV relativeFrom="paragraph">
                  <wp:posOffset>0</wp:posOffset>
                </wp:positionV>
                <wp:extent cx="1955800" cy="342900"/>
                <wp:effectExtent l="9525" t="9525" r="6350" b="9525"/>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342900"/>
                        </a:xfrm>
                        <a:prstGeom prst="rect">
                          <a:avLst/>
                        </a:prstGeom>
                        <a:solidFill>
                          <a:srgbClr val="FFFFFF"/>
                        </a:solidFill>
                        <a:ln w="9525">
                          <a:solidFill>
                            <a:srgbClr val="000000"/>
                          </a:solidFill>
                          <a:miter lim="800000"/>
                          <a:headEnd/>
                          <a:tailEnd/>
                        </a:ln>
                      </wps:spPr>
                      <wps:txbx>
                        <w:txbxContent>
                          <w:p w14:paraId="760E2CE1" w14:textId="77777777" w:rsidR="00574383" w:rsidRDefault="00574383" w:rsidP="00574383">
                            <w:pPr>
                              <w:jc w:val="center"/>
                            </w:pPr>
                            <w:r>
                              <w:t>Express</w:t>
                            </w:r>
                          </w:p>
                          <w:p w14:paraId="18DCBCDC"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DE1544" id="Text Box 36" o:spid="_x0000_s1029" type="#_x0000_t202" style="position:absolute;margin-left:-33pt;margin-top:0;width:154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">
                <v:textbox>
                  <w:txbxContent>
                    <w:p w14:paraId="760E2CE1" w14:textId="77777777" w:rsidR="00574383" w:rsidRDefault="00574383" w:rsidP="00574383">
                      <w:pPr>
                        <w:jc w:val="center"/>
                      </w:pPr>
                      <w:r>
                        <w:t>Express</w:t>
                      </w:r>
                    </w:p>
                    <w:p w14:paraId="18DCBCDC"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21E2C039" wp14:editId="277B8ADD">
                <wp:simplePos x="0" y="0"/>
                <wp:positionH relativeFrom="column">
                  <wp:posOffset>2025650</wp:posOffset>
                </wp:positionH>
                <wp:positionV relativeFrom="paragraph">
                  <wp:posOffset>0</wp:posOffset>
                </wp:positionV>
                <wp:extent cx="2025650" cy="342900"/>
                <wp:effectExtent l="6350" t="9525" r="6350" b="9525"/>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5650" cy="342900"/>
                        </a:xfrm>
                        <a:prstGeom prst="rect">
                          <a:avLst/>
                        </a:prstGeom>
                        <a:solidFill>
                          <a:srgbClr val="FFFFFF"/>
                        </a:solidFill>
                        <a:ln w="9525">
                          <a:solidFill>
                            <a:srgbClr val="000000"/>
                          </a:solidFill>
                          <a:miter lim="800000"/>
                          <a:headEnd/>
                          <a:tailEnd/>
                        </a:ln>
                      </wps:spPr>
                      <wps:txbx>
                        <w:txbxContent>
                          <w:p w14:paraId="0486BAD5" w14:textId="77777777" w:rsidR="00574383" w:rsidRDefault="00574383" w:rsidP="00574383">
                            <w:pPr>
                              <w:jc w:val="center"/>
                            </w:pPr>
                            <w:r>
                              <w:t>Implied</w:t>
                            </w:r>
                          </w:p>
                          <w:p w14:paraId="3FBA2338"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E2C039" id="Text Box 35" o:spid="_x0000_s1030" type="#_x0000_t202" style="position:absolute;margin-left:159.5pt;margin-top:0;width:159.5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">
                <v:textbox>
                  <w:txbxContent>
                    <w:p w14:paraId="0486BAD5" w14:textId="77777777" w:rsidR="00574383" w:rsidRDefault="00574383" w:rsidP="00574383">
                      <w:pPr>
                        <w:jc w:val="center"/>
                      </w:pPr>
                      <w:r>
                        <w:t>Implied</w:t>
                      </w:r>
                    </w:p>
                    <w:p w14:paraId="3FBA2338"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12F5217A" wp14:editId="19D02A31">
                <wp:simplePos x="0" y="0"/>
                <wp:positionH relativeFrom="column">
                  <wp:posOffset>4330700</wp:posOffset>
                </wp:positionH>
                <wp:positionV relativeFrom="paragraph">
                  <wp:posOffset>964565</wp:posOffset>
                </wp:positionV>
                <wp:extent cx="1816100" cy="342900"/>
                <wp:effectExtent l="6350" t="12065" r="6350" b="6985"/>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342900"/>
                        </a:xfrm>
                        <a:prstGeom prst="rect">
                          <a:avLst/>
                        </a:prstGeom>
                        <a:solidFill>
                          <a:srgbClr val="FFFFFF"/>
                        </a:solidFill>
                        <a:ln w="9525">
                          <a:solidFill>
                            <a:srgbClr val="000000"/>
                          </a:solidFill>
                          <a:miter lim="800000"/>
                          <a:headEnd/>
                          <a:tailEnd/>
                        </a:ln>
                      </wps:spPr>
                      <wps:txbx>
                        <w:txbxContent>
                          <w:p w14:paraId="296C4FB9" w14:textId="77777777" w:rsidR="00574383" w:rsidRDefault="00574383" w:rsidP="00574383">
                            <w:pPr>
                              <w:jc w:val="center"/>
                            </w:pPr>
                            <w:r>
                              <w:t>Presumed (prescription)</w:t>
                            </w:r>
                          </w:p>
                          <w:p w14:paraId="3B3B42FA"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F5217A" id="Text Box 34" o:spid="_x0000_s1031" type="#_x0000_t202" style="position:absolute;margin-left:341pt;margin-top:75.95pt;width:143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">
                <v:textbox>
                  <w:txbxContent>
                    <w:p w14:paraId="296C4FB9" w14:textId="77777777" w:rsidR="00574383" w:rsidRDefault="00574383" w:rsidP="00574383">
                      <w:pPr>
                        <w:jc w:val="center"/>
                      </w:pPr>
                      <w:r>
                        <w:t>Presumed (prescription)</w:t>
                      </w:r>
                    </w:p>
                    <w:p w14:paraId="3B3B42FA"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611205D5" wp14:editId="377A3E0A">
                <wp:simplePos x="0" y="0"/>
                <wp:positionH relativeFrom="column">
                  <wp:posOffset>4400550</wp:posOffset>
                </wp:positionH>
                <wp:positionV relativeFrom="paragraph">
                  <wp:posOffset>1993265</wp:posOffset>
                </wp:positionV>
                <wp:extent cx="1816100" cy="342900"/>
                <wp:effectExtent l="9525" t="12065" r="12700" b="698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342900"/>
                        </a:xfrm>
                        <a:prstGeom prst="rect">
                          <a:avLst/>
                        </a:prstGeom>
                        <a:solidFill>
                          <a:srgbClr val="FFFFFF"/>
                        </a:solidFill>
                        <a:ln w="9525">
                          <a:solidFill>
                            <a:srgbClr val="000000"/>
                          </a:solidFill>
                          <a:miter lim="800000"/>
                          <a:headEnd/>
                          <a:tailEnd/>
                        </a:ln>
                      </wps:spPr>
                      <wps:txbx>
                        <w:txbxContent>
                          <w:p w14:paraId="6FC272C7" w14:textId="77777777" w:rsidR="00574383" w:rsidRDefault="00574383" w:rsidP="00574383">
                            <w:pPr>
                              <w:jc w:val="center"/>
                            </w:pPr>
                            <w:r>
                              <w:t>continuous user</w:t>
                            </w:r>
                          </w:p>
                          <w:p w14:paraId="11BA2186"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1205D5" id="Text Box 33" o:spid="_x0000_s1032" type="#_x0000_t202" style="position:absolute;margin-left:346.5pt;margin-top:156.95pt;width:143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">
                <v:textbox>
                  <w:txbxContent>
                    <w:p w14:paraId="6FC272C7" w14:textId="77777777" w:rsidR="00574383" w:rsidRDefault="00574383" w:rsidP="00574383">
                      <w:pPr>
                        <w:jc w:val="center"/>
                      </w:pPr>
                      <w:r>
                        <w:t>continuous user</w:t>
                      </w:r>
                    </w:p>
                    <w:p w14:paraId="11BA2186"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0B76A548" wp14:editId="45D76849">
                <wp:simplePos x="0" y="0"/>
                <wp:positionH relativeFrom="column">
                  <wp:posOffset>4400550</wp:posOffset>
                </wp:positionH>
                <wp:positionV relativeFrom="paragraph">
                  <wp:posOffset>2679065</wp:posOffset>
                </wp:positionV>
                <wp:extent cx="1816100" cy="342900"/>
                <wp:effectExtent l="9525" t="12065" r="12700" b="698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342900"/>
                        </a:xfrm>
                        <a:prstGeom prst="rect">
                          <a:avLst/>
                        </a:prstGeom>
                        <a:solidFill>
                          <a:srgbClr val="FFFFFF"/>
                        </a:solidFill>
                        <a:ln w="9525">
                          <a:solidFill>
                            <a:srgbClr val="000000"/>
                          </a:solidFill>
                          <a:miter lim="800000"/>
                          <a:headEnd/>
                          <a:tailEnd/>
                        </a:ln>
                      </wps:spPr>
                      <wps:txbx>
                        <w:txbxContent>
                          <w:p w14:paraId="4A76C6D2" w14:textId="77777777" w:rsidR="00574383" w:rsidRDefault="00574383" w:rsidP="00574383">
                            <w:pPr>
                              <w:jc w:val="center"/>
                            </w:pPr>
                            <w:r>
                              <w:t>as of right</w:t>
                            </w:r>
                          </w:p>
                          <w:p w14:paraId="49B642FA"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76A548" id="Text Box 32" o:spid="_x0000_s1033" type="#_x0000_t202" style="position:absolute;margin-left:346.5pt;margin-top:210.95pt;width:143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">
                <v:textbox>
                  <w:txbxContent>
                    <w:p w14:paraId="4A76C6D2" w14:textId="77777777" w:rsidR="00574383" w:rsidRDefault="00574383" w:rsidP="00574383">
                      <w:pPr>
                        <w:jc w:val="center"/>
                      </w:pPr>
                      <w:r>
                        <w:t>as of right</w:t>
                      </w:r>
                    </w:p>
                    <w:p w14:paraId="49B642FA"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61AF7A05" wp14:editId="0A510BAB">
                <wp:simplePos x="0" y="0"/>
                <wp:positionH relativeFrom="column">
                  <wp:posOffset>4400550</wp:posOffset>
                </wp:positionH>
                <wp:positionV relativeFrom="paragraph">
                  <wp:posOffset>3364865</wp:posOffset>
                </wp:positionV>
                <wp:extent cx="1816100" cy="457200"/>
                <wp:effectExtent l="9525" t="12065" r="12700" b="6985"/>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457200"/>
                        </a:xfrm>
                        <a:prstGeom prst="rect">
                          <a:avLst/>
                        </a:prstGeom>
                        <a:solidFill>
                          <a:srgbClr val="FFFFFF"/>
                        </a:solidFill>
                        <a:ln w="9525">
                          <a:solidFill>
                            <a:srgbClr val="000000"/>
                          </a:solidFill>
                          <a:miter lim="800000"/>
                          <a:headEnd/>
                          <a:tailEnd/>
                        </a:ln>
                      </wps:spPr>
                      <wps:txbx>
                        <w:txbxContent>
                          <w:p w14:paraId="1F57FBA2" w14:textId="77777777" w:rsidR="00574383" w:rsidRDefault="00574383" w:rsidP="00574383">
                            <w:pPr>
                              <w:jc w:val="center"/>
                            </w:pPr>
                            <w:r>
                              <w:t>by or on behalf of and against fee simple</w:t>
                            </w:r>
                          </w:p>
                          <w:p w14:paraId="0D5D2C07"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AF7A05" id="Text Box 31" o:spid="_x0000_s1034" type="#_x0000_t202" style="position:absolute;margin-left:346.5pt;margin-top:264.95pt;width:143pt;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">
                <v:textbox>
                  <w:txbxContent>
                    <w:p w14:paraId="1F57FBA2" w14:textId="77777777" w:rsidR="00574383" w:rsidRDefault="00574383" w:rsidP="00574383">
                      <w:pPr>
                        <w:jc w:val="center"/>
                      </w:pPr>
                      <w:r>
                        <w:t>by or on behalf of and against fee simple</w:t>
                      </w:r>
                    </w:p>
                    <w:p w14:paraId="0D5D2C07"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23E8FADE" wp14:editId="0C4BF52C">
                <wp:simplePos x="0" y="0"/>
                <wp:positionH relativeFrom="column">
                  <wp:posOffset>4400550</wp:posOffset>
                </wp:positionH>
                <wp:positionV relativeFrom="paragraph">
                  <wp:posOffset>4279265</wp:posOffset>
                </wp:positionV>
                <wp:extent cx="1816100" cy="342900"/>
                <wp:effectExtent l="9525" t="12065" r="12700" b="698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342900"/>
                        </a:xfrm>
                        <a:prstGeom prst="rect">
                          <a:avLst/>
                        </a:prstGeom>
                        <a:solidFill>
                          <a:srgbClr val="FFFFFF"/>
                        </a:solidFill>
                        <a:ln w="9525">
                          <a:solidFill>
                            <a:srgbClr val="000000"/>
                          </a:solidFill>
                          <a:miter lim="800000"/>
                          <a:headEnd/>
                          <a:tailEnd/>
                        </a:ln>
                      </wps:spPr>
                      <wps:txbx>
                        <w:txbxContent>
                          <w:p w14:paraId="170FE7E5" w14:textId="77777777" w:rsidR="00574383" w:rsidRDefault="00574383" w:rsidP="00574383">
                            <w:pPr>
                              <w:jc w:val="center"/>
                            </w:pPr>
                            <w:r>
                              <w:t>for the prescriptive period</w:t>
                            </w:r>
                          </w:p>
                          <w:p w14:paraId="583FF18A"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E8FADE" id="Text Box 30" o:spid="_x0000_s1035" type="#_x0000_t202" style="position:absolute;margin-left:346.5pt;margin-top:336.95pt;width:143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">
                <v:textbox>
                  <w:txbxContent>
                    <w:p w14:paraId="170FE7E5" w14:textId="77777777" w:rsidR="00574383" w:rsidRDefault="00574383" w:rsidP="00574383">
                      <w:pPr>
                        <w:jc w:val="center"/>
                      </w:pPr>
                      <w:r>
                        <w:t>for the prescriptive period</w:t>
                      </w:r>
                    </w:p>
                    <w:p w14:paraId="583FF18A"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BECE373" wp14:editId="4C813331">
                <wp:simplePos x="0" y="0"/>
                <wp:positionH relativeFrom="column">
                  <wp:posOffset>-419100</wp:posOffset>
                </wp:positionH>
                <wp:positionV relativeFrom="paragraph">
                  <wp:posOffset>914400</wp:posOffset>
                </wp:positionV>
                <wp:extent cx="914400" cy="800100"/>
                <wp:effectExtent l="9525" t="9525" r="9525" b="9525"/>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00100"/>
                        </a:xfrm>
                        <a:prstGeom prst="rect">
                          <a:avLst/>
                        </a:prstGeom>
                        <a:solidFill>
                          <a:srgbClr val="FFFFFF"/>
                        </a:solidFill>
                        <a:ln w="9525">
                          <a:solidFill>
                            <a:srgbClr val="000000"/>
                          </a:solidFill>
                          <a:miter lim="800000"/>
                          <a:headEnd/>
                          <a:tailEnd/>
                        </a:ln>
                      </wps:spPr>
                      <wps:txbx>
                        <w:txbxContent>
                          <w:p w14:paraId="406E5067" w14:textId="77777777" w:rsidR="00574383" w:rsidRDefault="00574383" w:rsidP="00574383">
                            <w:pPr>
                              <w:jc w:val="center"/>
                              <w:rPr>
                                <w:b/>
                                <w:i/>
                              </w:rPr>
                            </w:pPr>
                            <w:r>
                              <w:t xml:space="preserve">the </w:t>
                            </w:r>
                            <w:r>
                              <w:rPr>
                                <w:b/>
                                <w:i/>
                              </w:rPr>
                              <w:t>Rule in</w:t>
                            </w:r>
                            <w:r>
                              <w:t xml:space="preserve"> </w:t>
                            </w:r>
                            <w:r>
                              <w:rPr>
                                <w:b/>
                                <w:i/>
                              </w:rPr>
                              <w:t>Wheeldon v Burrows</w:t>
                            </w:r>
                          </w:p>
                          <w:p w14:paraId="630F5702" w14:textId="77777777" w:rsidR="00574383" w:rsidRDefault="00574383" w:rsidP="00574383">
                            <w:pPr>
                              <w:jc w:val="center"/>
                              <w:rPr>
                                <w:b/>
                                <w:i/>
                              </w:rPr>
                            </w:pPr>
                            <w:r>
                              <w:rPr>
                                <w:b/>
                                <w:i/>
                              </w:rPr>
                              <w:t>[1879]</w:t>
                            </w:r>
                          </w:p>
                          <w:p w14:paraId="5E89CE87" w14:textId="77777777" w:rsidR="00574383" w:rsidRDefault="00574383" w:rsidP="00574383">
                            <w:pPr>
                              <w:rPr>
                                <w:b/>
                                <w:i/>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ECE373" id="Text Box 29" o:spid="_x0000_s1036" type="#_x0000_t202" style="position:absolute;margin-left:-33pt;margin-top:1in;width:1in;height:6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">
                <v:textbox>
                  <w:txbxContent>
                    <w:p w14:paraId="406E5067" w14:textId="77777777" w:rsidR="00574383" w:rsidRDefault="00574383" w:rsidP="00574383">
                      <w:pPr>
                        <w:jc w:val="center"/>
                        <w:rPr>
                          <w:b/>
                          <w:i/>
                        </w:rPr>
                      </w:pPr>
                      <w:r>
                        <w:t xml:space="preserve">the </w:t>
                      </w:r>
                      <w:r>
                        <w:rPr>
                          <w:b/>
                          <w:i/>
                        </w:rPr>
                        <w:t>Rule in</w:t>
                      </w:r>
                      <w:r>
                        <w:t xml:space="preserve"> </w:t>
                      </w:r>
                      <w:r>
                        <w:rPr>
                          <w:b/>
                          <w:i/>
                        </w:rPr>
                        <w:t>Wheeldon v Burrows</w:t>
                      </w:r>
                    </w:p>
                    <w:p w14:paraId="630F5702" w14:textId="77777777" w:rsidR="00574383" w:rsidRDefault="00574383" w:rsidP="00574383">
                      <w:pPr>
                        <w:jc w:val="center"/>
                        <w:rPr>
                          <w:b/>
                          <w:i/>
                        </w:rPr>
                      </w:pPr>
                      <w:r>
                        <w:rPr>
                          <w:b/>
                          <w:i/>
                        </w:rPr>
                        <w:t>[1879]</w:t>
                      </w:r>
                    </w:p>
                    <w:p w14:paraId="5E89CE87" w14:textId="77777777" w:rsidR="00574383" w:rsidRDefault="00574383" w:rsidP="00574383">
                      <w:pPr>
                        <w:rPr>
                          <w:b/>
                          <w:i/>
                        </w:rPr>
                      </w:pP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09DE9397" wp14:editId="5E38C580">
                <wp:simplePos x="0" y="0"/>
                <wp:positionH relativeFrom="column">
                  <wp:posOffset>768350</wp:posOffset>
                </wp:positionH>
                <wp:positionV relativeFrom="paragraph">
                  <wp:posOffset>914400</wp:posOffset>
                </wp:positionV>
                <wp:extent cx="914400" cy="457200"/>
                <wp:effectExtent l="6350" t="9525" r="12700" b="9525"/>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57200"/>
                        </a:xfrm>
                        <a:prstGeom prst="rect">
                          <a:avLst/>
                        </a:prstGeom>
                        <a:solidFill>
                          <a:srgbClr val="FFFFFF"/>
                        </a:solidFill>
                        <a:ln w="9525">
                          <a:solidFill>
                            <a:srgbClr val="000000"/>
                          </a:solidFill>
                          <a:miter lim="800000"/>
                          <a:headEnd/>
                          <a:tailEnd/>
                        </a:ln>
                      </wps:spPr>
                      <wps:txbx>
                        <w:txbxContent>
                          <w:p w14:paraId="09AA23CF" w14:textId="77777777" w:rsidR="00574383" w:rsidRDefault="00574383" w:rsidP="00574383">
                            <w:pPr>
                              <w:jc w:val="center"/>
                            </w:pPr>
                            <w:r>
                              <w:t>common intention</w:t>
                            </w:r>
                          </w:p>
                          <w:p w14:paraId="5F2C7E82"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DE9397" id="Text Box 28" o:spid="_x0000_s1037" type="#_x0000_t202" style="position:absolute;margin-left:60.5pt;margin-top:1in;width:1in;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">
                <v:textbox>
                  <w:txbxContent>
                    <w:p w14:paraId="09AA23CF" w14:textId="77777777" w:rsidR="00574383" w:rsidRDefault="00574383" w:rsidP="00574383">
                      <w:pPr>
                        <w:jc w:val="center"/>
                      </w:pPr>
                      <w:r>
                        <w:t>common intention</w:t>
                      </w:r>
                    </w:p>
                    <w:p w14:paraId="5F2C7E82"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AD0AF0B" wp14:editId="65CA74BD">
                <wp:simplePos x="0" y="0"/>
                <wp:positionH relativeFrom="column">
                  <wp:posOffset>2025650</wp:posOffset>
                </wp:positionH>
                <wp:positionV relativeFrom="paragraph">
                  <wp:posOffset>927100</wp:posOffset>
                </wp:positionV>
                <wp:extent cx="914400" cy="319405"/>
                <wp:effectExtent l="6350" t="12700" r="12700" b="10795"/>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19405"/>
                        </a:xfrm>
                        <a:prstGeom prst="rect">
                          <a:avLst/>
                        </a:prstGeom>
                        <a:solidFill>
                          <a:srgbClr val="FFFFFF"/>
                        </a:solidFill>
                        <a:ln w="9525">
                          <a:solidFill>
                            <a:srgbClr val="000000"/>
                          </a:solidFill>
                          <a:miter lim="800000"/>
                          <a:headEnd/>
                          <a:tailEnd/>
                        </a:ln>
                      </wps:spPr>
                      <wps:txbx>
                        <w:txbxContent>
                          <w:p w14:paraId="5BB3DB0E" w14:textId="77777777" w:rsidR="00574383" w:rsidRDefault="00574383" w:rsidP="00574383">
                            <w:pPr>
                              <w:jc w:val="center"/>
                            </w:pPr>
                            <w:r>
                              <w:t>necessity</w:t>
                            </w:r>
                          </w:p>
                          <w:p w14:paraId="1DE79A21"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D0AF0B" id="Text Box 27" o:spid="_x0000_s1038" type="#_x0000_t202" style="position:absolute;margin-left:159.5pt;margin-top:73pt;width:1in;height:25.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">
                <v:textbox>
                  <w:txbxContent>
                    <w:p w14:paraId="5BB3DB0E" w14:textId="77777777" w:rsidR="00574383" w:rsidRDefault="00574383" w:rsidP="00574383">
                      <w:pPr>
                        <w:jc w:val="center"/>
                      </w:pPr>
                      <w:r>
                        <w:t>necessity</w:t>
                      </w:r>
                    </w:p>
                    <w:p w14:paraId="1DE79A21"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72D812C2" wp14:editId="33BBEF1C">
                <wp:simplePos x="0" y="0"/>
                <wp:positionH relativeFrom="column">
                  <wp:posOffset>3143250</wp:posOffset>
                </wp:positionH>
                <wp:positionV relativeFrom="paragraph">
                  <wp:posOffset>914400</wp:posOffset>
                </wp:positionV>
                <wp:extent cx="914400" cy="457200"/>
                <wp:effectExtent l="9525" t="9525" r="9525" b="952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57200"/>
                        </a:xfrm>
                        <a:prstGeom prst="rect">
                          <a:avLst/>
                        </a:prstGeom>
                        <a:solidFill>
                          <a:srgbClr val="FFFFFF"/>
                        </a:solidFill>
                        <a:ln w="9525">
                          <a:solidFill>
                            <a:srgbClr val="000000"/>
                          </a:solidFill>
                          <a:miter lim="800000"/>
                          <a:headEnd/>
                          <a:tailEnd/>
                        </a:ln>
                      </wps:spPr>
                      <wps:txbx>
                        <w:txbxContent>
                          <w:p w14:paraId="6F3023A3" w14:textId="77777777" w:rsidR="00574383" w:rsidRDefault="00574383" w:rsidP="00574383">
                            <w:pPr>
                              <w:jc w:val="center"/>
                              <w:rPr>
                                <w:b/>
                                <w:i/>
                              </w:rPr>
                            </w:pPr>
                            <w:r>
                              <w:rPr>
                                <w:b/>
                                <w:i/>
                              </w:rPr>
                              <w:t>s62; LPA 1925</w:t>
                            </w:r>
                          </w:p>
                          <w:p w14:paraId="24D41EB9" w14:textId="77777777" w:rsidR="00574383" w:rsidRDefault="00574383" w:rsidP="00574383">
                            <w:pPr>
                              <w:rPr>
                                <w:b/>
                                <w:i/>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D812C2" id="Text Box 26" o:spid="_x0000_s1039" type="#_x0000_t202" style="position:absolute;margin-left:247.5pt;margin-top:1in;width:1in;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">
                <v:textbox>
                  <w:txbxContent>
                    <w:p w14:paraId="6F3023A3" w14:textId="77777777" w:rsidR="00574383" w:rsidRDefault="00574383" w:rsidP="00574383">
                      <w:pPr>
                        <w:jc w:val="center"/>
                        <w:rPr>
                          <w:b/>
                          <w:i/>
                        </w:rPr>
                      </w:pPr>
                      <w:r>
                        <w:rPr>
                          <w:b/>
                          <w:i/>
                        </w:rPr>
                        <w:t>s62; LPA 1925</w:t>
                      </w:r>
                    </w:p>
                    <w:p w14:paraId="24D41EB9" w14:textId="77777777" w:rsidR="00574383" w:rsidRDefault="00574383" w:rsidP="00574383">
                      <w:pPr>
                        <w:rPr>
                          <w:b/>
                          <w:i/>
                        </w:rPr>
                      </w:pP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66548D8B" wp14:editId="6A422E43">
                <wp:simplePos x="0" y="0"/>
                <wp:positionH relativeFrom="column">
                  <wp:posOffset>-419100</wp:posOffset>
                </wp:positionH>
                <wp:positionV relativeFrom="paragraph">
                  <wp:posOffset>2061845</wp:posOffset>
                </wp:positionV>
                <wp:extent cx="1955800" cy="388620"/>
                <wp:effectExtent l="9525" t="13970" r="6350" b="6985"/>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388620"/>
                        </a:xfrm>
                        <a:prstGeom prst="rect">
                          <a:avLst/>
                        </a:prstGeom>
                        <a:solidFill>
                          <a:srgbClr val="FFFFFF"/>
                        </a:solidFill>
                        <a:ln w="9525">
                          <a:solidFill>
                            <a:srgbClr val="000000"/>
                          </a:solidFill>
                          <a:miter lim="800000"/>
                          <a:headEnd/>
                          <a:tailEnd/>
                        </a:ln>
                      </wps:spPr>
                      <wps:txbx>
                        <w:txbxContent>
                          <w:p w14:paraId="65389410" w14:textId="77777777" w:rsidR="00574383" w:rsidRDefault="00574383" w:rsidP="00574383">
                            <w:pPr>
                              <w:jc w:val="center"/>
                            </w:pPr>
                            <w:r>
                              <w:t>unity of seisin</w:t>
                            </w:r>
                          </w:p>
                          <w:p w14:paraId="46952452"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548D8B" id="Text Box 25" o:spid="_x0000_s1040" type="#_x0000_t202" style="position:absolute;margin-left:-33pt;margin-top:162.35pt;width:154pt;height:30.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">
                <v:textbox>
                  <w:txbxContent>
                    <w:p w14:paraId="65389410" w14:textId="77777777" w:rsidR="00574383" w:rsidRDefault="00574383" w:rsidP="00574383">
                      <w:pPr>
                        <w:jc w:val="center"/>
                      </w:pPr>
                      <w:r>
                        <w:t>unity of seisin</w:t>
                      </w:r>
                    </w:p>
                    <w:p w14:paraId="46952452"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54C6EB15" wp14:editId="484241E3">
                <wp:simplePos x="0" y="0"/>
                <wp:positionH relativeFrom="column">
                  <wp:posOffset>2025650</wp:posOffset>
                </wp:positionH>
                <wp:positionV relativeFrom="paragraph">
                  <wp:posOffset>2057400</wp:posOffset>
                </wp:positionV>
                <wp:extent cx="2095500" cy="457200"/>
                <wp:effectExtent l="6350" t="9525" r="12700" b="9525"/>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457200"/>
                        </a:xfrm>
                        <a:prstGeom prst="rect">
                          <a:avLst/>
                        </a:prstGeom>
                        <a:solidFill>
                          <a:srgbClr val="FFFFFF"/>
                        </a:solidFill>
                        <a:ln w="9525">
                          <a:solidFill>
                            <a:srgbClr val="000000"/>
                          </a:solidFill>
                          <a:miter lim="800000"/>
                          <a:headEnd/>
                          <a:tailEnd/>
                        </a:ln>
                      </wps:spPr>
                      <wps:txbx>
                        <w:txbxContent>
                          <w:p w14:paraId="110C0E54" w14:textId="77777777" w:rsidR="00574383" w:rsidRDefault="00574383" w:rsidP="00574383">
                            <w:pPr>
                              <w:jc w:val="center"/>
                            </w:pPr>
                            <w:r>
                              <w:t>diversity of ownership and occupation</w:t>
                            </w:r>
                          </w:p>
                          <w:p w14:paraId="168E5E45"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C6EB15" id="Text Box 24" o:spid="_x0000_s1041" type="#_x0000_t202" style="position:absolute;margin-left:159.5pt;margin-top:162pt;width:165pt;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">
                <v:textbox>
                  <w:txbxContent>
                    <w:p w14:paraId="110C0E54" w14:textId="77777777" w:rsidR="00574383" w:rsidRDefault="00574383" w:rsidP="00574383">
                      <w:pPr>
                        <w:jc w:val="center"/>
                      </w:pPr>
                      <w:r>
                        <w:t>diversity of ownership and occupation</w:t>
                      </w:r>
                    </w:p>
                    <w:p w14:paraId="168E5E45"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6E355972" wp14:editId="252D70EE">
                <wp:simplePos x="0" y="0"/>
                <wp:positionH relativeFrom="column">
                  <wp:posOffset>-419100</wp:posOffset>
                </wp:positionH>
                <wp:positionV relativeFrom="paragraph">
                  <wp:posOffset>2793365</wp:posOffset>
                </wp:positionV>
                <wp:extent cx="1955800" cy="457200"/>
                <wp:effectExtent l="9525" t="12065" r="6350" b="6985"/>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457200"/>
                        </a:xfrm>
                        <a:prstGeom prst="rect">
                          <a:avLst/>
                        </a:prstGeom>
                        <a:solidFill>
                          <a:srgbClr val="FFFFFF"/>
                        </a:solidFill>
                        <a:ln w="9525">
                          <a:solidFill>
                            <a:srgbClr val="000000"/>
                          </a:solidFill>
                          <a:miter lim="800000"/>
                          <a:headEnd/>
                          <a:tailEnd/>
                        </a:ln>
                      </wps:spPr>
                      <wps:txbx>
                        <w:txbxContent>
                          <w:p w14:paraId="54AAEDD1" w14:textId="77777777" w:rsidR="00574383" w:rsidRDefault="00574383" w:rsidP="00574383">
                            <w:pPr>
                              <w:jc w:val="center"/>
                            </w:pPr>
                            <w:r>
                              <w:t>use of quasi-easement</w:t>
                            </w:r>
                          </w:p>
                          <w:p w14:paraId="3C72570C"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355972" id="Text Box 23" o:spid="_x0000_s1042" type="#_x0000_t202" style="position:absolute;margin-left:-33pt;margin-top:219.95pt;width:154pt;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">
                <v:textbox>
                  <w:txbxContent>
                    <w:p w14:paraId="54AAEDD1" w14:textId="77777777" w:rsidR="00574383" w:rsidRDefault="00574383" w:rsidP="00574383">
                      <w:pPr>
                        <w:jc w:val="center"/>
                      </w:pPr>
                      <w:r>
                        <w:t>use of quasi-easement</w:t>
                      </w:r>
                    </w:p>
                    <w:p w14:paraId="3C72570C"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0FB55BEF" wp14:editId="22FF9AC8">
                <wp:simplePos x="0" y="0"/>
                <wp:positionH relativeFrom="column">
                  <wp:posOffset>-419100</wp:posOffset>
                </wp:positionH>
                <wp:positionV relativeFrom="paragraph">
                  <wp:posOffset>3707765</wp:posOffset>
                </wp:positionV>
                <wp:extent cx="1955800" cy="800100"/>
                <wp:effectExtent l="9525" t="12065" r="6350" b="6985"/>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800100"/>
                        </a:xfrm>
                        <a:prstGeom prst="rect">
                          <a:avLst/>
                        </a:prstGeom>
                        <a:solidFill>
                          <a:srgbClr val="FFFFFF"/>
                        </a:solidFill>
                        <a:ln w="9525">
                          <a:solidFill>
                            <a:srgbClr val="000000"/>
                          </a:solidFill>
                          <a:miter lim="800000"/>
                          <a:headEnd/>
                          <a:tailEnd/>
                        </a:ln>
                      </wps:spPr>
                      <wps:txbx>
                        <w:txbxContent>
                          <w:p w14:paraId="65AA2C16" w14:textId="77777777" w:rsidR="00574383" w:rsidRDefault="00574383" w:rsidP="00574383">
                            <w:pPr>
                              <w:jc w:val="center"/>
                            </w:pPr>
                            <w:r>
                              <w:t>continuous and apparent and/or necessary to reasonable enjoyment of land</w:t>
                            </w:r>
                          </w:p>
                          <w:p w14:paraId="4C6A24E7"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B55BEF" id="Text Box 22" o:spid="_x0000_s1043" type="#_x0000_t202" style="position:absolute;margin-left:-33pt;margin-top:291.95pt;width:154pt;height:6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">
                <v:textbox>
                  <w:txbxContent>
                    <w:p w14:paraId="65AA2C16" w14:textId="77777777" w:rsidR="00574383" w:rsidRDefault="00574383" w:rsidP="00574383">
                      <w:pPr>
                        <w:jc w:val="center"/>
                      </w:pPr>
                      <w:r>
                        <w:t>continuous and apparent and/or necessary to reasonable enjoyment of land</w:t>
                      </w:r>
                    </w:p>
                    <w:p w14:paraId="4C6A24E7"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B949A7E" wp14:editId="62835783">
                <wp:simplePos x="0" y="0"/>
                <wp:positionH relativeFrom="column">
                  <wp:posOffset>-419100</wp:posOffset>
                </wp:positionH>
                <wp:positionV relativeFrom="paragraph">
                  <wp:posOffset>5079365</wp:posOffset>
                </wp:positionV>
                <wp:extent cx="1955800" cy="465455"/>
                <wp:effectExtent l="9525" t="12065" r="6350" b="825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465455"/>
                        </a:xfrm>
                        <a:prstGeom prst="rect">
                          <a:avLst/>
                        </a:prstGeom>
                        <a:solidFill>
                          <a:srgbClr val="FFFFFF"/>
                        </a:solidFill>
                        <a:ln w="9525">
                          <a:solidFill>
                            <a:srgbClr val="000000"/>
                          </a:solidFill>
                          <a:miter lim="800000"/>
                          <a:headEnd/>
                          <a:tailEnd/>
                        </a:ln>
                      </wps:spPr>
                      <wps:txbx>
                        <w:txbxContent>
                          <w:p w14:paraId="405553A1" w14:textId="77777777" w:rsidR="00574383" w:rsidRDefault="00574383" w:rsidP="00574383">
                            <w:pPr>
                              <w:jc w:val="center"/>
                            </w:pPr>
                            <w:r>
                              <w:t>the division of the land and creation of an easement</w:t>
                            </w:r>
                          </w:p>
                          <w:p w14:paraId="24762513"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949A7E" id="Text Box 21" o:spid="_x0000_s1044" type="#_x0000_t202" style="position:absolute;margin-left:-33pt;margin-top:399.95pt;width:154pt;height:36.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">
                <v:textbox>
                  <w:txbxContent>
                    <w:p w14:paraId="405553A1" w14:textId="77777777" w:rsidR="00574383" w:rsidRDefault="00574383" w:rsidP="00574383">
                      <w:pPr>
                        <w:jc w:val="center"/>
                      </w:pPr>
                      <w:r>
                        <w:t>the division of the land and creation of an easement</w:t>
                      </w:r>
                    </w:p>
                    <w:p w14:paraId="24762513"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4EF7B63B" wp14:editId="29CFB73F">
                <wp:simplePos x="0" y="0"/>
                <wp:positionH relativeFrom="column">
                  <wp:posOffset>2025650</wp:posOffset>
                </wp:positionH>
                <wp:positionV relativeFrom="paragraph">
                  <wp:posOffset>2971800</wp:posOffset>
                </wp:positionV>
                <wp:extent cx="2095500" cy="457200"/>
                <wp:effectExtent l="6350" t="9525" r="12700" b="952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457200"/>
                        </a:xfrm>
                        <a:prstGeom prst="rect">
                          <a:avLst/>
                        </a:prstGeom>
                        <a:solidFill>
                          <a:srgbClr val="FFFFFF"/>
                        </a:solidFill>
                        <a:ln w="9525">
                          <a:solidFill>
                            <a:srgbClr val="000000"/>
                          </a:solidFill>
                          <a:miter lim="800000"/>
                          <a:headEnd/>
                          <a:tailEnd/>
                        </a:ln>
                      </wps:spPr>
                      <wps:txbx>
                        <w:txbxContent>
                          <w:p w14:paraId="389C6A5C" w14:textId="77777777" w:rsidR="00574383" w:rsidRDefault="00574383" w:rsidP="00574383">
                            <w:pPr>
                              <w:jc w:val="center"/>
                            </w:pPr>
                            <w:r>
                              <w:t>permission in the nature of an easement</w:t>
                            </w:r>
                          </w:p>
                          <w:p w14:paraId="63A92C61"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F7B63B" id="Text Box 20" o:spid="_x0000_s1045" type="#_x0000_t202" style="position:absolute;margin-left:159.5pt;margin-top:234pt;width:165pt;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">
                <v:textbox>
                  <w:txbxContent>
                    <w:p w14:paraId="389C6A5C" w14:textId="77777777" w:rsidR="00574383" w:rsidRDefault="00574383" w:rsidP="00574383">
                      <w:pPr>
                        <w:jc w:val="center"/>
                      </w:pPr>
                      <w:r>
                        <w:t>permission in the nature of an easement</w:t>
                      </w:r>
                    </w:p>
                    <w:p w14:paraId="63A92C61"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1016C2D6" wp14:editId="3C603C1D">
                <wp:simplePos x="0" y="0"/>
                <wp:positionH relativeFrom="column">
                  <wp:posOffset>2025650</wp:posOffset>
                </wp:positionH>
                <wp:positionV relativeFrom="paragraph">
                  <wp:posOffset>3886200</wp:posOffset>
                </wp:positionV>
                <wp:extent cx="2095500" cy="457200"/>
                <wp:effectExtent l="6350" t="9525" r="12700" b="952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457200"/>
                        </a:xfrm>
                        <a:prstGeom prst="rect">
                          <a:avLst/>
                        </a:prstGeom>
                        <a:solidFill>
                          <a:srgbClr val="FFFFFF"/>
                        </a:solidFill>
                        <a:ln w="9525">
                          <a:solidFill>
                            <a:srgbClr val="000000"/>
                          </a:solidFill>
                          <a:miter lim="800000"/>
                          <a:headEnd/>
                          <a:tailEnd/>
                        </a:ln>
                      </wps:spPr>
                      <wps:txbx>
                        <w:txbxContent>
                          <w:p w14:paraId="7E439117" w14:textId="77777777" w:rsidR="00574383" w:rsidRDefault="00574383" w:rsidP="00574383">
                            <w:pPr>
                              <w:jc w:val="center"/>
                            </w:pPr>
                            <w:r>
                              <w:t>conveyance and creation of an easement</w:t>
                            </w:r>
                          </w:p>
                          <w:p w14:paraId="0122112D" w14:textId="77777777" w:rsidR="00574383" w:rsidRDefault="00574383" w:rsidP="005743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16C2D6" id="Text Box 19" o:spid="_x0000_s1046" type="#_x0000_t202" style="position:absolute;margin-left:159.5pt;margin-top:306pt;width:165pt;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">
                <v:textbox>
                  <w:txbxContent>
                    <w:p w14:paraId="7E439117" w14:textId="77777777" w:rsidR="00574383" w:rsidRDefault="00574383" w:rsidP="00574383">
                      <w:pPr>
                        <w:jc w:val="center"/>
                      </w:pPr>
                      <w:r>
                        <w:t>conveyance and creation of an easement</w:t>
                      </w:r>
                    </w:p>
                    <w:p w14:paraId="0122112D" w14:textId="77777777" w:rsidR="00574383" w:rsidRDefault="00574383" w:rsidP="00574383"/>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543D5792" wp14:editId="6A567A3D">
                <wp:simplePos x="0" y="0"/>
                <wp:positionH relativeFrom="column">
                  <wp:posOffset>2933700</wp:posOffset>
                </wp:positionH>
                <wp:positionV relativeFrom="paragraph">
                  <wp:posOffset>355600</wp:posOffset>
                </wp:positionV>
                <wp:extent cx="0" cy="228600"/>
                <wp:effectExtent l="9525" t="12700" r="9525" b="635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6BF46B" id="Straight Connector 1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1pt,28pt" to="231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"/>
            </w:pict>
          </mc:Fallback>
        </mc:AlternateContent>
      </w:r>
      <w:r>
        <w:rPr>
          <w:noProof/>
        </w:rPr>
        <mc:AlternateContent>
          <mc:Choice Requires="wps">
            <w:drawing>
              <wp:anchor distT="0" distB="0" distL="114300" distR="114300" simplePos="0" relativeHeight="251658240" behindDoc="0" locked="0" layoutInCell="1" allowOverlap="1" wp14:anchorId="50554EFC" wp14:editId="0D6BD180">
                <wp:simplePos x="0" y="0"/>
                <wp:positionH relativeFrom="column">
                  <wp:posOffset>0</wp:posOffset>
                </wp:positionH>
                <wp:positionV relativeFrom="paragraph">
                  <wp:posOffset>584200</wp:posOffset>
                </wp:positionV>
                <wp:extent cx="5238750" cy="37465"/>
                <wp:effectExtent l="9525" t="12700" r="9525" b="698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38750" cy="374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748FC5" id="Straight Connector 1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pt" to="412.5pt,4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"/>
            </w:pict>
          </mc:Fallback>
        </mc:AlternateContent>
      </w:r>
      <w:r>
        <w:rPr>
          <w:noProof/>
        </w:rPr>
        <mc:AlternateContent>
          <mc:Choice Requires="wps">
            <w:drawing>
              <wp:anchor distT="0" distB="0" distL="114300" distR="114300" simplePos="0" relativeHeight="251658240" behindDoc="0" locked="0" layoutInCell="1" allowOverlap="1" wp14:anchorId="73C3F64E" wp14:editId="74D9DFCA">
                <wp:simplePos x="0" y="0"/>
                <wp:positionH relativeFrom="column">
                  <wp:posOffset>0</wp:posOffset>
                </wp:positionH>
                <wp:positionV relativeFrom="paragraph">
                  <wp:posOffset>584200</wp:posOffset>
                </wp:positionV>
                <wp:extent cx="0" cy="342900"/>
                <wp:effectExtent l="9525" t="12700" r="9525" b="635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BE40E1" id="Straight Connector 1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pt" to="0,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"/>
            </w:pict>
          </mc:Fallback>
        </mc:AlternateContent>
      </w:r>
      <w:r>
        <w:rPr>
          <w:noProof/>
        </w:rPr>
        <mc:AlternateContent>
          <mc:Choice Requires="wps">
            <w:drawing>
              <wp:anchor distT="0" distB="0" distL="114300" distR="114300" simplePos="0" relativeHeight="251658240" behindDoc="0" locked="0" layoutInCell="1" allowOverlap="1" wp14:anchorId="3FCD0998" wp14:editId="657D2175">
                <wp:simplePos x="0" y="0"/>
                <wp:positionH relativeFrom="column">
                  <wp:posOffset>1257300</wp:posOffset>
                </wp:positionH>
                <wp:positionV relativeFrom="paragraph">
                  <wp:posOffset>584200</wp:posOffset>
                </wp:positionV>
                <wp:extent cx="0" cy="342900"/>
                <wp:effectExtent l="9525" t="12700" r="9525" b="635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53CC74" id="Straight Connector 1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9pt,46pt" to="99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"/>
            </w:pict>
          </mc:Fallback>
        </mc:AlternateContent>
      </w:r>
      <w:r>
        <w:rPr>
          <w:noProof/>
        </w:rPr>
        <mc:AlternateContent>
          <mc:Choice Requires="wps">
            <w:drawing>
              <wp:anchor distT="0" distB="0" distL="114300" distR="114300" simplePos="0" relativeHeight="251658240" behindDoc="0" locked="0" layoutInCell="1" allowOverlap="1" wp14:anchorId="37F5DE6A" wp14:editId="0C62AA0A">
                <wp:simplePos x="0" y="0"/>
                <wp:positionH relativeFrom="column">
                  <wp:posOffset>2444750</wp:posOffset>
                </wp:positionH>
                <wp:positionV relativeFrom="paragraph">
                  <wp:posOffset>584200</wp:posOffset>
                </wp:positionV>
                <wp:extent cx="0" cy="342900"/>
                <wp:effectExtent l="6350" t="12700" r="12700" b="635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0CD9CF" id="Straight Connector 1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2.5pt,46pt" to="192.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"/>
            </w:pict>
          </mc:Fallback>
        </mc:AlternateContent>
      </w:r>
      <w:r>
        <w:rPr>
          <w:noProof/>
        </w:rPr>
        <mc:AlternateContent>
          <mc:Choice Requires="wps">
            <w:drawing>
              <wp:anchor distT="0" distB="0" distL="114300" distR="114300" simplePos="0" relativeHeight="251658240" behindDoc="0" locked="0" layoutInCell="1" allowOverlap="1" wp14:anchorId="6E626C4F" wp14:editId="4CD1FAFE">
                <wp:simplePos x="0" y="0"/>
                <wp:positionH relativeFrom="column">
                  <wp:posOffset>3562350</wp:posOffset>
                </wp:positionH>
                <wp:positionV relativeFrom="paragraph">
                  <wp:posOffset>584200</wp:posOffset>
                </wp:positionV>
                <wp:extent cx="0" cy="342900"/>
                <wp:effectExtent l="9525" t="12700" r="9525" b="63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3ADE09" id="Straight Connector 1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5pt,46pt" to="280.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"/>
            </w:pict>
          </mc:Fallback>
        </mc:AlternateContent>
      </w:r>
      <w:r>
        <w:rPr>
          <w:noProof/>
        </w:rPr>
        <mc:AlternateContent>
          <mc:Choice Requires="wps">
            <w:drawing>
              <wp:anchor distT="0" distB="0" distL="114300" distR="114300" simplePos="0" relativeHeight="251658240" behindDoc="0" locked="0" layoutInCell="1" allowOverlap="1" wp14:anchorId="50E210CE" wp14:editId="1FFDB73F">
                <wp:simplePos x="0" y="0"/>
                <wp:positionH relativeFrom="column">
                  <wp:posOffset>0</wp:posOffset>
                </wp:positionH>
                <wp:positionV relativeFrom="paragraph">
                  <wp:posOffset>1727200</wp:posOffset>
                </wp:positionV>
                <wp:extent cx="0" cy="342900"/>
                <wp:effectExtent l="57150" t="12700" r="57150" b="1587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64F612" id="Straight Connector 1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36pt" to="0,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0BAB7D4A" wp14:editId="59F259B4">
                <wp:simplePos x="0" y="0"/>
                <wp:positionH relativeFrom="column">
                  <wp:posOffset>3562350</wp:posOffset>
                </wp:positionH>
                <wp:positionV relativeFrom="paragraph">
                  <wp:posOffset>1384300</wp:posOffset>
                </wp:positionV>
                <wp:extent cx="0" cy="685800"/>
                <wp:effectExtent l="57150" t="12700" r="57150" b="1587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61F70F" id="Straight Connector 1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5pt,109pt" to="280.5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4CF23A2D" wp14:editId="4606CAFE">
                <wp:simplePos x="0" y="0"/>
                <wp:positionH relativeFrom="column">
                  <wp:posOffset>3562350</wp:posOffset>
                </wp:positionH>
                <wp:positionV relativeFrom="paragraph">
                  <wp:posOffset>2527300</wp:posOffset>
                </wp:positionV>
                <wp:extent cx="0" cy="457200"/>
                <wp:effectExtent l="57150" t="12700" r="57150" b="1587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9F32F0" id="Straight Connector 1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5pt,199pt" to="280.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03AEB654" wp14:editId="31466A60">
                <wp:simplePos x="0" y="0"/>
                <wp:positionH relativeFrom="column">
                  <wp:posOffset>3562350</wp:posOffset>
                </wp:positionH>
                <wp:positionV relativeFrom="paragraph">
                  <wp:posOffset>3441700</wp:posOffset>
                </wp:positionV>
                <wp:extent cx="0" cy="457200"/>
                <wp:effectExtent l="57150" t="12700" r="57150" b="1587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361ADF" id="Straight Connector 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5pt,271pt" to="280.5pt,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60957028" wp14:editId="3BFED77C">
                <wp:simplePos x="0" y="0"/>
                <wp:positionH relativeFrom="column">
                  <wp:posOffset>5238750</wp:posOffset>
                </wp:positionH>
                <wp:positionV relativeFrom="paragraph">
                  <wp:posOffset>621665</wp:posOffset>
                </wp:positionV>
                <wp:extent cx="0" cy="342900"/>
                <wp:effectExtent l="9525" t="12065" r="9525" b="698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2E9668" id="Straight Connector 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2.5pt,48.95pt" to="412.5pt,7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"/>
            </w:pict>
          </mc:Fallback>
        </mc:AlternateContent>
      </w:r>
      <w:r>
        <w:rPr>
          <w:noProof/>
        </w:rPr>
        <mc:AlternateContent>
          <mc:Choice Requires="wps">
            <w:drawing>
              <wp:anchor distT="0" distB="0" distL="114300" distR="114300" simplePos="0" relativeHeight="251658240" behindDoc="0" locked="0" layoutInCell="1" allowOverlap="1" wp14:anchorId="5FFC9ED9" wp14:editId="5A81E626">
                <wp:simplePos x="0" y="0"/>
                <wp:positionH relativeFrom="column">
                  <wp:posOffset>0</wp:posOffset>
                </wp:positionH>
                <wp:positionV relativeFrom="paragraph">
                  <wp:posOffset>2450465</wp:posOffset>
                </wp:positionV>
                <wp:extent cx="0" cy="342900"/>
                <wp:effectExtent l="57150" t="12065" r="57150" b="1651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0C48D0" id="Straight Connector 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92.95pt" to="0,2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7966CF62" wp14:editId="12333B7F">
                <wp:simplePos x="0" y="0"/>
                <wp:positionH relativeFrom="column">
                  <wp:posOffset>0</wp:posOffset>
                </wp:positionH>
                <wp:positionV relativeFrom="paragraph">
                  <wp:posOffset>3250565</wp:posOffset>
                </wp:positionV>
                <wp:extent cx="0" cy="457200"/>
                <wp:effectExtent l="57150" t="12065" r="57150" b="1651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9B98DC" id="Straight Connector 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255.95pt" to="0,29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782ED9A9" wp14:editId="137D5B00">
                <wp:simplePos x="0" y="0"/>
                <wp:positionH relativeFrom="column">
                  <wp:posOffset>0</wp:posOffset>
                </wp:positionH>
                <wp:positionV relativeFrom="paragraph">
                  <wp:posOffset>4507865</wp:posOffset>
                </wp:positionV>
                <wp:extent cx="0" cy="571500"/>
                <wp:effectExtent l="57150" t="12065" r="57150" b="1651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715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E243D9" id="Straight Connector 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54.95pt" to="0,39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38611A5C" wp14:editId="07784EF8">
                <wp:simplePos x="0" y="0"/>
                <wp:positionH relativeFrom="column">
                  <wp:posOffset>5238750</wp:posOffset>
                </wp:positionH>
                <wp:positionV relativeFrom="paragraph">
                  <wp:posOffset>1307465</wp:posOffset>
                </wp:positionV>
                <wp:extent cx="0" cy="685800"/>
                <wp:effectExtent l="57150" t="12065" r="57150" b="1651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4AE69E" id="Straight Connector 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2.5pt,102.95pt" to="412.5pt,1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003D1FE8" wp14:editId="2E4F5988">
                <wp:simplePos x="0" y="0"/>
                <wp:positionH relativeFrom="column">
                  <wp:posOffset>5238750</wp:posOffset>
                </wp:positionH>
                <wp:positionV relativeFrom="paragraph">
                  <wp:posOffset>2336165</wp:posOffset>
                </wp:positionV>
                <wp:extent cx="0" cy="342900"/>
                <wp:effectExtent l="57150" t="12065" r="57150" b="1651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C3F310" id="Straight Connector 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2.5pt,183.95pt" to="412.5pt,2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43FDAAA6" wp14:editId="0997F0B9">
                <wp:simplePos x="0" y="0"/>
                <wp:positionH relativeFrom="column">
                  <wp:posOffset>5238750</wp:posOffset>
                </wp:positionH>
                <wp:positionV relativeFrom="paragraph">
                  <wp:posOffset>3021965</wp:posOffset>
                </wp:positionV>
                <wp:extent cx="0" cy="342900"/>
                <wp:effectExtent l="57150" t="12065" r="57150" b="1651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799BE9" id="Straight Connector 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2.5pt,237.95pt" to="412.5pt,26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">
                <v:stroke endarrow="block"/>
              </v:line>
            </w:pict>
          </mc:Fallback>
        </mc:AlternateContent>
      </w:r>
      <w:r>
        <w:rPr>
          <w:noProof/>
        </w:rPr>
        <mc:AlternateContent>
          <mc:Choice Requires="wps">
            <w:drawing>
              <wp:anchor distT="0" distB="0" distL="114300" distR="114300" simplePos="0" relativeHeight="251658240" behindDoc="0" locked="0" layoutInCell="1" allowOverlap="1" wp14:anchorId="758871F4" wp14:editId="05420B16">
                <wp:simplePos x="0" y="0"/>
                <wp:positionH relativeFrom="column">
                  <wp:posOffset>5238750</wp:posOffset>
                </wp:positionH>
                <wp:positionV relativeFrom="paragraph">
                  <wp:posOffset>3822065</wp:posOffset>
                </wp:positionV>
                <wp:extent cx="0" cy="457200"/>
                <wp:effectExtent l="57150" t="12065" r="57150" b="1651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DCCBFD" id="Straight Connector 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2.5pt,300.95pt" to="412.5pt,3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">
                <v:stroke endarrow="block"/>
              </v:line>
            </w:pict>
          </mc:Fallback>
        </mc:AlternateContent>
      </w:r>
    </w:p>
    <w:p w14:paraId="7DED7D5E" w14:textId="454E9A36" w:rsidR="009257EB" w:rsidRPr="00574383" w:rsidRDefault="00574383" w:rsidP="00574383">
      <w:r>
        <w:br w:type="page"/>
      </w:r>
      <w:bookmarkEnd w:id="121"/>
      <w:bookmarkEnd w:id="122"/>
      <w:bookmarkEnd w:id="123"/>
      <w:bookmarkEnd w:id="124"/>
      <w:bookmarkEnd w:id="125"/>
      <w:bookmarkEnd w:id="126"/>
      <w:bookmarkEnd w:id="127"/>
    </w:p>
    <w:sectPr w:rsidR="009257EB" w:rsidRPr="00574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97373"/>
    <w:multiLevelType w:val="hybridMultilevel"/>
    <w:tmpl w:val="B04E559A"/>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7EA5B97"/>
    <w:multiLevelType w:val="hybridMultilevel"/>
    <w:tmpl w:val="E87ED28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2D65C5"/>
    <w:multiLevelType w:val="hybridMultilevel"/>
    <w:tmpl w:val="13A4EA62"/>
    <w:lvl w:ilvl="0" w:tplc="39B8CFC0">
      <w:start w:val="1"/>
      <w:numFmt w:val="bullet"/>
      <w:lvlText w:val="•"/>
      <w:lvlJc w:val="left"/>
      <w:pPr>
        <w:tabs>
          <w:tab w:val="num" w:pos="720"/>
        </w:tabs>
        <w:ind w:left="720" w:hanging="360"/>
      </w:pPr>
      <w:rPr>
        <w:rFonts w:ascii="Arial" w:hAnsi="Arial" w:cs="Times New Roman" w:hint="default"/>
      </w:rPr>
    </w:lvl>
    <w:lvl w:ilvl="1" w:tplc="9A320A14">
      <w:start w:val="1"/>
      <w:numFmt w:val="bullet"/>
      <w:lvlText w:val="•"/>
      <w:lvlJc w:val="left"/>
      <w:pPr>
        <w:tabs>
          <w:tab w:val="num" w:pos="1440"/>
        </w:tabs>
        <w:ind w:left="1440" w:hanging="360"/>
      </w:pPr>
      <w:rPr>
        <w:rFonts w:ascii="Arial" w:hAnsi="Arial" w:cs="Times New Roman" w:hint="default"/>
      </w:rPr>
    </w:lvl>
    <w:lvl w:ilvl="2" w:tplc="160897E0">
      <w:start w:val="1"/>
      <w:numFmt w:val="bullet"/>
      <w:lvlText w:val="•"/>
      <w:lvlJc w:val="left"/>
      <w:pPr>
        <w:tabs>
          <w:tab w:val="num" w:pos="2160"/>
        </w:tabs>
        <w:ind w:left="2160" w:hanging="360"/>
      </w:pPr>
      <w:rPr>
        <w:rFonts w:ascii="Arial" w:hAnsi="Arial" w:cs="Times New Roman" w:hint="default"/>
      </w:rPr>
    </w:lvl>
    <w:lvl w:ilvl="3" w:tplc="D6A414BC">
      <w:start w:val="1"/>
      <w:numFmt w:val="bullet"/>
      <w:lvlText w:val="•"/>
      <w:lvlJc w:val="left"/>
      <w:pPr>
        <w:tabs>
          <w:tab w:val="num" w:pos="2880"/>
        </w:tabs>
        <w:ind w:left="2880" w:hanging="360"/>
      </w:pPr>
      <w:rPr>
        <w:rFonts w:ascii="Arial" w:hAnsi="Arial" w:cs="Times New Roman" w:hint="default"/>
      </w:rPr>
    </w:lvl>
    <w:lvl w:ilvl="4" w:tplc="AD9CB166">
      <w:start w:val="1"/>
      <w:numFmt w:val="bullet"/>
      <w:lvlText w:val="•"/>
      <w:lvlJc w:val="left"/>
      <w:pPr>
        <w:tabs>
          <w:tab w:val="num" w:pos="3600"/>
        </w:tabs>
        <w:ind w:left="3600" w:hanging="360"/>
      </w:pPr>
      <w:rPr>
        <w:rFonts w:ascii="Arial" w:hAnsi="Arial" w:cs="Times New Roman" w:hint="default"/>
      </w:rPr>
    </w:lvl>
    <w:lvl w:ilvl="5" w:tplc="08FCF580">
      <w:start w:val="1"/>
      <w:numFmt w:val="bullet"/>
      <w:lvlText w:val="•"/>
      <w:lvlJc w:val="left"/>
      <w:pPr>
        <w:tabs>
          <w:tab w:val="num" w:pos="4320"/>
        </w:tabs>
        <w:ind w:left="4320" w:hanging="360"/>
      </w:pPr>
      <w:rPr>
        <w:rFonts w:ascii="Arial" w:hAnsi="Arial" w:cs="Times New Roman" w:hint="default"/>
      </w:rPr>
    </w:lvl>
    <w:lvl w:ilvl="6" w:tplc="B76E84BE">
      <w:start w:val="1"/>
      <w:numFmt w:val="bullet"/>
      <w:lvlText w:val="•"/>
      <w:lvlJc w:val="left"/>
      <w:pPr>
        <w:tabs>
          <w:tab w:val="num" w:pos="5040"/>
        </w:tabs>
        <w:ind w:left="5040" w:hanging="360"/>
      </w:pPr>
      <w:rPr>
        <w:rFonts w:ascii="Arial" w:hAnsi="Arial" w:cs="Times New Roman" w:hint="default"/>
      </w:rPr>
    </w:lvl>
    <w:lvl w:ilvl="7" w:tplc="E1B4419E">
      <w:start w:val="1"/>
      <w:numFmt w:val="bullet"/>
      <w:lvlText w:val="•"/>
      <w:lvlJc w:val="left"/>
      <w:pPr>
        <w:tabs>
          <w:tab w:val="num" w:pos="5760"/>
        </w:tabs>
        <w:ind w:left="5760" w:hanging="360"/>
      </w:pPr>
      <w:rPr>
        <w:rFonts w:ascii="Arial" w:hAnsi="Arial" w:cs="Times New Roman" w:hint="default"/>
      </w:rPr>
    </w:lvl>
    <w:lvl w:ilvl="8" w:tplc="C1BCDB80">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E2F28D2"/>
    <w:multiLevelType w:val="hybridMultilevel"/>
    <w:tmpl w:val="8CE6BA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0BB6860"/>
    <w:multiLevelType w:val="hybridMultilevel"/>
    <w:tmpl w:val="F78A0FE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8251D4"/>
    <w:multiLevelType w:val="hybridMultilevel"/>
    <w:tmpl w:val="EAA8CE8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264C5A00"/>
    <w:multiLevelType w:val="hybridMultilevel"/>
    <w:tmpl w:val="F2B806FA"/>
    <w:lvl w:ilvl="0" w:tplc="FEF825EC">
      <w:start w:val="6"/>
      <w:numFmt w:val="bullet"/>
      <w:lvlText w:val=""/>
      <w:lvlJc w:val="left"/>
      <w:pPr>
        <w:tabs>
          <w:tab w:val="num" w:pos="648"/>
        </w:tabs>
        <w:ind w:left="648" w:hanging="288"/>
      </w:pPr>
      <w:rPr>
        <w:rFonts w:ascii="Symbol" w:hAnsi="Symbol" w:cs="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85D44B9"/>
    <w:multiLevelType w:val="hybridMultilevel"/>
    <w:tmpl w:val="461037B8"/>
    <w:lvl w:ilvl="0" w:tplc="F2C64C70">
      <w:start w:val="1"/>
      <w:numFmt w:val="bullet"/>
      <w:lvlText w:val="•"/>
      <w:lvlJc w:val="left"/>
      <w:pPr>
        <w:tabs>
          <w:tab w:val="num" w:pos="360"/>
        </w:tabs>
        <w:ind w:left="360" w:hanging="360"/>
      </w:pPr>
      <w:rPr>
        <w:rFonts w:ascii="Times New Roman" w:hAnsi="Times New Roman" w:cs="Times New Roman" w:hint="default"/>
      </w:rPr>
    </w:lvl>
    <w:lvl w:ilvl="1" w:tplc="DCA2B950">
      <w:start w:val="1250"/>
      <w:numFmt w:val="bullet"/>
      <w:lvlText w:val="•"/>
      <w:lvlJc w:val="left"/>
      <w:pPr>
        <w:tabs>
          <w:tab w:val="num" w:pos="1080"/>
        </w:tabs>
        <w:ind w:left="1080" w:hanging="360"/>
      </w:pPr>
      <w:rPr>
        <w:rFonts w:ascii="Times" w:hAnsi="Times" w:cs="Times New Roman" w:hint="default"/>
      </w:rPr>
    </w:lvl>
    <w:lvl w:ilvl="2" w:tplc="E42C0A7E">
      <w:start w:val="1"/>
      <w:numFmt w:val="bullet"/>
      <w:lvlText w:val="•"/>
      <w:lvlJc w:val="left"/>
      <w:pPr>
        <w:tabs>
          <w:tab w:val="num" w:pos="1800"/>
        </w:tabs>
        <w:ind w:left="1800" w:hanging="360"/>
      </w:pPr>
      <w:rPr>
        <w:rFonts w:ascii="Times New Roman" w:hAnsi="Times New Roman" w:cs="Times New Roman" w:hint="default"/>
      </w:rPr>
    </w:lvl>
    <w:lvl w:ilvl="3" w:tplc="E356E50E">
      <w:start w:val="1250"/>
      <w:numFmt w:val="bullet"/>
      <w:lvlText w:val="−"/>
      <w:lvlJc w:val="left"/>
      <w:pPr>
        <w:tabs>
          <w:tab w:val="num" w:pos="2520"/>
        </w:tabs>
        <w:ind w:left="2520" w:hanging="360"/>
      </w:pPr>
      <w:rPr>
        <w:rFonts w:ascii="Arial" w:hAnsi="Arial" w:cs="Times New Roman" w:hint="default"/>
      </w:rPr>
    </w:lvl>
    <w:lvl w:ilvl="4" w:tplc="E7C0556E">
      <w:start w:val="1"/>
      <w:numFmt w:val="bullet"/>
      <w:lvlText w:val="•"/>
      <w:lvlJc w:val="left"/>
      <w:pPr>
        <w:tabs>
          <w:tab w:val="num" w:pos="3240"/>
        </w:tabs>
        <w:ind w:left="3240" w:hanging="360"/>
      </w:pPr>
      <w:rPr>
        <w:rFonts w:ascii="Times New Roman" w:hAnsi="Times New Roman" w:cs="Times New Roman" w:hint="default"/>
      </w:rPr>
    </w:lvl>
    <w:lvl w:ilvl="5" w:tplc="F9386218">
      <w:start w:val="1"/>
      <w:numFmt w:val="bullet"/>
      <w:lvlText w:val="•"/>
      <w:lvlJc w:val="left"/>
      <w:pPr>
        <w:tabs>
          <w:tab w:val="num" w:pos="3960"/>
        </w:tabs>
        <w:ind w:left="3960" w:hanging="360"/>
      </w:pPr>
      <w:rPr>
        <w:rFonts w:ascii="Times New Roman" w:hAnsi="Times New Roman" w:cs="Times New Roman" w:hint="default"/>
      </w:rPr>
    </w:lvl>
    <w:lvl w:ilvl="6" w:tplc="99D4CFE6">
      <w:start w:val="1"/>
      <w:numFmt w:val="bullet"/>
      <w:lvlText w:val="•"/>
      <w:lvlJc w:val="left"/>
      <w:pPr>
        <w:tabs>
          <w:tab w:val="num" w:pos="4680"/>
        </w:tabs>
        <w:ind w:left="4680" w:hanging="360"/>
      </w:pPr>
      <w:rPr>
        <w:rFonts w:ascii="Times New Roman" w:hAnsi="Times New Roman" w:cs="Times New Roman" w:hint="default"/>
      </w:rPr>
    </w:lvl>
    <w:lvl w:ilvl="7" w:tplc="54722476">
      <w:start w:val="1"/>
      <w:numFmt w:val="bullet"/>
      <w:lvlText w:val="•"/>
      <w:lvlJc w:val="left"/>
      <w:pPr>
        <w:tabs>
          <w:tab w:val="num" w:pos="5400"/>
        </w:tabs>
        <w:ind w:left="5400" w:hanging="360"/>
      </w:pPr>
      <w:rPr>
        <w:rFonts w:ascii="Times New Roman" w:hAnsi="Times New Roman" w:cs="Times New Roman" w:hint="default"/>
      </w:rPr>
    </w:lvl>
    <w:lvl w:ilvl="8" w:tplc="43CA239E">
      <w:start w:val="1"/>
      <w:numFmt w:val="bullet"/>
      <w:lvlText w:val="•"/>
      <w:lvlJc w:val="left"/>
      <w:pPr>
        <w:tabs>
          <w:tab w:val="num" w:pos="6120"/>
        </w:tabs>
        <w:ind w:left="6120" w:hanging="360"/>
      </w:pPr>
      <w:rPr>
        <w:rFonts w:ascii="Times New Roman" w:hAnsi="Times New Roman" w:cs="Times New Roman" w:hint="default"/>
      </w:rPr>
    </w:lvl>
  </w:abstractNum>
  <w:abstractNum w:abstractNumId="8" w15:restartNumberingAfterBreak="0">
    <w:nsid w:val="38AD7349"/>
    <w:multiLevelType w:val="hybridMultilevel"/>
    <w:tmpl w:val="2952BB08"/>
    <w:lvl w:ilvl="0" w:tplc="E7EC0362">
      <w:start w:val="1"/>
      <w:numFmt w:val="lowerLetter"/>
      <w:lvlText w:val="(%1)"/>
      <w:lvlJc w:val="left"/>
      <w:pPr>
        <w:tabs>
          <w:tab w:val="num" w:pos="1200"/>
        </w:tabs>
        <w:ind w:left="1200" w:hanging="480"/>
      </w:p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start w:val="1"/>
      <w:numFmt w:val="lowerRoman"/>
      <w:lvlText w:val="%6."/>
      <w:lvlJc w:val="right"/>
      <w:pPr>
        <w:tabs>
          <w:tab w:val="num" w:pos="4680"/>
        </w:tabs>
        <w:ind w:left="4680" w:hanging="180"/>
      </w:pPr>
    </w:lvl>
    <w:lvl w:ilvl="6" w:tplc="0409000F">
      <w:start w:val="1"/>
      <w:numFmt w:val="decimal"/>
      <w:lvlText w:val="%7."/>
      <w:lvlJc w:val="left"/>
      <w:pPr>
        <w:tabs>
          <w:tab w:val="num" w:pos="5400"/>
        </w:tabs>
        <w:ind w:left="5400" w:hanging="360"/>
      </w:pPr>
    </w:lvl>
    <w:lvl w:ilvl="7" w:tplc="04090019">
      <w:start w:val="1"/>
      <w:numFmt w:val="lowerLetter"/>
      <w:lvlText w:val="%8."/>
      <w:lvlJc w:val="left"/>
      <w:pPr>
        <w:tabs>
          <w:tab w:val="num" w:pos="6120"/>
        </w:tabs>
        <w:ind w:left="6120" w:hanging="360"/>
      </w:pPr>
    </w:lvl>
    <w:lvl w:ilvl="8" w:tplc="0409001B">
      <w:start w:val="1"/>
      <w:numFmt w:val="lowerRoman"/>
      <w:lvlText w:val="%9."/>
      <w:lvlJc w:val="right"/>
      <w:pPr>
        <w:tabs>
          <w:tab w:val="num" w:pos="6840"/>
        </w:tabs>
        <w:ind w:left="6840" w:hanging="180"/>
      </w:pPr>
    </w:lvl>
  </w:abstractNum>
  <w:abstractNum w:abstractNumId="9" w15:restartNumberingAfterBreak="0">
    <w:nsid w:val="3CFA0593"/>
    <w:multiLevelType w:val="hybridMultilevel"/>
    <w:tmpl w:val="868AF6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96039D9"/>
    <w:multiLevelType w:val="hybridMultilevel"/>
    <w:tmpl w:val="C5EEE0C0"/>
    <w:lvl w:ilvl="0" w:tplc="B61009AE">
      <w:start w:val="1"/>
      <w:numFmt w:val="lowerLetter"/>
      <w:lvlText w:val="(%1)"/>
      <w:lvlJc w:val="left"/>
      <w:pPr>
        <w:tabs>
          <w:tab w:val="num" w:pos="1080"/>
        </w:tabs>
        <w:ind w:left="1080" w:hanging="360"/>
      </w:p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start w:val="1"/>
      <w:numFmt w:val="lowerRoman"/>
      <w:lvlText w:val="%6."/>
      <w:lvlJc w:val="right"/>
      <w:pPr>
        <w:tabs>
          <w:tab w:val="num" w:pos="4680"/>
        </w:tabs>
        <w:ind w:left="4680" w:hanging="180"/>
      </w:pPr>
    </w:lvl>
    <w:lvl w:ilvl="6" w:tplc="0409000F">
      <w:start w:val="1"/>
      <w:numFmt w:val="decimal"/>
      <w:lvlText w:val="%7."/>
      <w:lvlJc w:val="left"/>
      <w:pPr>
        <w:tabs>
          <w:tab w:val="num" w:pos="5400"/>
        </w:tabs>
        <w:ind w:left="5400" w:hanging="360"/>
      </w:pPr>
    </w:lvl>
    <w:lvl w:ilvl="7" w:tplc="04090019">
      <w:start w:val="1"/>
      <w:numFmt w:val="lowerLetter"/>
      <w:lvlText w:val="%8."/>
      <w:lvlJc w:val="left"/>
      <w:pPr>
        <w:tabs>
          <w:tab w:val="num" w:pos="6120"/>
        </w:tabs>
        <w:ind w:left="6120" w:hanging="360"/>
      </w:pPr>
    </w:lvl>
    <w:lvl w:ilvl="8" w:tplc="0409001B">
      <w:start w:val="1"/>
      <w:numFmt w:val="lowerRoman"/>
      <w:lvlText w:val="%9."/>
      <w:lvlJc w:val="right"/>
      <w:pPr>
        <w:tabs>
          <w:tab w:val="num" w:pos="6840"/>
        </w:tabs>
        <w:ind w:left="6840" w:hanging="180"/>
      </w:pPr>
    </w:lvl>
  </w:abstractNum>
  <w:abstractNum w:abstractNumId="11" w15:restartNumberingAfterBreak="0">
    <w:nsid w:val="5179511A"/>
    <w:multiLevelType w:val="hybridMultilevel"/>
    <w:tmpl w:val="13CA981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E4258E9"/>
    <w:multiLevelType w:val="multilevel"/>
    <w:tmpl w:val="E176028A"/>
    <w:lvl w:ilvl="0">
      <w:start w:val="1"/>
      <w:numFmt w:val="none"/>
      <w:pStyle w:val="cDoNotUse"/>
      <w:lvlText w:val="%1"/>
      <w:lvlJc w:val="left"/>
      <w:pPr>
        <w:ind w:left="720" w:firstLine="0"/>
      </w:pPr>
    </w:lvl>
    <w:lvl w:ilvl="1">
      <w:start w:val="1"/>
      <w:numFmt w:val="decimal"/>
      <w:pStyle w:val="Clause1"/>
      <w:lvlText w:val="%2."/>
      <w:lvlJc w:val="left"/>
      <w:pPr>
        <w:tabs>
          <w:tab w:val="num" w:pos="1287"/>
        </w:tabs>
        <w:ind w:left="1287" w:hanging="567"/>
      </w:pPr>
    </w:lvl>
    <w:lvl w:ilvl="2">
      <w:start w:val="1"/>
      <w:numFmt w:val="decimal"/>
      <w:pStyle w:val="Clause11"/>
      <w:lvlText w:val="%2.%3."/>
      <w:lvlJc w:val="left"/>
      <w:pPr>
        <w:tabs>
          <w:tab w:val="num" w:pos="2138"/>
        </w:tabs>
        <w:ind w:left="2138" w:hanging="851"/>
      </w:pPr>
    </w:lvl>
    <w:lvl w:ilvl="3">
      <w:start w:val="1"/>
      <w:numFmt w:val="decimal"/>
      <w:pStyle w:val="Clause111"/>
      <w:lvlText w:val="%2.%3.%4."/>
      <w:lvlJc w:val="left"/>
      <w:pPr>
        <w:tabs>
          <w:tab w:val="num" w:pos="3272"/>
        </w:tabs>
        <w:ind w:left="3272" w:hanging="1134"/>
      </w:pPr>
    </w:lvl>
    <w:lvl w:ilvl="4">
      <w:start w:val="1"/>
      <w:numFmt w:val="decimal"/>
      <w:pStyle w:val="Clause1111"/>
      <w:lvlText w:val="%2.%3.%4.%5."/>
      <w:lvlJc w:val="left"/>
      <w:pPr>
        <w:tabs>
          <w:tab w:val="num" w:pos="4406"/>
        </w:tabs>
        <w:ind w:left="4406" w:hanging="1134"/>
      </w:pPr>
    </w:lvl>
    <w:lvl w:ilvl="5">
      <w:start w:val="1"/>
      <w:numFmt w:val="decimal"/>
      <w:pStyle w:val="Clause11111"/>
      <w:lvlText w:val="%2.%3.%4.%5.%6"/>
      <w:lvlJc w:val="left"/>
      <w:pPr>
        <w:tabs>
          <w:tab w:val="num" w:pos="6390"/>
        </w:tabs>
        <w:ind w:left="6390" w:hanging="1701"/>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13" w15:restartNumberingAfterBreak="0">
    <w:nsid w:val="60C9572E"/>
    <w:multiLevelType w:val="hybridMultilevel"/>
    <w:tmpl w:val="8DD6C64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19A1BAC"/>
    <w:multiLevelType w:val="hybridMultilevel"/>
    <w:tmpl w:val="6ACED79A"/>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5" w15:restartNumberingAfterBreak="0">
    <w:nsid w:val="6821789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68FC494C"/>
    <w:multiLevelType w:val="hybridMultilevel"/>
    <w:tmpl w:val="D7021F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9F23FDD"/>
    <w:multiLevelType w:val="hybridMultilevel"/>
    <w:tmpl w:val="660EBA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B821FE4"/>
    <w:multiLevelType w:val="hybridMultilevel"/>
    <w:tmpl w:val="BF14D6D2"/>
    <w:lvl w:ilvl="0" w:tplc="B868E806">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7D3410A5"/>
    <w:multiLevelType w:val="hybridMultilevel"/>
    <w:tmpl w:val="626E8B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lvlOverride w:ilvl="0"/>
  </w:num>
  <w:num w:numId="4">
    <w:abstractNumId w:val="17"/>
    <w:lvlOverride w:ilvl="0"/>
    <w:lvlOverride w:ilvl="1"/>
    <w:lvlOverride w:ilvl="2"/>
    <w:lvlOverride w:ilvl="3"/>
    <w:lvlOverride w:ilvl="4"/>
    <w:lvlOverride w:ilvl="5"/>
    <w:lvlOverride w:ilvl="6"/>
    <w:lvlOverride w:ilvl="7"/>
    <w:lvlOverride w:ilvl="8"/>
  </w:num>
  <w:num w:numId="5">
    <w:abstractNumId w:val="3"/>
    <w:lvlOverride w:ilvl="0"/>
    <w:lvlOverride w:ilvl="1"/>
    <w:lvlOverride w:ilvl="2"/>
    <w:lvlOverride w:ilvl="3"/>
    <w:lvlOverride w:ilvl="4"/>
    <w:lvlOverride w:ilvl="5"/>
    <w:lvlOverride w:ilvl="6"/>
    <w:lvlOverride w:ilvl="7"/>
    <w:lvlOverride w:ilvl="8"/>
  </w:num>
  <w:num w:numId="6">
    <w:abstractNumId w:val="19"/>
    <w:lvlOverride w:ilvl="0"/>
    <w:lvlOverride w:ilvl="1"/>
    <w:lvlOverride w:ilvl="2"/>
    <w:lvlOverride w:ilvl="3"/>
    <w:lvlOverride w:ilvl="4"/>
    <w:lvlOverride w:ilvl="5"/>
    <w:lvlOverride w:ilvl="6"/>
    <w:lvlOverride w:ilvl="7"/>
    <w:lvlOverride w:ilvl="8"/>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3"/>
    <w:lvlOverride w:ilvl="0"/>
    <w:lvlOverride w:ilvl="1"/>
    <w:lvlOverride w:ilvl="2"/>
    <w:lvlOverride w:ilvl="3"/>
    <w:lvlOverride w:ilvl="4"/>
    <w:lvlOverride w:ilvl="5"/>
    <w:lvlOverride w:ilvl="6"/>
    <w:lvlOverride w:ilvl="7"/>
    <w:lvlOverride w:ilvl="8"/>
  </w:num>
  <w:num w:numId="9">
    <w:abstractNumId w:val="1"/>
    <w:lvlOverride w:ilvl="0"/>
    <w:lvlOverride w:ilvl="1"/>
    <w:lvlOverride w:ilvl="2"/>
    <w:lvlOverride w:ilvl="3"/>
    <w:lvlOverride w:ilvl="4"/>
    <w:lvlOverride w:ilvl="5"/>
    <w:lvlOverride w:ilvl="6"/>
    <w:lvlOverride w:ilvl="7"/>
    <w:lvlOverride w:ilvl="8"/>
  </w:num>
  <w:num w:numId="10">
    <w:abstractNumId w:val="4"/>
    <w:lvlOverride w:ilvl="0"/>
    <w:lvlOverride w:ilvl="1"/>
    <w:lvlOverride w:ilvl="2"/>
    <w:lvlOverride w:ilvl="3"/>
    <w:lvlOverride w:ilvl="4"/>
    <w:lvlOverride w:ilvl="5"/>
    <w:lvlOverride w:ilvl="6"/>
    <w:lvlOverride w:ilvl="7"/>
    <w:lvlOverride w:ilvl="8"/>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lvlOverride w:ilvl="0"/>
    <w:lvlOverride w:ilvl="1"/>
    <w:lvlOverride w:ilvl="2"/>
    <w:lvlOverride w:ilvl="3"/>
    <w:lvlOverride w:ilvl="4"/>
    <w:lvlOverride w:ilvl="5"/>
    <w:lvlOverride w:ilvl="6"/>
    <w:lvlOverride w:ilvl="7"/>
    <w:lvlOverride w:ilvl="8"/>
  </w:num>
  <w:num w:numId="13">
    <w:abstractNumId w:val="5"/>
    <w:lvlOverride w:ilvl="0"/>
    <w:lvlOverride w:ilvl="1"/>
    <w:lvlOverride w:ilvl="2"/>
    <w:lvlOverride w:ilvl="3"/>
    <w:lvlOverride w:ilvl="4"/>
    <w:lvlOverride w:ilvl="5"/>
    <w:lvlOverride w:ilvl="6"/>
    <w:lvlOverride w:ilvl="7"/>
    <w:lvlOverride w:ilvl="8"/>
  </w:num>
  <w:num w:numId="14">
    <w:abstractNumId w:val="0"/>
    <w:lvlOverride w:ilvl="0"/>
    <w:lvlOverride w:ilvl="1"/>
    <w:lvlOverride w:ilvl="2"/>
    <w:lvlOverride w:ilvl="3"/>
    <w:lvlOverride w:ilvl="4"/>
    <w:lvlOverride w:ilvl="5"/>
    <w:lvlOverride w:ilvl="6"/>
    <w:lvlOverride w:ilvl="7"/>
    <w:lvlOverride w:ilvl="8"/>
  </w:num>
  <w:num w:numId="1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lvlOverride w:ilvl="0"/>
    <w:lvlOverride w:ilvl="1"/>
    <w:lvlOverride w:ilvl="2"/>
    <w:lvlOverride w:ilvl="3"/>
    <w:lvlOverride w:ilvl="4"/>
    <w:lvlOverride w:ilvl="5"/>
    <w:lvlOverride w:ilvl="6"/>
    <w:lvlOverride w:ilvl="7"/>
    <w:lvlOverride w:ilvl="8"/>
  </w:num>
  <w:num w:numId="19">
    <w:abstractNumId w:val="6"/>
    <w:lvlOverride w:ilvl="0"/>
    <w:lvlOverride w:ilvl="1"/>
    <w:lvlOverride w:ilvl="2"/>
    <w:lvlOverride w:ilvl="3"/>
    <w:lvlOverride w:ilvl="4"/>
    <w:lvlOverride w:ilvl="5"/>
    <w:lvlOverride w:ilvl="6"/>
    <w:lvlOverride w:ilvl="7"/>
    <w:lvlOverride w:ilvl="8"/>
  </w:num>
  <w:num w:numId="20">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383"/>
    <w:rsid w:val="00574383"/>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6"/>
    <o:shapelayout v:ext="edit">
      <o:idmap v:ext="edit" data="1"/>
    </o:shapelayout>
  </w:shapeDefaults>
  <w:decimalSymbol w:val="."/>
  <w:listSeparator w:val=","/>
  <w14:docId w14:val="70B0748B"/>
  <w15:chartTrackingRefBased/>
  <w15:docId w15:val="{F8D6612A-AFA9-4848-909D-D23B562BA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383"/>
    <w:pPr>
      <w:spacing w:after="0" w:line="240" w:lineRule="auto"/>
    </w:pPr>
    <w:rPr>
      <w:rFonts w:ascii="Arial" w:eastAsia="Times New Roman" w:hAnsi="Arial" w:cs="Times New Roman"/>
      <w:szCs w:val="20"/>
    </w:rPr>
  </w:style>
  <w:style w:type="paragraph" w:styleId="Heading1">
    <w:name w:val="heading 1"/>
    <w:basedOn w:val="Normal"/>
    <w:next w:val="Normal"/>
    <w:link w:val="Heading1Char"/>
    <w:qFormat/>
    <w:rsid w:val="00574383"/>
    <w:pPr>
      <w:keepNext/>
      <w:tabs>
        <w:tab w:val="left" w:pos="720"/>
        <w:tab w:val="left" w:pos="1080"/>
        <w:tab w:val="right" w:pos="7200"/>
      </w:tabs>
      <w:ind w:left="360" w:hanging="360"/>
      <w:outlineLvl w:val="0"/>
    </w:pPr>
    <w:rPr>
      <w:b/>
      <w:sz w:val="24"/>
      <w:lang w:val="en-US" w:eastAsia="x-none"/>
    </w:rPr>
  </w:style>
  <w:style w:type="paragraph" w:styleId="Heading2">
    <w:name w:val="heading 2"/>
    <w:basedOn w:val="Normal"/>
    <w:next w:val="Normal"/>
    <w:link w:val="Heading2Char"/>
    <w:semiHidden/>
    <w:unhideWhenUsed/>
    <w:qFormat/>
    <w:rsid w:val="00574383"/>
    <w:pPr>
      <w:keepNext/>
      <w:outlineLvl w:val="1"/>
    </w:pPr>
    <w:rPr>
      <w:sz w:val="28"/>
      <w:lang w:val="x-none" w:eastAsia="x-none"/>
    </w:rPr>
  </w:style>
  <w:style w:type="paragraph" w:styleId="Heading4">
    <w:name w:val="heading 4"/>
    <w:basedOn w:val="Normal"/>
    <w:next w:val="Normal"/>
    <w:link w:val="Heading4Char"/>
    <w:semiHidden/>
    <w:unhideWhenUsed/>
    <w:qFormat/>
    <w:rsid w:val="00574383"/>
    <w:pPr>
      <w:keepNext/>
      <w:spacing w:before="240" w:after="60"/>
      <w:outlineLvl w:val="3"/>
    </w:pPr>
    <w:rPr>
      <w:rFonts w:ascii="Times New Roman" w:hAnsi="Times New Roman"/>
      <w:b/>
      <w:bCs/>
      <w:sz w:val="28"/>
      <w:szCs w:val="28"/>
      <w:lang w:val="x-none" w:eastAsia="x-none"/>
    </w:rPr>
  </w:style>
  <w:style w:type="paragraph" w:styleId="Heading5">
    <w:name w:val="heading 5"/>
    <w:basedOn w:val="Normal"/>
    <w:next w:val="Normal"/>
    <w:link w:val="Heading5Char"/>
    <w:semiHidden/>
    <w:unhideWhenUsed/>
    <w:qFormat/>
    <w:rsid w:val="00574383"/>
    <w:pPr>
      <w:keepNext/>
      <w:jc w:val="right"/>
      <w:outlineLvl w:val="4"/>
    </w:pPr>
    <w:rPr>
      <w:rFonts w:ascii="Times New Roman" w:hAnsi="Times New Roman"/>
      <w:b/>
      <w:sz w:val="40"/>
      <w:lang w:val="x-none" w:eastAsia="x-none"/>
    </w:rPr>
  </w:style>
  <w:style w:type="paragraph" w:styleId="Heading6">
    <w:name w:val="heading 6"/>
    <w:basedOn w:val="Normal"/>
    <w:next w:val="Normal"/>
    <w:link w:val="Heading6Char"/>
    <w:uiPriority w:val="9"/>
    <w:semiHidden/>
    <w:unhideWhenUsed/>
    <w:qFormat/>
    <w:rsid w:val="00574383"/>
    <w:pPr>
      <w:spacing w:before="240" w:after="60"/>
      <w:outlineLvl w:val="5"/>
    </w:pPr>
    <w:rPr>
      <w:rFonts w:ascii="Calibri" w:hAnsi="Calibri"/>
      <w:b/>
      <w:bCs/>
      <w:szCs w:val="22"/>
      <w:lang w:val="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74383"/>
    <w:rPr>
      <w:rFonts w:ascii="Arial" w:eastAsia="Times New Roman" w:hAnsi="Arial" w:cs="Times New Roman"/>
      <w:b/>
      <w:sz w:val="24"/>
      <w:szCs w:val="20"/>
      <w:lang w:val="en-US" w:eastAsia="x-none"/>
    </w:rPr>
  </w:style>
  <w:style w:type="character" w:customStyle="1" w:styleId="Heading2Char">
    <w:name w:val="Heading 2 Char"/>
    <w:basedOn w:val="DefaultParagraphFont"/>
    <w:link w:val="Heading2"/>
    <w:semiHidden/>
    <w:rsid w:val="00574383"/>
    <w:rPr>
      <w:rFonts w:ascii="Arial" w:eastAsia="Times New Roman" w:hAnsi="Arial" w:cs="Times New Roman"/>
      <w:sz w:val="28"/>
      <w:szCs w:val="20"/>
      <w:lang w:val="x-none" w:eastAsia="x-none"/>
    </w:rPr>
  </w:style>
  <w:style w:type="character" w:customStyle="1" w:styleId="Heading4Char">
    <w:name w:val="Heading 4 Char"/>
    <w:basedOn w:val="DefaultParagraphFont"/>
    <w:link w:val="Heading4"/>
    <w:semiHidden/>
    <w:rsid w:val="00574383"/>
    <w:rPr>
      <w:rFonts w:ascii="Times New Roman" w:eastAsia="Times New Roman" w:hAnsi="Times New Roman" w:cs="Times New Roman"/>
      <w:b/>
      <w:bCs/>
      <w:sz w:val="28"/>
      <w:szCs w:val="28"/>
      <w:lang w:val="x-none" w:eastAsia="x-none"/>
    </w:rPr>
  </w:style>
  <w:style w:type="character" w:customStyle="1" w:styleId="Heading5Char">
    <w:name w:val="Heading 5 Char"/>
    <w:basedOn w:val="DefaultParagraphFont"/>
    <w:link w:val="Heading5"/>
    <w:semiHidden/>
    <w:rsid w:val="00574383"/>
    <w:rPr>
      <w:rFonts w:ascii="Times New Roman" w:eastAsia="Times New Roman" w:hAnsi="Times New Roman" w:cs="Times New Roman"/>
      <w:b/>
      <w:sz w:val="40"/>
      <w:szCs w:val="20"/>
      <w:lang w:val="x-none" w:eastAsia="x-none"/>
    </w:rPr>
  </w:style>
  <w:style w:type="character" w:customStyle="1" w:styleId="Heading6Char">
    <w:name w:val="Heading 6 Char"/>
    <w:basedOn w:val="DefaultParagraphFont"/>
    <w:link w:val="Heading6"/>
    <w:uiPriority w:val="9"/>
    <w:semiHidden/>
    <w:rsid w:val="00574383"/>
    <w:rPr>
      <w:rFonts w:ascii="Calibri" w:eastAsia="Times New Roman" w:hAnsi="Calibri" w:cs="Times New Roman"/>
      <w:b/>
      <w:bCs/>
      <w:lang w:val="x-none"/>
    </w:rPr>
  </w:style>
  <w:style w:type="character" w:styleId="Hyperlink">
    <w:name w:val="Hyperlink"/>
    <w:semiHidden/>
    <w:unhideWhenUsed/>
    <w:rsid w:val="00574383"/>
    <w:rPr>
      <w:color w:val="0000FF"/>
      <w:u w:val="single"/>
    </w:rPr>
  </w:style>
  <w:style w:type="character" w:styleId="FollowedHyperlink">
    <w:name w:val="FollowedHyperlink"/>
    <w:semiHidden/>
    <w:unhideWhenUsed/>
    <w:rsid w:val="00574383"/>
    <w:rPr>
      <w:color w:val="800080"/>
      <w:u w:val="single"/>
    </w:rPr>
  </w:style>
  <w:style w:type="character" w:styleId="Emphasis">
    <w:name w:val="Emphasis"/>
    <w:uiPriority w:val="20"/>
    <w:qFormat/>
    <w:rsid w:val="00574383"/>
    <w:rPr>
      <w:b/>
      <w:bCs/>
      <w:i w:val="0"/>
      <w:iCs w:val="0"/>
    </w:rPr>
  </w:style>
  <w:style w:type="paragraph" w:customStyle="1" w:styleId="msonormal0">
    <w:name w:val="msonormal"/>
    <w:basedOn w:val="Normal"/>
    <w:uiPriority w:val="99"/>
    <w:rsid w:val="00574383"/>
    <w:pPr>
      <w:spacing w:before="100" w:beforeAutospacing="1" w:after="100" w:afterAutospacing="1"/>
    </w:pPr>
    <w:rPr>
      <w:rFonts w:ascii="Times New Roman" w:hAnsi="Times New Roman"/>
      <w:sz w:val="24"/>
      <w:szCs w:val="24"/>
      <w:lang w:eastAsia="en-GB"/>
    </w:rPr>
  </w:style>
  <w:style w:type="paragraph" w:styleId="NormalWeb">
    <w:name w:val="Normal (Web)"/>
    <w:basedOn w:val="Normal"/>
    <w:uiPriority w:val="99"/>
    <w:semiHidden/>
    <w:unhideWhenUsed/>
    <w:rsid w:val="00574383"/>
    <w:pPr>
      <w:spacing w:before="100" w:beforeAutospacing="1" w:after="100" w:afterAutospacing="1"/>
    </w:pPr>
    <w:rPr>
      <w:rFonts w:ascii="Times New Roman" w:hAnsi="Times New Roman"/>
      <w:sz w:val="24"/>
      <w:szCs w:val="24"/>
      <w:lang w:eastAsia="en-GB"/>
    </w:rPr>
  </w:style>
  <w:style w:type="paragraph" w:styleId="TOC1">
    <w:name w:val="toc 1"/>
    <w:basedOn w:val="Normal"/>
    <w:next w:val="Normal"/>
    <w:autoRedefine/>
    <w:uiPriority w:val="99"/>
    <w:semiHidden/>
    <w:unhideWhenUsed/>
    <w:rsid w:val="00574383"/>
    <w:pPr>
      <w:tabs>
        <w:tab w:val="right" w:pos="8306"/>
      </w:tabs>
      <w:spacing w:before="360"/>
    </w:pPr>
    <w:rPr>
      <w:b/>
      <w:caps/>
      <w:sz w:val="24"/>
      <w:lang w:eastAsia="en-GB"/>
    </w:rPr>
  </w:style>
  <w:style w:type="paragraph" w:styleId="TOC2">
    <w:name w:val="toc 2"/>
    <w:basedOn w:val="Normal"/>
    <w:next w:val="Normal"/>
    <w:autoRedefine/>
    <w:uiPriority w:val="99"/>
    <w:semiHidden/>
    <w:unhideWhenUsed/>
    <w:rsid w:val="00574383"/>
    <w:pPr>
      <w:ind w:left="240"/>
    </w:pPr>
    <w:rPr>
      <w:rFonts w:ascii="Times New Roman" w:hAnsi="Times New Roman"/>
      <w:smallCaps/>
      <w:sz w:val="20"/>
      <w:lang w:eastAsia="en-GB"/>
    </w:rPr>
  </w:style>
  <w:style w:type="paragraph" w:styleId="TOC3">
    <w:name w:val="toc 3"/>
    <w:basedOn w:val="Normal"/>
    <w:next w:val="Normal"/>
    <w:autoRedefine/>
    <w:uiPriority w:val="99"/>
    <w:semiHidden/>
    <w:unhideWhenUsed/>
    <w:rsid w:val="00574383"/>
    <w:pPr>
      <w:ind w:left="480"/>
    </w:pPr>
    <w:rPr>
      <w:rFonts w:ascii="Times New Roman" w:hAnsi="Times New Roman"/>
      <w:i/>
      <w:sz w:val="20"/>
      <w:lang w:eastAsia="en-GB"/>
    </w:rPr>
  </w:style>
  <w:style w:type="paragraph" w:styleId="Header">
    <w:name w:val="header"/>
    <w:basedOn w:val="Normal"/>
    <w:link w:val="HeaderChar"/>
    <w:uiPriority w:val="99"/>
    <w:semiHidden/>
    <w:unhideWhenUsed/>
    <w:rsid w:val="00574383"/>
    <w:pPr>
      <w:tabs>
        <w:tab w:val="center" w:pos="4513"/>
        <w:tab w:val="right" w:pos="9026"/>
      </w:tabs>
    </w:pPr>
    <w:rPr>
      <w:lang w:val="x-none"/>
    </w:rPr>
  </w:style>
  <w:style w:type="character" w:customStyle="1" w:styleId="HeaderChar">
    <w:name w:val="Header Char"/>
    <w:basedOn w:val="DefaultParagraphFont"/>
    <w:link w:val="Header"/>
    <w:uiPriority w:val="99"/>
    <w:semiHidden/>
    <w:rsid w:val="00574383"/>
    <w:rPr>
      <w:rFonts w:ascii="Arial" w:eastAsia="Times New Roman" w:hAnsi="Arial" w:cs="Times New Roman"/>
      <w:szCs w:val="20"/>
      <w:lang w:val="x-none"/>
    </w:rPr>
  </w:style>
  <w:style w:type="paragraph" w:styleId="Footer">
    <w:name w:val="footer"/>
    <w:basedOn w:val="Normal"/>
    <w:link w:val="FooterChar"/>
    <w:uiPriority w:val="99"/>
    <w:semiHidden/>
    <w:unhideWhenUsed/>
    <w:rsid w:val="00574383"/>
    <w:pPr>
      <w:tabs>
        <w:tab w:val="center" w:pos="4513"/>
        <w:tab w:val="right" w:pos="9026"/>
      </w:tabs>
    </w:pPr>
    <w:rPr>
      <w:lang w:val="x-none"/>
    </w:rPr>
  </w:style>
  <w:style w:type="character" w:customStyle="1" w:styleId="FooterChar">
    <w:name w:val="Footer Char"/>
    <w:basedOn w:val="DefaultParagraphFont"/>
    <w:link w:val="Footer"/>
    <w:uiPriority w:val="99"/>
    <w:semiHidden/>
    <w:rsid w:val="00574383"/>
    <w:rPr>
      <w:rFonts w:ascii="Arial" w:eastAsia="Times New Roman" w:hAnsi="Arial" w:cs="Times New Roman"/>
      <w:szCs w:val="20"/>
      <w:lang w:val="x-none"/>
    </w:rPr>
  </w:style>
  <w:style w:type="paragraph" w:styleId="ListBullet">
    <w:name w:val="List Bullet"/>
    <w:basedOn w:val="Normal"/>
    <w:autoRedefine/>
    <w:uiPriority w:val="99"/>
    <w:semiHidden/>
    <w:unhideWhenUsed/>
    <w:rsid w:val="00574383"/>
    <w:pPr>
      <w:jc w:val="both"/>
    </w:pPr>
    <w:rPr>
      <w:b/>
      <w:color w:val="000080"/>
      <w:sz w:val="24"/>
    </w:rPr>
  </w:style>
  <w:style w:type="paragraph" w:styleId="Title">
    <w:name w:val="Title"/>
    <w:basedOn w:val="Normal"/>
    <w:link w:val="TitleChar"/>
    <w:uiPriority w:val="99"/>
    <w:qFormat/>
    <w:rsid w:val="00574383"/>
    <w:pPr>
      <w:jc w:val="center"/>
    </w:pPr>
    <w:rPr>
      <w:rFonts w:ascii="Times New Roman" w:hAnsi="Times New Roman"/>
      <w:b/>
      <w:sz w:val="24"/>
      <w:lang w:val="x-none"/>
    </w:rPr>
  </w:style>
  <w:style w:type="character" w:customStyle="1" w:styleId="TitleChar">
    <w:name w:val="Title Char"/>
    <w:basedOn w:val="DefaultParagraphFont"/>
    <w:link w:val="Title"/>
    <w:uiPriority w:val="99"/>
    <w:rsid w:val="00574383"/>
    <w:rPr>
      <w:rFonts w:ascii="Times New Roman" w:eastAsia="Times New Roman" w:hAnsi="Times New Roman" w:cs="Times New Roman"/>
      <w:b/>
      <w:sz w:val="24"/>
      <w:szCs w:val="20"/>
      <w:lang w:val="x-none"/>
    </w:rPr>
  </w:style>
  <w:style w:type="paragraph" w:styleId="BodyText">
    <w:name w:val="Body Text"/>
    <w:basedOn w:val="Normal"/>
    <w:link w:val="BodyTextChar"/>
    <w:uiPriority w:val="99"/>
    <w:semiHidden/>
    <w:unhideWhenUsed/>
    <w:rsid w:val="00574383"/>
    <w:rPr>
      <w:rFonts w:ascii="Times New Roman" w:hAnsi="Times New Roman"/>
      <w:i/>
      <w:sz w:val="24"/>
      <w:lang w:val="x-none" w:eastAsia="x-none"/>
    </w:rPr>
  </w:style>
  <w:style w:type="character" w:customStyle="1" w:styleId="BodyTextChar">
    <w:name w:val="Body Text Char"/>
    <w:basedOn w:val="DefaultParagraphFont"/>
    <w:link w:val="BodyText"/>
    <w:uiPriority w:val="99"/>
    <w:semiHidden/>
    <w:rsid w:val="00574383"/>
    <w:rPr>
      <w:rFonts w:ascii="Times New Roman" w:eastAsia="Times New Roman" w:hAnsi="Times New Roman" w:cs="Times New Roman"/>
      <w:i/>
      <w:sz w:val="24"/>
      <w:szCs w:val="20"/>
      <w:lang w:val="x-none" w:eastAsia="x-none"/>
    </w:rPr>
  </w:style>
  <w:style w:type="paragraph" w:styleId="BodyTextIndent">
    <w:name w:val="Body Text Indent"/>
    <w:basedOn w:val="Normal"/>
    <w:link w:val="BodyTextIndentChar"/>
    <w:uiPriority w:val="99"/>
    <w:semiHidden/>
    <w:unhideWhenUsed/>
    <w:rsid w:val="00574383"/>
    <w:pPr>
      <w:spacing w:after="120"/>
      <w:ind w:left="283"/>
    </w:pPr>
    <w:rPr>
      <w:lang w:val="x-none" w:eastAsia="x-none"/>
    </w:rPr>
  </w:style>
  <w:style w:type="character" w:customStyle="1" w:styleId="BodyTextIndentChar">
    <w:name w:val="Body Text Indent Char"/>
    <w:basedOn w:val="DefaultParagraphFont"/>
    <w:link w:val="BodyTextIndent"/>
    <w:uiPriority w:val="99"/>
    <w:semiHidden/>
    <w:rsid w:val="00574383"/>
    <w:rPr>
      <w:rFonts w:ascii="Arial" w:eastAsia="Times New Roman" w:hAnsi="Arial" w:cs="Times New Roman"/>
      <w:szCs w:val="20"/>
      <w:lang w:val="x-none" w:eastAsia="x-none"/>
    </w:rPr>
  </w:style>
  <w:style w:type="paragraph" w:styleId="BodyText2">
    <w:name w:val="Body Text 2"/>
    <w:basedOn w:val="Normal"/>
    <w:link w:val="BodyText2Char"/>
    <w:uiPriority w:val="99"/>
    <w:semiHidden/>
    <w:unhideWhenUsed/>
    <w:rsid w:val="00574383"/>
    <w:pPr>
      <w:ind w:left="720" w:hanging="720"/>
    </w:pPr>
    <w:rPr>
      <w:rFonts w:ascii="Times New Roman" w:hAnsi="Times New Roman"/>
      <w:i/>
      <w:sz w:val="24"/>
      <w:lang w:val="x-none" w:eastAsia="x-none"/>
    </w:rPr>
  </w:style>
  <w:style w:type="character" w:customStyle="1" w:styleId="BodyText2Char">
    <w:name w:val="Body Text 2 Char"/>
    <w:basedOn w:val="DefaultParagraphFont"/>
    <w:link w:val="BodyText2"/>
    <w:uiPriority w:val="99"/>
    <w:semiHidden/>
    <w:rsid w:val="00574383"/>
    <w:rPr>
      <w:rFonts w:ascii="Times New Roman" w:eastAsia="Times New Roman" w:hAnsi="Times New Roman" w:cs="Times New Roman"/>
      <w:i/>
      <w:sz w:val="24"/>
      <w:szCs w:val="20"/>
      <w:lang w:val="x-none" w:eastAsia="x-none"/>
    </w:rPr>
  </w:style>
  <w:style w:type="paragraph" w:styleId="BodyText3">
    <w:name w:val="Body Text 3"/>
    <w:basedOn w:val="Normal"/>
    <w:link w:val="BodyText3Char"/>
    <w:uiPriority w:val="99"/>
    <w:semiHidden/>
    <w:unhideWhenUsed/>
    <w:rsid w:val="00574383"/>
    <w:pPr>
      <w:spacing w:after="120"/>
    </w:pPr>
    <w:rPr>
      <w:sz w:val="16"/>
      <w:szCs w:val="16"/>
      <w:lang w:val="x-none" w:eastAsia="x-none"/>
    </w:rPr>
  </w:style>
  <w:style w:type="character" w:customStyle="1" w:styleId="BodyText3Char">
    <w:name w:val="Body Text 3 Char"/>
    <w:basedOn w:val="DefaultParagraphFont"/>
    <w:link w:val="BodyText3"/>
    <w:uiPriority w:val="99"/>
    <w:semiHidden/>
    <w:rsid w:val="00574383"/>
    <w:rPr>
      <w:rFonts w:ascii="Arial" w:eastAsia="Times New Roman" w:hAnsi="Arial" w:cs="Times New Roman"/>
      <w:sz w:val="16"/>
      <w:szCs w:val="16"/>
      <w:lang w:val="x-none" w:eastAsia="x-none"/>
    </w:rPr>
  </w:style>
  <w:style w:type="paragraph" w:styleId="BodyTextIndent2">
    <w:name w:val="Body Text Indent 2"/>
    <w:basedOn w:val="Normal"/>
    <w:link w:val="BodyTextIndent2Char"/>
    <w:uiPriority w:val="99"/>
    <w:semiHidden/>
    <w:unhideWhenUsed/>
    <w:rsid w:val="00574383"/>
    <w:pPr>
      <w:ind w:left="1440" w:hanging="1440"/>
    </w:pPr>
    <w:rPr>
      <w:rFonts w:ascii="Times New Roman" w:hAnsi="Times New Roman"/>
      <w:i/>
      <w:sz w:val="24"/>
      <w:lang w:val="x-none" w:eastAsia="x-none"/>
    </w:rPr>
  </w:style>
  <w:style w:type="character" w:customStyle="1" w:styleId="BodyTextIndent2Char">
    <w:name w:val="Body Text Indent 2 Char"/>
    <w:basedOn w:val="DefaultParagraphFont"/>
    <w:link w:val="BodyTextIndent2"/>
    <w:uiPriority w:val="99"/>
    <w:semiHidden/>
    <w:rsid w:val="00574383"/>
    <w:rPr>
      <w:rFonts w:ascii="Times New Roman" w:eastAsia="Times New Roman" w:hAnsi="Times New Roman" w:cs="Times New Roman"/>
      <w:i/>
      <w:sz w:val="24"/>
      <w:szCs w:val="20"/>
      <w:lang w:val="x-none" w:eastAsia="x-none"/>
    </w:rPr>
  </w:style>
  <w:style w:type="paragraph" w:styleId="BodyTextIndent3">
    <w:name w:val="Body Text Indent 3"/>
    <w:basedOn w:val="Normal"/>
    <w:link w:val="BodyTextIndent3Char"/>
    <w:uiPriority w:val="99"/>
    <w:semiHidden/>
    <w:unhideWhenUsed/>
    <w:rsid w:val="00574383"/>
    <w:pPr>
      <w:ind w:left="1440"/>
    </w:pPr>
    <w:rPr>
      <w:rFonts w:ascii="Times New Roman" w:hAnsi="Times New Roman"/>
      <w:i/>
      <w:sz w:val="24"/>
      <w:lang w:val="x-none" w:eastAsia="x-none"/>
    </w:rPr>
  </w:style>
  <w:style w:type="character" w:customStyle="1" w:styleId="BodyTextIndent3Char">
    <w:name w:val="Body Text Indent 3 Char"/>
    <w:basedOn w:val="DefaultParagraphFont"/>
    <w:link w:val="BodyTextIndent3"/>
    <w:uiPriority w:val="99"/>
    <w:semiHidden/>
    <w:rsid w:val="00574383"/>
    <w:rPr>
      <w:rFonts w:ascii="Times New Roman" w:eastAsia="Times New Roman" w:hAnsi="Times New Roman" w:cs="Times New Roman"/>
      <w:i/>
      <w:sz w:val="24"/>
      <w:szCs w:val="20"/>
      <w:lang w:val="x-none" w:eastAsia="x-none"/>
    </w:rPr>
  </w:style>
  <w:style w:type="paragraph" w:styleId="PlainText">
    <w:name w:val="Plain Text"/>
    <w:basedOn w:val="Normal"/>
    <w:link w:val="PlainTextChar"/>
    <w:uiPriority w:val="99"/>
    <w:semiHidden/>
    <w:unhideWhenUsed/>
    <w:rsid w:val="00574383"/>
    <w:rPr>
      <w:rFonts w:ascii="Calibri" w:eastAsia="Calibri" w:hAnsi="Calibri"/>
      <w:szCs w:val="21"/>
    </w:rPr>
  </w:style>
  <w:style w:type="character" w:customStyle="1" w:styleId="PlainTextChar">
    <w:name w:val="Plain Text Char"/>
    <w:basedOn w:val="DefaultParagraphFont"/>
    <w:link w:val="PlainText"/>
    <w:uiPriority w:val="99"/>
    <w:semiHidden/>
    <w:rsid w:val="00574383"/>
    <w:rPr>
      <w:rFonts w:ascii="Calibri" w:eastAsia="Calibri" w:hAnsi="Calibri" w:cs="Times New Roman"/>
      <w:szCs w:val="21"/>
    </w:rPr>
  </w:style>
  <w:style w:type="paragraph" w:styleId="BalloonText">
    <w:name w:val="Balloon Text"/>
    <w:basedOn w:val="Normal"/>
    <w:link w:val="BalloonTextChar"/>
    <w:uiPriority w:val="99"/>
    <w:semiHidden/>
    <w:unhideWhenUsed/>
    <w:rsid w:val="00574383"/>
    <w:rPr>
      <w:rFonts w:ascii="Tahoma" w:hAnsi="Tahoma" w:cs="Tahoma"/>
      <w:sz w:val="16"/>
      <w:szCs w:val="16"/>
    </w:rPr>
  </w:style>
  <w:style w:type="character" w:customStyle="1" w:styleId="BalloonTextChar">
    <w:name w:val="Balloon Text Char"/>
    <w:basedOn w:val="DefaultParagraphFont"/>
    <w:link w:val="BalloonText"/>
    <w:uiPriority w:val="99"/>
    <w:semiHidden/>
    <w:rsid w:val="00574383"/>
    <w:rPr>
      <w:rFonts w:ascii="Tahoma" w:eastAsia="Times New Roman" w:hAnsi="Tahoma" w:cs="Tahoma"/>
      <w:sz w:val="16"/>
      <w:szCs w:val="16"/>
    </w:rPr>
  </w:style>
  <w:style w:type="paragraph" w:styleId="ListParagraph">
    <w:name w:val="List Paragraph"/>
    <w:basedOn w:val="Normal"/>
    <w:uiPriority w:val="34"/>
    <w:qFormat/>
    <w:rsid w:val="00574383"/>
    <w:pPr>
      <w:ind w:left="720"/>
    </w:pPr>
  </w:style>
  <w:style w:type="paragraph" w:customStyle="1" w:styleId="a1">
    <w:name w:val="a1"/>
    <w:basedOn w:val="Normal"/>
    <w:uiPriority w:val="99"/>
    <w:rsid w:val="00574383"/>
    <w:pPr>
      <w:jc w:val="center"/>
    </w:pPr>
    <w:rPr>
      <w:rFonts w:ascii="Times New Roman" w:hAnsi="Times New Roman"/>
      <w:b/>
      <w:sz w:val="44"/>
      <w:lang w:eastAsia="en-GB"/>
    </w:rPr>
  </w:style>
  <w:style w:type="paragraph" w:customStyle="1" w:styleId="a2">
    <w:name w:val="a2"/>
    <w:basedOn w:val="Normal"/>
    <w:uiPriority w:val="99"/>
    <w:rsid w:val="00574383"/>
    <w:rPr>
      <w:rFonts w:ascii="Times New Roman" w:hAnsi="Times New Roman"/>
      <w:b/>
      <w:sz w:val="28"/>
      <w:lang w:eastAsia="en-GB"/>
    </w:rPr>
  </w:style>
  <w:style w:type="paragraph" w:customStyle="1" w:styleId="cpe1">
    <w:name w:val="cpe1"/>
    <w:basedOn w:val="Normal"/>
    <w:uiPriority w:val="99"/>
    <w:rsid w:val="00574383"/>
    <w:rPr>
      <w:rFonts w:ascii="Times New Roman" w:hAnsi="Times New Roman"/>
      <w:b/>
      <w:sz w:val="36"/>
      <w:lang w:eastAsia="en-GB"/>
    </w:rPr>
  </w:style>
  <w:style w:type="paragraph" w:customStyle="1" w:styleId="cpe2">
    <w:name w:val="cpe2"/>
    <w:basedOn w:val="Normal"/>
    <w:uiPriority w:val="99"/>
    <w:rsid w:val="00574383"/>
    <w:rPr>
      <w:rFonts w:ascii="Times New Roman" w:hAnsi="Times New Roman"/>
      <w:b/>
      <w:sz w:val="28"/>
      <w:lang w:eastAsia="en-GB"/>
    </w:rPr>
  </w:style>
  <w:style w:type="paragraph" w:customStyle="1" w:styleId="cpe3">
    <w:name w:val="cpe3"/>
    <w:basedOn w:val="Normal"/>
    <w:uiPriority w:val="99"/>
    <w:rsid w:val="00574383"/>
    <w:rPr>
      <w:rFonts w:ascii="Times New Roman" w:hAnsi="Times New Roman"/>
      <w:b/>
      <w:sz w:val="24"/>
      <w:lang w:eastAsia="en-GB"/>
    </w:rPr>
  </w:style>
  <w:style w:type="paragraph" w:customStyle="1" w:styleId="cpe4">
    <w:name w:val="cpe4"/>
    <w:basedOn w:val="cpe3"/>
    <w:uiPriority w:val="99"/>
    <w:rsid w:val="00574383"/>
    <w:rPr>
      <w:i/>
    </w:rPr>
  </w:style>
  <w:style w:type="paragraph" w:customStyle="1" w:styleId="cDoNotUse">
    <w:name w:val="c Do Not Use"/>
    <w:basedOn w:val="Normal"/>
    <w:uiPriority w:val="99"/>
    <w:semiHidden/>
    <w:qFormat/>
    <w:rsid w:val="00574383"/>
    <w:pPr>
      <w:numPr>
        <w:numId w:val="1"/>
      </w:numPr>
      <w:tabs>
        <w:tab w:val="num" w:pos="360"/>
      </w:tabs>
      <w:ind w:left="360" w:hanging="360"/>
      <w:jc w:val="both"/>
    </w:pPr>
    <w:rPr>
      <w:color w:val="FFFFFF"/>
      <w:szCs w:val="24"/>
    </w:rPr>
  </w:style>
  <w:style w:type="paragraph" w:customStyle="1" w:styleId="Clause11">
    <w:name w:val="Clause 1.1."/>
    <w:basedOn w:val="Normal"/>
    <w:uiPriority w:val="2"/>
    <w:qFormat/>
    <w:rsid w:val="00574383"/>
    <w:pPr>
      <w:numPr>
        <w:ilvl w:val="2"/>
        <w:numId w:val="1"/>
      </w:numPr>
      <w:jc w:val="both"/>
    </w:pPr>
    <w:rPr>
      <w:szCs w:val="24"/>
    </w:rPr>
  </w:style>
  <w:style w:type="paragraph" w:customStyle="1" w:styleId="Clause1">
    <w:name w:val="Clause 1."/>
    <w:basedOn w:val="Normal"/>
    <w:next w:val="Clause11"/>
    <w:uiPriority w:val="1"/>
    <w:qFormat/>
    <w:rsid w:val="00574383"/>
    <w:pPr>
      <w:keepNext/>
      <w:numPr>
        <w:ilvl w:val="1"/>
        <w:numId w:val="1"/>
      </w:numPr>
      <w:spacing w:before="560"/>
      <w:jc w:val="both"/>
    </w:pPr>
    <w:rPr>
      <w:b/>
      <w:caps/>
      <w:szCs w:val="24"/>
    </w:rPr>
  </w:style>
  <w:style w:type="paragraph" w:customStyle="1" w:styleId="Clause111">
    <w:name w:val="Clause 1.1.1."/>
    <w:basedOn w:val="Normal"/>
    <w:uiPriority w:val="2"/>
    <w:qFormat/>
    <w:rsid w:val="00574383"/>
    <w:pPr>
      <w:numPr>
        <w:ilvl w:val="3"/>
        <w:numId w:val="1"/>
      </w:numPr>
      <w:jc w:val="both"/>
    </w:pPr>
    <w:rPr>
      <w:szCs w:val="24"/>
    </w:rPr>
  </w:style>
  <w:style w:type="paragraph" w:customStyle="1" w:styleId="Clause1111">
    <w:name w:val="Clause 1.1.1.1."/>
    <w:basedOn w:val="Normal"/>
    <w:uiPriority w:val="2"/>
    <w:qFormat/>
    <w:rsid w:val="00574383"/>
    <w:pPr>
      <w:numPr>
        <w:ilvl w:val="4"/>
        <w:numId w:val="1"/>
      </w:numPr>
      <w:tabs>
        <w:tab w:val="left" w:pos="3969"/>
      </w:tabs>
      <w:jc w:val="both"/>
    </w:pPr>
    <w:rPr>
      <w:szCs w:val="24"/>
    </w:rPr>
  </w:style>
  <w:style w:type="paragraph" w:customStyle="1" w:styleId="Clause11111">
    <w:name w:val="Clause 1.1.1.1.1."/>
    <w:basedOn w:val="Normal"/>
    <w:uiPriority w:val="2"/>
    <w:qFormat/>
    <w:rsid w:val="00574383"/>
    <w:pPr>
      <w:numPr>
        <w:ilvl w:val="5"/>
        <w:numId w:val="1"/>
      </w:numPr>
      <w:jc w:val="both"/>
    </w:pPr>
    <w:rPr>
      <w:szCs w:val="24"/>
    </w:rPr>
  </w:style>
  <w:style w:type="character" w:customStyle="1" w:styleId="ft">
    <w:name w:val="ft"/>
    <w:basedOn w:val="DefaultParagraphFont"/>
    <w:rsid w:val="00574383"/>
  </w:style>
  <w:style w:type="character" w:customStyle="1" w:styleId="st1">
    <w:name w:val="st1"/>
    <w:basedOn w:val="DefaultParagraphFont"/>
    <w:rsid w:val="00574383"/>
  </w:style>
  <w:style w:type="character" w:customStyle="1" w:styleId="searchword1">
    <w:name w:val="searchword1"/>
    <w:rsid w:val="00574383"/>
    <w:rPr>
      <w:shd w:val="clear" w:color="auto" w:fill="FFFF00"/>
    </w:rPr>
  </w:style>
  <w:style w:type="table" w:styleId="TableGrid">
    <w:name w:val="Table Grid"/>
    <w:basedOn w:val="TableNormal"/>
    <w:rsid w:val="00574383"/>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743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39</Pages>
  <Words>11357</Words>
  <Characters>64741</Characters>
  <Application>Microsoft Office Word</Application>
  <DocSecurity>0</DocSecurity>
  <Lines>539</Lines>
  <Paragraphs>151</Paragraphs>
  <ScaleCrop>false</ScaleCrop>
  <Company/>
  <LinksUpToDate>false</LinksUpToDate>
  <CharactersWithSpaces>75947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2021-03-15T16:23:00Z</dcterms:created>
  <dcterms:modified xsi:type="dcterms:W3CDTF">2021-03-15T16:24:00Z</dcterms:modified>
</cp:coreProperties>
</file>