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1A61" w:rsidRPr="00721A61" w:rsidRDefault="00721A61" w:rsidP="00721A61">
      <w:pPr>
        <w:spacing w:line="480" w:lineRule="auto"/>
        <w:rPr>
          <w:rFonts w:ascii="Arial" w:eastAsia="Times New Roman" w:hAnsi="Arial" w:cs="Arial"/>
          <w:b/>
          <w:u w:val="single"/>
          <w:lang w:eastAsia="en-GB"/>
        </w:rPr>
      </w:pPr>
      <w:r w:rsidRPr="00721A61">
        <w:rPr>
          <w:rFonts w:ascii="Arial" w:eastAsia="Times New Roman" w:hAnsi="Arial" w:cs="Arial"/>
          <w:b/>
          <w:u w:val="single"/>
          <w:lang w:eastAsia="en-GB"/>
        </w:rPr>
        <w:t>Operational Policing Practice 2</w:t>
      </w:r>
    </w:p>
    <w:p w:rsidR="00721A61" w:rsidRPr="00721A61" w:rsidRDefault="00721A61" w:rsidP="00721A61">
      <w:pPr>
        <w:spacing w:line="480" w:lineRule="auto"/>
        <w:rPr>
          <w:rFonts w:ascii="Arial" w:eastAsia="Times New Roman" w:hAnsi="Arial" w:cs="Arial"/>
          <w:b/>
          <w:lang w:eastAsia="en-GB"/>
        </w:rPr>
      </w:pPr>
      <w:r w:rsidRPr="00721A61">
        <w:rPr>
          <w:rFonts w:ascii="Arial" w:eastAsia="Times New Roman" w:hAnsi="Arial" w:cs="Arial"/>
          <w:b/>
          <w:lang w:eastAsia="en-GB"/>
        </w:rPr>
        <w:t>Assignment 1</w:t>
      </w:r>
    </w:p>
    <w:p w:rsidR="00721A61" w:rsidRPr="00721A61" w:rsidRDefault="00721A61" w:rsidP="00721A61">
      <w:pPr>
        <w:spacing w:line="480" w:lineRule="auto"/>
        <w:rPr>
          <w:rFonts w:ascii="Arial" w:eastAsia="Times New Roman" w:hAnsi="Arial" w:cs="Arial"/>
          <w:lang w:eastAsia="en-GB"/>
        </w:rPr>
      </w:pPr>
      <w:r w:rsidRPr="00721A61">
        <w:rPr>
          <w:rFonts w:ascii="Arial" w:eastAsia="Times New Roman" w:hAnsi="Arial" w:cs="Arial"/>
          <w:lang w:eastAsia="en-GB"/>
        </w:rPr>
        <w:t>Assess the role of community policing in fostering and maintaining community cohesion. (2000 words)</w:t>
      </w:r>
    </w:p>
    <w:p w:rsidR="00721A61" w:rsidRDefault="00721A61" w:rsidP="00721A61">
      <w:pPr>
        <w:spacing w:line="480" w:lineRule="auto"/>
        <w:rPr>
          <w:rFonts w:ascii="Arial" w:hAnsi="Arial" w:cs="Arial"/>
          <w:sz w:val="24"/>
          <w:szCs w:val="24"/>
        </w:rPr>
      </w:pPr>
      <w:r>
        <w:rPr>
          <w:rFonts w:ascii="Arial" w:hAnsi="Arial" w:cs="Arial"/>
          <w:sz w:val="24"/>
          <w:szCs w:val="24"/>
        </w:rPr>
        <w:t>The College of Policing (COP) state t</w:t>
      </w:r>
      <w:r w:rsidR="002136FB">
        <w:rPr>
          <w:rFonts w:ascii="Arial" w:hAnsi="Arial" w:cs="Arial"/>
          <w:sz w:val="24"/>
          <w:szCs w:val="24"/>
        </w:rPr>
        <w:t xml:space="preserve">hat ‘community cohesion is what </w:t>
      </w:r>
      <w:r>
        <w:rPr>
          <w:rFonts w:ascii="Arial" w:hAnsi="Arial" w:cs="Arial"/>
          <w:sz w:val="24"/>
          <w:szCs w:val="24"/>
        </w:rPr>
        <w:t>must happen in all communities to enable different groups of people to get on well together</w:t>
      </w:r>
      <w:r w:rsidR="00D8450F">
        <w:rPr>
          <w:rFonts w:ascii="Arial" w:hAnsi="Arial" w:cs="Arial"/>
          <w:sz w:val="24"/>
          <w:szCs w:val="24"/>
        </w:rPr>
        <w:t>’</w:t>
      </w:r>
      <w:r>
        <w:rPr>
          <w:rFonts w:ascii="Arial" w:hAnsi="Arial" w:cs="Arial"/>
          <w:sz w:val="24"/>
          <w:szCs w:val="24"/>
        </w:rPr>
        <w:t xml:space="preserve"> (COP, 2012). This assignment will assess the impact that key incidents and po</w:t>
      </w:r>
      <w:r w:rsidR="00D8450F">
        <w:rPr>
          <w:rFonts w:ascii="Arial" w:hAnsi="Arial" w:cs="Arial"/>
          <w:sz w:val="24"/>
          <w:szCs w:val="24"/>
        </w:rPr>
        <w:t>licing practices have had on a</w:t>
      </w:r>
      <w:r>
        <w:rPr>
          <w:rFonts w:ascii="Arial" w:hAnsi="Arial" w:cs="Arial"/>
          <w:sz w:val="24"/>
          <w:szCs w:val="24"/>
        </w:rPr>
        <w:t xml:space="preserve"> community’s ability to ‘get on well together’ and engage with police. The role of police in fostering and maintaining community cohesion will also be evaluated and how the key principles of community engagement are adhered to by practitioners. </w:t>
      </w:r>
    </w:p>
    <w:p w:rsidR="00721A61" w:rsidRDefault="00721A61" w:rsidP="00721A61">
      <w:pPr>
        <w:spacing w:line="480" w:lineRule="auto"/>
        <w:rPr>
          <w:rFonts w:ascii="Arial" w:hAnsi="Arial" w:cs="Arial"/>
          <w:sz w:val="24"/>
          <w:szCs w:val="24"/>
        </w:rPr>
      </w:pPr>
      <w:r>
        <w:rPr>
          <w:rFonts w:ascii="Arial" w:hAnsi="Arial" w:cs="Arial"/>
          <w:sz w:val="24"/>
          <w:szCs w:val="24"/>
        </w:rPr>
        <w:t>The concept of ‘community cohesion’ was derived from a series of riots that took place in the UK in 2001 which ‘represented some of Britain’s worst mainland violence in decades’ (BBC, 2021). At this time, a number of northern towns in England became subject to violent clashes that were reportedly caused by racial tensions and ‘orchestrated rivalries between criminal gangs’ (</w:t>
      </w:r>
      <w:proofErr w:type="spellStart"/>
      <w:r>
        <w:rPr>
          <w:rFonts w:ascii="Arial" w:hAnsi="Arial" w:cs="Arial"/>
          <w:sz w:val="24"/>
          <w:szCs w:val="24"/>
        </w:rPr>
        <w:t>Casciani</w:t>
      </w:r>
      <w:proofErr w:type="spellEnd"/>
      <w:r>
        <w:rPr>
          <w:rFonts w:ascii="Arial" w:hAnsi="Arial" w:cs="Arial"/>
          <w:sz w:val="24"/>
          <w:szCs w:val="24"/>
        </w:rPr>
        <w:t xml:space="preserve">, 2006). The Cantle Report was </w:t>
      </w:r>
      <w:r w:rsidR="00D8450F">
        <w:rPr>
          <w:rFonts w:ascii="Arial" w:hAnsi="Arial" w:cs="Arial"/>
          <w:sz w:val="24"/>
          <w:szCs w:val="24"/>
        </w:rPr>
        <w:t>published as a result of these r</w:t>
      </w:r>
      <w:r>
        <w:rPr>
          <w:rFonts w:ascii="Arial" w:hAnsi="Arial" w:cs="Arial"/>
          <w:sz w:val="24"/>
          <w:szCs w:val="24"/>
        </w:rPr>
        <w:t>iots</w:t>
      </w:r>
      <w:r w:rsidR="00D8450F">
        <w:rPr>
          <w:rFonts w:ascii="Arial" w:hAnsi="Arial" w:cs="Arial"/>
          <w:sz w:val="24"/>
          <w:szCs w:val="24"/>
        </w:rPr>
        <w:t>,</w:t>
      </w:r>
      <w:r>
        <w:rPr>
          <w:rFonts w:ascii="Arial" w:hAnsi="Arial" w:cs="Arial"/>
          <w:sz w:val="24"/>
          <w:szCs w:val="24"/>
        </w:rPr>
        <w:t xml:space="preserve"> which identified key recommendations that included; a new, v</w:t>
      </w:r>
      <w:r w:rsidR="00D8450F">
        <w:rPr>
          <w:rFonts w:ascii="Arial" w:hAnsi="Arial" w:cs="Arial"/>
          <w:sz w:val="24"/>
          <w:szCs w:val="24"/>
        </w:rPr>
        <w:t xml:space="preserve">igorous approach to recruitment, </w:t>
      </w:r>
      <w:r>
        <w:rPr>
          <w:rFonts w:ascii="Arial" w:hAnsi="Arial" w:cs="Arial"/>
          <w:sz w:val="24"/>
          <w:szCs w:val="24"/>
        </w:rPr>
        <w:t>the promotion of non-typical careers for different communities, agreed strategies of collaborative support to address serious problems of criminality and tension in the community, and the identification of clear ‘patch responsibilities’ geared towards introducing a network of ‘formal and informal contact between the police and community’ (Cantle, 2012). It could be argued that these recommendations were instigated due to there being evidence to sugge</w:t>
      </w:r>
      <w:r w:rsidR="00D8450F">
        <w:rPr>
          <w:rFonts w:ascii="Arial" w:hAnsi="Arial" w:cs="Arial"/>
          <w:sz w:val="24"/>
          <w:szCs w:val="24"/>
        </w:rPr>
        <w:t>st that police officers were ill</w:t>
      </w:r>
      <w:r>
        <w:rPr>
          <w:rFonts w:ascii="Arial" w:hAnsi="Arial" w:cs="Arial"/>
          <w:sz w:val="24"/>
          <w:szCs w:val="24"/>
        </w:rPr>
        <w:t xml:space="preserve"> </w:t>
      </w:r>
      <w:r>
        <w:rPr>
          <w:rFonts w:ascii="Arial" w:hAnsi="Arial" w:cs="Arial"/>
          <w:sz w:val="24"/>
          <w:szCs w:val="24"/>
        </w:rPr>
        <w:lastRenderedPageBreak/>
        <w:t xml:space="preserve">equipped to deal with community unrest and that this may be related to recruitment processes. From these recommendations, it could also be argued that police forces had not recruited officers from </w:t>
      </w:r>
      <w:r w:rsidR="00D8450F">
        <w:rPr>
          <w:rFonts w:ascii="Arial" w:hAnsi="Arial" w:cs="Arial"/>
          <w:sz w:val="24"/>
          <w:szCs w:val="24"/>
        </w:rPr>
        <w:t xml:space="preserve">the </w:t>
      </w:r>
      <w:r>
        <w:rPr>
          <w:rFonts w:ascii="Arial" w:hAnsi="Arial" w:cs="Arial"/>
          <w:sz w:val="24"/>
          <w:szCs w:val="24"/>
        </w:rPr>
        <w:t>varying ethni</w:t>
      </w:r>
      <w:r w:rsidR="00D8450F">
        <w:rPr>
          <w:rFonts w:ascii="Arial" w:hAnsi="Arial" w:cs="Arial"/>
          <w:sz w:val="24"/>
          <w:szCs w:val="24"/>
        </w:rPr>
        <w:t>c and cultural backgrounds</w:t>
      </w:r>
      <w:r>
        <w:rPr>
          <w:rFonts w:ascii="Arial" w:hAnsi="Arial" w:cs="Arial"/>
          <w:sz w:val="24"/>
          <w:szCs w:val="24"/>
        </w:rPr>
        <w:t xml:space="preserve"> reflected</w:t>
      </w:r>
      <w:r w:rsidR="00D8450F">
        <w:rPr>
          <w:rFonts w:ascii="Arial" w:hAnsi="Arial" w:cs="Arial"/>
          <w:sz w:val="24"/>
          <w:szCs w:val="24"/>
        </w:rPr>
        <w:t xml:space="preserve"> in</w:t>
      </w:r>
      <w:r>
        <w:rPr>
          <w:rFonts w:ascii="Arial" w:hAnsi="Arial" w:cs="Arial"/>
          <w:sz w:val="24"/>
          <w:szCs w:val="24"/>
        </w:rPr>
        <w:t xml:space="preserve"> the community they policed and that there was limited communication between police and community members. The issues raised as a result of this incident, echo those that have been highlighted in earlier incidents that have affected community cohesion.  </w:t>
      </w:r>
    </w:p>
    <w:p w:rsidR="00721A61" w:rsidRDefault="00721A61" w:rsidP="00721A61">
      <w:pPr>
        <w:spacing w:line="480" w:lineRule="auto"/>
        <w:rPr>
          <w:rFonts w:ascii="Arial" w:hAnsi="Arial" w:cs="Arial"/>
          <w:sz w:val="24"/>
          <w:szCs w:val="24"/>
        </w:rPr>
      </w:pPr>
      <w:r>
        <w:rPr>
          <w:rFonts w:ascii="Arial" w:hAnsi="Arial" w:cs="Arial"/>
          <w:sz w:val="24"/>
          <w:szCs w:val="24"/>
        </w:rPr>
        <w:t xml:space="preserve">The Brixton Riots (1981) encouraged police to recognise the importance of integrating ‘community liaison’ into police practice and as a consequence of the disorder experienced at this time, the </w:t>
      </w:r>
      <w:proofErr w:type="spellStart"/>
      <w:r>
        <w:rPr>
          <w:rFonts w:ascii="Arial" w:hAnsi="Arial" w:cs="Arial"/>
          <w:sz w:val="24"/>
          <w:szCs w:val="24"/>
        </w:rPr>
        <w:t>Scarman</w:t>
      </w:r>
      <w:proofErr w:type="spellEnd"/>
      <w:r>
        <w:rPr>
          <w:rFonts w:ascii="Arial" w:hAnsi="Arial" w:cs="Arial"/>
          <w:sz w:val="24"/>
          <w:szCs w:val="24"/>
        </w:rPr>
        <w:t xml:space="preserve"> Report (1981) was published. Following the Brixton Riots, the </w:t>
      </w:r>
      <w:proofErr w:type="spellStart"/>
      <w:r>
        <w:rPr>
          <w:rFonts w:ascii="Arial" w:hAnsi="Arial" w:cs="Arial"/>
          <w:sz w:val="24"/>
          <w:szCs w:val="24"/>
        </w:rPr>
        <w:t>Scarman</w:t>
      </w:r>
      <w:proofErr w:type="spellEnd"/>
      <w:r>
        <w:rPr>
          <w:rFonts w:ascii="Arial" w:hAnsi="Arial" w:cs="Arial"/>
          <w:sz w:val="24"/>
          <w:szCs w:val="24"/>
        </w:rPr>
        <w:t xml:space="preserve"> Report (1981) identified that the community lacked trust in the police and identified that members of the community had experienced a ‘racial disadvantage’ (Law, 2015). The Brixton Riots are alleged to have been caused because of an operation that had been planned to stop and search anyone found to be in the area which resulted in the community believing that police had failed to assist a young black male who had been stabbed (</w:t>
      </w:r>
      <w:proofErr w:type="spellStart"/>
      <w:r>
        <w:rPr>
          <w:rFonts w:ascii="Arial" w:hAnsi="Arial" w:cs="Arial"/>
          <w:sz w:val="24"/>
          <w:szCs w:val="24"/>
        </w:rPr>
        <w:t>Mohdin</w:t>
      </w:r>
      <w:proofErr w:type="spellEnd"/>
      <w:r>
        <w:rPr>
          <w:rFonts w:ascii="Arial" w:hAnsi="Arial" w:cs="Arial"/>
          <w:sz w:val="24"/>
          <w:szCs w:val="24"/>
        </w:rPr>
        <w:t xml:space="preserve">, 2021). This suggests that tension was present within the community due to their being a belief held that police were racially discriminative and using policing practices disproportionately towards them. Law (2015) also states that the </w:t>
      </w:r>
      <w:proofErr w:type="spellStart"/>
      <w:r>
        <w:rPr>
          <w:rFonts w:ascii="Arial" w:hAnsi="Arial" w:cs="Arial"/>
          <w:sz w:val="24"/>
          <w:szCs w:val="24"/>
        </w:rPr>
        <w:t>Scarman</w:t>
      </w:r>
      <w:proofErr w:type="spellEnd"/>
      <w:r>
        <w:rPr>
          <w:rFonts w:ascii="Arial" w:hAnsi="Arial" w:cs="Arial"/>
          <w:sz w:val="24"/>
          <w:szCs w:val="24"/>
        </w:rPr>
        <w:t xml:space="preserve"> Report highlighted issues with police practice that related to police training and the ‘representation of ethnic minorities in the police force’. Findings such as these give good indication as to why communities were not willing to engage with police, as they felt disadvantaged and governed by a force that were unfair and who did not understand or represent their community. This is in contrast to recent policing guidance that highlights the need for officers to be perceived as ‘fair’ to promote </w:t>
      </w:r>
      <w:r>
        <w:rPr>
          <w:rFonts w:ascii="Arial" w:hAnsi="Arial" w:cs="Arial"/>
          <w:sz w:val="24"/>
          <w:szCs w:val="24"/>
        </w:rPr>
        <w:lastRenderedPageBreak/>
        <w:t>‘police legitimacy’ (COP, 2013). With similar issues raised as a consequence of incidents almost two decades apart, it could be argued that methods used to prom</w:t>
      </w:r>
      <w:r w:rsidR="00D8450F">
        <w:rPr>
          <w:rFonts w:ascii="Arial" w:hAnsi="Arial" w:cs="Arial"/>
          <w:sz w:val="24"/>
          <w:szCs w:val="24"/>
        </w:rPr>
        <w:t>ote community cohesion were</w:t>
      </w:r>
      <w:r>
        <w:rPr>
          <w:rFonts w:ascii="Arial" w:hAnsi="Arial" w:cs="Arial"/>
          <w:sz w:val="24"/>
          <w:szCs w:val="24"/>
        </w:rPr>
        <w:t xml:space="preserve"> ineffective and require</w:t>
      </w:r>
      <w:r w:rsidR="00D8450F">
        <w:rPr>
          <w:rFonts w:ascii="Arial" w:hAnsi="Arial" w:cs="Arial"/>
          <w:sz w:val="24"/>
          <w:szCs w:val="24"/>
        </w:rPr>
        <w:t>d</w:t>
      </w:r>
      <w:r>
        <w:rPr>
          <w:rFonts w:ascii="Arial" w:hAnsi="Arial" w:cs="Arial"/>
          <w:sz w:val="24"/>
          <w:szCs w:val="24"/>
        </w:rPr>
        <w:t xml:space="preserve"> further development. For example, in 2013, COP</w:t>
      </w:r>
      <w:r w:rsidR="00D8450F">
        <w:rPr>
          <w:rFonts w:ascii="Arial" w:hAnsi="Arial" w:cs="Arial"/>
          <w:sz w:val="24"/>
          <w:szCs w:val="24"/>
        </w:rPr>
        <w:t xml:space="preserve"> published guidance that reported</w:t>
      </w:r>
      <w:r>
        <w:rPr>
          <w:rFonts w:ascii="Arial" w:hAnsi="Arial" w:cs="Arial"/>
          <w:sz w:val="24"/>
          <w:szCs w:val="24"/>
        </w:rPr>
        <w:t xml:space="preserve"> </w:t>
      </w:r>
      <w:proofErr w:type="spellStart"/>
      <w:r>
        <w:rPr>
          <w:rFonts w:ascii="Arial" w:hAnsi="Arial" w:cs="Arial"/>
          <w:sz w:val="24"/>
          <w:szCs w:val="24"/>
        </w:rPr>
        <w:t>‘cause</w:t>
      </w:r>
      <w:proofErr w:type="spellEnd"/>
      <w:r>
        <w:rPr>
          <w:rFonts w:ascii="Arial" w:hAnsi="Arial" w:cs="Arial"/>
          <w:sz w:val="24"/>
          <w:szCs w:val="24"/>
        </w:rPr>
        <w:t xml:space="preserve"> for concern’ for national levels of ‘disproportionate use of stop and search’ and its ‘negative impact on Black, Asian and minority ethnic community confidence’. This indicates that the impact of key incidents and policing practices were still the source of tension in 2013.</w:t>
      </w:r>
    </w:p>
    <w:p w:rsidR="00721A61" w:rsidRDefault="00721A61" w:rsidP="00721A61">
      <w:pPr>
        <w:spacing w:line="480" w:lineRule="auto"/>
        <w:rPr>
          <w:rFonts w:ascii="Arial" w:hAnsi="Arial" w:cs="Arial"/>
          <w:sz w:val="24"/>
          <w:szCs w:val="24"/>
        </w:rPr>
      </w:pPr>
      <w:r>
        <w:rPr>
          <w:rFonts w:ascii="Arial" w:hAnsi="Arial" w:cs="Arial"/>
          <w:sz w:val="24"/>
          <w:szCs w:val="24"/>
        </w:rPr>
        <w:t xml:space="preserve">COP (2013) state that ‘without the cooperation of the public, policing in developed democracies would become essentially unworkable’ which suggests that community engagement (CE) is key to effective police practice and the avoidance of community unrest. With this in mind, policing practice will need to involve approaches which include an emphasis on working with the community. Neighbourhood policing can be defined as a policing practice that aims to incorporate features of problem-orientated, intelligence-led and community policing where an increase of interaction with the public is desired (Tilley, 2003 as cited by </w:t>
      </w:r>
      <w:proofErr w:type="spellStart"/>
      <w:r>
        <w:rPr>
          <w:rFonts w:ascii="Arial" w:hAnsi="Arial" w:cs="Arial"/>
          <w:sz w:val="24"/>
          <w:szCs w:val="24"/>
        </w:rPr>
        <w:t>Newburn</w:t>
      </w:r>
      <w:proofErr w:type="spellEnd"/>
      <w:r>
        <w:rPr>
          <w:rFonts w:ascii="Arial" w:hAnsi="Arial" w:cs="Arial"/>
          <w:sz w:val="24"/>
          <w:szCs w:val="24"/>
        </w:rPr>
        <w:t xml:space="preserve"> and </w:t>
      </w:r>
      <w:proofErr w:type="spellStart"/>
      <w:r>
        <w:rPr>
          <w:rFonts w:ascii="Arial" w:hAnsi="Arial" w:cs="Arial"/>
          <w:sz w:val="24"/>
          <w:szCs w:val="24"/>
        </w:rPr>
        <w:t>Neyroud</w:t>
      </w:r>
      <w:proofErr w:type="spellEnd"/>
      <w:r>
        <w:rPr>
          <w:rFonts w:ascii="Arial" w:hAnsi="Arial" w:cs="Arial"/>
          <w:sz w:val="24"/>
          <w:szCs w:val="24"/>
        </w:rPr>
        <w:t>, 2013). In light of this, it could be argued that neighbourhood policing t</w:t>
      </w:r>
      <w:r w:rsidR="00D8450F">
        <w:rPr>
          <w:rFonts w:ascii="Arial" w:hAnsi="Arial" w:cs="Arial"/>
          <w:sz w:val="24"/>
          <w:szCs w:val="24"/>
        </w:rPr>
        <w:t>eams must play a central role in</w:t>
      </w:r>
      <w:r>
        <w:rPr>
          <w:rFonts w:ascii="Arial" w:hAnsi="Arial" w:cs="Arial"/>
          <w:sz w:val="24"/>
          <w:szCs w:val="24"/>
        </w:rPr>
        <w:t xml:space="preserve"> promoting community cohesion. Neighbourhood policing guidelines published by COP (2019) outline actions which include; engaging with communities, promoting the right culture, developing officers, staff and volunteers and developing and sharing learning (COP, 2019). Guidelines such as these acknowledge the responsibility that neighbourhood policing teams have in promoting community cohesion and address issues that have been previously identified following historical incidents of community unrest.</w:t>
      </w:r>
    </w:p>
    <w:p w:rsidR="00721A61" w:rsidRDefault="00721A61" w:rsidP="00721A61">
      <w:pPr>
        <w:spacing w:line="480" w:lineRule="auto"/>
        <w:rPr>
          <w:rFonts w:ascii="Arial" w:hAnsi="Arial" w:cs="Arial"/>
          <w:sz w:val="24"/>
          <w:szCs w:val="24"/>
        </w:rPr>
      </w:pPr>
      <w:r>
        <w:rPr>
          <w:rFonts w:ascii="Arial" w:hAnsi="Arial" w:cs="Arial"/>
          <w:sz w:val="24"/>
          <w:szCs w:val="24"/>
        </w:rPr>
        <w:t xml:space="preserve">Methods identified to promote CE include providing a ‘visible presence’ which is said to ‘reduce crime and anti-social behaviour (ASB), reassure the public and improve </w:t>
      </w:r>
      <w:r>
        <w:rPr>
          <w:rFonts w:ascii="Arial" w:hAnsi="Arial" w:cs="Arial"/>
          <w:sz w:val="24"/>
          <w:szCs w:val="24"/>
        </w:rPr>
        <w:lastRenderedPageBreak/>
        <w:t xml:space="preserve">their perceptions of police’ (COP, 2012). However, research indicates that local visible policing is not a priority of the public and that they would rather police focus on crimes of a sexual and violent nature, organised crime and terrorism (The Police Foundation, 2020). This suggests that methods used to engage communities may not be those desired by the communities themselves and that alternative or additional methods will be needed for successful CE. COP (2018) point out that the National Reassurance Policing Programme produced findings that indicated that CE methods were more successful, when tailored and based on multiple sources of information used to define a problem. This suggests that police must engage with the community and gain information so that methods can be utilised that are based on their interests. However, as pointed out by COP (2018) ‘officer resistance’ is a key implementation issue to community engagement methods due to their being evidence to suggest that some officers view neighbourhood policing as ‘soft’ and ‘not real policing’. This indicates that in order for CE methods to be successful officer’s need to be enthusiastic when facilitating interventions which could in part, be achieved if the ‘right culture’ is promoted (COP, 2019). </w:t>
      </w:r>
    </w:p>
    <w:p w:rsidR="00721A61" w:rsidRDefault="00721A61" w:rsidP="00721A61">
      <w:pPr>
        <w:spacing w:line="480" w:lineRule="auto"/>
        <w:rPr>
          <w:rFonts w:ascii="Arial" w:hAnsi="Arial" w:cs="Arial"/>
          <w:sz w:val="24"/>
          <w:szCs w:val="24"/>
        </w:rPr>
      </w:pPr>
      <w:r>
        <w:rPr>
          <w:rFonts w:ascii="Arial" w:hAnsi="Arial" w:cs="Arial"/>
          <w:sz w:val="24"/>
          <w:szCs w:val="24"/>
        </w:rPr>
        <w:t>Nevertheless, to implement a tailored approach to community engagement, an ‘on-going two-way dialogue between police and the public’ should be utilised to gain a better understanding of the ‘needs, risks and threats’ experienced by communities (COP, 2021). This method of CE is mandatory under Section 34 of the Police Reform and Social Responsibility Act 2011 where it states that chief officers must ‘make arrangements to consult with the publ</w:t>
      </w:r>
      <w:r w:rsidR="00D8450F">
        <w:rPr>
          <w:rFonts w:ascii="Arial" w:hAnsi="Arial" w:cs="Arial"/>
          <w:sz w:val="24"/>
          <w:szCs w:val="24"/>
        </w:rPr>
        <w:t xml:space="preserve">ic in each neighbourhood…’ and </w:t>
      </w:r>
      <w:r>
        <w:rPr>
          <w:rFonts w:ascii="Arial" w:hAnsi="Arial" w:cs="Arial"/>
          <w:sz w:val="24"/>
          <w:szCs w:val="24"/>
        </w:rPr>
        <w:t xml:space="preserve">seek the </w:t>
      </w:r>
      <w:r w:rsidR="00D8450F">
        <w:rPr>
          <w:rFonts w:ascii="Arial" w:hAnsi="Arial" w:cs="Arial"/>
          <w:sz w:val="24"/>
          <w:szCs w:val="24"/>
        </w:rPr>
        <w:t xml:space="preserve">public’s </w:t>
      </w:r>
      <w:r>
        <w:rPr>
          <w:rFonts w:ascii="Arial" w:hAnsi="Arial" w:cs="Arial"/>
          <w:sz w:val="24"/>
          <w:szCs w:val="24"/>
        </w:rPr>
        <w:t xml:space="preserve">views </w:t>
      </w:r>
      <w:r w:rsidR="00D8450F">
        <w:rPr>
          <w:rFonts w:ascii="Arial" w:hAnsi="Arial" w:cs="Arial"/>
          <w:sz w:val="24"/>
          <w:szCs w:val="24"/>
        </w:rPr>
        <w:t>about</w:t>
      </w:r>
      <w:r>
        <w:rPr>
          <w:rFonts w:ascii="Arial" w:hAnsi="Arial" w:cs="Arial"/>
          <w:sz w:val="24"/>
          <w:szCs w:val="24"/>
        </w:rPr>
        <w:t xml:space="preserve"> crime and disorder in their </w:t>
      </w:r>
      <w:r w:rsidR="00D8450F">
        <w:rPr>
          <w:rFonts w:ascii="Arial" w:hAnsi="Arial" w:cs="Arial"/>
          <w:sz w:val="24"/>
          <w:szCs w:val="24"/>
        </w:rPr>
        <w:t>community</w:t>
      </w:r>
      <w:r>
        <w:rPr>
          <w:rFonts w:ascii="Arial" w:hAnsi="Arial" w:cs="Arial"/>
          <w:sz w:val="24"/>
          <w:szCs w:val="24"/>
        </w:rPr>
        <w:t xml:space="preserve"> (COP, 2019). However, there is evidence to suggest that the set-up of these arrangements can affect the quality of information gained. Lloyd and Foster (2009) evidence that police </w:t>
      </w:r>
      <w:r>
        <w:rPr>
          <w:rFonts w:ascii="Arial" w:hAnsi="Arial" w:cs="Arial"/>
          <w:sz w:val="24"/>
          <w:szCs w:val="24"/>
        </w:rPr>
        <w:lastRenderedPageBreak/>
        <w:t xml:space="preserve">engagement forums tend to be ‘unrepresentative, insufficiently independent and unsuccessful’ and that ‘informal contact’ is essential to ‘police-community relations’ (Jones and </w:t>
      </w:r>
      <w:proofErr w:type="spellStart"/>
      <w:r>
        <w:rPr>
          <w:rFonts w:ascii="Arial" w:hAnsi="Arial" w:cs="Arial"/>
          <w:sz w:val="24"/>
          <w:szCs w:val="24"/>
        </w:rPr>
        <w:t>Newburn</w:t>
      </w:r>
      <w:proofErr w:type="spellEnd"/>
      <w:r>
        <w:rPr>
          <w:rFonts w:ascii="Arial" w:hAnsi="Arial" w:cs="Arial"/>
          <w:sz w:val="24"/>
          <w:szCs w:val="24"/>
        </w:rPr>
        <w:t xml:space="preserve"> 2001; Bowling and Foster, 2002; </w:t>
      </w:r>
      <w:proofErr w:type="spellStart"/>
      <w:r>
        <w:rPr>
          <w:rFonts w:ascii="Arial" w:hAnsi="Arial" w:cs="Arial"/>
          <w:sz w:val="24"/>
          <w:szCs w:val="24"/>
        </w:rPr>
        <w:t>Myhill</w:t>
      </w:r>
      <w:proofErr w:type="spellEnd"/>
      <w:r>
        <w:rPr>
          <w:rFonts w:ascii="Arial" w:hAnsi="Arial" w:cs="Arial"/>
          <w:sz w:val="24"/>
          <w:szCs w:val="24"/>
        </w:rPr>
        <w:t xml:space="preserve"> 2006). This indicates that informal contact between the police and the community may be more successful in terms of obtaining information that can assist officers in better understanding the ‘needs, risks and threats’ of a community (COP, 2021). However, Lister et al (2006) refers to the public having a limited awareness of neighbourhood policing and opportunities to participate in policing. This presents the view that without being informed, community members do not understand the function of police when attempting to conduct CE activities or feel that they can participate.</w:t>
      </w:r>
    </w:p>
    <w:p w:rsidR="00721A61" w:rsidRDefault="00721A61" w:rsidP="00721A61">
      <w:pPr>
        <w:spacing w:line="480" w:lineRule="auto"/>
        <w:rPr>
          <w:rFonts w:ascii="Arial" w:hAnsi="Arial" w:cs="Arial"/>
          <w:sz w:val="24"/>
          <w:szCs w:val="24"/>
        </w:rPr>
      </w:pPr>
      <w:r>
        <w:rPr>
          <w:rFonts w:ascii="Arial" w:hAnsi="Arial" w:cs="Arial"/>
          <w:sz w:val="24"/>
          <w:szCs w:val="24"/>
        </w:rPr>
        <w:t xml:space="preserve">Theoretical evidence suggests levels of participation are reliant on a number of factors that relate to the amount of involvement that individual’s experience. </w:t>
      </w:r>
      <w:proofErr w:type="spellStart"/>
      <w:r>
        <w:rPr>
          <w:rFonts w:ascii="Arial" w:hAnsi="Arial" w:cs="Arial"/>
          <w:sz w:val="24"/>
          <w:szCs w:val="24"/>
        </w:rPr>
        <w:t>Arnsteins</w:t>
      </w:r>
      <w:proofErr w:type="spellEnd"/>
      <w:r>
        <w:rPr>
          <w:rFonts w:ascii="Arial" w:hAnsi="Arial" w:cs="Arial"/>
          <w:sz w:val="24"/>
          <w:szCs w:val="24"/>
        </w:rPr>
        <w:t>’ ladder of participation (1969) demonstrates that citizens can only feel a sense of empowerment and participation when they experience a sense of partnership, delegated power and citizen control (</w:t>
      </w:r>
      <w:proofErr w:type="spellStart"/>
      <w:r>
        <w:rPr>
          <w:rFonts w:ascii="Arial" w:hAnsi="Arial" w:cs="Arial"/>
          <w:sz w:val="24"/>
          <w:szCs w:val="24"/>
        </w:rPr>
        <w:t>Arnstein</w:t>
      </w:r>
      <w:proofErr w:type="spellEnd"/>
      <w:r>
        <w:rPr>
          <w:rFonts w:ascii="Arial" w:hAnsi="Arial" w:cs="Arial"/>
          <w:sz w:val="24"/>
          <w:szCs w:val="24"/>
        </w:rPr>
        <w:t>, 1969 as cited by CREW, 2018). This suggests that officers should delegate responsibilities, inspire a sense of control and work in partnership with community members to avoid CE attempts appearing ‘manipulative’ or ‘tokenistic’ (</w:t>
      </w:r>
      <w:proofErr w:type="spellStart"/>
      <w:r>
        <w:rPr>
          <w:rFonts w:ascii="Arial" w:hAnsi="Arial" w:cs="Arial"/>
          <w:sz w:val="24"/>
          <w:szCs w:val="24"/>
        </w:rPr>
        <w:t>Arnstein</w:t>
      </w:r>
      <w:proofErr w:type="spellEnd"/>
      <w:r>
        <w:rPr>
          <w:rFonts w:ascii="Arial" w:hAnsi="Arial" w:cs="Arial"/>
          <w:sz w:val="24"/>
          <w:szCs w:val="24"/>
        </w:rPr>
        <w:t xml:space="preserve">, 1969 as cited by CREW, 2018).  </w:t>
      </w:r>
    </w:p>
    <w:p w:rsidR="0029236B" w:rsidRDefault="00721A61" w:rsidP="00721A61">
      <w:pPr>
        <w:spacing w:line="480" w:lineRule="auto"/>
        <w:rPr>
          <w:rFonts w:ascii="Arial" w:hAnsi="Arial" w:cs="Arial"/>
          <w:sz w:val="24"/>
          <w:szCs w:val="24"/>
        </w:rPr>
      </w:pPr>
      <w:r>
        <w:rPr>
          <w:rFonts w:ascii="Arial" w:hAnsi="Arial" w:cs="Arial"/>
          <w:sz w:val="24"/>
          <w:szCs w:val="24"/>
        </w:rPr>
        <w:t>In addition, principles of community-based policing demonstrate the need for a commitment to</w:t>
      </w:r>
      <w:r w:rsidR="00D8450F">
        <w:rPr>
          <w:rFonts w:ascii="Arial" w:hAnsi="Arial" w:cs="Arial"/>
          <w:sz w:val="24"/>
          <w:szCs w:val="24"/>
        </w:rPr>
        <w:t>wards</w:t>
      </w:r>
      <w:r>
        <w:rPr>
          <w:rFonts w:ascii="Arial" w:hAnsi="Arial" w:cs="Arial"/>
          <w:sz w:val="24"/>
          <w:szCs w:val="24"/>
        </w:rPr>
        <w:t xml:space="preserve"> </w:t>
      </w:r>
      <w:r w:rsidR="0029236B">
        <w:rPr>
          <w:rFonts w:ascii="Arial" w:hAnsi="Arial" w:cs="Arial"/>
          <w:sz w:val="24"/>
          <w:szCs w:val="24"/>
        </w:rPr>
        <w:t>‘</w:t>
      </w:r>
      <w:r>
        <w:rPr>
          <w:rFonts w:ascii="Arial" w:hAnsi="Arial" w:cs="Arial"/>
          <w:sz w:val="24"/>
          <w:szCs w:val="24"/>
        </w:rPr>
        <w:t>community empowerment</w:t>
      </w:r>
      <w:r w:rsidR="0029236B">
        <w:rPr>
          <w:rFonts w:ascii="Arial" w:hAnsi="Arial" w:cs="Arial"/>
          <w:sz w:val="24"/>
          <w:szCs w:val="24"/>
        </w:rPr>
        <w:t>’</w:t>
      </w:r>
      <w:r>
        <w:rPr>
          <w:rFonts w:ascii="Arial" w:hAnsi="Arial" w:cs="Arial"/>
          <w:sz w:val="24"/>
          <w:szCs w:val="24"/>
        </w:rPr>
        <w:t xml:space="preserve">, the delivery of </w:t>
      </w:r>
      <w:r w:rsidR="0029236B">
        <w:rPr>
          <w:rFonts w:ascii="Arial" w:hAnsi="Arial" w:cs="Arial"/>
          <w:sz w:val="24"/>
          <w:szCs w:val="24"/>
        </w:rPr>
        <w:t>‘</w:t>
      </w:r>
      <w:r>
        <w:rPr>
          <w:rFonts w:ascii="Arial" w:hAnsi="Arial" w:cs="Arial"/>
          <w:sz w:val="24"/>
          <w:szCs w:val="24"/>
        </w:rPr>
        <w:t>decentralised and personalised policing</w:t>
      </w:r>
      <w:r w:rsidR="0029236B">
        <w:rPr>
          <w:rFonts w:ascii="Arial" w:hAnsi="Arial" w:cs="Arial"/>
          <w:sz w:val="24"/>
          <w:szCs w:val="24"/>
        </w:rPr>
        <w:t>’</w:t>
      </w:r>
      <w:r>
        <w:rPr>
          <w:rFonts w:ascii="Arial" w:hAnsi="Arial" w:cs="Arial"/>
          <w:sz w:val="24"/>
          <w:szCs w:val="24"/>
        </w:rPr>
        <w:t xml:space="preserve"> and an emphasis on </w:t>
      </w:r>
      <w:r w:rsidR="0029236B">
        <w:rPr>
          <w:rFonts w:ascii="Arial" w:hAnsi="Arial" w:cs="Arial"/>
          <w:sz w:val="24"/>
          <w:szCs w:val="24"/>
        </w:rPr>
        <w:t>‘</w:t>
      </w:r>
      <w:r>
        <w:rPr>
          <w:rFonts w:ascii="Arial" w:hAnsi="Arial" w:cs="Arial"/>
          <w:sz w:val="24"/>
          <w:szCs w:val="24"/>
        </w:rPr>
        <w:t>ethics, legality, responsibility and trust</w:t>
      </w:r>
      <w:r w:rsidR="0029236B">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Saferworld</w:t>
      </w:r>
      <w:proofErr w:type="spellEnd"/>
      <w:r>
        <w:rPr>
          <w:rFonts w:ascii="Arial" w:hAnsi="Arial" w:cs="Arial"/>
          <w:sz w:val="24"/>
          <w:szCs w:val="24"/>
        </w:rPr>
        <w:t>, 2006). Principles such as these indicate that the police must be dedicated towards making com</w:t>
      </w:r>
      <w:r w:rsidR="0029236B">
        <w:rPr>
          <w:rFonts w:ascii="Arial" w:hAnsi="Arial" w:cs="Arial"/>
          <w:sz w:val="24"/>
          <w:szCs w:val="24"/>
        </w:rPr>
        <w:t>munity members feel empowered when</w:t>
      </w:r>
      <w:r>
        <w:rPr>
          <w:rFonts w:ascii="Arial" w:hAnsi="Arial" w:cs="Arial"/>
          <w:sz w:val="24"/>
          <w:szCs w:val="24"/>
        </w:rPr>
        <w:t xml:space="preserve"> resolving issues related to </w:t>
      </w:r>
      <w:r w:rsidR="0029236B">
        <w:rPr>
          <w:rFonts w:ascii="Arial" w:hAnsi="Arial" w:cs="Arial"/>
          <w:sz w:val="24"/>
          <w:szCs w:val="24"/>
        </w:rPr>
        <w:t>their community</w:t>
      </w:r>
      <w:r>
        <w:rPr>
          <w:rFonts w:ascii="Arial" w:hAnsi="Arial" w:cs="Arial"/>
          <w:sz w:val="24"/>
          <w:szCs w:val="24"/>
        </w:rPr>
        <w:t xml:space="preserve"> and offer a bespoke service where officers form relations</w:t>
      </w:r>
      <w:r w:rsidR="0029236B">
        <w:rPr>
          <w:rFonts w:ascii="Arial" w:hAnsi="Arial" w:cs="Arial"/>
          <w:sz w:val="24"/>
          <w:szCs w:val="24"/>
        </w:rPr>
        <w:t>hips with community members before</w:t>
      </w:r>
      <w:r>
        <w:rPr>
          <w:rFonts w:ascii="Arial" w:hAnsi="Arial" w:cs="Arial"/>
          <w:sz w:val="24"/>
          <w:szCs w:val="24"/>
        </w:rPr>
        <w:t xml:space="preserve"> implementing CE methods. The </w:t>
      </w:r>
      <w:r>
        <w:rPr>
          <w:rFonts w:ascii="Arial" w:hAnsi="Arial" w:cs="Arial"/>
          <w:sz w:val="24"/>
          <w:szCs w:val="24"/>
        </w:rPr>
        <w:lastRenderedPageBreak/>
        <w:t xml:space="preserve">principles also indicate that officers facilitating CE methods should work within ethical and legal confines which in turn can encourage trust from community members.  </w:t>
      </w:r>
      <w:r w:rsidR="0029236B">
        <w:rPr>
          <w:rFonts w:ascii="Arial" w:hAnsi="Arial" w:cs="Arial"/>
          <w:sz w:val="24"/>
          <w:szCs w:val="24"/>
        </w:rPr>
        <w:t>As mentioned within the Code of Ethics (2014), officers must adhere to the Peel’s principles of policing and ‘behave in a manner most likely to win the trust and support of fellow citizens’.</w:t>
      </w:r>
    </w:p>
    <w:p w:rsidR="00721A61" w:rsidRDefault="00721A61" w:rsidP="00721A61">
      <w:pPr>
        <w:spacing w:line="480" w:lineRule="auto"/>
        <w:rPr>
          <w:rFonts w:ascii="Arial" w:hAnsi="Arial" w:cs="Arial"/>
          <w:sz w:val="24"/>
          <w:szCs w:val="24"/>
        </w:rPr>
      </w:pPr>
      <w:r>
        <w:rPr>
          <w:rFonts w:ascii="Arial" w:hAnsi="Arial" w:cs="Arial"/>
          <w:sz w:val="24"/>
          <w:szCs w:val="24"/>
        </w:rPr>
        <w:t xml:space="preserve">The Confidence Cycle outlined by COP (2013) illustrates factors associated with public cooperation and intelligence collection which together lead to increased public confidence. This cycle begins with the introduction of ‘neighbourhood priorities’ and then indicates that ‘collaborative problem solving’ is required to identify ‘neighbourhood problems’ (COP, 2013). The cycle demonstrates that when neighbourhood problems are highlighted, this increases public confidence and trust and results in officers gathering ‘community intelligence’ that generates activity through the use of the National Intelligence Model (COP, 2013). When the former stages are achieved, the cycle concludes with the engagement of the community in policing practices (COP, 2013). However, this model relies on the possibility that community members have willingly participated in sharing information with police to identify problems within the community. Lister et al (2006) points out that a ‘lack of confidence in the police’ and ‘cynicism’ that their input will have any influence on police decisions, prevents some members of a community from engaging with police. This suggests that police would need to address the lack of confidence and cynicism towards their efforts before attempting to engage the community in problem solving and information sharing.  </w:t>
      </w:r>
      <w:r w:rsidR="0029236B">
        <w:rPr>
          <w:rFonts w:ascii="Arial" w:hAnsi="Arial" w:cs="Arial"/>
          <w:sz w:val="24"/>
          <w:szCs w:val="24"/>
        </w:rPr>
        <w:t>Although, it could be argued that without making attempts to engage the community, officers cannot build relationships.</w:t>
      </w:r>
    </w:p>
    <w:p w:rsidR="00721A61" w:rsidRDefault="00721A61" w:rsidP="00721A61">
      <w:pPr>
        <w:spacing w:line="480" w:lineRule="auto"/>
        <w:rPr>
          <w:rFonts w:ascii="Arial" w:hAnsi="Arial" w:cs="Arial"/>
          <w:sz w:val="24"/>
          <w:szCs w:val="24"/>
        </w:rPr>
      </w:pPr>
      <w:r>
        <w:rPr>
          <w:rFonts w:ascii="Arial" w:hAnsi="Arial" w:cs="Arial"/>
          <w:sz w:val="24"/>
          <w:szCs w:val="24"/>
        </w:rPr>
        <w:t xml:space="preserve">Despite this, figures presented in 2020 show that ‘74% of people aged over 16 in England and Wales said they had confidence in their local police’ (UK Government, </w:t>
      </w:r>
      <w:r>
        <w:rPr>
          <w:rFonts w:ascii="Arial" w:hAnsi="Arial" w:cs="Arial"/>
          <w:sz w:val="24"/>
          <w:szCs w:val="24"/>
        </w:rPr>
        <w:lastRenderedPageBreak/>
        <w:t xml:space="preserve">2021). However, figures also presented at this time, indicate that a ‘lower percentage of Black Caribbean people had confidence in their local police than White British people’ (UK Government, 2021). These findings suggest that although a large percentage of a community may have confidence in their local police, tension still exists within the black and minority ethnic community. In addition, media articles continue to report on disproportionate police action taken against ethnic minorities in respect of stop and search statistics, claiming that ‘ethnic minorities need protection’ from ‘unfair’ practices (Dodd, 2022). This suggests that despite the learning gained from key incidents related to the disadvantage experienced by the black community, CE methods are yet to address the needs of this minority group. </w:t>
      </w:r>
    </w:p>
    <w:p w:rsidR="00721A61" w:rsidRDefault="00721A61" w:rsidP="00721A61">
      <w:pPr>
        <w:spacing w:line="480" w:lineRule="auto"/>
        <w:rPr>
          <w:rFonts w:ascii="Arial" w:hAnsi="Arial" w:cs="Arial"/>
          <w:sz w:val="24"/>
          <w:szCs w:val="24"/>
        </w:rPr>
      </w:pPr>
      <w:r>
        <w:rPr>
          <w:rFonts w:ascii="Arial" w:hAnsi="Arial" w:cs="Arial"/>
          <w:sz w:val="24"/>
          <w:szCs w:val="24"/>
        </w:rPr>
        <w:t>In circumstances like this, the implementation of engagement methods such as community tension indicators and impact assessments may be helpful as they encourage agencies and communities to get ‘upstream of problems and manage tensions through a measured partnership response’ (ICOCO, 2010). However, in order for these methods of engagement to be effective, local partnerships would need to be well established as well as their understanding of the issues involved (ICOCO, 2010). This suggests that CE methods aimed at identifying tension and measuring their impact on a community can only be effective when partnerships between the police and community members have been established.</w:t>
      </w:r>
    </w:p>
    <w:p w:rsidR="00721A61" w:rsidRDefault="00721A61" w:rsidP="00721A61">
      <w:pPr>
        <w:spacing w:line="480" w:lineRule="auto"/>
        <w:rPr>
          <w:rFonts w:ascii="Arial" w:hAnsi="Arial" w:cs="Arial"/>
          <w:sz w:val="24"/>
          <w:szCs w:val="24"/>
        </w:rPr>
      </w:pPr>
      <w:r>
        <w:rPr>
          <w:rFonts w:ascii="Arial" w:hAnsi="Arial" w:cs="Arial"/>
          <w:sz w:val="24"/>
          <w:szCs w:val="24"/>
        </w:rPr>
        <w:t xml:space="preserve">In conclusion, the role of community policing in fostering and maintaining community cohesion is dependent on the methods chosen to promote community engagement, the delivery of such methods and the relationships established between the police and community members. Despite the promotion of community cohesion being the responsibility of all officers who engage with the community, neighbourhood policing teams present as those who are best placed to plan and deliver CE activities that are </w:t>
      </w:r>
      <w:r>
        <w:rPr>
          <w:rFonts w:ascii="Arial" w:hAnsi="Arial" w:cs="Arial"/>
          <w:sz w:val="24"/>
          <w:szCs w:val="24"/>
        </w:rPr>
        <w:lastRenderedPageBreak/>
        <w:t xml:space="preserve">tailored to the needs of the community. Those delivering CE interventions must ensure that citizens understand the purpose of activities and know that they have an opportunity to participate in decisions that concern their community. To empower community members, facilitators of CE must delegate responsibility and instil a sense of partnership between local authorities and the community. </w:t>
      </w:r>
    </w:p>
    <w:p w:rsidR="00721A61" w:rsidRDefault="00017A16" w:rsidP="00721A61">
      <w:pPr>
        <w:spacing w:line="480" w:lineRule="auto"/>
        <w:rPr>
          <w:rFonts w:ascii="Arial" w:eastAsia="Times New Roman" w:hAnsi="Arial" w:cs="Arial"/>
          <w:b/>
          <w:lang w:eastAsia="en-GB"/>
        </w:rPr>
      </w:pPr>
      <w:r>
        <w:rPr>
          <w:rFonts w:ascii="Arial" w:eastAsia="Times New Roman" w:hAnsi="Arial" w:cs="Arial"/>
          <w:b/>
          <w:lang w:eastAsia="en-GB"/>
        </w:rPr>
        <w:t>Word Count: 2090</w:t>
      </w: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p>
    <w:p w:rsidR="00721A61" w:rsidRDefault="00721A61" w:rsidP="00721A61">
      <w:pPr>
        <w:spacing w:line="480" w:lineRule="auto"/>
        <w:rPr>
          <w:rFonts w:ascii="Arial" w:eastAsia="Times New Roman" w:hAnsi="Arial" w:cs="Arial"/>
          <w:b/>
          <w:lang w:eastAsia="en-GB"/>
        </w:rPr>
      </w:pPr>
      <w:r>
        <w:rPr>
          <w:rFonts w:ascii="Arial" w:eastAsia="Times New Roman" w:hAnsi="Arial" w:cs="Arial"/>
          <w:b/>
          <w:lang w:eastAsia="en-GB"/>
        </w:rPr>
        <w:t>Assignment 2</w:t>
      </w:r>
    </w:p>
    <w:p w:rsidR="00721A61" w:rsidRDefault="00721A61" w:rsidP="00721A61">
      <w:pPr>
        <w:spacing w:line="480" w:lineRule="auto"/>
        <w:rPr>
          <w:rFonts w:ascii="Arial" w:hAnsi="Arial" w:cs="Arial"/>
          <w:sz w:val="24"/>
          <w:szCs w:val="24"/>
        </w:rPr>
      </w:pPr>
      <w:r>
        <w:rPr>
          <w:rFonts w:ascii="Arial" w:hAnsi="Arial" w:cs="Arial"/>
          <w:sz w:val="24"/>
          <w:szCs w:val="24"/>
        </w:rPr>
        <w:t xml:space="preserve">5. </w:t>
      </w:r>
      <w:r w:rsidRPr="00721A61">
        <w:rPr>
          <w:rFonts w:ascii="Arial" w:hAnsi="Arial" w:cs="Arial"/>
          <w:sz w:val="24"/>
          <w:szCs w:val="24"/>
        </w:rPr>
        <w:t>Critically examine the investigation of volume crime (2000 words)</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This assignment will include a critical analysis of the investigation of volume crime and contain an explanation of how additional sources of intelligence can be used during volume crime investigations. Issues that affect the success of interviewing methods used within investigations such as these will also be explored, as well as how personal attitudes, values and biases can impact upon decisions made by investigators during the investigation of volume crime.</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ACPO (2009) as cited by NPIA (2009) explain that volume crime refers to incidents which due to</w:t>
      </w:r>
      <w:r w:rsidR="00186AC7">
        <w:rPr>
          <w:rFonts w:ascii="Arial" w:hAnsi="Arial" w:cs="Arial"/>
          <w:color w:val="000000"/>
        </w:rPr>
        <w:t xml:space="preserve"> their</w:t>
      </w:r>
      <w:r w:rsidRPr="00E402B5">
        <w:rPr>
          <w:rFonts w:ascii="Arial" w:hAnsi="Arial" w:cs="Arial"/>
          <w:color w:val="000000"/>
        </w:rPr>
        <w:t xml:space="preserve"> ‘sheer volume’, have a significant impact on the community and the resources</w:t>
      </w:r>
      <w:r w:rsidR="00186AC7">
        <w:rPr>
          <w:rFonts w:ascii="Arial" w:hAnsi="Arial" w:cs="Arial"/>
          <w:color w:val="000000"/>
        </w:rPr>
        <w:t xml:space="preserve"> used by the police to tackle them</w:t>
      </w:r>
      <w:r w:rsidRPr="00E402B5">
        <w:rPr>
          <w:rFonts w:ascii="Arial" w:hAnsi="Arial" w:cs="Arial"/>
          <w:color w:val="000000"/>
        </w:rPr>
        <w:t xml:space="preserve">. However, they also point out that volume crime can include ‘priority crimes’ such as ‘street robbery, burglary and vehicle related criminality…’ (ACPO, 2009 as cited by NPIA, 2009). This explanation suggests that crimes can be considered both volume and priority depending on their impact and prevalence within a community. However, </w:t>
      </w:r>
      <w:r>
        <w:rPr>
          <w:rFonts w:ascii="Arial" w:hAnsi="Arial" w:cs="Arial"/>
          <w:color w:val="000000"/>
        </w:rPr>
        <w:t>the policing priority of the community may differ to those within authority.</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The Police Foundation (2017) claim that tension exists between a growing operational focus on ‘high-harm and vulnerability’ related crime and the need for elected officials to attract a democratic mandate. This indicates that despite officials recognising the need to tackle volume crime and implement actions relevant to democratic interests, they are co</w:t>
      </w:r>
      <w:r>
        <w:rPr>
          <w:rFonts w:ascii="Arial" w:hAnsi="Arial" w:cs="Arial"/>
          <w:color w:val="000000"/>
        </w:rPr>
        <w:t>nflicted with</w:t>
      </w:r>
      <w:r w:rsidRPr="00E402B5">
        <w:rPr>
          <w:rFonts w:ascii="Arial" w:hAnsi="Arial" w:cs="Arial"/>
          <w:color w:val="000000"/>
        </w:rPr>
        <w:t xml:space="preserve"> </w:t>
      </w:r>
      <w:r>
        <w:rPr>
          <w:rFonts w:ascii="Arial" w:hAnsi="Arial" w:cs="Arial"/>
          <w:color w:val="000000"/>
        </w:rPr>
        <w:t>having to prioritise</w:t>
      </w:r>
      <w:r w:rsidRPr="00E402B5">
        <w:rPr>
          <w:rFonts w:ascii="Arial" w:hAnsi="Arial" w:cs="Arial"/>
          <w:color w:val="000000"/>
        </w:rPr>
        <w:t xml:space="preserve"> more serious </w:t>
      </w:r>
      <w:r w:rsidRPr="00E402B5">
        <w:rPr>
          <w:rFonts w:ascii="Arial" w:hAnsi="Arial" w:cs="Arial"/>
          <w:color w:val="000000"/>
        </w:rPr>
        <w:lastRenderedPageBreak/>
        <w:t xml:space="preserve">crimes. Furthermore, citizens often focus their concerns on low-level volume crime which are more apparent in their daily lives (The Police Foundation, 2017). This suggests that investigations concerning volume crime are considered a priority to the public and a reduction </w:t>
      </w:r>
      <w:r>
        <w:rPr>
          <w:rFonts w:ascii="Arial" w:hAnsi="Arial" w:cs="Arial"/>
          <w:color w:val="000000"/>
        </w:rPr>
        <w:t xml:space="preserve">in volume crime </w:t>
      </w:r>
      <w:r w:rsidRPr="00E402B5">
        <w:rPr>
          <w:rFonts w:ascii="Arial" w:hAnsi="Arial" w:cs="Arial"/>
          <w:color w:val="000000"/>
        </w:rPr>
        <w:t xml:space="preserve">would be considered most </w:t>
      </w:r>
      <w:proofErr w:type="spellStart"/>
      <w:r w:rsidRPr="00E402B5">
        <w:rPr>
          <w:rFonts w:ascii="Arial" w:hAnsi="Arial" w:cs="Arial"/>
          <w:color w:val="000000"/>
        </w:rPr>
        <w:t>impactive</w:t>
      </w:r>
      <w:proofErr w:type="spellEnd"/>
      <w:r w:rsidRPr="00E402B5">
        <w:rPr>
          <w:rFonts w:ascii="Arial" w:hAnsi="Arial" w:cs="Arial"/>
          <w:color w:val="000000"/>
        </w:rPr>
        <w:t xml:space="preserve"> for an improvement in the public’s perception of service delivery.</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However, there is evidence that suggests that due to the nature of volume crime, planned events that can be used to detect and investigate them must ‘come second to new incidents, arrests and situations’ (O’Neill, 2018). This indicates that officers may not be able to prioritise volume crime investigations and therefore work within the interests of the public due to having to deal with the demands of response policing. However, the Police Federation (</w:t>
      </w:r>
      <w:proofErr w:type="spellStart"/>
      <w:r w:rsidRPr="00E402B5">
        <w:rPr>
          <w:rFonts w:ascii="Arial" w:hAnsi="Arial" w:cs="Arial"/>
          <w:color w:val="000000"/>
        </w:rPr>
        <w:t>Polfed</w:t>
      </w:r>
      <w:proofErr w:type="spellEnd"/>
      <w:r w:rsidRPr="00E402B5">
        <w:rPr>
          <w:rFonts w:ascii="Arial" w:hAnsi="Arial" w:cs="Arial"/>
          <w:color w:val="000000"/>
        </w:rPr>
        <w:t>, 2017) state that volume crime accounts for the majority of offences which are committed in England and Wales which indicates that by attending response call outs, officers would be dealing with incidents that fall within the volume crime category. However, it could be argued that the initial enquiries carried out by officers dealing with the demand of response policing, may not equate to the ‘effective preventative measures’ and ‘enforcement’ that is necessary to reduce volume crime (</w:t>
      </w:r>
      <w:proofErr w:type="spellStart"/>
      <w:r w:rsidRPr="00E402B5">
        <w:rPr>
          <w:rFonts w:ascii="Arial" w:hAnsi="Arial" w:cs="Arial"/>
          <w:color w:val="000000"/>
        </w:rPr>
        <w:t>Polfed</w:t>
      </w:r>
      <w:proofErr w:type="spellEnd"/>
      <w:r w:rsidRPr="00E402B5">
        <w:rPr>
          <w:rFonts w:ascii="Arial" w:hAnsi="Arial" w:cs="Arial"/>
          <w:color w:val="000000"/>
        </w:rPr>
        <w:t>, 2</w:t>
      </w:r>
      <w:r w:rsidR="00186AC7">
        <w:rPr>
          <w:rFonts w:ascii="Arial" w:hAnsi="Arial" w:cs="Arial"/>
          <w:color w:val="000000"/>
        </w:rPr>
        <w:t xml:space="preserve">017). This suggests that a </w:t>
      </w:r>
      <w:r w:rsidRPr="00E402B5">
        <w:rPr>
          <w:rFonts w:ascii="Arial" w:hAnsi="Arial" w:cs="Arial"/>
          <w:color w:val="000000"/>
        </w:rPr>
        <w:t>planned approach needs to be taken by services when attempting to reduce volume crime</w:t>
      </w:r>
      <w:r w:rsidR="00186AC7">
        <w:rPr>
          <w:rFonts w:ascii="Arial" w:hAnsi="Arial" w:cs="Arial"/>
          <w:color w:val="000000"/>
        </w:rPr>
        <w:t xml:space="preserve"> and that time and resources need to be afforded to officers investigating volume crime</w:t>
      </w:r>
      <w:r w:rsidRPr="00E402B5">
        <w:rPr>
          <w:rFonts w:ascii="Arial" w:hAnsi="Arial" w:cs="Arial"/>
          <w:color w:val="000000"/>
        </w:rPr>
        <w:t>.</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 xml:space="preserve">The Volume Crime Management Model (VCMM) is described by Stainton and </w:t>
      </w:r>
      <w:proofErr w:type="spellStart"/>
      <w:r w:rsidRPr="00E402B5">
        <w:rPr>
          <w:rFonts w:ascii="Arial" w:hAnsi="Arial" w:cs="Arial"/>
          <w:color w:val="000000"/>
        </w:rPr>
        <w:t>Ewin</w:t>
      </w:r>
      <w:proofErr w:type="spellEnd"/>
      <w:r w:rsidRPr="00E402B5">
        <w:rPr>
          <w:rFonts w:ascii="Arial" w:hAnsi="Arial" w:cs="Arial"/>
          <w:color w:val="000000"/>
        </w:rPr>
        <w:t xml:space="preserve"> (2022) as a ‘triage-based screening approach’ that begins with the initial report to call handlers where they are expected to gather intelligence to assess whether the report requires further police involvement. According to this model, the ‘screening </w:t>
      </w:r>
      <w:r w:rsidRPr="00E402B5">
        <w:rPr>
          <w:rFonts w:ascii="Arial" w:hAnsi="Arial" w:cs="Arial"/>
          <w:color w:val="000000"/>
        </w:rPr>
        <w:lastRenderedPageBreak/>
        <w:t>process’ may continue onto later stages in the investigation, where investigators use</w:t>
      </w:r>
      <w:r w:rsidR="00186AC7">
        <w:rPr>
          <w:rFonts w:ascii="Arial" w:hAnsi="Arial" w:cs="Arial"/>
          <w:color w:val="000000"/>
        </w:rPr>
        <w:t xml:space="preserve"> </w:t>
      </w:r>
      <w:r w:rsidRPr="00E402B5">
        <w:rPr>
          <w:rFonts w:ascii="Arial" w:hAnsi="Arial" w:cs="Arial"/>
          <w:color w:val="000000"/>
        </w:rPr>
        <w:t xml:space="preserve">intelligence to ascertain whether the deployment of specialist investigators is required (Stainton and </w:t>
      </w:r>
      <w:proofErr w:type="spellStart"/>
      <w:r w:rsidRPr="00E402B5">
        <w:rPr>
          <w:rFonts w:ascii="Arial" w:hAnsi="Arial" w:cs="Arial"/>
          <w:color w:val="000000"/>
        </w:rPr>
        <w:t>Ewin</w:t>
      </w:r>
      <w:proofErr w:type="spellEnd"/>
      <w:r w:rsidRPr="00E402B5">
        <w:rPr>
          <w:rFonts w:ascii="Arial" w:hAnsi="Arial" w:cs="Arial"/>
          <w:color w:val="000000"/>
        </w:rPr>
        <w:t xml:space="preserve">, 2022). The VCMM places responsibility on the investigator to ‘screen’ material at each stage of the investigation, make decisions based on the evidence secured and do this whilst demonstrating an ‘open investigative </w:t>
      </w:r>
      <w:r w:rsidR="00186AC7">
        <w:rPr>
          <w:rFonts w:ascii="Arial" w:hAnsi="Arial" w:cs="Arial"/>
          <w:color w:val="000000"/>
        </w:rPr>
        <w:t xml:space="preserve">mind set’ </w:t>
      </w:r>
      <w:r w:rsidRPr="00E402B5">
        <w:rPr>
          <w:rFonts w:ascii="Arial" w:hAnsi="Arial" w:cs="Arial"/>
          <w:color w:val="000000"/>
        </w:rPr>
        <w:t xml:space="preserve">(Stainton and </w:t>
      </w:r>
      <w:proofErr w:type="spellStart"/>
      <w:r w:rsidRPr="00E402B5">
        <w:rPr>
          <w:rFonts w:ascii="Arial" w:hAnsi="Arial" w:cs="Arial"/>
          <w:color w:val="000000"/>
        </w:rPr>
        <w:t>Ewin</w:t>
      </w:r>
      <w:proofErr w:type="spellEnd"/>
      <w:r w:rsidRPr="00E402B5">
        <w:rPr>
          <w:rFonts w:ascii="Arial" w:hAnsi="Arial" w:cs="Arial"/>
          <w:color w:val="000000"/>
        </w:rPr>
        <w:t>, 2022). This approach is said to provide clarity, operational stability and encourage fast-time responses using minimal resources (NPIA, 2009).</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 xml:space="preserve">Furthermore, research indicates that the use of screening processes to investigate crime have proved to be successful as determined in the study conducted by Eck (1979). Eck (1979) identified the outcomes of burglary reports using an algorithm based on the attributes and leads of each case (Eck, 1979 as cited by </w:t>
      </w:r>
      <w:proofErr w:type="spellStart"/>
      <w:r w:rsidRPr="00E402B5">
        <w:rPr>
          <w:rFonts w:ascii="Arial" w:hAnsi="Arial" w:cs="Arial"/>
          <w:color w:val="000000"/>
        </w:rPr>
        <w:t>Newburn</w:t>
      </w:r>
      <w:proofErr w:type="spellEnd"/>
      <w:r w:rsidRPr="00E402B5">
        <w:rPr>
          <w:rFonts w:ascii="Arial" w:hAnsi="Arial" w:cs="Arial"/>
          <w:color w:val="000000"/>
        </w:rPr>
        <w:t xml:space="preserve"> et al, 2012). Eck (1979) found that the outcomes predicted using the algorithm, proved to be accurate for the majority of cases that he reviewed as part of the study, indicating that screening processes used to assess the information available are effective in the efficient management of volume crime investigations. This indicates that investigations should not be pursued where there are no leads and that the screening approach is based on the solvability of a case. In support of this view, ACPO (2001) claim that incidents that are reported with minimal scope for further investigation are ‘screened out and never investigated’ (ACPO, 2001; Burrows et al, 2005 as cited by O’Neill, 2018). Overall, the success of screening approaches indicate that methods used to investigate volume crime must involve focussing on investigations where there is a realistic prospect of identifying the suspect and proving that they committed the offence.</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lastRenderedPageBreak/>
        <w:t>The Code of Practice outlined within the Criminal Procedure and Investigations Act 1996 (CPIA) defines a criminal investigation as that which is ‘conducted by police officers with a view to it being ascertained whether a person should be charged with an offence, or whether a person charged with an offence is guilty of it’. This definition suggests that when a crime is reported, the investigation that ensues must be done so with an emphasis on determining whether someone should be charged with the offence in question. However, when approaches to tackling volume crime involve screening processes where some crimes are screened out and not investigated, it could be argued that officers are not fulfilling their duties under this code of practice and not demonstrating an ‘open investigative mind</w:t>
      </w:r>
      <w:r w:rsidR="00186AC7">
        <w:rPr>
          <w:rFonts w:ascii="Arial" w:hAnsi="Arial" w:cs="Arial"/>
          <w:color w:val="000000"/>
        </w:rPr>
        <w:t xml:space="preserve"> </w:t>
      </w:r>
      <w:r w:rsidRPr="00E402B5">
        <w:rPr>
          <w:rFonts w:ascii="Arial" w:hAnsi="Arial" w:cs="Arial"/>
          <w:color w:val="000000"/>
        </w:rPr>
        <w:t>set’</w:t>
      </w:r>
      <w:r w:rsidR="00186AC7">
        <w:rPr>
          <w:rFonts w:ascii="Arial" w:hAnsi="Arial" w:cs="Arial"/>
          <w:color w:val="000000"/>
        </w:rPr>
        <w:t xml:space="preserve"> (Stainton and </w:t>
      </w:r>
      <w:proofErr w:type="spellStart"/>
      <w:r w:rsidR="00186AC7">
        <w:rPr>
          <w:rFonts w:ascii="Arial" w:hAnsi="Arial" w:cs="Arial"/>
          <w:color w:val="000000"/>
        </w:rPr>
        <w:t>Ewin</w:t>
      </w:r>
      <w:proofErr w:type="spellEnd"/>
      <w:r w:rsidR="00186AC7">
        <w:rPr>
          <w:rFonts w:ascii="Arial" w:hAnsi="Arial" w:cs="Arial"/>
          <w:color w:val="000000"/>
        </w:rPr>
        <w:t xml:space="preserve">, 2022) </w:t>
      </w:r>
      <w:r w:rsidRPr="00E402B5">
        <w:rPr>
          <w:rFonts w:ascii="Arial" w:hAnsi="Arial" w:cs="Arial"/>
          <w:color w:val="000000"/>
        </w:rPr>
        <w:t>. By screening out inves</w:t>
      </w:r>
      <w:r w:rsidR="00186AC7">
        <w:rPr>
          <w:rFonts w:ascii="Arial" w:hAnsi="Arial" w:cs="Arial"/>
          <w:color w:val="000000"/>
        </w:rPr>
        <w:t>tigations, officers would not investigate</w:t>
      </w:r>
      <w:r w:rsidRPr="00E402B5">
        <w:rPr>
          <w:rFonts w:ascii="Arial" w:hAnsi="Arial" w:cs="Arial"/>
          <w:color w:val="000000"/>
        </w:rPr>
        <w:t xml:space="preserve"> whether a person could be charged or guilty of the offence. On the other hand, officers may not be able to investigate whether a person is guilty of an offence if they did not have the leads available to confirm the identity of suspect to begin with.</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However, as mentioned within the VCMM, in order to introduce or investigate leads, intelligence and information sources must be used during each stage of the investigation (NPIA, 2009; College of Policing (COP), 2022). Information sources can be retrieved from colleagues, supervisors, experts, intelligence databases, overt and covert intelligence sources such as covert human intelligence sources (CHIS) and accounts obtained from witnesses, victims and suspects (COP, 2022). However, the efforts made by officers to seek intelligence during volume crime investigations may be impacted by their personal attitudes, values and biases.</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 xml:space="preserve">Studies that have investigated how bias can affect officers conducting investigations, have indicated that officers develop types of cognition that is based on their </w:t>
      </w:r>
      <w:r w:rsidRPr="00E402B5">
        <w:rPr>
          <w:rFonts w:ascii="Arial" w:hAnsi="Arial" w:cs="Arial"/>
          <w:color w:val="000000"/>
        </w:rPr>
        <w:lastRenderedPageBreak/>
        <w:t>experiences and that these ways of thinking can benefit them when making fast and efficient decisions (</w:t>
      </w:r>
      <w:proofErr w:type="spellStart"/>
      <w:r w:rsidRPr="00E402B5">
        <w:rPr>
          <w:rFonts w:ascii="Arial" w:hAnsi="Arial" w:cs="Arial"/>
          <w:color w:val="000000"/>
        </w:rPr>
        <w:t>Kahneman</w:t>
      </w:r>
      <w:proofErr w:type="spellEnd"/>
      <w:r w:rsidRPr="00E402B5">
        <w:rPr>
          <w:rFonts w:ascii="Arial" w:hAnsi="Arial" w:cs="Arial"/>
          <w:color w:val="000000"/>
        </w:rPr>
        <w:t>, 2003). This suggests that attitudes that influence decision making during investigations, may not prejudice the investigation if the cognitions and biases demonstrated by the investigator, are specific to their line of work (</w:t>
      </w:r>
      <w:proofErr w:type="spellStart"/>
      <w:r w:rsidRPr="00E402B5">
        <w:rPr>
          <w:rFonts w:ascii="Arial" w:hAnsi="Arial" w:cs="Arial"/>
          <w:color w:val="000000"/>
        </w:rPr>
        <w:t>Kahneman</w:t>
      </w:r>
      <w:proofErr w:type="spellEnd"/>
      <w:r w:rsidRPr="00E402B5">
        <w:rPr>
          <w:rFonts w:ascii="Arial" w:hAnsi="Arial" w:cs="Arial"/>
          <w:color w:val="000000"/>
        </w:rPr>
        <w:t xml:space="preserve">, 2003). This encourages the view that attitudes, biases </w:t>
      </w:r>
      <w:r>
        <w:rPr>
          <w:rFonts w:ascii="Arial" w:hAnsi="Arial" w:cs="Arial"/>
          <w:color w:val="000000"/>
        </w:rPr>
        <w:t>and values can have a positive e</w:t>
      </w:r>
      <w:r w:rsidR="004A0253">
        <w:rPr>
          <w:rFonts w:ascii="Arial" w:hAnsi="Arial" w:cs="Arial"/>
          <w:color w:val="000000"/>
        </w:rPr>
        <w:t>ffect on an investigation if</w:t>
      </w:r>
      <w:r w:rsidRPr="00E402B5">
        <w:rPr>
          <w:rFonts w:ascii="Arial" w:hAnsi="Arial" w:cs="Arial"/>
          <w:color w:val="000000"/>
        </w:rPr>
        <w:t xml:space="preserve"> they are developed through work-related experiences.</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 xml:space="preserve">In contradiction to this, previous findings have indicated that police officers can exhibit behaviour towards a suspect during interview that is influenced by stereotypical beliefs relating to guilt and deception cues (Meissner and </w:t>
      </w:r>
      <w:proofErr w:type="spellStart"/>
      <w:r w:rsidRPr="00E402B5">
        <w:rPr>
          <w:rFonts w:ascii="Arial" w:hAnsi="Arial" w:cs="Arial"/>
          <w:color w:val="000000"/>
        </w:rPr>
        <w:t>Kassin</w:t>
      </w:r>
      <w:proofErr w:type="spellEnd"/>
      <w:r w:rsidRPr="00E402B5">
        <w:rPr>
          <w:rFonts w:ascii="Arial" w:hAnsi="Arial" w:cs="Arial"/>
          <w:color w:val="000000"/>
        </w:rPr>
        <w:t xml:space="preserve"> 2002, 2004; Olson 2013; Adams-</w:t>
      </w:r>
      <w:proofErr w:type="spellStart"/>
      <w:r w:rsidRPr="00E402B5">
        <w:rPr>
          <w:rFonts w:ascii="Arial" w:hAnsi="Arial" w:cs="Arial"/>
          <w:color w:val="000000"/>
        </w:rPr>
        <w:t>Quackenbush</w:t>
      </w:r>
      <w:proofErr w:type="spellEnd"/>
      <w:r w:rsidRPr="00E402B5">
        <w:rPr>
          <w:rFonts w:ascii="Arial" w:hAnsi="Arial" w:cs="Arial"/>
          <w:color w:val="000000"/>
        </w:rPr>
        <w:t xml:space="preserve">, 2018). This suggests that officers may change their behaviour towards a suspect due to their perceptions of how a person behaves when they are guilty. It also indicates that previous experiences may have caused officers to develop these perceptions, meaning that attitudes and beliefs that are derived from experience are not always positive. If officers change their behaviour due to them perceiving that a suspect is guilty, it could be argued that they would not be demonstrating what is expected of them under Principle 2 of Investigative Interviewing </w:t>
      </w:r>
      <w:r w:rsidR="004A0253">
        <w:rPr>
          <w:rFonts w:ascii="Arial" w:hAnsi="Arial" w:cs="Arial"/>
          <w:color w:val="000000"/>
        </w:rPr>
        <w:t xml:space="preserve">Principles </w:t>
      </w:r>
      <w:r w:rsidRPr="00E402B5">
        <w:rPr>
          <w:rFonts w:ascii="Arial" w:hAnsi="Arial" w:cs="Arial"/>
          <w:color w:val="000000"/>
        </w:rPr>
        <w:t>(2007). Principle 2 dictates that investigators must act fairly when questioning suspects and not approach the interview with prejudice (NPIA, 2009; COP, 2022). This principle also highlights that the investigator should not allow personal beliefs to affect their judgment and ensure that they adhere to legislative duties under the Equality Act 2010 and Human Rights Act 1998 (COP, 2022). Indicating that the influence of personal beliefs and attitudes can cause officers to conduct investigations that biased and unfair.</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lastRenderedPageBreak/>
        <w:t xml:space="preserve">To demonstrate fairness and impartiality, investigators should aim to allow opportunities for those involved in the investigation to express their views and should actively listen, to understand their perspective (College of Policing, 2014). </w:t>
      </w:r>
      <w:r w:rsidR="00FB57BF">
        <w:rPr>
          <w:rFonts w:ascii="Arial" w:hAnsi="Arial" w:cs="Arial"/>
          <w:color w:val="000000"/>
        </w:rPr>
        <w:t>To achieve this, officers use c</w:t>
      </w:r>
      <w:r w:rsidRPr="00E402B5">
        <w:rPr>
          <w:rFonts w:ascii="Arial" w:hAnsi="Arial" w:cs="Arial"/>
          <w:color w:val="000000"/>
        </w:rPr>
        <w:t>ognitive interviewing</w:t>
      </w:r>
      <w:r w:rsidR="00FB57BF">
        <w:rPr>
          <w:rFonts w:ascii="Arial" w:hAnsi="Arial" w:cs="Arial"/>
          <w:color w:val="000000"/>
        </w:rPr>
        <w:t xml:space="preserve"> techniques as they have been described as a</w:t>
      </w:r>
      <w:r w:rsidRPr="00E402B5">
        <w:rPr>
          <w:rFonts w:ascii="Arial" w:hAnsi="Arial" w:cs="Arial"/>
          <w:color w:val="000000"/>
        </w:rPr>
        <w:t xml:space="preserve"> ‘successful forensic tool</w:t>
      </w:r>
      <w:r w:rsidR="00FB57BF">
        <w:rPr>
          <w:rFonts w:ascii="Arial" w:hAnsi="Arial" w:cs="Arial"/>
          <w:color w:val="000000"/>
        </w:rPr>
        <w:t>’</w:t>
      </w:r>
      <w:r w:rsidRPr="00E402B5">
        <w:rPr>
          <w:rFonts w:ascii="Arial" w:hAnsi="Arial" w:cs="Arial"/>
          <w:color w:val="000000"/>
        </w:rPr>
        <w:t xml:space="preserve"> </w:t>
      </w:r>
      <w:r w:rsidR="00FB57BF">
        <w:rPr>
          <w:rFonts w:ascii="Arial" w:hAnsi="Arial" w:cs="Arial"/>
          <w:color w:val="000000"/>
        </w:rPr>
        <w:t>that</w:t>
      </w:r>
      <w:r w:rsidRPr="00E402B5">
        <w:rPr>
          <w:rFonts w:ascii="Arial" w:hAnsi="Arial" w:cs="Arial"/>
          <w:color w:val="000000"/>
        </w:rPr>
        <w:t xml:space="preserve"> </w:t>
      </w:r>
      <w:r w:rsidR="00FB57BF">
        <w:rPr>
          <w:rFonts w:ascii="Arial" w:hAnsi="Arial" w:cs="Arial"/>
          <w:color w:val="000000"/>
        </w:rPr>
        <w:t>‘</w:t>
      </w:r>
      <w:r w:rsidRPr="00E402B5">
        <w:rPr>
          <w:rFonts w:ascii="Arial" w:hAnsi="Arial" w:cs="Arial"/>
          <w:color w:val="000000"/>
        </w:rPr>
        <w:t>enhances memory, increasing the amount of accurate investigation relevant detail’ (Milne and Griffiths, 2010).</w:t>
      </w:r>
      <w:r>
        <w:rPr>
          <w:rFonts w:ascii="Arial" w:hAnsi="Arial" w:cs="Arial"/>
          <w:color w:val="000000"/>
        </w:rPr>
        <w:t xml:space="preserve"> </w:t>
      </w:r>
      <w:r w:rsidRPr="00E402B5">
        <w:rPr>
          <w:rFonts w:ascii="Arial" w:hAnsi="Arial" w:cs="Arial"/>
          <w:color w:val="000000"/>
        </w:rPr>
        <w:t xml:space="preserve">Dando et al (2008) state that PEACE interview training aims to provide officers with skills necessary to interview using an adaptation of the cognitive interviewing ‘ten primary components’. </w:t>
      </w:r>
      <w:r>
        <w:rPr>
          <w:rFonts w:ascii="Arial" w:hAnsi="Arial" w:cs="Arial"/>
          <w:color w:val="000000"/>
        </w:rPr>
        <w:t>However, Dando et al (2011) claim that some officers</w:t>
      </w:r>
      <w:r w:rsidR="004A0253">
        <w:rPr>
          <w:rFonts w:ascii="Arial" w:hAnsi="Arial" w:cs="Arial"/>
          <w:color w:val="000000"/>
        </w:rPr>
        <w:t xml:space="preserve"> find cognitive interviewing</w:t>
      </w:r>
      <w:r>
        <w:rPr>
          <w:rFonts w:ascii="Arial" w:hAnsi="Arial" w:cs="Arial"/>
          <w:color w:val="000000"/>
        </w:rPr>
        <w:t xml:space="preserve"> ‘cumbersome, complex and time consuming’ which indicates that despite police interviewing practice adopting the components of cognitive interviewing, investigators may not be fully on board with the benefits to this approach. Nevertheless, t</w:t>
      </w:r>
      <w:r w:rsidRPr="00E402B5">
        <w:rPr>
          <w:rFonts w:ascii="Arial" w:hAnsi="Arial" w:cs="Arial"/>
          <w:color w:val="000000"/>
        </w:rPr>
        <w:t>he components</w:t>
      </w:r>
      <w:r>
        <w:rPr>
          <w:rFonts w:ascii="Arial" w:hAnsi="Arial" w:cs="Arial"/>
          <w:color w:val="000000"/>
        </w:rPr>
        <w:t xml:space="preserve"> of this type of interviewing</w:t>
      </w:r>
      <w:r w:rsidRPr="00E402B5">
        <w:rPr>
          <w:rFonts w:ascii="Arial" w:hAnsi="Arial" w:cs="Arial"/>
          <w:color w:val="000000"/>
        </w:rPr>
        <w:t xml:space="preserve"> include an explanation of the aim of the interview, </w:t>
      </w:r>
      <w:r>
        <w:rPr>
          <w:rFonts w:ascii="Arial" w:hAnsi="Arial" w:cs="Arial"/>
          <w:color w:val="000000"/>
        </w:rPr>
        <w:t>‘</w:t>
      </w:r>
      <w:r w:rsidRPr="00E402B5">
        <w:rPr>
          <w:rFonts w:ascii="Arial" w:hAnsi="Arial" w:cs="Arial"/>
          <w:color w:val="000000"/>
        </w:rPr>
        <w:t>rapport, uninterrupted free-recall, the interviewer encouraging concentration, recall in a variety of orders, change perspective, mental reinstatement of context and witness compatible quest</w:t>
      </w:r>
      <w:r>
        <w:rPr>
          <w:rFonts w:ascii="Arial" w:hAnsi="Arial" w:cs="Arial"/>
          <w:color w:val="000000"/>
        </w:rPr>
        <w:t>ioning’ (NSLEC, 2004;</w:t>
      </w:r>
      <w:r w:rsidRPr="00E402B5">
        <w:rPr>
          <w:rFonts w:ascii="Arial" w:hAnsi="Arial" w:cs="Arial"/>
          <w:color w:val="000000"/>
        </w:rPr>
        <w:t xml:space="preserve"> Dando et al, 2008</w:t>
      </w:r>
      <w:r>
        <w:rPr>
          <w:rFonts w:ascii="Arial" w:hAnsi="Arial" w:cs="Arial"/>
          <w:color w:val="000000"/>
        </w:rPr>
        <w:t xml:space="preserve"> as cited by Dickinson et al, 2019 </w:t>
      </w:r>
      <w:r w:rsidRPr="00E402B5">
        <w:rPr>
          <w:rFonts w:ascii="Arial" w:hAnsi="Arial" w:cs="Arial"/>
          <w:color w:val="000000"/>
        </w:rPr>
        <w:t>). The components of cognitive interviewing used within the PEACE model indicate that officers can extract information relevant to the investigation which could support them in identifying leads and a</w:t>
      </w:r>
      <w:r>
        <w:rPr>
          <w:rFonts w:ascii="Arial" w:hAnsi="Arial" w:cs="Arial"/>
          <w:color w:val="000000"/>
        </w:rPr>
        <w:t xml:space="preserve">ssist in the screening process. </w:t>
      </w:r>
      <w:r w:rsidRPr="00E402B5">
        <w:rPr>
          <w:rFonts w:ascii="Arial" w:hAnsi="Arial" w:cs="Arial"/>
          <w:color w:val="000000"/>
        </w:rPr>
        <w:t>This suggests that cognitive interviewing is a useful investigative technique that can assist officers when implementing the VCMM but that its success is dependent on the memory and mental state of an individual.</w:t>
      </w:r>
      <w:r>
        <w:rPr>
          <w:rFonts w:ascii="Arial" w:hAnsi="Arial" w:cs="Arial"/>
          <w:color w:val="000000"/>
        </w:rPr>
        <w:t xml:space="preserve"> </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 xml:space="preserve">Fisher and </w:t>
      </w:r>
      <w:proofErr w:type="spellStart"/>
      <w:r w:rsidRPr="00E402B5">
        <w:rPr>
          <w:rFonts w:ascii="Arial" w:hAnsi="Arial" w:cs="Arial"/>
          <w:color w:val="000000"/>
        </w:rPr>
        <w:t>Geiselman</w:t>
      </w:r>
      <w:proofErr w:type="spellEnd"/>
      <w:r w:rsidRPr="00E402B5">
        <w:rPr>
          <w:rFonts w:ascii="Arial" w:hAnsi="Arial" w:cs="Arial"/>
          <w:color w:val="000000"/>
        </w:rPr>
        <w:t xml:space="preserve"> (1992) claim that the success of interviews can be affected by a person’s psychological state and social interaction they experience from the </w:t>
      </w:r>
      <w:r w:rsidRPr="00E402B5">
        <w:rPr>
          <w:rFonts w:ascii="Arial" w:hAnsi="Arial" w:cs="Arial"/>
          <w:color w:val="000000"/>
        </w:rPr>
        <w:lastRenderedPageBreak/>
        <w:t>interviewer. This introduces the view that to deliver successful cognitive interviews, investigators must develop a rapport with the interviewee and consider their psychological health prior to interview. Certain psychological factors may have implications on a person’s mental state as it is known that individuals can experience impaired cognitive ability due to characteristics such as age, the existence of a mental health illness, trauma and learning disability (UK Government, 2022). In instances where the interviewee exhibits impaired cognitive functioning, investigators must introduce ‘special measures’ which can be used to ‘facilitate the gathering and giving of evidence by vulnerable and intimidated witnesses’ as dictated by Ach</w:t>
      </w:r>
      <w:r w:rsidR="004A0253">
        <w:rPr>
          <w:rFonts w:ascii="Arial" w:hAnsi="Arial" w:cs="Arial"/>
          <w:color w:val="000000"/>
        </w:rPr>
        <w:t>ieving Best Evidence in Criminal Proceedings G</w:t>
      </w:r>
      <w:r w:rsidRPr="00E402B5">
        <w:rPr>
          <w:rFonts w:ascii="Arial" w:hAnsi="Arial" w:cs="Arial"/>
          <w:color w:val="000000"/>
        </w:rPr>
        <w:t>uidance (UK Government, 2022).</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However, physiological factors affecting the interviewee may also need to be considered by the investigator such as the influence of alcohol. The effects that alcohol consumption has on memory have been the subject of many controlled studies which have mostly indicated findings that confirm that alcohol has a negative effect on all stages of the memory including encoding, storage and retrieval (</w:t>
      </w:r>
      <w:proofErr w:type="spellStart"/>
      <w:r w:rsidRPr="00E402B5">
        <w:rPr>
          <w:rFonts w:ascii="Arial" w:hAnsi="Arial" w:cs="Arial"/>
          <w:color w:val="000000"/>
        </w:rPr>
        <w:t>Weafer</w:t>
      </w:r>
      <w:proofErr w:type="spellEnd"/>
      <w:r w:rsidRPr="00E402B5">
        <w:rPr>
          <w:rFonts w:ascii="Arial" w:hAnsi="Arial" w:cs="Arial"/>
          <w:color w:val="000000"/>
        </w:rPr>
        <w:t xml:space="preserve"> et al, 2016). This suggests that despite its success, cognitive interviewing would not be appropriate in circumstances of intoxication due to the difficulties associated with memory retrieval. Therefore, if it were to be the case that the victim’s memory was affected by alcohol and investigators were unable to retrieve information that allows them to identify leads, the investigation is likely to be ‘screened out’. Factors such as this indicate that the investigation of volume crime may be affected by circumstances beyond the investigators control and that it is not always the case that officers have not had time to implement planned or preventative actions to reduce this type of crime.</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lastRenderedPageBreak/>
        <w:t>Nevertheless, rather than ‘screening out’ investigations it could be argued that officers with an enhanced ‘investigative mind</w:t>
      </w:r>
      <w:r>
        <w:rPr>
          <w:rFonts w:ascii="Arial" w:hAnsi="Arial" w:cs="Arial"/>
          <w:color w:val="000000"/>
        </w:rPr>
        <w:t xml:space="preserve"> </w:t>
      </w:r>
      <w:r w:rsidRPr="00E402B5">
        <w:rPr>
          <w:rFonts w:ascii="Arial" w:hAnsi="Arial" w:cs="Arial"/>
          <w:color w:val="000000"/>
        </w:rPr>
        <w:t>set’ are more likely to gather and assess material that will result in a more effective investigation (Maclean, 2020 as cited by COP, 2020). Maclean (2020) claims that several issues have been highlighted within current investigative practice that include officers missing opportunities to collect evidence and pursue lines of enquiry, problems with case file submission and limited understanding of the court process. This suggests that the investigations into volume crime may be affected by the aptitude of officers and presents the argument that models used to tackle volume crime such as the VCMM should take into account the skills and experience of officers investigating it.</w:t>
      </w:r>
    </w:p>
    <w:p w:rsidR="00721A61" w:rsidRPr="00E402B5" w:rsidRDefault="00721A61" w:rsidP="00721A61">
      <w:pPr>
        <w:pStyle w:val="NormalWeb"/>
        <w:spacing w:line="480" w:lineRule="auto"/>
        <w:rPr>
          <w:rFonts w:ascii="Arial" w:hAnsi="Arial" w:cs="Arial"/>
          <w:color w:val="000000"/>
        </w:rPr>
      </w:pPr>
      <w:r w:rsidRPr="00E402B5">
        <w:rPr>
          <w:rFonts w:ascii="Arial" w:hAnsi="Arial" w:cs="Arial"/>
          <w:color w:val="000000"/>
        </w:rPr>
        <w:t xml:space="preserve">To conclude, evidence dictates that a planned and strategic approach is necessary when investigating volume crime and that officers managing these investigations must use the intelligence available to make decisions that are likely to either further or conclude the investigation. The use of the VCMM </w:t>
      </w:r>
      <w:r>
        <w:rPr>
          <w:rFonts w:ascii="Arial" w:hAnsi="Arial" w:cs="Arial"/>
          <w:color w:val="000000"/>
        </w:rPr>
        <w:t xml:space="preserve">and screening approach </w:t>
      </w:r>
      <w:r w:rsidRPr="00E402B5">
        <w:rPr>
          <w:rFonts w:ascii="Arial" w:hAnsi="Arial" w:cs="Arial"/>
          <w:color w:val="000000"/>
        </w:rPr>
        <w:t>ca</w:t>
      </w:r>
      <w:r>
        <w:rPr>
          <w:rFonts w:ascii="Arial" w:hAnsi="Arial" w:cs="Arial"/>
          <w:color w:val="000000"/>
        </w:rPr>
        <w:t>n be viewed as effective</w:t>
      </w:r>
      <w:r w:rsidRPr="00E402B5">
        <w:rPr>
          <w:rFonts w:ascii="Arial" w:hAnsi="Arial" w:cs="Arial"/>
          <w:color w:val="000000"/>
        </w:rPr>
        <w:t xml:space="preserve"> in terms of promoting the</w:t>
      </w:r>
      <w:r>
        <w:rPr>
          <w:rFonts w:ascii="Arial" w:hAnsi="Arial" w:cs="Arial"/>
          <w:color w:val="000000"/>
        </w:rPr>
        <w:t xml:space="preserve"> efficient use of resources </w:t>
      </w:r>
      <w:r w:rsidRPr="00E402B5">
        <w:rPr>
          <w:rFonts w:ascii="Arial" w:hAnsi="Arial" w:cs="Arial"/>
          <w:color w:val="000000"/>
        </w:rPr>
        <w:t>but should be utilised by officers with an investigate mind set</w:t>
      </w:r>
      <w:r>
        <w:rPr>
          <w:rFonts w:ascii="Arial" w:hAnsi="Arial" w:cs="Arial"/>
          <w:color w:val="000000"/>
        </w:rPr>
        <w:t xml:space="preserve"> </w:t>
      </w:r>
      <w:r w:rsidRPr="00E402B5">
        <w:rPr>
          <w:rFonts w:ascii="Arial" w:hAnsi="Arial" w:cs="Arial"/>
          <w:color w:val="000000"/>
        </w:rPr>
        <w:t>who have the relevant skills and experience to progress an investigation. Officers investigating volume crime should ensure that their own personal beliefs and attitudes are not negatively</w:t>
      </w:r>
      <w:r>
        <w:rPr>
          <w:rFonts w:ascii="Arial" w:hAnsi="Arial" w:cs="Arial"/>
          <w:color w:val="000000"/>
        </w:rPr>
        <w:t xml:space="preserve"> </w:t>
      </w:r>
      <w:r w:rsidRPr="00E402B5">
        <w:rPr>
          <w:rFonts w:ascii="Arial" w:hAnsi="Arial" w:cs="Arial"/>
          <w:color w:val="000000"/>
        </w:rPr>
        <w:t>impacting on their decision making or behaviour towards others and consider achieving best evidence from witnesses or victims who are considered vulnerable through the introduction of special measures.</w:t>
      </w:r>
    </w:p>
    <w:p w:rsidR="00721A61" w:rsidRDefault="00721A61" w:rsidP="00721A61">
      <w:pPr>
        <w:spacing w:line="480" w:lineRule="auto"/>
      </w:pPr>
    </w:p>
    <w:p w:rsidR="00721A61" w:rsidRDefault="00FB57BF" w:rsidP="00721A61">
      <w:pPr>
        <w:spacing w:line="480" w:lineRule="auto"/>
        <w:rPr>
          <w:rFonts w:ascii="Arial" w:hAnsi="Arial" w:cs="Arial"/>
          <w:b/>
          <w:sz w:val="24"/>
          <w:szCs w:val="24"/>
        </w:rPr>
      </w:pPr>
      <w:r>
        <w:rPr>
          <w:rFonts w:ascii="Arial" w:hAnsi="Arial" w:cs="Arial"/>
          <w:b/>
          <w:sz w:val="24"/>
          <w:szCs w:val="24"/>
        </w:rPr>
        <w:t>Word count: 2200</w:t>
      </w:r>
      <w:r w:rsidR="00721A61" w:rsidRPr="00721A61">
        <w:rPr>
          <w:rFonts w:ascii="Arial" w:hAnsi="Arial" w:cs="Arial"/>
          <w:b/>
          <w:sz w:val="24"/>
          <w:szCs w:val="24"/>
        </w:rPr>
        <w:t xml:space="preserve"> </w:t>
      </w:r>
    </w:p>
    <w:p w:rsidR="00721A61" w:rsidRDefault="00721A61" w:rsidP="00721A61">
      <w:pPr>
        <w:spacing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bookmarkStart w:id="0" w:name="_GoBack"/>
      <w:bookmarkEnd w:id="0"/>
      <w:r>
        <w:rPr>
          <w:rFonts w:ascii="Arial" w:hAnsi="Arial" w:cs="Arial"/>
          <w:b/>
          <w:sz w:val="24"/>
          <w:szCs w:val="24"/>
        </w:rPr>
        <w:lastRenderedPageBreak/>
        <w:t xml:space="preserve">Assignment 1 – Bibliography </w:t>
      </w:r>
    </w:p>
    <w:p w:rsidR="00721A61" w:rsidRDefault="00721A61" w:rsidP="00721A61">
      <w:pPr>
        <w:spacing w:after="0" w:line="480" w:lineRule="auto"/>
        <w:rPr>
          <w:rFonts w:ascii="Arial" w:hAnsi="Arial" w:cs="Arial"/>
          <w:b/>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BBC (2021) </w:t>
      </w:r>
      <w:r w:rsidRPr="00FE3B87">
        <w:rPr>
          <w:rFonts w:ascii="Arial" w:hAnsi="Arial" w:cs="Arial"/>
          <w:i/>
          <w:sz w:val="24"/>
          <w:szCs w:val="24"/>
        </w:rPr>
        <w:t>Bradford riots 2001: What has changed 20 years on</w:t>
      </w:r>
      <w:proofErr w:type="gramStart"/>
      <w:r w:rsidRPr="00FE3B87">
        <w:rPr>
          <w:rFonts w:ascii="Arial" w:hAnsi="Arial" w:cs="Arial"/>
          <w:i/>
          <w:sz w:val="24"/>
          <w:szCs w:val="24"/>
        </w:rPr>
        <w:t>?.</w:t>
      </w:r>
      <w:proofErr w:type="gramEnd"/>
      <w:r>
        <w:rPr>
          <w:rFonts w:ascii="Arial" w:hAnsi="Arial" w:cs="Arial"/>
          <w:sz w:val="24"/>
          <w:szCs w:val="24"/>
        </w:rPr>
        <w:t xml:space="preserve"> Available at:</w:t>
      </w:r>
    </w:p>
    <w:p w:rsidR="00721A61" w:rsidRDefault="0072092B" w:rsidP="00721A61">
      <w:pPr>
        <w:spacing w:after="0"/>
        <w:rPr>
          <w:rFonts w:ascii="Arial" w:hAnsi="Arial" w:cs="Arial"/>
          <w:sz w:val="24"/>
          <w:szCs w:val="24"/>
        </w:rPr>
      </w:pPr>
      <w:hyperlink r:id="rId7" w:history="1">
        <w:r w:rsidR="00721A61" w:rsidRPr="007C15CB">
          <w:rPr>
            <w:rStyle w:val="Hyperlink"/>
            <w:rFonts w:ascii="Arial" w:hAnsi="Arial" w:cs="Arial"/>
            <w:sz w:val="24"/>
            <w:szCs w:val="24"/>
          </w:rPr>
          <w:t>https://www.bbc.co.uk/news/uk-england-leeds-57667812</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FE3B87">
        <w:rPr>
          <w:rFonts w:ascii="Arial" w:hAnsi="Arial" w:cs="Arial"/>
          <w:sz w:val="24"/>
          <w:szCs w:val="24"/>
          <w:vertAlign w:val="superscript"/>
        </w:rPr>
        <w:t>th</w:t>
      </w:r>
      <w:r>
        <w:rPr>
          <w:rFonts w:ascii="Arial" w:hAnsi="Arial" w:cs="Arial"/>
          <w:sz w:val="24"/>
          <w:szCs w:val="24"/>
        </w:rPr>
        <w:t xml:space="preserve"> May 2022)</w:t>
      </w:r>
    </w:p>
    <w:p w:rsidR="00721A61" w:rsidRPr="008C04B2" w:rsidRDefault="00721A61" w:rsidP="00721A61">
      <w:pPr>
        <w:spacing w:after="0"/>
        <w:rPr>
          <w:rFonts w:ascii="Arial" w:hAnsi="Arial" w:cs="Arial"/>
          <w:sz w:val="24"/>
          <w:szCs w:val="24"/>
        </w:rPr>
      </w:pPr>
    </w:p>
    <w:p w:rsidR="00721A61" w:rsidRPr="00FE3B87" w:rsidRDefault="00721A61" w:rsidP="00721A61">
      <w:pPr>
        <w:spacing w:after="0"/>
        <w:rPr>
          <w:rFonts w:ascii="Arial" w:hAnsi="Arial" w:cs="Arial"/>
          <w:sz w:val="24"/>
          <w:szCs w:val="24"/>
        </w:rPr>
      </w:pPr>
      <w:r>
        <w:rPr>
          <w:rFonts w:ascii="Arial" w:hAnsi="Arial" w:cs="Arial"/>
          <w:sz w:val="24"/>
          <w:szCs w:val="24"/>
        </w:rPr>
        <w:t xml:space="preserve">Cantle, T. (2012) </w:t>
      </w:r>
      <w:r w:rsidRPr="00FE3B87">
        <w:rPr>
          <w:rFonts w:ascii="Arial" w:hAnsi="Arial" w:cs="Arial"/>
          <w:i/>
          <w:sz w:val="24"/>
          <w:szCs w:val="24"/>
        </w:rPr>
        <w:t>Community Cohesion: A Report of the Independent Review Team</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8" w:history="1">
        <w:r w:rsidR="00721A61" w:rsidRPr="007C15CB">
          <w:rPr>
            <w:rStyle w:val="Hyperlink"/>
            <w:rFonts w:ascii="Arial" w:hAnsi="Arial" w:cs="Arial"/>
            <w:sz w:val="24"/>
            <w:szCs w:val="24"/>
          </w:rPr>
          <w:t>https://tedcantle.co.uk/pdf/communitycohesion%20cantlereport.pdf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FE3B87">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proofErr w:type="spellStart"/>
      <w:r>
        <w:rPr>
          <w:rFonts w:ascii="Arial" w:hAnsi="Arial" w:cs="Arial"/>
          <w:sz w:val="24"/>
          <w:szCs w:val="24"/>
        </w:rPr>
        <w:t>Casciani</w:t>
      </w:r>
      <w:proofErr w:type="spellEnd"/>
      <w:r>
        <w:rPr>
          <w:rFonts w:ascii="Arial" w:hAnsi="Arial" w:cs="Arial"/>
          <w:sz w:val="24"/>
          <w:szCs w:val="24"/>
        </w:rPr>
        <w:t xml:space="preserve">, D. (2006) </w:t>
      </w:r>
      <w:r w:rsidRPr="00FE3B87">
        <w:rPr>
          <w:rFonts w:ascii="Arial" w:hAnsi="Arial" w:cs="Arial"/>
          <w:i/>
          <w:sz w:val="24"/>
          <w:szCs w:val="24"/>
        </w:rPr>
        <w:t>Q&amp;A: 2001 Northern Town Riots.</w:t>
      </w:r>
      <w:r>
        <w:rPr>
          <w:rFonts w:ascii="Arial" w:hAnsi="Arial" w:cs="Arial"/>
          <w:sz w:val="24"/>
          <w:szCs w:val="24"/>
        </w:rPr>
        <w:t xml:space="preserve"> Available at:</w:t>
      </w:r>
    </w:p>
    <w:p w:rsidR="00721A61" w:rsidRDefault="0072092B" w:rsidP="00721A61">
      <w:pPr>
        <w:spacing w:after="0"/>
        <w:rPr>
          <w:rFonts w:ascii="Arial" w:hAnsi="Arial" w:cs="Arial"/>
          <w:sz w:val="24"/>
          <w:szCs w:val="24"/>
        </w:rPr>
      </w:pPr>
      <w:hyperlink r:id="rId9" w:history="1">
        <w:r w:rsidR="00721A61" w:rsidRPr="007C15CB">
          <w:rPr>
            <w:rStyle w:val="Hyperlink"/>
            <w:rFonts w:ascii="Arial" w:hAnsi="Arial" w:cs="Arial"/>
            <w:sz w:val="24"/>
            <w:szCs w:val="24"/>
          </w:rPr>
          <w:t>http://news.bbc.co.uk/1/hi/uk/5032166.stm</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FE3B87">
        <w:rPr>
          <w:rFonts w:ascii="Arial" w:hAnsi="Arial" w:cs="Arial"/>
          <w:sz w:val="24"/>
          <w:szCs w:val="24"/>
          <w:vertAlign w:val="superscript"/>
        </w:rPr>
        <w:t>th</w:t>
      </w:r>
      <w:r>
        <w:rPr>
          <w:rFonts w:ascii="Arial" w:hAnsi="Arial" w:cs="Arial"/>
          <w:sz w:val="24"/>
          <w:szCs w:val="24"/>
        </w:rPr>
        <w:t xml:space="preserve"> May 2022)</w:t>
      </w:r>
    </w:p>
    <w:p w:rsidR="00721A61" w:rsidRPr="008C04B2"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College of Policing (2012) Cohesion Guide. Available at: </w:t>
      </w:r>
      <w:hyperlink r:id="rId10" w:history="1">
        <w:r w:rsidRPr="007C15CB">
          <w:rPr>
            <w:rStyle w:val="Hyperlink"/>
            <w:rFonts w:ascii="Arial" w:hAnsi="Arial" w:cs="Arial"/>
            <w:sz w:val="24"/>
            <w:szCs w:val="24"/>
          </w:rPr>
          <w:t>https://library.college.police.uk/docs/npia/CohesionGuide.pdf</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8C04B2">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College of Policing (2013) </w:t>
      </w:r>
      <w:r w:rsidRPr="0005104D">
        <w:rPr>
          <w:rFonts w:ascii="Arial" w:hAnsi="Arial" w:cs="Arial"/>
          <w:i/>
          <w:sz w:val="24"/>
          <w:szCs w:val="24"/>
        </w:rPr>
        <w:t>Engagement</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11" w:anchor="engagement-and-police-legitimacy" w:history="1">
        <w:r w:rsidR="00721A61" w:rsidRPr="007C15CB">
          <w:rPr>
            <w:rStyle w:val="Hyperlink"/>
            <w:rFonts w:ascii="Arial" w:hAnsi="Arial" w:cs="Arial"/>
            <w:sz w:val="24"/>
            <w:szCs w:val="24"/>
          </w:rPr>
          <w:t>https://www.college.police.uk/app/engagement-and-communication/engagement#engagement-and-police-legitimacy</w:t>
        </w:r>
      </w:hyperlink>
    </w:p>
    <w:p w:rsidR="00721A61" w:rsidRDefault="00721A61" w:rsidP="00721A61">
      <w:pPr>
        <w:spacing w:after="0"/>
        <w:rPr>
          <w:rFonts w:ascii="Arial" w:hAnsi="Arial" w:cs="Arial"/>
          <w:sz w:val="24"/>
          <w:szCs w:val="24"/>
        </w:rPr>
      </w:pPr>
      <w:r>
        <w:rPr>
          <w:rFonts w:ascii="Arial" w:hAnsi="Arial" w:cs="Arial"/>
          <w:sz w:val="24"/>
          <w:szCs w:val="24"/>
        </w:rPr>
        <w:t>(Accessed: 18</w:t>
      </w:r>
      <w:r w:rsidRPr="0005104D">
        <w:rPr>
          <w:rFonts w:ascii="Arial" w:hAnsi="Arial" w:cs="Arial"/>
          <w:sz w:val="24"/>
          <w:szCs w:val="24"/>
          <w:vertAlign w:val="superscript"/>
        </w:rPr>
        <w:t>th</w:t>
      </w:r>
      <w:r>
        <w:rPr>
          <w:rFonts w:ascii="Arial" w:hAnsi="Arial" w:cs="Arial"/>
          <w:sz w:val="24"/>
          <w:szCs w:val="24"/>
        </w:rPr>
        <w:t xml:space="preserve"> May 2022) </w:t>
      </w:r>
    </w:p>
    <w:p w:rsidR="0029236B" w:rsidRDefault="0029236B" w:rsidP="00721A61">
      <w:pPr>
        <w:spacing w:after="0"/>
        <w:rPr>
          <w:rFonts w:ascii="Arial" w:hAnsi="Arial" w:cs="Arial"/>
          <w:sz w:val="24"/>
          <w:szCs w:val="24"/>
        </w:rPr>
      </w:pPr>
    </w:p>
    <w:p w:rsidR="0029236B" w:rsidRPr="00C52B1D" w:rsidRDefault="0029236B" w:rsidP="0029236B">
      <w:pPr>
        <w:spacing w:after="0"/>
        <w:rPr>
          <w:rFonts w:ascii="Arial" w:hAnsi="Arial" w:cs="Arial"/>
          <w:sz w:val="24"/>
          <w:szCs w:val="24"/>
        </w:rPr>
      </w:pPr>
      <w:r w:rsidRPr="00C52B1D">
        <w:rPr>
          <w:rFonts w:ascii="Arial" w:hAnsi="Arial" w:cs="Arial"/>
          <w:sz w:val="24"/>
          <w:szCs w:val="24"/>
        </w:rPr>
        <w:t xml:space="preserve">College of Policing (2014) </w:t>
      </w:r>
      <w:r w:rsidRPr="00C52B1D">
        <w:rPr>
          <w:rFonts w:ascii="Arial" w:hAnsi="Arial" w:cs="Arial"/>
          <w:i/>
          <w:sz w:val="24"/>
          <w:szCs w:val="24"/>
        </w:rPr>
        <w:t>Code of Ethics</w:t>
      </w:r>
      <w:r w:rsidRPr="00C52B1D">
        <w:rPr>
          <w:rFonts w:ascii="Arial" w:hAnsi="Arial" w:cs="Arial"/>
          <w:sz w:val="24"/>
          <w:szCs w:val="24"/>
        </w:rPr>
        <w:t xml:space="preserve">. Available at: </w:t>
      </w:r>
      <w:hyperlink r:id="rId12" w:history="1">
        <w:r w:rsidRPr="00DA0558">
          <w:rPr>
            <w:rStyle w:val="Hyperlink"/>
            <w:rFonts w:ascii="Arial" w:hAnsi="Arial" w:cs="Arial"/>
            <w:sz w:val="24"/>
            <w:szCs w:val="24"/>
          </w:rPr>
          <w:t>https://assets.college.police.uk/s3fs-public/2021-02/code_of_ethics.pdf</w:t>
        </w:r>
      </w:hyperlink>
      <w:r>
        <w:rPr>
          <w:rFonts w:ascii="Arial" w:hAnsi="Arial" w:cs="Arial"/>
          <w:sz w:val="24"/>
          <w:szCs w:val="24"/>
        </w:rPr>
        <w:t xml:space="preserve"> </w:t>
      </w:r>
    </w:p>
    <w:p w:rsidR="0029236B" w:rsidRDefault="0029236B" w:rsidP="00721A61">
      <w:pPr>
        <w:spacing w:after="0"/>
        <w:rPr>
          <w:rFonts w:ascii="Arial" w:hAnsi="Arial" w:cs="Arial"/>
          <w:sz w:val="24"/>
          <w:szCs w:val="24"/>
        </w:rPr>
      </w:pPr>
      <w:r w:rsidRPr="00C52B1D">
        <w:rPr>
          <w:rFonts w:ascii="Arial" w:hAnsi="Arial" w:cs="Arial"/>
          <w:sz w:val="24"/>
          <w:szCs w:val="24"/>
        </w:rPr>
        <w:t>(Accessed: 10th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College of Policing (2018) </w:t>
      </w:r>
      <w:r w:rsidRPr="00991527">
        <w:rPr>
          <w:rFonts w:ascii="Arial" w:hAnsi="Arial" w:cs="Arial"/>
          <w:i/>
          <w:sz w:val="24"/>
          <w:szCs w:val="24"/>
        </w:rPr>
        <w:t>Modernised Neighbourhood Policing</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13" w:history="1">
        <w:r w:rsidR="00721A61" w:rsidRPr="007C15CB">
          <w:rPr>
            <w:rStyle w:val="Hyperlink"/>
            <w:rFonts w:ascii="Arial" w:hAnsi="Arial" w:cs="Arial"/>
            <w:sz w:val="24"/>
            <w:szCs w:val="24"/>
          </w:rPr>
          <w:t>https://www.npcc.police.uk/2018%20FOI/NPCC%20Misc/032%2018%20January%202018%20CCC%20Papers%20Part%203.pdf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991527">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College of Policing (2020) </w:t>
      </w:r>
      <w:r w:rsidRPr="00FE3B87">
        <w:rPr>
          <w:rFonts w:ascii="Arial" w:hAnsi="Arial" w:cs="Arial"/>
          <w:i/>
          <w:sz w:val="24"/>
          <w:szCs w:val="24"/>
        </w:rPr>
        <w:t>Neighbourhood Policing Guidelines: Supporting material for supervisors</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14" w:history="1">
        <w:r w:rsidR="00721A61" w:rsidRPr="007C15CB">
          <w:rPr>
            <w:rStyle w:val="Hyperlink"/>
            <w:rFonts w:ascii="Arial" w:hAnsi="Arial" w:cs="Arial"/>
            <w:sz w:val="24"/>
            <w:szCs w:val="24"/>
          </w:rPr>
          <w:t>https://assets.college.police.uk/s3fspublic/202011/NPG_supporting_material_supervisors.pdf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FE3B87">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College of Policing (2021) </w:t>
      </w:r>
      <w:r w:rsidRPr="0005104D">
        <w:rPr>
          <w:rFonts w:ascii="Arial" w:hAnsi="Arial" w:cs="Arial"/>
          <w:sz w:val="24"/>
          <w:szCs w:val="24"/>
        </w:rPr>
        <w:t>Phase 2 – managing critical incidents</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15" w:anchor="identification" w:history="1">
        <w:r w:rsidR="00721A61" w:rsidRPr="007C15CB">
          <w:rPr>
            <w:rStyle w:val="Hyperlink"/>
            <w:rFonts w:ascii="Arial" w:hAnsi="Arial" w:cs="Arial"/>
            <w:sz w:val="24"/>
            <w:szCs w:val="24"/>
          </w:rPr>
          <w:t>https://www.college.police.uk/app/critical-incident-management/phase-2-managing-critical-incidents#identification</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05104D">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CREW (2018) </w:t>
      </w:r>
      <w:proofErr w:type="gramStart"/>
      <w:r w:rsidRPr="00595211">
        <w:rPr>
          <w:rFonts w:ascii="Arial" w:hAnsi="Arial" w:cs="Arial"/>
          <w:i/>
          <w:sz w:val="24"/>
          <w:szCs w:val="24"/>
        </w:rPr>
        <w:t>A</w:t>
      </w:r>
      <w:proofErr w:type="gramEnd"/>
      <w:r w:rsidRPr="00595211">
        <w:rPr>
          <w:rFonts w:ascii="Arial" w:hAnsi="Arial" w:cs="Arial"/>
          <w:i/>
          <w:sz w:val="24"/>
          <w:szCs w:val="24"/>
        </w:rPr>
        <w:t xml:space="preserve"> Guide to Effective Community Engagement</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16" w:history="1">
        <w:r w:rsidR="00721A61" w:rsidRPr="007C15CB">
          <w:rPr>
            <w:rStyle w:val="Hyperlink"/>
            <w:rFonts w:ascii="Arial" w:hAnsi="Arial" w:cs="Arial"/>
            <w:sz w:val="24"/>
            <w:szCs w:val="24"/>
          </w:rPr>
          <w:t>https://moodle.uwtsd.ac.uk/pluginfile.php/581983/mod_scorm/content/7/story_content/external_files/A%20Guide%20to%20Effective%20Community%20Engagement.pdf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595211">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Dodd, V (2022) </w:t>
      </w:r>
      <w:r w:rsidRPr="00FA0F59">
        <w:rPr>
          <w:rFonts w:ascii="Arial" w:hAnsi="Arial" w:cs="Arial"/>
          <w:i/>
          <w:sz w:val="24"/>
          <w:szCs w:val="24"/>
        </w:rPr>
        <w:t>Police Watchdog:</w:t>
      </w:r>
      <w:r w:rsidRPr="00FA0F59">
        <w:rPr>
          <w:i/>
        </w:rPr>
        <w:t xml:space="preserve"> </w:t>
      </w:r>
      <w:r w:rsidRPr="00FA0F59">
        <w:rPr>
          <w:rFonts w:ascii="Arial" w:hAnsi="Arial" w:cs="Arial"/>
          <w:i/>
          <w:sz w:val="24"/>
          <w:szCs w:val="24"/>
        </w:rPr>
        <w:t xml:space="preserve">ethnic minorities need protection from unfair stop and search. </w:t>
      </w:r>
      <w:r>
        <w:rPr>
          <w:rFonts w:ascii="Arial" w:hAnsi="Arial" w:cs="Arial"/>
          <w:sz w:val="24"/>
          <w:szCs w:val="24"/>
        </w:rPr>
        <w:t>Available at:</w:t>
      </w:r>
    </w:p>
    <w:p w:rsidR="00721A61" w:rsidRDefault="0072092B" w:rsidP="00721A61">
      <w:pPr>
        <w:spacing w:after="0"/>
        <w:rPr>
          <w:rFonts w:ascii="Arial" w:hAnsi="Arial" w:cs="Arial"/>
          <w:sz w:val="24"/>
          <w:szCs w:val="24"/>
        </w:rPr>
      </w:pPr>
      <w:hyperlink r:id="rId17" w:history="1">
        <w:r w:rsidR="00721A61" w:rsidRPr="007C15CB">
          <w:rPr>
            <w:rStyle w:val="Hyperlink"/>
            <w:rFonts w:ascii="Arial" w:hAnsi="Arial" w:cs="Arial"/>
            <w:sz w:val="24"/>
            <w:szCs w:val="24"/>
          </w:rPr>
          <w:t>https://www.theguardian.com/uk-news/2022/apr/20/police-watchdog-ethnic-minorities-need-protection-from-unfair-stop-and-search</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FA0F59">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Innes, M. Roberts, C. Lowe, T. and Innes, H. (2020) Neighbourhood Policing: The Rise and </w:t>
      </w:r>
      <w:proofErr w:type="gramStart"/>
      <w:r>
        <w:rPr>
          <w:rFonts w:ascii="Arial" w:hAnsi="Arial" w:cs="Arial"/>
          <w:sz w:val="24"/>
          <w:szCs w:val="24"/>
        </w:rPr>
        <w:t>Fall</w:t>
      </w:r>
      <w:proofErr w:type="gramEnd"/>
      <w:r>
        <w:rPr>
          <w:rFonts w:ascii="Arial" w:hAnsi="Arial" w:cs="Arial"/>
          <w:sz w:val="24"/>
          <w:szCs w:val="24"/>
        </w:rPr>
        <w:t xml:space="preserve"> of a Policing Model [Online]. Oxford: Oxford University Press.</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ICOCO (2010) </w:t>
      </w:r>
      <w:r w:rsidRPr="00617448">
        <w:rPr>
          <w:rFonts w:ascii="Arial" w:hAnsi="Arial" w:cs="Arial"/>
          <w:sz w:val="24"/>
          <w:szCs w:val="24"/>
        </w:rPr>
        <w:t>Unders</w:t>
      </w:r>
      <w:r>
        <w:rPr>
          <w:rFonts w:ascii="Arial" w:hAnsi="Arial" w:cs="Arial"/>
          <w:sz w:val="24"/>
          <w:szCs w:val="24"/>
        </w:rPr>
        <w:t xml:space="preserve">tanding and monitoring tension and conflict in local </w:t>
      </w:r>
      <w:r w:rsidRPr="00617448">
        <w:rPr>
          <w:rFonts w:ascii="Arial" w:hAnsi="Arial" w:cs="Arial"/>
          <w:sz w:val="24"/>
          <w:szCs w:val="24"/>
        </w:rPr>
        <w:t>communities</w:t>
      </w:r>
      <w:r>
        <w:rPr>
          <w:rFonts w:ascii="Arial" w:hAnsi="Arial" w:cs="Arial"/>
          <w:sz w:val="24"/>
          <w:szCs w:val="24"/>
        </w:rPr>
        <w:t xml:space="preserve">: </w:t>
      </w:r>
      <w:r w:rsidRPr="00617448">
        <w:rPr>
          <w:rFonts w:ascii="Arial" w:hAnsi="Arial" w:cs="Arial"/>
          <w:sz w:val="24"/>
          <w:szCs w:val="24"/>
        </w:rPr>
        <w:t>A practical guide for local authorities, police service and partner agencie</w:t>
      </w:r>
      <w:r>
        <w:rPr>
          <w:rFonts w:ascii="Arial" w:hAnsi="Arial" w:cs="Arial"/>
          <w:sz w:val="24"/>
          <w:szCs w:val="24"/>
        </w:rPr>
        <w:t>s. Available at:</w:t>
      </w:r>
    </w:p>
    <w:p w:rsidR="00721A61" w:rsidRDefault="0072092B" w:rsidP="00721A61">
      <w:pPr>
        <w:spacing w:after="0"/>
        <w:rPr>
          <w:rFonts w:ascii="Arial" w:hAnsi="Arial" w:cs="Arial"/>
          <w:sz w:val="24"/>
          <w:szCs w:val="24"/>
        </w:rPr>
      </w:pPr>
      <w:hyperlink r:id="rId18" w:history="1">
        <w:r w:rsidR="00721A61" w:rsidRPr="007C15CB">
          <w:rPr>
            <w:rStyle w:val="Hyperlink"/>
            <w:rFonts w:ascii="Arial" w:hAnsi="Arial" w:cs="Arial"/>
            <w:sz w:val="24"/>
            <w:szCs w:val="24"/>
          </w:rPr>
          <w:t>http://www.tedcantle.co.uk/publications/033%20Tension%20monitoring%20guidance%20iCoCo%202010.pdf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617448">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Law, I. (2015) </w:t>
      </w:r>
      <w:proofErr w:type="spellStart"/>
      <w:r w:rsidRPr="00FE3B87">
        <w:rPr>
          <w:rFonts w:ascii="Arial" w:hAnsi="Arial" w:cs="Arial"/>
          <w:i/>
          <w:sz w:val="24"/>
          <w:szCs w:val="24"/>
        </w:rPr>
        <w:t>Scarman</w:t>
      </w:r>
      <w:proofErr w:type="spellEnd"/>
      <w:r w:rsidRPr="00FE3B87">
        <w:rPr>
          <w:rFonts w:ascii="Arial" w:hAnsi="Arial" w:cs="Arial"/>
          <w:i/>
          <w:sz w:val="24"/>
          <w:szCs w:val="24"/>
        </w:rPr>
        <w:t xml:space="preserve"> Report, The</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19" w:history="1">
        <w:r w:rsidR="00721A61" w:rsidRPr="007C15CB">
          <w:rPr>
            <w:rStyle w:val="Hyperlink"/>
            <w:rFonts w:ascii="Arial" w:hAnsi="Arial" w:cs="Arial"/>
            <w:sz w:val="24"/>
            <w:szCs w:val="24"/>
          </w:rPr>
          <w:t>https://onlinelibrary.wiley.com/doi/abs/10.1002/9781118663202.wberen102</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FE3B87">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Lister, S. </w:t>
      </w:r>
      <w:proofErr w:type="spellStart"/>
      <w:r>
        <w:rPr>
          <w:rFonts w:ascii="Arial" w:hAnsi="Arial" w:cs="Arial"/>
          <w:sz w:val="24"/>
          <w:szCs w:val="24"/>
        </w:rPr>
        <w:t>Platts</w:t>
      </w:r>
      <w:proofErr w:type="spellEnd"/>
      <w:r>
        <w:rPr>
          <w:rFonts w:ascii="Arial" w:hAnsi="Arial" w:cs="Arial"/>
          <w:sz w:val="24"/>
          <w:szCs w:val="24"/>
        </w:rPr>
        <w:t xml:space="preserve">-Fowler, D. and </w:t>
      </w:r>
      <w:proofErr w:type="spellStart"/>
      <w:r>
        <w:rPr>
          <w:rFonts w:ascii="Arial" w:hAnsi="Arial" w:cs="Arial"/>
          <w:sz w:val="24"/>
          <w:szCs w:val="24"/>
        </w:rPr>
        <w:t>Staniforth</w:t>
      </w:r>
      <w:proofErr w:type="spellEnd"/>
      <w:r>
        <w:rPr>
          <w:rFonts w:ascii="Arial" w:hAnsi="Arial" w:cs="Arial"/>
          <w:sz w:val="24"/>
          <w:szCs w:val="24"/>
        </w:rPr>
        <w:t xml:space="preserve">, A. (2006) </w:t>
      </w:r>
      <w:r w:rsidRPr="000F4ECF">
        <w:rPr>
          <w:rFonts w:ascii="Arial" w:hAnsi="Arial" w:cs="Arial"/>
          <w:i/>
          <w:sz w:val="24"/>
          <w:szCs w:val="24"/>
        </w:rPr>
        <w:t>Community Engagement: Evidence Review</w:t>
      </w:r>
      <w:r>
        <w:rPr>
          <w:rFonts w:ascii="Arial" w:hAnsi="Arial" w:cs="Arial"/>
          <w:i/>
          <w:sz w:val="24"/>
          <w:szCs w:val="24"/>
        </w:rPr>
        <w:t xml:space="preserve">. </w:t>
      </w:r>
      <w:r>
        <w:rPr>
          <w:rFonts w:ascii="Arial" w:hAnsi="Arial" w:cs="Arial"/>
          <w:sz w:val="24"/>
          <w:szCs w:val="24"/>
        </w:rPr>
        <w:t>Available at:</w:t>
      </w:r>
    </w:p>
    <w:p w:rsidR="00721A61" w:rsidRDefault="0072092B" w:rsidP="00721A61">
      <w:pPr>
        <w:spacing w:after="0"/>
        <w:rPr>
          <w:rFonts w:ascii="Arial" w:hAnsi="Arial" w:cs="Arial"/>
          <w:sz w:val="24"/>
          <w:szCs w:val="24"/>
        </w:rPr>
      </w:pPr>
      <w:hyperlink r:id="rId20" w:history="1">
        <w:r w:rsidR="00721A61" w:rsidRPr="007C15CB">
          <w:rPr>
            <w:rStyle w:val="Hyperlink"/>
            <w:rFonts w:ascii="Arial" w:hAnsi="Arial" w:cs="Arial"/>
            <w:sz w:val="24"/>
            <w:szCs w:val="24"/>
          </w:rPr>
          <w:t>https://www.n8research.org.uk/media/CommunityEngagement_EvidenceReview.pdf</w:t>
        </w:r>
      </w:hyperlink>
      <w:r w:rsidR="00721A61">
        <w:rPr>
          <w:rFonts w:ascii="Arial" w:hAnsi="Arial" w:cs="Arial"/>
          <w:sz w:val="24"/>
          <w:szCs w:val="24"/>
        </w:rPr>
        <w:t xml:space="preserve"> </w:t>
      </w:r>
    </w:p>
    <w:p w:rsidR="00721A61" w:rsidRPr="000F4ECF" w:rsidRDefault="00721A61" w:rsidP="00721A61">
      <w:pPr>
        <w:spacing w:after="0"/>
        <w:rPr>
          <w:rFonts w:ascii="Arial" w:hAnsi="Arial" w:cs="Arial"/>
          <w:sz w:val="24"/>
          <w:szCs w:val="24"/>
        </w:rPr>
      </w:pPr>
      <w:r>
        <w:rPr>
          <w:rFonts w:ascii="Arial" w:hAnsi="Arial" w:cs="Arial"/>
          <w:sz w:val="24"/>
          <w:szCs w:val="24"/>
        </w:rPr>
        <w:t>(Accessed: 18</w:t>
      </w:r>
      <w:r w:rsidRPr="000F4ECF">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Pr="00EB1239" w:rsidRDefault="00721A61" w:rsidP="00721A61">
      <w:pPr>
        <w:spacing w:after="0"/>
        <w:rPr>
          <w:rFonts w:ascii="Arial" w:hAnsi="Arial" w:cs="Arial"/>
          <w:i/>
          <w:sz w:val="24"/>
          <w:szCs w:val="24"/>
        </w:rPr>
      </w:pPr>
      <w:r>
        <w:rPr>
          <w:rFonts w:ascii="Arial" w:hAnsi="Arial" w:cs="Arial"/>
          <w:sz w:val="24"/>
          <w:szCs w:val="24"/>
        </w:rPr>
        <w:t xml:space="preserve">Lloyd, K. and Foster, J. (2009) </w:t>
      </w:r>
      <w:r w:rsidRPr="00EB1239">
        <w:rPr>
          <w:rFonts w:ascii="Arial" w:hAnsi="Arial" w:cs="Arial"/>
          <w:i/>
          <w:sz w:val="24"/>
          <w:szCs w:val="24"/>
        </w:rPr>
        <w:t>Citizen Focus and Community Engagement</w:t>
      </w:r>
    </w:p>
    <w:p w:rsidR="00721A61" w:rsidRDefault="00721A61" w:rsidP="00721A61">
      <w:pPr>
        <w:spacing w:after="0"/>
        <w:rPr>
          <w:rFonts w:ascii="Arial" w:hAnsi="Arial" w:cs="Arial"/>
          <w:sz w:val="24"/>
          <w:szCs w:val="24"/>
        </w:rPr>
      </w:pPr>
      <w:r w:rsidRPr="00EB1239">
        <w:rPr>
          <w:rFonts w:ascii="Arial" w:hAnsi="Arial" w:cs="Arial"/>
          <w:i/>
          <w:sz w:val="24"/>
          <w:szCs w:val="24"/>
        </w:rPr>
        <w:t xml:space="preserve">A Review of the Literature. </w:t>
      </w:r>
      <w:r>
        <w:rPr>
          <w:rFonts w:ascii="Arial" w:hAnsi="Arial" w:cs="Arial"/>
          <w:sz w:val="24"/>
          <w:szCs w:val="24"/>
        </w:rPr>
        <w:t>Available at:</w:t>
      </w:r>
    </w:p>
    <w:p w:rsidR="00721A61" w:rsidRDefault="0072092B" w:rsidP="00721A61">
      <w:pPr>
        <w:spacing w:after="0"/>
        <w:rPr>
          <w:rFonts w:ascii="Arial" w:hAnsi="Arial" w:cs="Arial"/>
          <w:sz w:val="24"/>
          <w:szCs w:val="24"/>
        </w:rPr>
      </w:pPr>
      <w:hyperlink r:id="rId21" w:history="1">
        <w:r w:rsidR="00721A61" w:rsidRPr="007C15CB">
          <w:rPr>
            <w:rStyle w:val="Hyperlink"/>
            <w:rFonts w:ascii="Arial" w:hAnsi="Arial" w:cs="Arial"/>
            <w:sz w:val="24"/>
            <w:szCs w:val="24"/>
          </w:rPr>
          <w:t>https://www.policefoundation.org.uk/2017/wpcontent/uploads/2017/06/citizen_focus.pdf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EB1239">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proofErr w:type="spellStart"/>
      <w:r>
        <w:rPr>
          <w:rFonts w:ascii="Arial" w:hAnsi="Arial" w:cs="Arial"/>
          <w:sz w:val="24"/>
          <w:szCs w:val="24"/>
        </w:rPr>
        <w:t>Mohdin</w:t>
      </w:r>
      <w:proofErr w:type="spellEnd"/>
      <w:r>
        <w:rPr>
          <w:rFonts w:ascii="Arial" w:hAnsi="Arial" w:cs="Arial"/>
          <w:sz w:val="24"/>
          <w:szCs w:val="24"/>
        </w:rPr>
        <w:t xml:space="preserve">, A. (2021) </w:t>
      </w:r>
      <w:r w:rsidRPr="0005104D">
        <w:rPr>
          <w:rFonts w:ascii="Arial" w:hAnsi="Arial" w:cs="Arial"/>
          <w:i/>
          <w:sz w:val="24"/>
          <w:szCs w:val="24"/>
        </w:rPr>
        <w:t>The Brixton riots 40 years on: ‘A watershed moment for race relations’</w:t>
      </w:r>
      <w:r>
        <w:rPr>
          <w:rFonts w:ascii="Arial" w:hAnsi="Arial" w:cs="Arial"/>
          <w:i/>
          <w:sz w:val="24"/>
          <w:szCs w:val="24"/>
        </w:rPr>
        <w:t xml:space="preserve">. </w:t>
      </w:r>
      <w:r>
        <w:rPr>
          <w:rFonts w:ascii="Arial" w:hAnsi="Arial" w:cs="Arial"/>
          <w:sz w:val="24"/>
          <w:szCs w:val="24"/>
        </w:rPr>
        <w:t>Available at:</w:t>
      </w:r>
    </w:p>
    <w:p w:rsidR="00721A61" w:rsidRDefault="0072092B" w:rsidP="00721A61">
      <w:pPr>
        <w:spacing w:after="0"/>
        <w:rPr>
          <w:rFonts w:ascii="Arial" w:hAnsi="Arial" w:cs="Arial"/>
          <w:sz w:val="24"/>
          <w:szCs w:val="24"/>
        </w:rPr>
      </w:pPr>
      <w:hyperlink r:id="rId22" w:history="1">
        <w:r w:rsidR="00721A61" w:rsidRPr="007C15CB">
          <w:rPr>
            <w:rStyle w:val="Hyperlink"/>
            <w:rFonts w:ascii="Arial" w:hAnsi="Arial" w:cs="Arial"/>
            <w:sz w:val="24"/>
            <w:szCs w:val="24"/>
          </w:rPr>
          <w:t>https://www.theguardian.com/world/2021/apr/11/brixton-riots-40-years-on-a-watershed-moment-for-race-relations</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05104D">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proofErr w:type="spellStart"/>
      <w:r>
        <w:rPr>
          <w:rFonts w:ascii="Arial" w:hAnsi="Arial" w:cs="Arial"/>
          <w:sz w:val="24"/>
          <w:szCs w:val="24"/>
        </w:rPr>
        <w:t>Newburn</w:t>
      </w:r>
      <w:proofErr w:type="spellEnd"/>
      <w:r>
        <w:rPr>
          <w:rFonts w:ascii="Arial" w:hAnsi="Arial" w:cs="Arial"/>
          <w:sz w:val="24"/>
          <w:szCs w:val="24"/>
        </w:rPr>
        <w:t xml:space="preserve">, T. and </w:t>
      </w:r>
      <w:proofErr w:type="spellStart"/>
      <w:r>
        <w:rPr>
          <w:rFonts w:ascii="Arial" w:hAnsi="Arial" w:cs="Arial"/>
          <w:sz w:val="24"/>
          <w:szCs w:val="24"/>
        </w:rPr>
        <w:t>Neyroud</w:t>
      </w:r>
      <w:proofErr w:type="spellEnd"/>
      <w:r>
        <w:rPr>
          <w:rFonts w:ascii="Arial" w:hAnsi="Arial" w:cs="Arial"/>
          <w:sz w:val="24"/>
          <w:szCs w:val="24"/>
        </w:rPr>
        <w:t xml:space="preserve">, P. (2013) </w:t>
      </w:r>
      <w:r w:rsidRPr="00A87E96">
        <w:rPr>
          <w:rFonts w:ascii="Arial" w:hAnsi="Arial" w:cs="Arial"/>
          <w:i/>
          <w:sz w:val="24"/>
          <w:szCs w:val="24"/>
        </w:rPr>
        <w:t>Dictionary of Policing</w:t>
      </w:r>
      <w:r>
        <w:rPr>
          <w:rFonts w:ascii="Arial" w:hAnsi="Arial" w:cs="Arial"/>
          <w:sz w:val="24"/>
          <w:szCs w:val="24"/>
        </w:rPr>
        <w:t xml:space="preserve"> [Online]. Oxon: Routledge.</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sidRPr="00B40BFD">
        <w:rPr>
          <w:rFonts w:ascii="Arial" w:hAnsi="Arial" w:cs="Arial"/>
          <w:sz w:val="24"/>
          <w:szCs w:val="24"/>
        </w:rPr>
        <w:t>Police Reform and Social Responsibility Act 2011</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23" w:anchor=":~:text=34Engagement%20with%20local%20people&amp;text=(1)A%20chief%20officer%20of,and%20disorder%20in%20that%20neighbourhood" w:history="1">
        <w:r w:rsidR="00721A61" w:rsidRPr="007C15CB">
          <w:rPr>
            <w:rStyle w:val="Hyperlink"/>
            <w:rFonts w:ascii="Arial" w:hAnsi="Arial" w:cs="Arial"/>
            <w:sz w:val="24"/>
            <w:szCs w:val="24"/>
          </w:rPr>
          <w:t>https://www.legislation.gov.uk/ukpga/2011/13/section/34#:~:text=34Engagement%20with%20local%20people&amp;text=(1)A%20chief%20officer%20of,and%20disorder%20in%20that%20neighbourhood</w:t>
        </w:r>
      </w:hyperlink>
      <w:r w:rsidR="00721A61" w:rsidRPr="00B40BFD">
        <w:rPr>
          <w:rFonts w:ascii="Arial" w:hAnsi="Arial" w:cs="Arial"/>
          <w:sz w:val="24"/>
          <w:szCs w:val="24"/>
        </w:rPr>
        <w:t>.</w:t>
      </w:r>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B40BFD">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Safer World (2006) </w:t>
      </w:r>
      <w:proofErr w:type="gramStart"/>
      <w:r w:rsidRPr="000F4ECF">
        <w:rPr>
          <w:rFonts w:ascii="Arial" w:hAnsi="Arial" w:cs="Arial"/>
          <w:i/>
          <w:sz w:val="24"/>
          <w:szCs w:val="24"/>
        </w:rPr>
        <w:t>The</w:t>
      </w:r>
      <w:proofErr w:type="gramEnd"/>
      <w:r w:rsidRPr="000F4ECF">
        <w:rPr>
          <w:rFonts w:ascii="Arial" w:hAnsi="Arial" w:cs="Arial"/>
          <w:i/>
          <w:sz w:val="24"/>
          <w:szCs w:val="24"/>
        </w:rPr>
        <w:t xml:space="preserve"> ten principles of community-based policing</w:t>
      </w:r>
      <w:r>
        <w:rPr>
          <w:rFonts w:ascii="Arial" w:hAnsi="Arial" w:cs="Arial"/>
          <w:i/>
          <w:sz w:val="24"/>
          <w:szCs w:val="24"/>
        </w:rPr>
        <w:t xml:space="preserve">. </w:t>
      </w:r>
      <w:r>
        <w:rPr>
          <w:rFonts w:ascii="Arial" w:hAnsi="Arial" w:cs="Arial"/>
          <w:sz w:val="24"/>
          <w:szCs w:val="24"/>
        </w:rPr>
        <w:t>Available at:</w:t>
      </w:r>
    </w:p>
    <w:p w:rsidR="00721A61" w:rsidRDefault="0072092B" w:rsidP="00721A61">
      <w:pPr>
        <w:spacing w:after="0"/>
        <w:rPr>
          <w:rFonts w:ascii="Arial" w:hAnsi="Arial" w:cs="Arial"/>
          <w:sz w:val="24"/>
          <w:szCs w:val="24"/>
        </w:rPr>
      </w:pPr>
      <w:hyperlink r:id="rId24" w:history="1">
        <w:r w:rsidR="00721A61" w:rsidRPr="007C15CB">
          <w:rPr>
            <w:rStyle w:val="Hyperlink"/>
            <w:rFonts w:ascii="Arial" w:hAnsi="Arial" w:cs="Arial"/>
            <w:sz w:val="24"/>
            <w:szCs w:val="24"/>
          </w:rPr>
          <w:t>file:///C:/Users/407420/Downloads/CBP_Training_Sample_Handout_Ten_Principles_of_CBP.pdf</w:t>
        </w:r>
      </w:hyperlink>
      <w:r w:rsidR="00721A61">
        <w:rPr>
          <w:rFonts w:ascii="Arial" w:hAnsi="Arial" w:cs="Arial"/>
          <w:sz w:val="24"/>
          <w:szCs w:val="24"/>
        </w:rPr>
        <w:t xml:space="preserve"> </w:t>
      </w:r>
    </w:p>
    <w:p w:rsidR="00721A61" w:rsidRPr="00991527" w:rsidRDefault="00721A61" w:rsidP="00721A61">
      <w:pPr>
        <w:spacing w:after="0"/>
        <w:rPr>
          <w:rFonts w:ascii="Arial" w:hAnsi="Arial" w:cs="Arial"/>
          <w:sz w:val="24"/>
          <w:szCs w:val="24"/>
        </w:rPr>
      </w:pPr>
      <w:r>
        <w:rPr>
          <w:rFonts w:ascii="Arial" w:hAnsi="Arial" w:cs="Arial"/>
          <w:sz w:val="24"/>
          <w:szCs w:val="24"/>
        </w:rPr>
        <w:t>(Accessed: 19</w:t>
      </w:r>
      <w:r w:rsidRPr="00991527">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Pr="000314BD" w:rsidRDefault="00721A61" w:rsidP="00721A61">
      <w:pPr>
        <w:spacing w:after="0"/>
        <w:rPr>
          <w:rFonts w:ascii="Arial" w:hAnsi="Arial" w:cs="Arial"/>
          <w:sz w:val="24"/>
          <w:szCs w:val="24"/>
        </w:rPr>
      </w:pPr>
      <w:r>
        <w:rPr>
          <w:rFonts w:ascii="Arial" w:hAnsi="Arial" w:cs="Arial"/>
          <w:sz w:val="24"/>
          <w:szCs w:val="24"/>
        </w:rPr>
        <w:t xml:space="preserve">The Police Foundation (2020) </w:t>
      </w:r>
      <w:proofErr w:type="gramStart"/>
      <w:r w:rsidRPr="00C60A4C">
        <w:rPr>
          <w:rFonts w:ascii="Arial" w:hAnsi="Arial" w:cs="Arial"/>
          <w:i/>
          <w:sz w:val="24"/>
          <w:szCs w:val="24"/>
        </w:rPr>
        <w:t>The</w:t>
      </w:r>
      <w:proofErr w:type="gramEnd"/>
      <w:r w:rsidRPr="00C60A4C">
        <w:rPr>
          <w:rFonts w:ascii="Arial" w:hAnsi="Arial" w:cs="Arial"/>
          <w:i/>
          <w:sz w:val="24"/>
          <w:szCs w:val="24"/>
        </w:rPr>
        <w:t xml:space="preserve"> public want the police to be more visible and to focus on core tasks, according to new research</w:t>
      </w:r>
      <w:r>
        <w:rPr>
          <w:rFonts w:ascii="Arial" w:hAnsi="Arial" w:cs="Arial"/>
          <w:i/>
          <w:sz w:val="24"/>
          <w:szCs w:val="24"/>
        </w:rPr>
        <w:t xml:space="preserve">. </w:t>
      </w:r>
      <w:r>
        <w:rPr>
          <w:rFonts w:ascii="Arial" w:hAnsi="Arial" w:cs="Arial"/>
          <w:sz w:val="24"/>
          <w:szCs w:val="24"/>
        </w:rPr>
        <w:t>Available at:</w:t>
      </w:r>
    </w:p>
    <w:p w:rsidR="00721A61" w:rsidRDefault="0072092B" w:rsidP="00721A61">
      <w:pPr>
        <w:spacing w:after="0"/>
        <w:rPr>
          <w:rFonts w:ascii="Arial" w:hAnsi="Arial" w:cs="Arial"/>
          <w:sz w:val="24"/>
          <w:szCs w:val="24"/>
        </w:rPr>
      </w:pPr>
      <w:hyperlink r:id="rId25" w:history="1">
        <w:r w:rsidR="00721A61" w:rsidRPr="007C15CB">
          <w:rPr>
            <w:rStyle w:val="Hyperlink"/>
            <w:rFonts w:ascii="Arial" w:hAnsi="Arial" w:cs="Arial"/>
            <w:sz w:val="24"/>
            <w:szCs w:val="24"/>
          </w:rPr>
          <w:t>https://www.police-foundation.org.uk/news/the-public-want-the-police-to-be-more-visible-and-to-focus-on-core-tasks-according-to-new-research/</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C60A4C">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UK Government (2006) </w:t>
      </w:r>
      <w:r w:rsidRPr="0005104D">
        <w:rPr>
          <w:rFonts w:ascii="Arial" w:hAnsi="Arial" w:cs="Arial"/>
          <w:i/>
          <w:sz w:val="24"/>
          <w:szCs w:val="24"/>
        </w:rPr>
        <w:t>Home Office Research Study 296: An evaluation of the impact of the National Reassurance Policing Programme</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26" w:history="1">
        <w:r w:rsidR="00721A61" w:rsidRPr="007C15CB">
          <w:rPr>
            <w:rStyle w:val="Hyperlink"/>
            <w:rFonts w:ascii="Arial" w:hAnsi="Arial" w:cs="Arial"/>
            <w:sz w:val="24"/>
            <w:szCs w:val="24"/>
          </w:rPr>
          <w:t>https://library.college.police.uk/docs/hors/hors296.pdf</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18</w:t>
      </w:r>
      <w:r w:rsidRPr="0005104D">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Pr="00595211" w:rsidRDefault="00721A61" w:rsidP="00721A61">
      <w:pPr>
        <w:spacing w:after="0"/>
        <w:rPr>
          <w:rFonts w:ascii="Arial" w:hAnsi="Arial" w:cs="Arial"/>
          <w:sz w:val="24"/>
          <w:szCs w:val="24"/>
        </w:rPr>
      </w:pPr>
      <w:r>
        <w:rPr>
          <w:rFonts w:ascii="Arial" w:hAnsi="Arial" w:cs="Arial"/>
          <w:sz w:val="24"/>
          <w:szCs w:val="24"/>
        </w:rPr>
        <w:t xml:space="preserve">UK Government (2021) </w:t>
      </w:r>
      <w:r w:rsidRPr="00595211">
        <w:rPr>
          <w:rFonts w:ascii="Arial" w:hAnsi="Arial" w:cs="Arial"/>
          <w:i/>
          <w:sz w:val="24"/>
          <w:szCs w:val="24"/>
        </w:rPr>
        <w:t>Guidance</w:t>
      </w:r>
      <w:r>
        <w:rPr>
          <w:rFonts w:ascii="Arial" w:hAnsi="Arial" w:cs="Arial"/>
          <w:i/>
          <w:sz w:val="24"/>
          <w:szCs w:val="24"/>
        </w:rPr>
        <w:t>:</w:t>
      </w:r>
      <w:r w:rsidRPr="00595211">
        <w:rPr>
          <w:rFonts w:ascii="Arial" w:hAnsi="Arial" w:cs="Arial"/>
          <w:i/>
          <w:sz w:val="24"/>
          <w:szCs w:val="24"/>
        </w:rPr>
        <w:t xml:space="preserve"> Anti-social behaviour (ASB) case review (also known as the Community Trigger)</w:t>
      </w:r>
      <w:r>
        <w:rPr>
          <w:rFonts w:ascii="Arial" w:hAnsi="Arial" w:cs="Arial"/>
          <w:i/>
          <w:sz w:val="24"/>
          <w:szCs w:val="24"/>
        </w:rPr>
        <w:t xml:space="preserve">. </w:t>
      </w:r>
      <w:r>
        <w:rPr>
          <w:rFonts w:ascii="Arial" w:hAnsi="Arial" w:cs="Arial"/>
          <w:sz w:val="24"/>
          <w:szCs w:val="24"/>
        </w:rPr>
        <w:t>Available at:</w:t>
      </w:r>
    </w:p>
    <w:p w:rsidR="00721A61" w:rsidRPr="0005104D" w:rsidRDefault="0072092B" w:rsidP="00721A61">
      <w:pPr>
        <w:spacing w:after="0"/>
        <w:rPr>
          <w:rFonts w:ascii="Arial" w:hAnsi="Arial" w:cs="Arial"/>
          <w:sz w:val="24"/>
          <w:szCs w:val="24"/>
        </w:rPr>
      </w:pPr>
      <w:hyperlink r:id="rId27" w:history="1">
        <w:r w:rsidR="00721A61" w:rsidRPr="007C15CB">
          <w:rPr>
            <w:rStyle w:val="Hyperlink"/>
            <w:rFonts w:ascii="Arial" w:hAnsi="Arial" w:cs="Arial"/>
            <w:sz w:val="24"/>
            <w:szCs w:val="24"/>
          </w:rPr>
          <w:t>https://www.gov.uk/guidance/anti-social-behaviour-asb-case-review-also-known-as-the-community-trigger</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19</w:t>
      </w:r>
      <w:r w:rsidRPr="00595211">
        <w:rPr>
          <w:rFonts w:ascii="Arial" w:hAnsi="Arial" w:cs="Arial"/>
          <w:sz w:val="24"/>
          <w:szCs w:val="24"/>
          <w:vertAlign w:val="superscript"/>
        </w:rPr>
        <w:t>th</w:t>
      </w:r>
      <w:r>
        <w:rPr>
          <w:rFonts w:ascii="Arial" w:hAnsi="Arial" w:cs="Arial"/>
          <w:sz w:val="24"/>
          <w:szCs w:val="24"/>
        </w:rPr>
        <w:t xml:space="preserve">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UK Government (2021) </w:t>
      </w:r>
      <w:r w:rsidRPr="00B40BFD">
        <w:rPr>
          <w:rFonts w:ascii="Arial" w:hAnsi="Arial" w:cs="Arial"/>
          <w:i/>
          <w:sz w:val="24"/>
          <w:szCs w:val="24"/>
        </w:rPr>
        <w:t>Confidence in the local police</w:t>
      </w:r>
      <w:r>
        <w:rPr>
          <w:rFonts w:ascii="Arial" w:hAnsi="Arial" w:cs="Arial"/>
          <w:sz w:val="24"/>
          <w:szCs w:val="24"/>
        </w:rPr>
        <w:t>. Available at:</w:t>
      </w:r>
    </w:p>
    <w:p w:rsidR="00721A61" w:rsidRDefault="0072092B" w:rsidP="00721A61">
      <w:pPr>
        <w:spacing w:after="0"/>
        <w:rPr>
          <w:rFonts w:ascii="Arial" w:hAnsi="Arial" w:cs="Arial"/>
          <w:sz w:val="24"/>
          <w:szCs w:val="24"/>
        </w:rPr>
      </w:pPr>
      <w:hyperlink r:id="rId28" w:history="1">
        <w:r w:rsidR="00721A61" w:rsidRPr="007C15CB">
          <w:rPr>
            <w:rStyle w:val="Hyperlink"/>
            <w:rFonts w:ascii="Arial" w:hAnsi="Arial" w:cs="Arial"/>
            <w:sz w:val="24"/>
            <w:szCs w:val="24"/>
          </w:rPr>
          <w:t>https://www.ethnicity-facts-figures.service.gov.uk/crime-justice-and-the-law/policing/confidence-in-the-local-police/latest</w:t>
        </w:r>
      </w:hyperlink>
      <w:r w:rsidR="00721A61">
        <w:rPr>
          <w:rFonts w:ascii="Arial" w:hAnsi="Arial" w:cs="Arial"/>
          <w:sz w:val="24"/>
          <w:szCs w:val="24"/>
        </w:rPr>
        <w:t xml:space="preserve"> </w:t>
      </w:r>
    </w:p>
    <w:p w:rsidR="00721A61" w:rsidRPr="008C04B2" w:rsidRDefault="00721A61" w:rsidP="00721A61">
      <w:pPr>
        <w:spacing w:after="0"/>
        <w:rPr>
          <w:rFonts w:ascii="Arial" w:hAnsi="Arial" w:cs="Arial"/>
          <w:sz w:val="24"/>
          <w:szCs w:val="24"/>
        </w:rPr>
      </w:pPr>
      <w:r>
        <w:rPr>
          <w:rFonts w:ascii="Arial" w:hAnsi="Arial" w:cs="Arial"/>
          <w:sz w:val="24"/>
          <w:szCs w:val="24"/>
        </w:rPr>
        <w:t>(Accessed: 18</w:t>
      </w:r>
      <w:r w:rsidRPr="00B40BFD">
        <w:rPr>
          <w:rFonts w:ascii="Arial" w:hAnsi="Arial" w:cs="Arial"/>
          <w:sz w:val="24"/>
          <w:szCs w:val="24"/>
          <w:vertAlign w:val="superscript"/>
        </w:rPr>
        <w:t>th</w:t>
      </w:r>
      <w:r>
        <w:rPr>
          <w:rFonts w:ascii="Arial" w:hAnsi="Arial" w:cs="Arial"/>
          <w:sz w:val="24"/>
          <w:szCs w:val="24"/>
        </w:rPr>
        <w:t xml:space="preserve"> May 2022)</w:t>
      </w:r>
    </w:p>
    <w:p w:rsidR="00721A61" w:rsidRPr="00721A61" w:rsidRDefault="00721A61" w:rsidP="00721A61">
      <w:pPr>
        <w:spacing w:after="0" w:line="480" w:lineRule="auto"/>
        <w:rPr>
          <w:rFonts w:ascii="Arial" w:hAnsi="Arial" w:cs="Arial"/>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p>
    <w:p w:rsidR="00721A61" w:rsidRDefault="00721A61" w:rsidP="00721A61">
      <w:pPr>
        <w:spacing w:after="0" w:line="480" w:lineRule="auto"/>
        <w:rPr>
          <w:rFonts w:ascii="Arial" w:hAnsi="Arial" w:cs="Arial"/>
          <w:b/>
          <w:sz w:val="24"/>
          <w:szCs w:val="24"/>
        </w:rPr>
      </w:pPr>
      <w:r>
        <w:rPr>
          <w:rFonts w:ascii="Arial" w:hAnsi="Arial" w:cs="Arial"/>
          <w:b/>
          <w:sz w:val="24"/>
          <w:szCs w:val="24"/>
        </w:rPr>
        <w:t>Assignment 2 – Bibliography</w:t>
      </w:r>
    </w:p>
    <w:p w:rsidR="00721A61" w:rsidRDefault="00721A61" w:rsidP="00721A61">
      <w:pPr>
        <w:spacing w:after="0" w:line="480" w:lineRule="auto"/>
        <w:rPr>
          <w:rFonts w:ascii="Arial" w:hAnsi="Arial" w:cs="Arial"/>
          <w:b/>
          <w:sz w:val="24"/>
          <w:szCs w:val="24"/>
        </w:rPr>
      </w:pPr>
    </w:p>
    <w:p w:rsidR="00721A61" w:rsidRDefault="00721A61" w:rsidP="00721A61">
      <w:pPr>
        <w:spacing w:after="0"/>
        <w:rPr>
          <w:rFonts w:ascii="Arial" w:hAnsi="Arial" w:cs="Arial"/>
          <w:sz w:val="24"/>
          <w:szCs w:val="24"/>
        </w:rPr>
      </w:pPr>
      <w:r w:rsidRPr="00C52B1D">
        <w:rPr>
          <w:rFonts w:ascii="Arial" w:hAnsi="Arial" w:cs="Arial"/>
          <w:sz w:val="24"/>
          <w:szCs w:val="24"/>
        </w:rPr>
        <w:t>Adams-</w:t>
      </w:r>
      <w:proofErr w:type="spellStart"/>
      <w:r w:rsidRPr="00C52B1D">
        <w:rPr>
          <w:rFonts w:ascii="Arial" w:hAnsi="Arial" w:cs="Arial"/>
          <w:sz w:val="24"/>
          <w:szCs w:val="24"/>
        </w:rPr>
        <w:t>Quackenbush</w:t>
      </w:r>
      <w:proofErr w:type="spellEnd"/>
      <w:r w:rsidRPr="00C52B1D">
        <w:rPr>
          <w:rFonts w:ascii="Arial" w:hAnsi="Arial" w:cs="Arial"/>
          <w:sz w:val="24"/>
          <w:szCs w:val="24"/>
        </w:rPr>
        <w:t xml:space="preserve">, N.M. </w:t>
      </w:r>
      <w:proofErr w:type="spellStart"/>
      <w:r w:rsidRPr="00C52B1D">
        <w:rPr>
          <w:rFonts w:ascii="Arial" w:hAnsi="Arial" w:cs="Arial"/>
          <w:sz w:val="24"/>
          <w:szCs w:val="24"/>
        </w:rPr>
        <w:t>Horselenberg</w:t>
      </w:r>
      <w:proofErr w:type="spellEnd"/>
      <w:r w:rsidRPr="00C52B1D">
        <w:rPr>
          <w:rFonts w:ascii="Arial" w:hAnsi="Arial" w:cs="Arial"/>
          <w:sz w:val="24"/>
          <w:szCs w:val="24"/>
        </w:rPr>
        <w:t xml:space="preserve">, R. and Van </w:t>
      </w:r>
      <w:proofErr w:type="spellStart"/>
      <w:r w:rsidRPr="00C52B1D">
        <w:rPr>
          <w:rFonts w:ascii="Arial" w:hAnsi="Arial" w:cs="Arial"/>
          <w:sz w:val="24"/>
          <w:szCs w:val="24"/>
        </w:rPr>
        <w:t>Koppen</w:t>
      </w:r>
      <w:proofErr w:type="spellEnd"/>
      <w:r w:rsidRPr="00C52B1D">
        <w:rPr>
          <w:rFonts w:ascii="Arial" w:hAnsi="Arial" w:cs="Arial"/>
          <w:sz w:val="24"/>
          <w:szCs w:val="24"/>
        </w:rPr>
        <w:t xml:space="preserve">, P. J. (2018) </w:t>
      </w:r>
      <w:r w:rsidRPr="00C52B1D">
        <w:rPr>
          <w:rFonts w:ascii="Arial" w:hAnsi="Arial" w:cs="Arial"/>
          <w:i/>
          <w:sz w:val="24"/>
          <w:szCs w:val="24"/>
        </w:rPr>
        <w:t xml:space="preserve">Where Bias Begins: a Snapshot of Police Officers’ Beliefs </w:t>
      </w:r>
      <w:proofErr w:type="gramStart"/>
      <w:r w:rsidRPr="00C52B1D">
        <w:rPr>
          <w:rFonts w:ascii="Arial" w:hAnsi="Arial" w:cs="Arial"/>
          <w:i/>
          <w:sz w:val="24"/>
          <w:szCs w:val="24"/>
        </w:rPr>
        <w:t>About</w:t>
      </w:r>
      <w:proofErr w:type="gramEnd"/>
      <w:r w:rsidRPr="00C52B1D">
        <w:rPr>
          <w:rFonts w:ascii="Arial" w:hAnsi="Arial" w:cs="Arial"/>
          <w:i/>
          <w:sz w:val="24"/>
          <w:szCs w:val="24"/>
        </w:rPr>
        <w:t xml:space="preserve"> Factors that Influence the Investigative Interview with Suspects.</w:t>
      </w:r>
      <w:r w:rsidRPr="00C52B1D">
        <w:rPr>
          <w:rFonts w:ascii="Arial" w:hAnsi="Arial" w:cs="Arial"/>
          <w:sz w:val="24"/>
          <w:szCs w:val="24"/>
        </w:rPr>
        <w:t xml:space="preserve"> Available at: </w:t>
      </w:r>
      <w:hyperlink r:id="rId29" w:history="1">
        <w:r w:rsidRPr="00DA0558">
          <w:rPr>
            <w:rStyle w:val="Hyperlink"/>
            <w:rFonts w:ascii="Arial" w:hAnsi="Arial" w:cs="Arial"/>
            <w:sz w:val="24"/>
            <w:szCs w:val="24"/>
          </w:rPr>
          <w:t>https://link.springer.com/article/10.1007/s11896-018-9301-1</w:t>
        </w:r>
      </w:hyperlink>
    </w:p>
    <w:p w:rsidR="00721A61"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College of Policing (2014) </w:t>
      </w:r>
      <w:r w:rsidRPr="00C52B1D">
        <w:rPr>
          <w:rFonts w:ascii="Arial" w:hAnsi="Arial" w:cs="Arial"/>
          <w:i/>
          <w:sz w:val="24"/>
          <w:szCs w:val="24"/>
        </w:rPr>
        <w:t>Code of Ethics</w:t>
      </w:r>
      <w:r w:rsidRPr="00C52B1D">
        <w:rPr>
          <w:rFonts w:ascii="Arial" w:hAnsi="Arial" w:cs="Arial"/>
          <w:sz w:val="24"/>
          <w:szCs w:val="24"/>
        </w:rPr>
        <w:t xml:space="preserve">. Available at: </w:t>
      </w:r>
      <w:hyperlink r:id="rId30" w:history="1">
        <w:r w:rsidRPr="00DA0558">
          <w:rPr>
            <w:rStyle w:val="Hyperlink"/>
            <w:rFonts w:ascii="Arial" w:hAnsi="Arial" w:cs="Arial"/>
            <w:sz w:val="24"/>
            <w:szCs w:val="24"/>
          </w:rPr>
          <w:t>https://assets.college.police.uk/s3fs-public/2021-02/code_of_ethics.pdf</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10th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College of Policing (2022) </w:t>
      </w:r>
      <w:r w:rsidRPr="00C52B1D">
        <w:rPr>
          <w:rFonts w:ascii="Arial" w:hAnsi="Arial" w:cs="Arial"/>
          <w:i/>
          <w:sz w:val="24"/>
          <w:szCs w:val="24"/>
        </w:rPr>
        <w:t>Investigative Interviewing</w:t>
      </w:r>
      <w:r w:rsidRPr="00C52B1D">
        <w:rPr>
          <w:rFonts w:ascii="Arial" w:hAnsi="Arial" w:cs="Arial"/>
          <w:sz w:val="24"/>
          <w:szCs w:val="24"/>
        </w:rPr>
        <w:t xml:space="preserve">. Available at: </w:t>
      </w:r>
      <w:hyperlink r:id="rId31" w:history="1">
        <w:r w:rsidRPr="00DA0558">
          <w:rPr>
            <w:rStyle w:val="Hyperlink"/>
            <w:rFonts w:ascii="Arial" w:hAnsi="Arial" w:cs="Arial"/>
            <w:sz w:val="24"/>
            <w:szCs w:val="24"/>
          </w:rPr>
          <w:t>https://www.college.police.uk/app/investigation/investigative-interviewing/investigative-interviewing</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College of Policing (2022) </w:t>
      </w:r>
      <w:r w:rsidRPr="00C52B1D">
        <w:rPr>
          <w:rFonts w:ascii="Arial" w:hAnsi="Arial" w:cs="Arial"/>
          <w:i/>
          <w:sz w:val="24"/>
          <w:szCs w:val="24"/>
        </w:rPr>
        <w:t>Investigation Introduction</w:t>
      </w:r>
      <w:r w:rsidRPr="00C52B1D">
        <w:rPr>
          <w:rFonts w:ascii="Arial" w:hAnsi="Arial" w:cs="Arial"/>
          <w:sz w:val="24"/>
          <w:szCs w:val="24"/>
        </w:rPr>
        <w:t xml:space="preserve">. Available at: </w:t>
      </w:r>
      <w:hyperlink r:id="rId32" w:anchor="pip-level-2" w:history="1">
        <w:r w:rsidRPr="00DA0558">
          <w:rPr>
            <w:rStyle w:val="Hyperlink"/>
            <w:rFonts w:ascii="Arial" w:hAnsi="Arial" w:cs="Arial"/>
            <w:sz w:val="24"/>
            <w:szCs w:val="24"/>
          </w:rPr>
          <w:t>https://www.college.police.uk/app/investigation/investigation-introduction#pip-level-2</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Criminal Procedure and Investigations Act 1996</w:t>
      </w:r>
      <w:r>
        <w:rPr>
          <w:rFonts w:ascii="Arial" w:hAnsi="Arial" w:cs="Arial"/>
          <w:sz w:val="24"/>
          <w:szCs w:val="24"/>
        </w:rPr>
        <w:t xml:space="preserve">. </w:t>
      </w:r>
      <w:r w:rsidRPr="00C52B1D">
        <w:rPr>
          <w:rFonts w:ascii="Arial" w:hAnsi="Arial" w:cs="Arial"/>
          <w:sz w:val="24"/>
          <w:szCs w:val="24"/>
        </w:rPr>
        <w:t xml:space="preserve">Available at: </w:t>
      </w:r>
      <w:hyperlink r:id="rId33" w:history="1">
        <w:r w:rsidRPr="00DA0558">
          <w:rPr>
            <w:rStyle w:val="Hyperlink"/>
            <w:rFonts w:ascii="Arial" w:hAnsi="Arial" w:cs="Arial"/>
            <w:sz w:val="24"/>
            <w:szCs w:val="24"/>
          </w:rPr>
          <w:t>https://www.legislation.gov.uk/ukpga/1996/25/contents</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t xml:space="preserve">Dando, C. Wilcock, R. </w:t>
      </w:r>
      <w:proofErr w:type="spellStart"/>
      <w:r>
        <w:rPr>
          <w:rFonts w:ascii="Arial" w:hAnsi="Arial" w:cs="Arial"/>
          <w:sz w:val="24"/>
          <w:szCs w:val="24"/>
        </w:rPr>
        <w:t>Behnkle</w:t>
      </w:r>
      <w:proofErr w:type="spellEnd"/>
      <w:r>
        <w:rPr>
          <w:rFonts w:ascii="Arial" w:hAnsi="Arial" w:cs="Arial"/>
          <w:sz w:val="24"/>
          <w:szCs w:val="24"/>
        </w:rPr>
        <w:t>, C. and Milne, R. (2011) Modifying the cognitive interview: Countenancing forensic application by enhancing practicability. Available at:</w:t>
      </w:r>
    </w:p>
    <w:p w:rsidR="00721A61" w:rsidRDefault="0072092B" w:rsidP="00721A61">
      <w:pPr>
        <w:spacing w:after="0"/>
        <w:rPr>
          <w:rFonts w:ascii="Arial" w:hAnsi="Arial" w:cs="Arial"/>
          <w:sz w:val="24"/>
          <w:szCs w:val="24"/>
        </w:rPr>
      </w:pPr>
      <w:hyperlink r:id="rId34" w:history="1">
        <w:r w:rsidR="00721A61" w:rsidRPr="00DA0558">
          <w:rPr>
            <w:rStyle w:val="Hyperlink"/>
            <w:rFonts w:ascii="Arial" w:hAnsi="Arial" w:cs="Arial"/>
            <w:sz w:val="24"/>
            <w:szCs w:val="24"/>
          </w:rPr>
          <w:t>https://www.researchgate.net/publication/233439113_Modifying_the_cognitive_interview_Countenancing_forensic_application_by_enhancing_practicability</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Pr>
          <w:rFonts w:ascii="Arial" w:hAnsi="Arial" w:cs="Arial"/>
          <w:sz w:val="24"/>
          <w:szCs w:val="24"/>
        </w:rPr>
        <w:t>(Accessed: 10</w:t>
      </w:r>
      <w:r w:rsidRPr="00C52B1D">
        <w:rPr>
          <w:rFonts w:ascii="Arial" w:hAnsi="Arial" w:cs="Arial"/>
          <w:sz w:val="24"/>
          <w:szCs w:val="24"/>
          <w:vertAlign w:val="superscript"/>
        </w:rPr>
        <w:t>th</w:t>
      </w:r>
      <w:r>
        <w:rPr>
          <w:rFonts w:ascii="Arial" w:hAnsi="Arial" w:cs="Arial"/>
          <w:sz w:val="24"/>
          <w:szCs w:val="24"/>
        </w:rPr>
        <w:t xml:space="preserve"> May 2022)</w:t>
      </w:r>
    </w:p>
    <w:p w:rsidR="00721A61" w:rsidRPr="00C52B1D"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sidRPr="00C52B1D">
        <w:rPr>
          <w:rFonts w:ascii="Arial" w:hAnsi="Arial" w:cs="Arial"/>
          <w:sz w:val="24"/>
          <w:szCs w:val="24"/>
        </w:rPr>
        <w:t xml:space="preserve">Dickinson, J. J. Schreiber Compo, N. Carol, R. N. Schwartz, B. L. and McCauley, M. R. (2019) </w:t>
      </w:r>
      <w:r w:rsidRPr="00C52B1D">
        <w:rPr>
          <w:rFonts w:ascii="Arial" w:hAnsi="Arial" w:cs="Arial"/>
          <w:i/>
          <w:sz w:val="24"/>
          <w:szCs w:val="24"/>
        </w:rPr>
        <w:t>Evidence-Based Investigative Interviewing: Applying Cognitive Principles [</w:t>
      </w:r>
      <w:r w:rsidRPr="00C52B1D">
        <w:rPr>
          <w:rFonts w:ascii="Arial" w:hAnsi="Arial" w:cs="Arial"/>
          <w:sz w:val="24"/>
          <w:szCs w:val="24"/>
        </w:rPr>
        <w:t>Online]. Abingdon: Routledge.</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Equality Act 2010</w:t>
      </w:r>
      <w:r>
        <w:rPr>
          <w:rFonts w:ascii="Arial" w:hAnsi="Arial" w:cs="Arial"/>
          <w:sz w:val="24"/>
          <w:szCs w:val="24"/>
        </w:rPr>
        <w:t xml:space="preserve">. </w:t>
      </w:r>
      <w:r w:rsidRPr="00C52B1D">
        <w:rPr>
          <w:rFonts w:ascii="Arial" w:hAnsi="Arial" w:cs="Arial"/>
          <w:sz w:val="24"/>
          <w:szCs w:val="24"/>
        </w:rPr>
        <w:t xml:space="preserve">Available at: </w:t>
      </w:r>
      <w:hyperlink r:id="rId35" w:history="1">
        <w:r w:rsidRPr="00DA0558">
          <w:rPr>
            <w:rStyle w:val="Hyperlink"/>
            <w:rFonts w:ascii="Arial" w:hAnsi="Arial" w:cs="Arial"/>
            <w:sz w:val="24"/>
            <w:szCs w:val="24"/>
          </w:rPr>
          <w:t>https://www.legislation.gov.uk/ukpga/2010/15/contents</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10th May 2022)</w:t>
      </w:r>
    </w:p>
    <w:p w:rsidR="00721A61"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Pr>
          <w:rFonts w:ascii="Arial" w:hAnsi="Arial" w:cs="Arial"/>
          <w:sz w:val="24"/>
          <w:szCs w:val="24"/>
        </w:rPr>
        <w:lastRenderedPageBreak/>
        <w:t xml:space="preserve">Fisher, R. P. and </w:t>
      </w:r>
      <w:proofErr w:type="spellStart"/>
      <w:r>
        <w:rPr>
          <w:rFonts w:ascii="Arial" w:hAnsi="Arial" w:cs="Arial"/>
          <w:sz w:val="24"/>
          <w:szCs w:val="24"/>
        </w:rPr>
        <w:t>Geiselman</w:t>
      </w:r>
      <w:proofErr w:type="spellEnd"/>
      <w:r>
        <w:rPr>
          <w:rFonts w:ascii="Arial" w:hAnsi="Arial" w:cs="Arial"/>
          <w:sz w:val="24"/>
          <w:szCs w:val="24"/>
        </w:rPr>
        <w:t xml:space="preserve">, R. E. (1992) </w:t>
      </w:r>
      <w:r w:rsidRPr="004110AF">
        <w:rPr>
          <w:rFonts w:ascii="Arial" w:hAnsi="Arial" w:cs="Arial"/>
          <w:i/>
          <w:sz w:val="24"/>
          <w:szCs w:val="24"/>
        </w:rPr>
        <w:t>Memory-enhancing Techniques for Investigative Interviewing: The Cognitive Interview</w:t>
      </w:r>
      <w:r>
        <w:rPr>
          <w:rFonts w:ascii="Arial" w:hAnsi="Arial" w:cs="Arial"/>
          <w:sz w:val="24"/>
          <w:szCs w:val="24"/>
        </w:rPr>
        <w:t xml:space="preserve"> [Online]. Springfield: Charles C Thomas Publisher.</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Griffiths, A. and Milne, R. (2010) </w:t>
      </w:r>
      <w:proofErr w:type="gramStart"/>
      <w:r w:rsidRPr="00C52B1D">
        <w:rPr>
          <w:rFonts w:ascii="Arial" w:hAnsi="Arial" w:cs="Arial"/>
          <w:i/>
          <w:sz w:val="24"/>
          <w:szCs w:val="24"/>
        </w:rPr>
        <w:t>The</w:t>
      </w:r>
      <w:proofErr w:type="gramEnd"/>
      <w:r w:rsidRPr="00C52B1D">
        <w:rPr>
          <w:rFonts w:ascii="Arial" w:hAnsi="Arial" w:cs="Arial"/>
          <w:i/>
          <w:sz w:val="24"/>
          <w:szCs w:val="24"/>
        </w:rPr>
        <w:t xml:space="preserve"> Application of Cognitive Interview Techniques as Part of an Investigation</w:t>
      </w:r>
      <w:r w:rsidRPr="00C52B1D">
        <w:rPr>
          <w:rFonts w:ascii="Arial" w:hAnsi="Arial" w:cs="Arial"/>
          <w:sz w:val="24"/>
          <w:szCs w:val="24"/>
        </w:rPr>
        <w:t xml:space="preserve">. Available at: </w:t>
      </w:r>
      <w:hyperlink r:id="rId36" w:history="1">
        <w:r w:rsidRPr="00DA0558">
          <w:rPr>
            <w:rStyle w:val="Hyperlink"/>
            <w:rFonts w:ascii="Arial" w:hAnsi="Arial" w:cs="Arial"/>
            <w:sz w:val="24"/>
            <w:szCs w:val="24"/>
          </w:rPr>
          <w:t>https://www.researchgate.net/publication/229951700_The_Application_of_Cognitive_Interview_Techniques_as_Part_of_an_Investigation</w:t>
        </w:r>
      </w:hyperlink>
      <w:r>
        <w:rPr>
          <w:rFonts w:ascii="Arial" w:hAnsi="Arial" w:cs="Arial"/>
          <w:sz w:val="24"/>
          <w:szCs w:val="24"/>
        </w:rPr>
        <w:t xml:space="preserve"> </w:t>
      </w:r>
    </w:p>
    <w:p w:rsidR="00721A61" w:rsidRPr="00C52B1D" w:rsidRDefault="00721A61" w:rsidP="00721A61">
      <w:pPr>
        <w:spacing w:after="0"/>
        <w:rPr>
          <w:rFonts w:ascii="Arial" w:hAnsi="Arial" w:cs="Arial"/>
          <w:sz w:val="24"/>
          <w:szCs w:val="24"/>
        </w:rPr>
      </w:pPr>
      <w:r w:rsidRPr="00C52B1D">
        <w:rPr>
          <w:rFonts w:ascii="Arial" w:hAnsi="Arial" w:cs="Arial"/>
          <w:sz w:val="24"/>
          <w:szCs w:val="24"/>
        </w:rPr>
        <w:t>(Accessed: May 10th 2022)</w:t>
      </w:r>
    </w:p>
    <w:p w:rsidR="00721A61"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Human Rights Act 1998</w:t>
      </w:r>
      <w:r>
        <w:rPr>
          <w:rFonts w:ascii="Arial" w:hAnsi="Arial" w:cs="Arial"/>
          <w:sz w:val="24"/>
          <w:szCs w:val="24"/>
        </w:rPr>
        <w:t xml:space="preserve">. </w:t>
      </w:r>
      <w:r w:rsidRPr="00C52B1D">
        <w:rPr>
          <w:rFonts w:ascii="Arial" w:hAnsi="Arial" w:cs="Arial"/>
          <w:sz w:val="24"/>
          <w:szCs w:val="24"/>
        </w:rPr>
        <w:t xml:space="preserve">Available at: </w:t>
      </w:r>
      <w:hyperlink r:id="rId37" w:history="1">
        <w:r w:rsidRPr="00DA0558">
          <w:rPr>
            <w:rStyle w:val="Hyperlink"/>
            <w:rFonts w:ascii="Arial" w:hAnsi="Arial" w:cs="Arial"/>
            <w:sz w:val="24"/>
            <w:szCs w:val="24"/>
          </w:rPr>
          <w:t>https://www.legislation.gov.uk/ukpga/1998/42/contents</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10th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proofErr w:type="spellStart"/>
      <w:r w:rsidRPr="00C52B1D">
        <w:rPr>
          <w:rFonts w:ascii="Arial" w:hAnsi="Arial" w:cs="Arial"/>
          <w:sz w:val="24"/>
          <w:szCs w:val="24"/>
        </w:rPr>
        <w:t>Kahneman</w:t>
      </w:r>
      <w:proofErr w:type="spellEnd"/>
      <w:r w:rsidRPr="00C52B1D">
        <w:rPr>
          <w:rFonts w:ascii="Arial" w:hAnsi="Arial" w:cs="Arial"/>
          <w:sz w:val="24"/>
          <w:szCs w:val="24"/>
        </w:rPr>
        <w:t xml:space="preserve">, D. (2003). </w:t>
      </w:r>
      <w:r w:rsidRPr="00C52B1D">
        <w:rPr>
          <w:rFonts w:ascii="Arial" w:hAnsi="Arial" w:cs="Arial"/>
          <w:i/>
          <w:sz w:val="24"/>
          <w:szCs w:val="24"/>
        </w:rPr>
        <w:t>A perspective on judgment and choice: Mapping bounded rationality</w:t>
      </w:r>
      <w:r w:rsidRPr="00C52B1D">
        <w:rPr>
          <w:rFonts w:ascii="Arial" w:hAnsi="Arial" w:cs="Arial"/>
          <w:sz w:val="24"/>
          <w:szCs w:val="24"/>
        </w:rPr>
        <w:t xml:space="preserve">. American Psychologist, 58(9), 697–720. </w:t>
      </w:r>
      <w:hyperlink r:id="rId38" w:history="1">
        <w:r w:rsidRPr="00DA0558">
          <w:rPr>
            <w:rStyle w:val="Hyperlink"/>
            <w:rFonts w:ascii="Arial" w:hAnsi="Arial" w:cs="Arial"/>
            <w:sz w:val="24"/>
            <w:szCs w:val="24"/>
          </w:rPr>
          <w:t>https://doi.org/10.1037/0003-066X.58.9.697</w:t>
        </w:r>
      </w:hyperlink>
      <w:r>
        <w:rPr>
          <w:rFonts w:ascii="Arial" w:hAnsi="Arial" w:cs="Arial"/>
          <w:sz w:val="24"/>
          <w:szCs w:val="24"/>
        </w:rPr>
        <w:t xml:space="preserve"> </w:t>
      </w:r>
    </w:p>
    <w:p w:rsidR="00721A61" w:rsidRPr="00C52B1D"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Maclean, F. (2020) </w:t>
      </w:r>
      <w:r w:rsidRPr="00C52B1D">
        <w:rPr>
          <w:rFonts w:ascii="Arial" w:hAnsi="Arial" w:cs="Arial"/>
          <w:i/>
          <w:sz w:val="24"/>
          <w:szCs w:val="24"/>
        </w:rPr>
        <w:t xml:space="preserve">Evidence-based guidelines on effective investigations – improving the application of the investigative </w:t>
      </w:r>
      <w:proofErr w:type="spellStart"/>
      <w:r w:rsidRPr="00C52B1D">
        <w:rPr>
          <w:rFonts w:ascii="Arial" w:hAnsi="Arial" w:cs="Arial"/>
          <w:i/>
          <w:sz w:val="24"/>
          <w:szCs w:val="24"/>
        </w:rPr>
        <w:t>mindset</w:t>
      </w:r>
      <w:proofErr w:type="spellEnd"/>
      <w:r w:rsidRPr="00C52B1D">
        <w:rPr>
          <w:rFonts w:ascii="Arial" w:hAnsi="Arial" w:cs="Arial"/>
          <w:sz w:val="24"/>
          <w:szCs w:val="24"/>
        </w:rPr>
        <w:t xml:space="preserve">. Available at: </w:t>
      </w:r>
      <w:hyperlink r:id="rId39" w:history="1">
        <w:r w:rsidRPr="00DA0558">
          <w:rPr>
            <w:rStyle w:val="Hyperlink"/>
            <w:rFonts w:ascii="Arial" w:hAnsi="Arial" w:cs="Arial"/>
            <w:sz w:val="24"/>
            <w:szCs w:val="24"/>
          </w:rPr>
          <w:t>https://www.college.police.uk/research/projects/evidence-based-guidelines-effective-investigations-improving-application-investigative-mindset?projectid=937</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(Available at: 10th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proofErr w:type="spellStart"/>
      <w:proofErr w:type="gramStart"/>
      <w:r w:rsidRPr="00C52B1D">
        <w:rPr>
          <w:rFonts w:ascii="Arial" w:hAnsi="Arial" w:cs="Arial"/>
          <w:sz w:val="24"/>
          <w:szCs w:val="24"/>
        </w:rPr>
        <w:t>Newburn</w:t>
      </w:r>
      <w:proofErr w:type="spellEnd"/>
      <w:r w:rsidRPr="00C52B1D">
        <w:rPr>
          <w:rFonts w:ascii="Arial" w:hAnsi="Arial" w:cs="Arial"/>
          <w:sz w:val="24"/>
          <w:szCs w:val="24"/>
        </w:rPr>
        <w:t xml:space="preserve"> ,</w:t>
      </w:r>
      <w:proofErr w:type="gramEnd"/>
      <w:r w:rsidRPr="00C52B1D">
        <w:rPr>
          <w:rFonts w:ascii="Arial" w:hAnsi="Arial" w:cs="Arial"/>
          <w:sz w:val="24"/>
          <w:szCs w:val="24"/>
        </w:rPr>
        <w:t xml:space="preserve"> T. Williamson, T, and Wright, A. (2007) </w:t>
      </w:r>
      <w:r w:rsidRPr="00C52B1D">
        <w:rPr>
          <w:rFonts w:ascii="Arial" w:hAnsi="Arial" w:cs="Arial"/>
          <w:i/>
          <w:sz w:val="24"/>
          <w:szCs w:val="24"/>
        </w:rPr>
        <w:t>Handbook of Criminal Investigation</w:t>
      </w:r>
      <w:r w:rsidRPr="00C52B1D">
        <w:rPr>
          <w:rFonts w:ascii="Arial" w:hAnsi="Arial" w:cs="Arial"/>
          <w:sz w:val="24"/>
          <w:szCs w:val="24"/>
        </w:rPr>
        <w:t xml:space="preserve"> [Online]. </w:t>
      </w:r>
      <w:proofErr w:type="spellStart"/>
      <w:r w:rsidRPr="00C52B1D">
        <w:rPr>
          <w:rFonts w:ascii="Arial" w:hAnsi="Arial" w:cs="Arial"/>
          <w:sz w:val="24"/>
          <w:szCs w:val="24"/>
        </w:rPr>
        <w:t>Willan</w:t>
      </w:r>
      <w:proofErr w:type="spellEnd"/>
      <w:r w:rsidRPr="00C52B1D">
        <w:rPr>
          <w:rFonts w:ascii="Arial" w:hAnsi="Arial" w:cs="Arial"/>
          <w:sz w:val="24"/>
          <w:szCs w:val="24"/>
        </w:rPr>
        <w:t xml:space="preserve"> Publishing: Abingdon.</w:t>
      </w: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NPIA (2009) National Investigative Interviewing Strategy 2009. Available at: </w:t>
      </w:r>
      <w:hyperlink r:id="rId40" w:history="1">
        <w:r w:rsidRPr="00DA0558">
          <w:rPr>
            <w:rStyle w:val="Hyperlink"/>
            <w:rFonts w:ascii="Arial" w:hAnsi="Arial" w:cs="Arial"/>
            <w:sz w:val="24"/>
            <w:szCs w:val="24"/>
          </w:rPr>
          <w:t>https://zakon.co.uk/admin/resources/downloads/bp-nat-investigative-interviewing-strategy-2009.pdf</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Pr="00C52B1D"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sidRPr="00C52B1D">
        <w:rPr>
          <w:rFonts w:ascii="Arial" w:hAnsi="Arial" w:cs="Arial"/>
          <w:sz w:val="24"/>
          <w:szCs w:val="24"/>
        </w:rPr>
        <w:t>O’Neill, M. (2018</w:t>
      </w:r>
      <w:r w:rsidRPr="00C52B1D">
        <w:rPr>
          <w:rFonts w:ascii="Arial" w:hAnsi="Arial" w:cs="Arial"/>
          <w:i/>
          <w:sz w:val="24"/>
          <w:szCs w:val="24"/>
        </w:rPr>
        <w:t>) Key Challenges in Criminal Investigation</w:t>
      </w:r>
      <w:r w:rsidRPr="00C52B1D">
        <w:rPr>
          <w:rFonts w:ascii="Arial" w:hAnsi="Arial" w:cs="Arial"/>
          <w:sz w:val="24"/>
          <w:szCs w:val="24"/>
        </w:rPr>
        <w:t xml:space="preserve"> [Online]. The Policy Press: Bristol.</w:t>
      </w:r>
    </w:p>
    <w:p w:rsidR="00721A61" w:rsidRPr="00C52B1D"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sidRPr="00C52B1D">
        <w:rPr>
          <w:rFonts w:ascii="Arial" w:hAnsi="Arial" w:cs="Arial"/>
          <w:sz w:val="24"/>
          <w:szCs w:val="24"/>
        </w:rPr>
        <w:t xml:space="preserve">Stainton, I. and </w:t>
      </w:r>
      <w:proofErr w:type="spellStart"/>
      <w:r w:rsidRPr="00C52B1D">
        <w:rPr>
          <w:rFonts w:ascii="Arial" w:hAnsi="Arial" w:cs="Arial"/>
          <w:sz w:val="24"/>
          <w:szCs w:val="24"/>
        </w:rPr>
        <w:t>Ewin</w:t>
      </w:r>
      <w:proofErr w:type="spellEnd"/>
      <w:r w:rsidRPr="00C52B1D">
        <w:rPr>
          <w:rFonts w:ascii="Arial" w:hAnsi="Arial" w:cs="Arial"/>
          <w:sz w:val="24"/>
          <w:szCs w:val="24"/>
        </w:rPr>
        <w:t xml:space="preserve">, R. (2022) </w:t>
      </w:r>
      <w:r w:rsidRPr="00C52B1D">
        <w:rPr>
          <w:rFonts w:ascii="Arial" w:hAnsi="Arial" w:cs="Arial"/>
          <w:i/>
          <w:sz w:val="24"/>
          <w:szCs w:val="24"/>
        </w:rPr>
        <w:t>Criminal Investigation</w:t>
      </w:r>
      <w:r w:rsidRPr="00C52B1D">
        <w:rPr>
          <w:rFonts w:ascii="Arial" w:hAnsi="Arial" w:cs="Arial"/>
          <w:sz w:val="24"/>
          <w:szCs w:val="24"/>
        </w:rPr>
        <w:t xml:space="preserve"> [Online]. Critical Publishing: St Albans.</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The Police Foundation (2017) </w:t>
      </w:r>
      <w:r w:rsidRPr="00C52B1D">
        <w:rPr>
          <w:rFonts w:ascii="Arial" w:hAnsi="Arial" w:cs="Arial"/>
          <w:i/>
          <w:sz w:val="24"/>
          <w:szCs w:val="24"/>
        </w:rPr>
        <w:t>Police prioritisation: How should the police choose what matters most in a changing world</w:t>
      </w:r>
      <w:proofErr w:type="gramStart"/>
      <w:r w:rsidRPr="00C52B1D">
        <w:rPr>
          <w:rFonts w:ascii="Arial" w:hAnsi="Arial" w:cs="Arial"/>
          <w:i/>
          <w:sz w:val="24"/>
          <w:szCs w:val="24"/>
        </w:rPr>
        <w:t>?.</w:t>
      </w:r>
      <w:proofErr w:type="gramEnd"/>
      <w:r w:rsidRPr="00C52B1D">
        <w:rPr>
          <w:rFonts w:ascii="Arial" w:hAnsi="Arial" w:cs="Arial"/>
          <w:sz w:val="24"/>
          <w:szCs w:val="24"/>
        </w:rPr>
        <w:t xml:space="preserve"> Available at: </w:t>
      </w:r>
      <w:hyperlink r:id="rId41" w:history="1">
        <w:r w:rsidRPr="00DA0558">
          <w:rPr>
            <w:rStyle w:val="Hyperlink"/>
            <w:rFonts w:ascii="Arial" w:hAnsi="Arial" w:cs="Arial"/>
            <w:sz w:val="24"/>
            <w:szCs w:val="24"/>
          </w:rPr>
          <w:t>https://www.policefoundation.org.uk/2017/wpcontent/uploads/2017/09/police_policy_dinners_prioritisation.pdf</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(Accessed: 9th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r w:rsidRPr="00C52B1D">
        <w:rPr>
          <w:rFonts w:ascii="Arial" w:hAnsi="Arial" w:cs="Arial"/>
          <w:sz w:val="24"/>
          <w:szCs w:val="24"/>
        </w:rPr>
        <w:t xml:space="preserve">The Police Federation (2017) </w:t>
      </w:r>
      <w:r w:rsidRPr="00C52B1D">
        <w:rPr>
          <w:rFonts w:ascii="Arial" w:hAnsi="Arial" w:cs="Arial"/>
          <w:i/>
          <w:sz w:val="24"/>
          <w:szCs w:val="24"/>
        </w:rPr>
        <w:t>Policy Document: Volume Crime</w:t>
      </w:r>
      <w:r w:rsidRPr="00C52B1D">
        <w:rPr>
          <w:rFonts w:ascii="Arial" w:hAnsi="Arial" w:cs="Arial"/>
          <w:sz w:val="24"/>
          <w:szCs w:val="24"/>
        </w:rPr>
        <w:t xml:space="preserve">. Available at: </w:t>
      </w:r>
      <w:hyperlink r:id="rId42" w:history="1">
        <w:r w:rsidRPr="00DA0558">
          <w:rPr>
            <w:rStyle w:val="Hyperlink"/>
            <w:rFonts w:ascii="Arial" w:hAnsi="Arial" w:cs="Arial"/>
            <w:sz w:val="24"/>
            <w:szCs w:val="24"/>
          </w:rPr>
          <w:t>https://www.polfed.org/media/13796/pfew_policy_-_volume_crime_-_march_2017_v2.pdf</w:t>
        </w:r>
      </w:hyperlink>
      <w:r>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lastRenderedPageBreak/>
        <w:t>(Accessed: 10th May 2022)</w:t>
      </w:r>
    </w:p>
    <w:p w:rsidR="00721A61" w:rsidRPr="00C52B1D" w:rsidRDefault="00721A61" w:rsidP="00721A61">
      <w:pPr>
        <w:spacing w:after="0"/>
        <w:rPr>
          <w:rFonts w:ascii="Arial" w:hAnsi="Arial" w:cs="Arial"/>
          <w:sz w:val="24"/>
          <w:szCs w:val="24"/>
        </w:rPr>
      </w:pPr>
    </w:p>
    <w:p w:rsidR="00721A61" w:rsidRDefault="00721A61" w:rsidP="00721A61">
      <w:pPr>
        <w:spacing w:after="0"/>
        <w:rPr>
          <w:rFonts w:ascii="Arial" w:hAnsi="Arial" w:cs="Arial"/>
          <w:sz w:val="24"/>
          <w:szCs w:val="24"/>
        </w:rPr>
      </w:pPr>
      <w:r w:rsidRPr="00C52B1D">
        <w:rPr>
          <w:rFonts w:ascii="Arial" w:hAnsi="Arial" w:cs="Arial"/>
          <w:sz w:val="24"/>
          <w:szCs w:val="24"/>
        </w:rPr>
        <w:t xml:space="preserve">UK Government (2022) </w:t>
      </w:r>
      <w:r w:rsidRPr="00C52B1D">
        <w:rPr>
          <w:rFonts w:ascii="Arial" w:hAnsi="Arial" w:cs="Arial"/>
          <w:i/>
          <w:sz w:val="24"/>
          <w:szCs w:val="24"/>
        </w:rPr>
        <w:t>Guidance: Achieving best e</w:t>
      </w:r>
      <w:r>
        <w:rPr>
          <w:rFonts w:ascii="Arial" w:hAnsi="Arial" w:cs="Arial"/>
          <w:i/>
          <w:sz w:val="24"/>
          <w:szCs w:val="24"/>
        </w:rPr>
        <w:t xml:space="preserve">vidence in criminal proceedings. </w:t>
      </w:r>
      <w:r w:rsidRPr="00C52B1D">
        <w:rPr>
          <w:rFonts w:ascii="Arial" w:hAnsi="Arial" w:cs="Arial"/>
          <w:sz w:val="24"/>
          <w:szCs w:val="24"/>
        </w:rPr>
        <w:t xml:space="preserve">Available at: </w:t>
      </w:r>
    </w:p>
    <w:p w:rsidR="00721A61" w:rsidRPr="00C52B1D" w:rsidRDefault="0072092B" w:rsidP="00721A61">
      <w:pPr>
        <w:spacing w:after="0"/>
        <w:rPr>
          <w:rFonts w:ascii="Arial" w:hAnsi="Arial" w:cs="Arial"/>
          <w:sz w:val="24"/>
          <w:szCs w:val="24"/>
        </w:rPr>
      </w:pPr>
      <w:hyperlink r:id="rId43" w:history="1">
        <w:r w:rsidR="00721A61" w:rsidRPr="00DA0558">
          <w:rPr>
            <w:rStyle w:val="Hyperlink"/>
            <w:rFonts w:ascii="Arial" w:hAnsi="Arial" w:cs="Arial"/>
            <w:sz w:val="24"/>
            <w:szCs w:val="24"/>
          </w:rPr>
          <w:t>https://www.gov.uk/government/publications/achieving-best-evidence-in-criminal-proceedings</w:t>
        </w:r>
      </w:hyperlink>
      <w:r w:rsidR="00721A61">
        <w:rPr>
          <w:rFonts w:ascii="Arial" w:hAnsi="Arial" w:cs="Arial"/>
          <w:sz w:val="24"/>
          <w:szCs w:val="24"/>
        </w:rPr>
        <w:t xml:space="preserve"> </w:t>
      </w:r>
    </w:p>
    <w:p w:rsidR="00721A61" w:rsidRDefault="00721A61" w:rsidP="00721A61">
      <w:pPr>
        <w:spacing w:after="0"/>
        <w:rPr>
          <w:rFonts w:ascii="Arial" w:hAnsi="Arial" w:cs="Arial"/>
          <w:sz w:val="24"/>
          <w:szCs w:val="24"/>
        </w:rPr>
      </w:pPr>
      <w:r w:rsidRPr="00C52B1D">
        <w:rPr>
          <w:rFonts w:ascii="Arial" w:hAnsi="Arial" w:cs="Arial"/>
          <w:sz w:val="24"/>
          <w:szCs w:val="24"/>
        </w:rPr>
        <w:t>(Available at: 10th May 2022)</w:t>
      </w:r>
    </w:p>
    <w:p w:rsidR="00721A61" w:rsidRPr="00C52B1D" w:rsidRDefault="00721A61" w:rsidP="00721A61">
      <w:pPr>
        <w:spacing w:after="0"/>
        <w:rPr>
          <w:rFonts w:ascii="Arial" w:hAnsi="Arial" w:cs="Arial"/>
          <w:sz w:val="24"/>
          <w:szCs w:val="24"/>
        </w:rPr>
      </w:pPr>
    </w:p>
    <w:p w:rsidR="00721A61" w:rsidRPr="00C52B1D" w:rsidRDefault="00721A61" w:rsidP="00721A61">
      <w:pPr>
        <w:spacing w:after="0"/>
        <w:rPr>
          <w:rFonts w:ascii="Arial" w:hAnsi="Arial" w:cs="Arial"/>
          <w:sz w:val="24"/>
          <w:szCs w:val="24"/>
        </w:rPr>
      </w:pPr>
      <w:proofErr w:type="spellStart"/>
      <w:r w:rsidRPr="00C52B1D">
        <w:rPr>
          <w:rFonts w:ascii="Arial" w:hAnsi="Arial" w:cs="Arial"/>
          <w:sz w:val="24"/>
          <w:szCs w:val="24"/>
        </w:rPr>
        <w:t>Weafer</w:t>
      </w:r>
      <w:proofErr w:type="spellEnd"/>
      <w:r w:rsidRPr="00C52B1D">
        <w:rPr>
          <w:rFonts w:ascii="Arial" w:hAnsi="Arial" w:cs="Arial"/>
          <w:sz w:val="24"/>
          <w:szCs w:val="24"/>
        </w:rPr>
        <w:t xml:space="preserve">, J. Gallo, D. A. and De Wit, H. (2016) </w:t>
      </w:r>
      <w:r w:rsidRPr="00C52B1D">
        <w:rPr>
          <w:rFonts w:ascii="Arial" w:hAnsi="Arial" w:cs="Arial"/>
          <w:i/>
          <w:sz w:val="24"/>
          <w:szCs w:val="24"/>
        </w:rPr>
        <w:t>Acute Effects of Alcohol on Encoding and Consolidation of Memory for Emotional Stimuli</w:t>
      </w:r>
      <w:r w:rsidRPr="00C52B1D">
        <w:rPr>
          <w:rFonts w:ascii="Arial" w:hAnsi="Arial" w:cs="Arial"/>
          <w:sz w:val="24"/>
          <w:szCs w:val="24"/>
        </w:rPr>
        <w:t xml:space="preserve">. Available at: </w:t>
      </w:r>
      <w:hyperlink r:id="rId44" w:history="1">
        <w:r w:rsidRPr="00DA0558">
          <w:rPr>
            <w:rStyle w:val="Hyperlink"/>
            <w:rFonts w:ascii="Arial" w:hAnsi="Arial" w:cs="Arial"/>
            <w:sz w:val="24"/>
            <w:szCs w:val="24"/>
          </w:rPr>
          <w:t>https://www.ncbi.nlm.nih.gov/pmc/articles/PMC4711324/</w:t>
        </w:r>
      </w:hyperlink>
      <w:r>
        <w:rPr>
          <w:rFonts w:ascii="Arial" w:hAnsi="Arial" w:cs="Arial"/>
          <w:sz w:val="24"/>
          <w:szCs w:val="24"/>
        </w:rPr>
        <w:t xml:space="preserve"> </w:t>
      </w:r>
    </w:p>
    <w:p w:rsidR="00721A61" w:rsidRPr="00C52B1D" w:rsidRDefault="00721A61" w:rsidP="00721A61">
      <w:pPr>
        <w:spacing w:after="0"/>
        <w:rPr>
          <w:rFonts w:ascii="Arial" w:hAnsi="Arial" w:cs="Arial"/>
          <w:sz w:val="24"/>
          <w:szCs w:val="24"/>
        </w:rPr>
      </w:pPr>
      <w:r w:rsidRPr="00C52B1D">
        <w:rPr>
          <w:rFonts w:ascii="Arial" w:hAnsi="Arial" w:cs="Arial"/>
          <w:sz w:val="24"/>
          <w:szCs w:val="24"/>
        </w:rPr>
        <w:t>(Accessed: 10th May 2022)</w:t>
      </w:r>
    </w:p>
    <w:p w:rsidR="00721A61" w:rsidRPr="00C52B1D" w:rsidRDefault="00721A61" w:rsidP="00721A61">
      <w:pPr>
        <w:spacing w:after="0"/>
        <w:rPr>
          <w:rFonts w:ascii="Arial" w:hAnsi="Arial" w:cs="Arial"/>
          <w:sz w:val="24"/>
          <w:szCs w:val="24"/>
        </w:rPr>
      </w:pPr>
    </w:p>
    <w:p w:rsidR="00721A61" w:rsidRPr="00721A61" w:rsidRDefault="00721A61" w:rsidP="00721A61">
      <w:pPr>
        <w:spacing w:after="0" w:line="480" w:lineRule="auto"/>
        <w:rPr>
          <w:rFonts w:ascii="Arial" w:hAnsi="Arial" w:cs="Arial"/>
          <w:sz w:val="24"/>
          <w:szCs w:val="24"/>
        </w:rPr>
      </w:pPr>
    </w:p>
    <w:sectPr w:rsidR="00721A61" w:rsidRPr="00721A61">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092B" w:rsidRDefault="0072092B" w:rsidP="00721A61">
      <w:pPr>
        <w:spacing w:after="0" w:line="240" w:lineRule="auto"/>
      </w:pPr>
      <w:r>
        <w:separator/>
      </w:r>
    </w:p>
  </w:endnote>
  <w:endnote w:type="continuationSeparator" w:id="0">
    <w:p w:rsidR="0072092B" w:rsidRDefault="0072092B" w:rsidP="00721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092B" w:rsidRDefault="0072092B" w:rsidP="00721A61">
      <w:pPr>
        <w:spacing w:after="0" w:line="240" w:lineRule="auto"/>
      </w:pPr>
      <w:r>
        <w:separator/>
      </w:r>
    </w:p>
  </w:footnote>
  <w:footnote w:type="continuationSeparator" w:id="0">
    <w:p w:rsidR="0072092B" w:rsidRDefault="0072092B" w:rsidP="00721A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1A61" w:rsidRDefault="00721A61">
    <w:pPr>
      <w:pStyle w:val="Header"/>
    </w:pPr>
    <w:r>
      <w:rPr>
        <w:rFonts w:ascii="Arial" w:eastAsia="Times New Roman" w:hAnsi="Arial" w:cs="Arial"/>
        <w:b/>
        <w:lang w:eastAsia="en-GB"/>
      </w:rPr>
      <w:t>BMPP5002D                                                                                                                2016268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A61"/>
    <w:rsid w:val="00017A16"/>
    <w:rsid w:val="00122452"/>
    <w:rsid w:val="00186AC7"/>
    <w:rsid w:val="002136FB"/>
    <w:rsid w:val="0029236B"/>
    <w:rsid w:val="004A0253"/>
    <w:rsid w:val="004E4957"/>
    <w:rsid w:val="00563F70"/>
    <w:rsid w:val="005A161C"/>
    <w:rsid w:val="0072092B"/>
    <w:rsid w:val="00721A61"/>
    <w:rsid w:val="00D8450F"/>
    <w:rsid w:val="00FB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25E738"/>
  <w15:chartTrackingRefBased/>
  <w15:docId w15:val="{53ECE526-CF9C-4D9C-A3C4-1D4660FF3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A61"/>
  </w:style>
  <w:style w:type="paragraph" w:styleId="Footer">
    <w:name w:val="footer"/>
    <w:basedOn w:val="Normal"/>
    <w:link w:val="FooterChar"/>
    <w:uiPriority w:val="99"/>
    <w:unhideWhenUsed/>
    <w:rsid w:val="00721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A61"/>
  </w:style>
  <w:style w:type="paragraph" w:styleId="ListParagraph">
    <w:name w:val="List Paragraph"/>
    <w:basedOn w:val="Normal"/>
    <w:uiPriority w:val="34"/>
    <w:qFormat/>
    <w:rsid w:val="00721A61"/>
    <w:pPr>
      <w:ind w:left="720"/>
      <w:contextualSpacing/>
    </w:pPr>
  </w:style>
  <w:style w:type="paragraph" w:styleId="NormalWeb">
    <w:name w:val="Normal (Web)"/>
    <w:basedOn w:val="Normal"/>
    <w:uiPriority w:val="99"/>
    <w:unhideWhenUsed/>
    <w:rsid w:val="00721A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1A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dcantle.co.uk/pdf/communitycohesion%20cantlereport.pdf" TargetMode="External"/><Relationship Id="rId13" Type="http://schemas.openxmlformats.org/officeDocument/2006/relationships/hyperlink" Target="https://www.npcc.police.uk/2018%20FOI/NPCC%20Misc/032%2018%20January%202018%20CCC%20Papers%20Part%203.pdf" TargetMode="External"/><Relationship Id="rId18" Type="http://schemas.openxmlformats.org/officeDocument/2006/relationships/hyperlink" Target="http://www.tedcantle.co.uk/publications/033%20Tension%20monitoring%20guidance%20iCoCo%202010.pdf" TargetMode="External"/><Relationship Id="rId26" Type="http://schemas.openxmlformats.org/officeDocument/2006/relationships/hyperlink" Target="https://library.college.police.uk/docs/hors/hors296.pdf" TargetMode="External"/><Relationship Id="rId39" Type="http://schemas.openxmlformats.org/officeDocument/2006/relationships/hyperlink" Target="https://www.college.police.uk/research/projects/evidence-based-guidelines-effective-investigations-improving-application-investigative-mindset?projectid=937" TargetMode="External"/><Relationship Id="rId3" Type="http://schemas.openxmlformats.org/officeDocument/2006/relationships/settings" Target="settings.xml"/><Relationship Id="rId21" Type="http://schemas.openxmlformats.org/officeDocument/2006/relationships/hyperlink" Target="https://www.policefoundation.org.uk/2017/wpcontent/uploads/2017/06/citizen_focus.pdf" TargetMode="External"/><Relationship Id="rId34" Type="http://schemas.openxmlformats.org/officeDocument/2006/relationships/hyperlink" Target="https://www.researchgate.net/publication/233439113_Modifying_the_cognitive_interview_Countenancing_forensic_application_by_enhancing_practicability" TargetMode="External"/><Relationship Id="rId42" Type="http://schemas.openxmlformats.org/officeDocument/2006/relationships/hyperlink" Target="https://www.polfed.org/media/13796/pfew_policy_-_volume_crime_-_march_2017_v2.pdf" TargetMode="External"/><Relationship Id="rId47" Type="http://schemas.openxmlformats.org/officeDocument/2006/relationships/theme" Target="theme/theme1.xml"/><Relationship Id="rId7" Type="http://schemas.openxmlformats.org/officeDocument/2006/relationships/hyperlink" Target="https://www.bbc.co.uk/news/uk-england-leeds-57667812" TargetMode="Externa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www.theguardian.com/uk-news/2022/apr/20/police-watchdog-ethnic-minorities-need-protection-from-unfair-stop-and-search" TargetMode="External"/><Relationship Id="rId25" Type="http://schemas.openxmlformats.org/officeDocument/2006/relationships/hyperlink" Target="https://www.police-foundation.org.uk/news/the-public-want-the-police-to-be-more-visible-and-to-focus-on-core-tasks-according-to-new-research/" TargetMode="External"/><Relationship Id="rId33" Type="http://schemas.openxmlformats.org/officeDocument/2006/relationships/hyperlink" Target="https://www.legislation.gov.uk/ukpga/1996/25/contents" TargetMode="External"/><Relationship Id="rId38" Type="http://schemas.openxmlformats.org/officeDocument/2006/relationships/hyperlink" Target="https://doi.org/10.1037/0003-066X.58.9.697"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odle.uwtsd.ac.uk/pluginfile.php/581983/mod_scorm/content/7/story_content/external_files/A%20Guide%20to%20Effective%20Community%20Engagement.pdf" TargetMode="External"/><Relationship Id="rId20" Type="http://schemas.openxmlformats.org/officeDocument/2006/relationships/hyperlink" Target="https://www.n8research.org.uk/media/CommunityEngagement_EvidenceReview.pdf" TargetMode="External"/><Relationship Id="rId29" Type="http://schemas.openxmlformats.org/officeDocument/2006/relationships/hyperlink" Target="https://link.springer.com/article/10.1007/s11896-018-9301-1" TargetMode="External"/><Relationship Id="rId41" Type="http://schemas.openxmlformats.org/officeDocument/2006/relationships/hyperlink" Target="https://www.policefoundation.org.uk/2017/wpcontent/uploads/2017/09/police_policy_dinners_prioritisa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file:///C:/Users/407420/Downloads/CBP_Training_Sample_Handout_Ten_Principles_of_CBP.pdf" TargetMode="External"/><Relationship Id="rId32" Type="http://schemas.openxmlformats.org/officeDocument/2006/relationships/hyperlink" Target="https://www.college.police.uk/app/investigation/investigation-introduction" TargetMode="External"/><Relationship Id="rId37" Type="http://schemas.openxmlformats.org/officeDocument/2006/relationships/hyperlink" Target="https://www.legislation.gov.uk/ukpga/1998/42/contents" TargetMode="External"/><Relationship Id="rId40" Type="http://schemas.openxmlformats.org/officeDocument/2006/relationships/hyperlink" Target="https://zakon.co.uk/admin/resources/downloads/bp-nat-investigative-interviewing-strategy-2009.pdf"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ollege.police.uk/app/critical-incident-management/phase-2-managing-critical-incidents" TargetMode="External"/><Relationship Id="rId23" Type="http://schemas.openxmlformats.org/officeDocument/2006/relationships/hyperlink" Target="https://www.legislation.gov.uk/ukpga/2011/13/section/34" TargetMode="External"/><Relationship Id="rId28" Type="http://schemas.openxmlformats.org/officeDocument/2006/relationships/hyperlink" Target="https://www.ethnicity-facts-figures.service.gov.uk/crime-justice-and-the-law/policing/confidence-in-the-local-police/latest" TargetMode="External"/><Relationship Id="rId36" Type="http://schemas.openxmlformats.org/officeDocument/2006/relationships/hyperlink" Target="https://www.researchgate.net/publication/229951700_The_Application_of_Cognitive_Interview_Techniques_as_Part_of_an_Investigation" TargetMode="External"/><Relationship Id="rId10" Type="http://schemas.openxmlformats.org/officeDocument/2006/relationships/hyperlink" Target="https://library.college.police.uk/docs/npia/CohesionGuide.pdf" TargetMode="External"/><Relationship Id="rId19" Type="http://schemas.openxmlformats.org/officeDocument/2006/relationships/hyperlink" Target="https://onlinelibrary.wiley.com/doi/abs/10.1002/9781118663202.wberen102" TargetMode="External"/><Relationship Id="rId31" Type="http://schemas.openxmlformats.org/officeDocument/2006/relationships/hyperlink" Target="https://www.college.police.uk/app/investigation/investigative-interviewing/investigative-interviewing" TargetMode="External"/><Relationship Id="rId44" Type="http://schemas.openxmlformats.org/officeDocument/2006/relationships/hyperlink" Target="https://www.ncbi.nlm.nih.gov/pmc/articles/PMC4711324/" TargetMode="External"/><Relationship Id="rId4" Type="http://schemas.openxmlformats.org/officeDocument/2006/relationships/webSettings" Target="webSettings.xml"/><Relationship Id="rId9" Type="http://schemas.openxmlformats.org/officeDocument/2006/relationships/hyperlink" Target="http://news.bbc.co.uk/1/hi/uk/5032166.stm" TargetMode="External"/><Relationship Id="rId14" Type="http://schemas.openxmlformats.org/officeDocument/2006/relationships/hyperlink" Target="https://assets.college.police.uk/s3fspublic/202011/NPG_supporting_material_supervisors.pdf" TargetMode="External"/><Relationship Id="rId22" Type="http://schemas.openxmlformats.org/officeDocument/2006/relationships/hyperlink" Target="https://www.theguardian.com/world/2021/apr/11/brixton-riots-40-years-on-a-watershed-moment-for-race-relations" TargetMode="External"/><Relationship Id="rId27" Type="http://schemas.openxmlformats.org/officeDocument/2006/relationships/hyperlink" Target="https://www.gov.uk/guidance/anti-social-behaviour-asb-case-review-also-known-as-the-community-trigger" TargetMode="External"/><Relationship Id="rId30" Type="http://schemas.openxmlformats.org/officeDocument/2006/relationships/hyperlink" Target="https://assets.college.police.uk/s3fs-public/2021-02/code_of_ethics.pdf" TargetMode="External"/><Relationship Id="rId35" Type="http://schemas.openxmlformats.org/officeDocument/2006/relationships/hyperlink" Target="https://www.legislation.gov.uk/ukpga/2010/15/contents" TargetMode="External"/><Relationship Id="rId43" Type="http://schemas.openxmlformats.org/officeDocument/2006/relationships/hyperlink" Target="https://www.gov.uk/government/publications/achieving-best-evidence-in-criminal-procee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22</Pages>
  <Words>6295</Words>
  <Characters>35883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Nathan</dc:creator>
  <cp:keywords/>
  <dc:description/>
  <cp:lastModifiedBy>Elias, Nathan</cp:lastModifiedBy>
  <cp:revision>5</cp:revision>
  <dcterms:created xsi:type="dcterms:W3CDTF">2022-05-28T18:30:00Z</dcterms:created>
  <dcterms:modified xsi:type="dcterms:W3CDTF">2022-05-29T12:35:00Z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2022-05-28T18:30:38Z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e9e87ccc-1c89-4f40-802a-e761e40c931d</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