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8"/>
          <w:szCs w:val="48"/>
          <w:u w:val="single"/>
        </w:rPr>
      </w:pPr>
      <w:r w:rsidDel="00000000" w:rsidR="00000000" w:rsidRPr="00000000">
        <w:rPr>
          <w:b w:val="1"/>
          <w:sz w:val="48"/>
          <w:szCs w:val="48"/>
          <w:u w:val="single"/>
          <w:rtl w:val="0"/>
        </w:rPr>
        <w:t xml:space="preserve"> Digital skills and research Methods</w:t>
      </w:r>
    </w:p>
    <w:p w:rsidR="00000000" w:rsidDel="00000000" w:rsidP="00000000" w:rsidRDefault="00000000" w:rsidRPr="00000000" w14:paraId="00000002">
      <w:pPr>
        <w:jc w:val="center"/>
        <w:rPr>
          <w:b w:val="1"/>
          <w:sz w:val="28"/>
          <w:szCs w:val="28"/>
          <w:u w:val="single"/>
        </w:rPr>
      </w:pPr>
      <w:r w:rsidDel="00000000" w:rsidR="00000000" w:rsidRPr="00000000">
        <w:rPr>
          <w:rtl w:val="0"/>
        </w:rPr>
      </w:r>
    </w:p>
    <w:p w:rsidR="00000000" w:rsidDel="00000000" w:rsidP="00000000" w:rsidRDefault="00000000" w:rsidRPr="00000000" w14:paraId="00000003">
      <w:pPr>
        <w:jc w:val="center"/>
        <w:rPr>
          <w:b w:val="1"/>
          <w:sz w:val="28"/>
          <w:szCs w:val="28"/>
          <w:u w:val="single"/>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rtl w:val="0"/>
        </w:rPr>
      </w:r>
    </w:p>
    <w:p w:rsidR="00000000" w:rsidDel="00000000" w:rsidP="00000000" w:rsidRDefault="00000000" w:rsidRPr="00000000" w14:paraId="00000005">
      <w:pPr>
        <w:jc w:val="center"/>
        <w:rPr>
          <w:b w:val="1"/>
          <w:sz w:val="28"/>
          <w:szCs w:val="28"/>
        </w:rPr>
      </w:pPr>
      <w:r w:rsidDel="00000000" w:rsidR="00000000" w:rsidRPr="00000000">
        <w:rPr>
          <w:rtl w:val="0"/>
        </w:rPr>
      </w:r>
    </w:p>
    <w:p w:rsidR="00000000" w:rsidDel="00000000" w:rsidP="00000000" w:rsidRDefault="00000000" w:rsidRPr="00000000" w14:paraId="00000006">
      <w:pPr>
        <w:jc w:val="center"/>
        <w:rPr>
          <w:b w:val="1"/>
          <w:sz w:val="28"/>
          <w:szCs w:val="28"/>
        </w:rPr>
      </w:pPr>
      <w:r w:rsidDel="00000000" w:rsidR="00000000" w:rsidRPr="00000000">
        <w:rPr>
          <w:rtl w:val="0"/>
        </w:rPr>
      </w:r>
    </w:p>
    <w:p w:rsidR="00000000" w:rsidDel="00000000" w:rsidP="00000000" w:rsidRDefault="00000000" w:rsidRPr="00000000" w14:paraId="00000007">
      <w:pPr>
        <w:jc w:val="center"/>
        <w:rPr>
          <w:b w:val="1"/>
          <w:sz w:val="36"/>
          <w:szCs w:val="36"/>
        </w:rPr>
      </w:pPr>
      <w:r w:rsidDel="00000000" w:rsidR="00000000" w:rsidRPr="00000000">
        <w:rPr>
          <w:rtl w:val="0"/>
        </w:rPr>
      </w:r>
    </w:p>
    <w:p w:rsidR="00000000" w:rsidDel="00000000" w:rsidP="00000000" w:rsidRDefault="00000000" w:rsidRPr="00000000" w14:paraId="00000008">
      <w:pPr>
        <w:jc w:val="center"/>
        <w:rPr>
          <w:b w:val="1"/>
          <w:sz w:val="36"/>
          <w:szCs w:val="36"/>
          <w:u w:val="single"/>
        </w:rPr>
      </w:pPr>
      <w:r w:rsidDel="00000000" w:rsidR="00000000" w:rsidRPr="00000000">
        <w:rPr>
          <w:b w:val="1"/>
          <w:sz w:val="36"/>
          <w:szCs w:val="36"/>
          <w:rtl w:val="0"/>
        </w:rPr>
        <w:t xml:space="preserve">Research Topics</w:t>
      </w:r>
      <w:r w:rsidDel="00000000" w:rsidR="00000000" w:rsidRPr="00000000">
        <w:rPr>
          <w:rtl w:val="0"/>
        </w:rPr>
      </w:r>
    </w:p>
    <w:p w:rsidR="00000000" w:rsidDel="00000000" w:rsidP="00000000" w:rsidRDefault="00000000" w:rsidRPr="00000000" w14:paraId="00000009">
      <w:pPr>
        <w:rPr>
          <w:i w:val="1"/>
          <w:sz w:val="36"/>
          <w:szCs w:val="36"/>
        </w:rPr>
      </w:pPr>
      <w:r w:rsidDel="00000000" w:rsidR="00000000" w:rsidRPr="00000000">
        <w:rPr>
          <w:rtl w:val="0"/>
        </w:rPr>
      </w:r>
    </w:p>
    <w:p w:rsidR="00000000" w:rsidDel="00000000" w:rsidP="00000000" w:rsidRDefault="00000000" w:rsidRPr="00000000" w14:paraId="0000000A">
      <w:pPr>
        <w:jc w:val="center"/>
        <w:rPr>
          <w:i w:val="1"/>
          <w:sz w:val="28"/>
          <w:szCs w:val="28"/>
        </w:rPr>
      </w:pPr>
      <w:r w:rsidDel="00000000" w:rsidR="00000000" w:rsidRPr="00000000">
        <w:rPr>
          <w:i w:val="1"/>
          <w:sz w:val="28"/>
          <w:szCs w:val="28"/>
          <w:rtl w:val="0"/>
        </w:rPr>
        <w:t xml:space="preserve">To identify an organisation and analyse how this organisation uses                        modern technology to improve efficiency</w:t>
      </w:r>
    </w:p>
    <w:p w:rsidR="00000000" w:rsidDel="00000000" w:rsidP="00000000" w:rsidRDefault="00000000" w:rsidRPr="00000000" w14:paraId="0000000B">
      <w:pPr>
        <w:jc w:val="center"/>
        <w:rPr>
          <w:i w:val="1"/>
          <w:sz w:val="28"/>
          <w:szCs w:val="28"/>
        </w:rPr>
      </w:pPr>
      <w:r w:rsidDel="00000000" w:rsidR="00000000" w:rsidRPr="00000000">
        <w:rPr>
          <w:rtl w:val="0"/>
        </w:rPr>
      </w:r>
    </w:p>
    <w:p w:rsidR="00000000" w:rsidDel="00000000" w:rsidP="00000000" w:rsidRDefault="00000000" w:rsidRPr="00000000" w14:paraId="0000000C">
      <w:pPr>
        <w:jc w:val="center"/>
        <w:rPr>
          <w:i w:val="1"/>
          <w:sz w:val="28"/>
          <w:szCs w:val="28"/>
        </w:rPr>
      </w:pPr>
      <w:r w:rsidDel="00000000" w:rsidR="00000000" w:rsidRPr="00000000">
        <w:rPr>
          <w:rtl w:val="0"/>
        </w:rPr>
      </w:r>
    </w:p>
    <w:p w:rsidR="00000000" w:rsidDel="00000000" w:rsidP="00000000" w:rsidRDefault="00000000" w:rsidRPr="00000000" w14:paraId="0000000D">
      <w:pPr>
        <w:jc w:val="center"/>
        <w:rPr>
          <w:i w:val="1"/>
          <w:sz w:val="24"/>
          <w:szCs w:val="24"/>
        </w:rPr>
      </w:pPr>
      <w:r w:rsidDel="00000000" w:rsidR="00000000" w:rsidRPr="00000000">
        <w:rPr>
          <w:rtl w:val="0"/>
        </w:rPr>
      </w:r>
    </w:p>
    <w:p w:rsidR="00000000" w:rsidDel="00000000" w:rsidP="00000000" w:rsidRDefault="00000000" w:rsidRPr="00000000" w14:paraId="0000000E">
      <w:pPr>
        <w:jc w:val="center"/>
        <w:rPr>
          <w:i w:val="1"/>
          <w:sz w:val="24"/>
          <w:szCs w:val="24"/>
        </w:rPr>
      </w:pPr>
      <w:r w:rsidDel="00000000" w:rsidR="00000000" w:rsidRPr="00000000">
        <w:rPr>
          <w:rtl w:val="0"/>
        </w:rPr>
      </w:r>
    </w:p>
    <w:p w:rsidR="00000000" w:rsidDel="00000000" w:rsidP="00000000" w:rsidRDefault="00000000" w:rsidRPr="00000000" w14:paraId="0000000F">
      <w:pPr>
        <w:jc w:val="center"/>
        <w:rPr>
          <w:i w:val="1"/>
          <w:sz w:val="24"/>
          <w:szCs w:val="24"/>
        </w:rPr>
      </w:pPr>
      <w:r w:rsidDel="00000000" w:rsidR="00000000" w:rsidRPr="00000000">
        <w:rPr>
          <w:rtl w:val="0"/>
        </w:rPr>
      </w:r>
    </w:p>
    <w:p w:rsidR="00000000" w:rsidDel="00000000" w:rsidP="00000000" w:rsidRDefault="00000000" w:rsidRPr="00000000" w14:paraId="00000010">
      <w:pPr>
        <w:jc w:val="center"/>
        <w:rPr>
          <w:i w:val="1"/>
          <w:sz w:val="24"/>
          <w:szCs w:val="24"/>
        </w:rPr>
      </w:pPr>
      <w:r w:rsidDel="00000000" w:rsidR="00000000" w:rsidRPr="00000000">
        <w:rPr>
          <w:rtl w:val="0"/>
        </w:rPr>
      </w:r>
    </w:p>
    <w:p w:rsidR="00000000" w:rsidDel="00000000" w:rsidP="00000000" w:rsidRDefault="00000000" w:rsidRPr="00000000" w14:paraId="00000011">
      <w:pPr>
        <w:jc w:val="center"/>
        <w:rPr>
          <w:i w:val="1"/>
          <w:sz w:val="24"/>
          <w:szCs w:val="24"/>
        </w:rPr>
      </w:pPr>
      <w:r w:rsidDel="00000000" w:rsidR="00000000" w:rsidRPr="00000000">
        <w:rPr>
          <w:rtl w:val="0"/>
        </w:rPr>
      </w:r>
    </w:p>
    <w:p w:rsidR="00000000" w:rsidDel="00000000" w:rsidP="00000000" w:rsidRDefault="00000000" w:rsidRPr="00000000" w14:paraId="00000012">
      <w:pPr>
        <w:jc w:val="center"/>
        <w:rPr>
          <w:i w:val="1"/>
          <w:sz w:val="24"/>
          <w:szCs w:val="24"/>
        </w:rPr>
      </w:pPr>
      <w:r w:rsidDel="00000000" w:rsidR="00000000" w:rsidRPr="00000000">
        <w:rPr>
          <w:rtl w:val="0"/>
        </w:rPr>
      </w:r>
    </w:p>
    <w:p w:rsidR="00000000" w:rsidDel="00000000" w:rsidP="00000000" w:rsidRDefault="00000000" w:rsidRPr="00000000" w14:paraId="00000013">
      <w:pPr>
        <w:jc w:val="center"/>
        <w:rPr>
          <w:i w:val="1"/>
          <w:sz w:val="24"/>
          <w:szCs w:val="24"/>
        </w:rPr>
      </w:pPr>
      <w:r w:rsidDel="00000000" w:rsidR="00000000" w:rsidRPr="00000000">
        <w:rPr>
          <w:rtl w:val="0"/>
        </w:rPr>
      </w:r>
    </w:p>
    <w:p w:rsidR="00000000" w:rsidDel="00000000" w:rsidP="00000000" w:rsidRDefault="00000000" w:rsidRPr="00000000" w14:paraId="00000014">
      <w:pPr>
        <w:jc w:val="center"/>
        <w:rPr>
          <w:i w:val="1"/>
          <w:sz w:val="24"/>
          <w:szCs w:val="24"/>
        </w:rPr>
      </w:pPr>
      <w:r w:rsidDel="00000000" w:rsidR="00000000" w:rsidRPr="00000000">
        <w:rPr>
          <w:rtl w:val="0"/>
        </w:rPr>
      </w:r>
    </w:p>
    <w:p w:rsidR="00000000" w:rsidDel="00000000" w:rsidP="00000000" w:rsidRDefault="00000000" w:rsidRPr="00000000" w14:paraId="00000015">
      <w:pPr>
        <w:jc w:val="center"/>
        <w:rPr>
          <w:i w:val="1"/>
          <w:sz w:val="24"/>
          <w:szCs w:val="24"/>
        </w:rPr>
      </w:pPr>
      <w:r w:rsidDel="00000000" w:rsidR="00000000" w:rsidRPr="00000000">
        <w:rPr>
          <w:rtl w:val="0"/>
        </w:rPr>
      </w:r>
    </w:p>
    <w:p w:rsidR="00000000" w:rsidDel="00000000" w:rsidP="00000000" w:rsidRDefault="00000000" w:rsidRPr="00000000" w14:paraId="00000016">
      <w:pPr>
        <w:jc w:val="center"/>
        <w:rPr>
          <w:i w:val="1"/>
          <w:sz w:val="24"/>
          <w:szCs w:val="24"/>
        </w:rPr>
      </w:pPr>
      <w:r w:rsidDel="00000000" w:rsidR="00000000" w:rsidRPr="00000000">
        <w:rPr>
          <w:rtl w:val="0"/>
        </w:rPr>
      </w:r>
    </w:p>
    <w:p w:rsidR="00000000" w:rsidDel="00000000" w:rsidP="00000000" w:rsidRDefault="00000000" w:rsidRPr="00000000" w14:paraId="00000017">
      <w:pPr>
        <w:jc w:val="center"/>
        <w:rPr>
          <w:i w:val="1"/>
          <w:sz w:val="24"/>
          <w:szCs w:val="24"/>
        </w:rPr>
      </w:pPr>
      <w:r w:rsidDel="00000000" w:rsidR="00000000" w:rsidRPr="00000000">
        <w:rPr>
          <w:rtl w:val="0"/>
        </w:rPr>
      </w:r>
    </w:p>
    <w:p w:rsidR="00000000" w:rsidDel="00000000" w:rsidP="00000000" w:rsidRDefault="00000000" w:rsidRPr="00000000" w14:paraId="00000018">
      <w:pPr>
        <w:rPr>
          <w:i w:val="1"/>
          <w:sz w:val="24"/>
          <w:szCs w:val="24"/>
        </w:rPr>
      </w:pPr>
      <w:r w:rsidDel="00000000" w:rsidR="00000000" w:rsidRPr="00000000">
        <w:rPr>
          <w:rtl w:val="0"/>
        </w:rPr>
      </w:r>
    </w:p>
    <w:p w:rsidR="00000000" w:rsidDel="00000000" w:rsidP="00000000" w:rsidRDefault="00000000" w:rsidRPr="00000000" w14:paraId="00000019">
      <w:pPr>
        <w:widowControl w:val="0"/>
        <w:spacing w:line="240" w:lineRule="auto"/>
        <w:rPr>
          <w:rFonts w:ascii="Nunito" w:cs="Nunito" w:eastAsia="Nunito" w:hAnsi="Nunito"/>
          <w:sz w:val="36"/>
          <w:szCs w:val="36"/>
        </w:rPr>
      </w:pPr>
      <w:r w:rsidDel="00000000" w:rsidR="00000000" w:rsidRPr="00000000">
        <w:rPr>
          <w:rFonts w:ascii="Nunito" w:cs="Nunito" w:eastAsia="Nunito" w:hAnsi="Nunito"/>
          <w:sz w:val="36"/>
          <w:szCs w:val="36"/>
          <w:rtl w:val="0"/>
        </w:rPr>
        <w:t xml:space="preserve">Module code:             (BMSW4003_LON)</w:t>
      </w:r>
    </w:p>
    <w:p w:rsidR="00000000" w:rsidDel="00000000" w:rsidP="00000000" w:rsidRDefault="00000000" w:rsidRPr="00000000" w14:paraId="0000001A">
      <w:pPr>
        <w:widowControl w:val="0"/>
        <w:spacing w:line="240" w:lineRule="auto"/>
        <w:rPr>
          <w:rFonts w:ascii="Nunito" w:cs="Nunito" w:eastAsia="Nunito" w:hAnsi="Nunito"/>
          <w:sz w:val="36"/>
          <w:szCs w:val="36"/>
        </w:rPr>
      </w:pPr>
      <w:r w:rsidDel="00000000" w:rsidR="00000000" w:rsidRPr="00000000">
        <w:rPr>
          <w:rFonts w:ascii="Nunito" w:cs="Nunito" w:eastAsia="Nunito" w:hAnsi="Nunito"/>
          <w:sz w:val="36"/>
          <w:szCs w:val="36"/>
          <w:rtl w:val="0"/>
        </w:rPr>
        <w:t xml:space="preserve">Category:                    CertHE(London)</w:t>
      </w:r>
    </w:p>
    <w:p w:rsidR="00000000" w:rsidDel="00000000" w:rsidP="00000000" w:rsidRDefault="00000000" w:rsidRPr="00000000" w14:paraId="0000001B">
      <w:pPr>
        <w:widowControl w:val="0"/>
        <w:spacing w:line="240" w:lineRule="auto"/>
        <w:rPr>
          <w:rFonts w:ascii="Nunito" w:cs="Nunito" w:eastAsia="Nunito" w:hAnsi="Nunito"/>
          <w:sz w:val="36"/>
          <w:szCs w:val="36"/>
        </w:rPr>
      </w:pPr>
      <w:r w:rsidDel="00000000" w:rsidR="00000000" w:rsidRPr="00000000">
        <w:rPr>
          <w:rFonts w:ascii="Nunito" w:cs="Nunito" w:eastAsia="Nunito" w:hAnsi="Nunito"/>
          <w:sz w:val="36"/>
          <w:szCs w:val="36"/>
          <w:rtl w:val="0"/>
        </w:rPr>
        <w:t xml:space="preserve">Lecturer’s name:         Amitave Banik</w:t>
      </w:r>
    </w:p>
    <w:p w:rsidR="00000000" w:rsidDel="00000000" w:rsidP="00000000" w:rsidRDefault="00000000" w:rsidRPr="00000000" w14:paraId="0000001C">
      <w:pPr>
        <w:widowControl w:val="0"/>
        <w:spacing w:line="240" w:lineRule="auto"/>
        <w:rPr>
          <w:rFonts w:ascii="Nunito" w:cs="Nunito" w:eastAsia="Nunito" w:hAnsi="Nunito"/>
          <w:sz w:val="36"/>
          <w:szCs w:val="36"/>
        </w:rPr>
      </w:pPr>
      <w:r w:rsidDel="00000000" w:rsidR="00000000" w:rsidRPr="00000000">
        <w:rPr>
          <w:rFonts w:ascii="Nunito" w:cs="Nunito" w:eastAsia="Nunito" w:hAnsi="Nunito"/>
          <w:sz w:val="36"/>
          <w:szCs w:val="36"/>
          <w:rtl w:val="0"/>
        </w:rPr>
        <w:t xml:space="preserve">Student’s name:          Kabir Hossain Hawlader</w:t>
      </w:r>
    </w:p>
    <w:p w:rsidR="00000000" w:rsidDel="00000000" w:rsidP="00000000" w:rsidRDefault="00000000" w:rsidRPr="00000000" w14:paraId="0000001D">
      <w:pPr>
        <w:widowControl w:val="0"/>
        <w:spacing w:line="240" w:lineRule="auto"/>
        <w:rPr>
          <w:rFonts w:ascii="Nunito" w:cs="Nunito" w:eastAsia="Nunito" w:hAnsi="Nunito"/>
          <w:sz w:val="36"/>
          <w:szCs w:val="36"/>
        </w:rPr>
      </w:pPr>
      <w:r w:rsidDel="00000000" w:rsidR="00000000" w:rsidRPr="00000000">
        <w:rPr>
          <w:rFonts w:ascii="Nunito" w:cs="Nunito" w:eastAsia="Nunito" w:hAnsi="Nunito"/>
          <w:sz w:val="36"/>
          <w:szCs w:val="36"/>
          <w:rtl w:val="0"/>
        </w:rPr>
        <w:t xml:space="preserve">Student’s ID:                1917236</w:t>
      </w:r>
    </w:p>
    <w:p w:rsidR="00000000" w:rsidDel="00000000" w:rsidP="00000000" w:rsidRDefault="00000000" w:rsidRPr="00000000" w14:paraId="0000001E">
      <w:pPr>
        <w:widowControl w:val="0"/>
        <w:spacing w:line="240" w:lineRule="auto"/>
        <w:rPr>
          <w:rFonts w:ascii="Nunito" w:cs="Nunito" w:eastAsia="Nunito" w:hAnsi="Nunito"/>
          <w:sz w:val="36"/>
          <w:szCs w:val="36"/>
        </w:rPr>
      </w:pPr>
      <w:r w:rsidDel="00000000" w:rsidR="00000000" w:rsidRPr="00000000">
        <w:rPr>
          <w:rFonts w:ascii="Nunito" w:cs="Nunito" w:eastAsia="Nunito" w:hAnsi="Nunito"/>
          <w:i w:val="1"/>
          <w:color w:val="f3f3f3"/>
          <w:sz w:val="28"/>
          <w:szCs w:val="28"/>
          <w:rtl w:val="0"/>
        </w:rPr>
        <w:t xml:space="preserve">Presented By : </w:t>
      </w:r>
      <w:r w:rsidDel="00000000" w:rsidR="00000000" w:rsidRPr="00000000">
        <w:rPr>
          <w:rtl w:val="0"/>
        </w:rPr>
      </w:r>
    </w:p>
    <w:p w:rsidR="00000000" w:rsidDel="00000000" w:rsidP="00000000" w:rsidRDefault="00000000" w:rsidRPr="00000000" w14:paraId="0000001F">
      <w:pPr>
        <w:rPr>
          <w:i w:val="1"/>
          <w:sz w:val="24"/>
          <w:szCs w:val="24"/>
        </w:rPr>
      </w:pPr>
      <w:r w:rsidDel="00000000" w:rsidR="00000000" w:rsidRPr="00000000">
        <w:rPr>
          <w:rtl w:val="0"/>
        </w:rPr>
      </w:r>
    </w:p>
    <w:p w:rsidR="00000000" w:rsidDel="00000000" w:rsidP="00000000" w:rsidRDefault="00000000" w:rsidRPr="00000000" w14:paraId="00000020">
      <w:pPr>
        <w:rPr>
          <w:i w:val="1"/>
          <w:sz w:val="24"/>
          <w:szCs w:val="24"/>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center"/>
        <w:rPr/>
      </w:pPr>
      <w:r w:rsidDel="00000000" w:rsidR="00000000" w:rsidRPr="00000000">
        <w:rPr>
          <w:rtl w:val="0"/>
        </w:rPr>
      </w:r>
    </w:p>
    <w:p w:rsidR="00000000" w:rsidDel="00000000" w:rsidP="00000000" w:rsidRDefault="00000000" w:rsidRPr="00000000" w14:paraId="00000025">
      <w:pPr>
        <w:jc w:val="center"/>
        <w:rPr>
          <w:b w:val="1"/>
          <w:sz w:val="36"/>
          <w:szCs w:val="36"/>
        </w:rPr>
      </w:pPr>
      <w:r w:rsidDel="00000000" w:rsidR="00000000" w:rsidRPr="00000000">
        <w:rPr>
          <w:b w:val="1"/>
          <w:sz w:val="36"/>
          <w:szCs w:val="36"/>
          <w:rtl w:val="0"/>
        </w:rPr>
        <w:t xml:space="preserve">History or Background of the Organisation</w:t>
      </w:r>
    </w:p>
    <w:p w:rsidR="00000000" w:rsidDel="00000000" w:rsidP="00000000" w:rsidRDefault="00000000" w:rsidRPr="00000000" w14:paraId="00000026">
      <w:pPr>
        <w:rPr>
          <w:b w:val="1"/>
          <w:sz w:val="24"/>
          <w:szCs w:val="24"/>
        </w:rPr>
      </w:pPr>
      <w:r w:rsidDel="00000000" w:rsidR="00000000" w:rsidRPr="00000000">
        <w:rPr>
          <w:b w:val="1"/>
          <w:sz w:val="24"/>
          <w:szCs w:val="24"/>
          <w:rtl w:val="0"/>
        </w:rPr>
        <w:t xml:space="preserve">                                                    </w:t>
      </w:r>
      <w:r w:rsidDel="00000000" w:rsidR="00000000" w:rsidRPr="00000000">
        <w:rPr>
          <w:b w:val="1"/>
          <w:sz w:val="24"/>
          <w:szCs w:val="24"/>
        </w:rPr>
        <w:drawing>
          <wp:inline distB="114300" distT="114300" distL="114300" distR="114300">
            <wp:extent cx="1225136" cy="59531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225136" cy="595313"/>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rPr>
          <w:b w:val="1"/>
          <w:sz w:val="24"/>
          <w:szCs w:val="24"/>
        </w:rPr>
      </w:pPr>
      <w:r w:rsidDel="00000000" w:rsidR="00000000" w:rsidRPr="00000000">
        <w:rPr>
          <w:rtl w:val="0"/>
        </w:rPr>
      </w:r>
    </w:p>
    <w:p w:rsidR="00000000" w:rsidDel="00000000" w:rsidP="00000000" w:rsidRDefault="00000000" w:rsidRPr="00000000" w14:paraId="00000028">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29">
      <w:pPr>
        <w:rPr>
          <w:sz w:val="24"/>
          <w:szCs w:val="24"/>
        </w:rPr>
      </w:pPr>
      <w:r w:rsidDel="00000000" w:rsidR="00000000" w:rsidRPr="00000000">
        <w:rPr>
          <w:sz w:val="24"/>
          <w:szCs w:val="24"/>
          <w:rtl w:val="0"/>
        </w:rPr>
        <w:t xml:space="preserve">Our team has chosen Sainsbury’s as it is one of the longest serving and the third largest retail companies in the UK. In their history, Sainsbury’s managed to persevere through all kinds of obstacles, being able to persist through the two World Wars and were one of the first that adapted modern tech to their services.</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b w:val="1"/>
          <w:sz w:val="24"/>
          <w:szCs w:val="24"/>
        </w:rPr>
      </w:pPr>
      <w:r w:rsidDel="00000000" w:rsidR="00000000" w:rsidRPr="00000000">
        <w:rPr>
          <w:b w:val="1"/>
          <w:sz w:val="24"/>
          <w:szCs w:val="24"/>
          <w:rtl w:val="0"/>
        </w:rPr>
        <w:t xml:space="preserve">Humble Beginnings (1869-1899)</w:t>
      </w:r>
    </w:p>
    <w:p w:rsidR="00000000" w:rsidDel="00000000" w:rsidP="00000000" w:rsidRDefault="00000000" w:rsidRPr="00000000" w14:paraId="0000002D">
      <w:pPr>
        <w:rPr>
          <w:sz w:val="24"/>
          <w:szCs w:val="24"/>
        </w:rPr>
      </w:pPr>
      <w:r w:rsidDel="00000000" w:rsidR="00000000" w:rsidRPr="00000000">
        <w:rPr>
          <w:sz w:val="24"/>
          <w:szCs w:val="24"/>
          <w:rtl w:val="0"/>
        </w:rPr>
        <w:t xml:space="preserve">In 1869, John James Sainsbury and Mary Ann opened their first Sainsbury’s on Drury Lane, London. Their business rapidly began to flourish, this was because the idea of high quality yet affordable goods was proved to be popular. By 1881, three more stores were opened for the growing demand and in 1882, they opened their first shop outside of London, in Croydon.</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b w:val="1"/>
          <w:sz w:val="24"/>
          <w:szCs w:val="24"/>
          <w:rtl w:val="0"/>
        </w:rPr>
        <w:t xml:space="preserve">First Major Challenges (1900-1939)</w:t>
      </w:r>
    </w:p>
    <w:p w:rsidR="00000000" w:rsidDel="00000000" w:rsidP="00000000" w:rsidRDefault="00000000" w:rsidRPr="00000000" w14:paraId="00000031">
      <w:pPr>
        <w:rPr>
          <w:sz w:val="24"/>
          <w:szCs w:val="24"/>
        </w:rPr>
      </w:pPr>
      <w:r w:rsidDel="00000000" w:rsidR="00000000" w:rsidRPr="00000000">
        <w:rPr>
          <w:sz w:val="24"/>
          <w:szCs w:val="24"/>
          <w:rtl w:val="0"/>
        </w:rPr>
        <w:t xml:space="preserve">Between the span of the First World War to the Second World War, the business recruited female workers to solve the deficiency of workers. By 1918, It amassed 39 branch managers</w:t>
      </w:r>
    </w:p>
    <w:p w:rsidR="00000000" w:rsidDel="00000000" w:rsidP="00000000" w:rsidRDefault="00000000" w:rsidRPr="00000000" w14:paraId="00000032">
      <w:pPr>
        <w:rPr>
          <w:sz w:val="24"/>
          <w:szCs w:val="24"/>
        </w:rPr>
      </w:pPr>
      <w:r w:rsidDel="00000000" w:rsidR="00000000" w:rsidRPr="00000000">
        <w:rPr>
          <w:sz w:val="24"/>
          <w:szCs w:val="24"/>
          <w:rtl w:val="0"/>
        </w:rPr>
        <w:t xml:space="preserve">.</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sz w:val="24"/>
          <w:szCs w:val="24"/>
        </w:rPr>
      </w:pPr>
      <w:r w:rsidDel="00000000" w:rsidR="00000000" w:rsidRPr="00000000">
        <w:rPr>
          <w:b w:val="1"/>
          <w:sz w:val="24"/>
          <w:szCs w:val="24"/>
          <w:rtl w:val="0"/>
        </w:rPr>
        <w:t xml:space="preserve">The British Shopping Revolution (1940-1969)</w:t>
      </w:r>
    </w:p>
    <w:p w:rsidR="00000000" w:rsidDel="00000000" w:rsidP="00000000" w:rsidRDefault="00000000" w:rsidRPr="00000000" w14:paraId="00000035">
      <w:pPr>
        <w:rPr>
          <w:sz w:val="24"/>
          <w:szCs w:val="24"/>
        </w:rPr>
      </w:pPr>
      <w:r w:rsidDel="00000000" w:rsidR="00000000" w:rsidRPr="00000000">
        <w:rPr>
          <w:sz w:val="24"/>
          <w:szCs w:val="24"/>
          <w:rtl w:val="0"/>
        </w:rPr>
        <w:t xml:space="preserve">In 1950, Sainsbury’s opened their first self-service on London Road, Croydon. This meant the transition to the modern method we see in stores today of customers browsing aisles and selecting their own products. In 1969, Sainsbury’s own-brand products accounted for over 50 per cent of its turnover.</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b w:val="1"/>
          <w:sz w:val="24"/>
          <w:szCs w:val="24"/>
        </w:rPr>
      </w:pPr>
      <w:r w:rsidDel="00000000" w:rsidR="00000000" w:rsidRPr="00000000">
        <w:rPr>
          <w:b w:val="1"/>
          <w:sz w:val="24"/>
          <w:szCs w:val="24"/>
          <w:rtl w:val="0"/>
        </w:rPr>
        <w:t xml:space="preserve">Nationwide expansion (1970-1999)</w:t>
      </w:r>
    </w:p>
    <w:p w:rsidR="00000000" w:rsidDel="00000000" w:rsidP="00000000" w:rsidRDefault="00000000" w:rsidRPr="00000000" w14:paraId="0000003A">
      <w:pPr>
        <w:rPr>
          <w:sz w:val="24"/>
          <w:szCs w:val="24"/>
        </w:rPr>
      </w:pPr>
      <w:r w:rsidDel="00000000" w:rsidR="00000000" w:rsidRPr="00000000">
        <w:rPr>
          <w:sz w:val="24"/>
          <w:szCs w:val="24"/>
          <w:rtl w:val="0"/>
        </w:rPr>
        <w:t xml:space="preserve">After pioneering the retail business in this period, it established itself as a truly national retailer, first opening stores in Yorkshire and the north, then implementing shops in Wales, Northern Ireland and Scotland.</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b w:val="1"/>
          <w:sz w:val="24"/>
          <w:szCs w:val="24"/>
          <w:rtl w:val="0"/>
        </w:rPr>
        <w:t xml:space="preserve">Re-building the Brand (2000-2018)</w:t>
      </w:r>
    </w:p>
    <w:p w:rsidR="00000000" w:rsidDel="00000000" w:rsidP="00000000" w:rsidRDefault="00000000" w:rsidRPr="00000000" w14:paraId="0000003E">
      <w:pPr>
        <w:rPr>
          <w:sz w:val="24"/>
          <w:szCs w:val="24"/>
        </w:rPr>
      </w:pPr>
      <w:r w:rsidDel="00000000" w:rsidR="00000000" w:rsidRPr="00000000">
        <w:rPr>
          <w:sz w:val="24"/>
          <w:szCs w:val="24"/>
          <w:rtl w:val="0"/>
        </w:rPr>
        <w:t xml:space="preserve">The lifetime of the business saw a total of 432 stores in the UK, and adapting more techs and strategies of increasing customer experience. In 2004, the business began working with Woodland Trust and have planted around two million trees since. By 2010, they opened half a dozen food colleges, which have trained 18,000 workers for traditional skills.</w:t>
      </w:r>
    </w:p>
    <w:p w:rsidR="00000000" w:rsidDel="00000000" w:rsidP="00000000" w:rsidRDefault="00000000" w:rsidRPr="00000000" w14:paraId="0000003F">
      <w:pPr>
        <w:rPr>
          <w:b w:val="1"/>
          <w:sz w:val="24"/>
          <w:szCs w:val="24"/>
        </w:rPr>
      </w:pPr>
      <w:r w:rsidDel="00000000" w:rsidR="00000000" w:rsidRPr="00000000">
        <w:rPr>
          <w:rtl w:val="0"/>
        </w:rPr>
      </w:r>
    </w:p>
    <w:p w:rsidR="00000000" w:rsidDel="00000000" w:rsidP="00000000" w:rsidRDefault="00000000" w:rsidRPr="00000000" w14:paraId="00000040">
      <w:pPr>
        <w:rPr>
          <w:b w:val="1"/>
          <w:sz w:val="24"/>
          <w:szCs w:val="24"/>
        </w:rPr>
      </w:pPr>
      <w:r w:rsidDel="00000000" w:rsidR="00000000" w:rsidRPr="00000000">
        <w:rPr>
          <w:b w:val="1"/>
          <w:sz w:val="24"/>
          <w:szCs w:val="24"/>
          <w:rtl w:val="0"/>
        </w:rPr>
        <w:t xml:space="preserve">Company Perspectives:</w:t>
      </w:r>
    </w:p>
    <w:p w:rsidR="00000000" w:rsidDel="00000000" w:rsidP="00000000" w:rsidRDefault="00000000" w:rsidRPr="00000000" w14:paraId="00000041">
      <w:pPr>
        <w:rPr>
          <w:b w:val="1"/>
          <w:sz w:val="24"/>
          <w:szCs w:val="24"/>
        </w:rPr>
      </w:pPr>
      <w:r w:rsidDel="00000000" w:rsidR="00000000" w:rsidRPr="00000000">
        <w:rPr>
          <w:sz w:val="24"/>
          <w:szCs w:val="24"/>
          <w:rtl w:val="0"/>
        </w:rPr>
        <w:t xml:space="preserve">Sainsbury’s is the UK's longest standing major food retailing chain and third-largest food retailer with over 455 supermarkets and 301 convenience stores. In 2019, 150th anniversary year Sainsbury’s served over 16 million customers each week with over 12,000 own brand products sourced from more than 70 countries. According to Mike Coupe, Chief Executive Officer of Sainsbury’s in 2018-2019 financial year Sainsbury’s sales were 32.4 billion pounds and over 178,000 people were working for the company.</w:t>
      </w:r>
      <w:r w:rsidDel="00000000" w:rsidR="00000000" w:rsidRPr="00000000">
        <w:rPr>
          <w:rtl w:val="0"/>
        </w:rPr>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b w:val="1"/>
          <w:sz w:val="24"/>
          <w:szCs w:val="24"/>
        </w:rPr>
      </w:pPr>
      <w:r w:rsidDel="00000000" w:rsidR="00000000" w:rsidRPr="00000000">
        <w:rPr>
          <w:b w:val="1"/>
          <w:sz w:val="24"/>
          <w:szCs w:val="24"/>
          <w:rtl w:val="0"/>
        </w:rPr>
        <w:t xml:space="preserve">Reference:</w:t>
      </w:r>
    </w:p>
    <w:p w:rsidR="00000000" w:rsidDel="00000000" w:rsidP="00000000" w:rsidRDefault="00000000" w:rsidRPr="00000000" w14:paraId="00000044">
      <w:pPr>
        <w:rPr>
          <w:sz w:val="24"/>
          <w:szCs w:val="24"/>
        </w:rPr>
      </w:pPr>
      <w:hyperlink r:id="rId7">
        <w:r w:rsidDel="00000000" w:rsidR="00000000" w:rsidRPr="00000000">
          <w:rPr>
            <w:color w:val="1155cc"/>
            <w:sz w:val="24"/>
            <w:szCs w:val="24"/>
            <w:u w:val="single"/>
            <w:rtl w:val="0"/>
          </w:rPr>
          <w:t xml:space="preserve">https://www.sainsburyarchive.org.uk</w:t>
        </w:r>
      </w:hyperlink>
      <w:r w:rsidDel="00000000" w:rsidR="00000000" w:rsidRPr="00000000">
        <w:rPr>
          <w:rtl w:val="0"/>
        </w:rPr>
      </w:r>
    </w:p>
    <w:p w:rsidR="00000000" w:rsidDel="00000000" w:rsidP="00000000" w:rsidRDefault="00000000" w:rsidRPr="00000000" w14:paraId="00000045">
      <w:pPr>
        <w:rPr>
          <w:sz w:val="24"/>
          <w:szCs w:val="24"/>
        </w:rPr>
      </w:pPr>
      <w:hyperlink r:id="rId8">
        <w:r w:rsidDel="00000000" w:rsidR="00000000" w:rsidRPr="00000000">
          <w:rPr>
            <w:color w:val="1155cc"/>
            <w:sz w:val="24"/>
            <w:szCs w:val="24"/>
            <w:u w:val="single"/>
            <w:rtl w:val="0"/>
          </w:rPr>
          <w:t xml:space="preserve">https://blog.s4rb.com</w:t>
        </w:r>
      </w:hyperlink>
      <w:r w:rsidDel="00000000" w:rsidR="00000000" w:rsidRPr="00000000">
        <w:rPr>
          <w:rtl w:val="0"/>
        </w:rPr>
      </w:r>
    </w:p>
    <w:p w:rsidR="00000000" w:rsidDel="00000000" w:rsidP="00000000" w:rsidRDefault="00000000" w:rsidRPr="00000000" w14:paraId="00000046">
      <w:pPr>
        <w:rPr>
          <w:sz w:val="24"/>
          <w:szCs w:val="24"/>
        </w:rPr>
      </w:pPr>
      <w:r w:rsidDel="00000000" w:rsidR="00000000" w:rsidRPr="00000000">
        <w:rPr>
          <w:sz w:val="24"/>
          <w:szCs w:val="24"/>
          <w:rtl w:val="0"/>
        </w:rPr>
        <w:t xml:space="preserve">https://www.referenceforbusiness.com</w:t>
      </w:r>
    </w:p>
    <w:p w:rsidR="00000000" w:rsidDel="00000000" w:rsidP="00000000" w:rsidRDefault="00000000" w:rsidRPr="00000000" w14:paraId="00000047">
      <w:pPr>
        <w:rPr>
          <w:sz w:val="24"/>
          <w:szCs w:val="24"/>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sainsburyarchive.org.uk" TargetMode="External"/><Relationship Id="rId8" Type="http://schemas.openxmlformats.org/officeDocument/2006/relationships/hyperlink" Target="https://blog.s4rb.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