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1347438"/>
        <w:docPartObj>
          <w:docPartGallery w:val="Cover Pages"/>
          <w:docPartUnique/>
        </w:docPartObj>
      </w:sdtPr>
      <w:sdtContent>
        <w:p w14:paraId="140232BB" w14:textId="1B2FA059" w:rsidR="00DF4EEC" w:rsidRDefault="00DF4EEC"/>
        <w:p w14:paraId="702AC195" w14:textId="77777777" w:rsidR="00ED242D" w:rsidRDefault="00DF4EEC" w:rsidP="00ED242D">
          <w:r>
            <w:rPr>
              <w:noProof/>
              <w:lang w:eastAsia="zh-CN"/>
            </w:rPr>
            <mc:AlternateContent>
              <mc:Choice Requires="wps">
                <w:drawing>
                  <wp:anchor distT="0" distB="0" distL="182880" distR="182880" simplePos="0" relativeHeight="251660288" behindDoc="0" locked="0" layoutInCell="1" allowOverlap="1" wp14:anchorId="2A765CFC" wp14:editId="19DA05A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1FF73" w14:textId="432E3731" w:rsidR="00DF4EEC" w:rsidRDefault="00DF4EE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Assignment 2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8A1BDDC" w14:textId="31125E70" w:rsidR="00DF4EEC" w:rsidRDefault="00DF4EEC">
                                    <w:pPr>
                                      <w:pStyle w:val="NoSpacing"/>
                                      <w:spacing w:before="40" w:after="40"/>
                                      <w:rPr>
                                        <w:caps/>
                                        <w:color w:val="1F4E79" w:themeColor="accent5" w:themeShade="80"/>
                                        <w:sz w:val="28"/>
                                        <w:szCs w:val="28"/>
                                      </w:rPr>
                                    </w:pPr>
                                    <w:r>
                                      <w:rPr>
                                        <w:caps/>
                                        <w:color w:val="1F4E79" w:themeColor="accent5" w:themeShade="80"/>
                                        <w:sz w:val="28"/>
                                        <w:szCs w:val="28"/>
                                      </w:rPr>
                                      <w:t>BMLW4004</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FFD8E04" w14:textId="0E1CB5DA" w:rsidR="00DF4EEC" w:rsidRDefault="00DF4EEC">
                                    <w:pPr>
                                      <w:pStyle w:val="NoSpacing"/>
                                      <w:spacing w:before="80" w:after="40"/>
                                      <w:rPr>
                                        <w:caps/>
                                        <w:color w:val="5B9BD5" w:themeColor="accent5"/>
                                        <w:sz w:val="24"/>
                                        <w:szCs w:val="24"/>
                                      </w:rPr>
                                    </w:pPr>
                                    <w:r>
                                      <w:rPr>
                                        <w:caps/>
                                        <w:color w:val="5B9BD5" w:themeColor="accent5"/>
                                        <w:sz w:val="24"/>
                                        <w:szCs w:val="24"/>
                                      </w:rPr>
                                      <w:t>OLIVER Rowe (2100430)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A765CFC"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45B1FF73" w14:textId="432E3731" w:rsidR="00DF4EEC" w:rsidRDefault="00DF4EE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Assignment 2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8A1BDDC" w14:textId="31125E70" w:rsidR="00DF4EEC" w:rsidRDefault="00DF4EEC">
                              <w:pPr>
                                <w:pStyle w:val="NoSpacing"/>
                                <w:spacing w:before="40" w:after="40"/>
                                <w:rPr>
                                  <w:caps/>
                                  <w:color w:val="1F4E79" w:themeColor="accent5" w:themeShade="80"/>
                                  <w:sz w:val="28"/>
                                  <w:szCs w:val="28"/>
                                </w:rPr>
                              </w:pPr>
                              <w:r>
                                <w:rPr>
                                  <w:caps/>
                                  <w:color w:val="1F4E79" w:themeColor="accent5" w:themeShade="80"/>
                                  <w:sz w:val="28"/>
                                  <w:szCs w:val="28"/>
                                </w:rPr>
                                <w:t>BMLW4004</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FFD8E04" w14:textId="0E1CB5DA" w:rsidR="00DF4EEC" w:rsidRDefault="00DF4EEC">
                              <w:pPr>
                                <w:pStyle w:val="NoSpacing"/>
                                <w:spacing w:before="80" w:after="40"/>
                                <w:rPr>
                                  <w:caps/>
                                  <w:color w:val="5B9BD5" w:themeColor="accent5"/>
                                  <w:sz w:val="24"/>
                                  <w:szCs w:val="24"/>
                                </w:rPr>
                              </w:pPr>
                              <w:r>
                                <w:rPr>
                                  <w:caps/>
                                  <w:color w:val="5B9BD5" w:themeColor="accent5"/>
                                  <w:sz w:val="24"/>
                                  <w:szCs w:val="24"/>
                                </w:rPr>
                                <w:t>OLIVER Rowe (2100430)</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5C17331A" wp14:editId="0110541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2A934E1" w14:textId="27FE8B48" w:rsidR="00DF4EEC" w:rsidRDefault="00DF4EEC">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17331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62A934E1" w14:textId="27FE8B48" w:rsidR="00DF4EEC" w:rsidRDefault="00DF4EEC">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0E20D322" w14:textId="173F01BE" w:rsidR="00696B78" w:rsidRPr="00ED242D" w:rsidRDefault="007F30C4" w:rsidP="00EE1427">
      <w:pPr>
        <w:spacing w:line="360" w:lineRule="auto"/>
      </w:pPr>
      <w:r w:rsidRPr="00DF4EEC">
        <w:rPr>
          <w:rFonts w:ascii="Arial" w:hAnsi="Arial" w:cs="Arial"/>
        </w:rPr>
        <w:lastRenderedPageBreak/>
        <w:t xml:space="preserve">Defamation is a tort law that is designed to protect people’s reputation from being damaged by other people. Britannica (2022). </w:t>
      </w:r>
      <w:r w:rsidR="00DD22F3" w:rsidRPr="00DF4EEC">
        <w:rPr>
          <w:rFonts w:ascii="Arial" w:hAnsi="Arial" w:cs="Arial"/>
        </w:rPr>
        <w:t xml:space="preserve">The original definition was provided in the case of </w:t>
      </w:r>
      <w:r w:rsidR="00DD22F3" w:rsidRPr="00DF4EEC">
        <w:rPr>
          <w:rFonts w:ascii="Arial" w:hAnsi="Arial" w:cs="Arial"/>
          <w:u w:val="single"/>
        </w:rPr>
        <w:t>Sim v Stretch (1936</w:t>
      </w:r>
      <w:proofErr w:type="gramStart"/>
      <w:r w:rsidR="00DD22F3" w:rsidRPr="00DF4EEC">
        <w:rPr>
          <w:rFonts w:ascii="Arial" w:hAnsi="Arial" w:cs="Arial"/>
        </w:rPr>
        <w:t>)</w:t>
      </w:r>
      <w:proofErr w:type="gramEnd"/>
      <w:r w:rsidR="00DD22F3" w:rsidRPr="00DF4EEC">
        <w:rPr>
          <w:rFonts w:ascii="Arial" w:hAnsi="Arial" w:cs="Arial"/>
        </w:rPr>
        <w:t xml:space="preserve"> and it requires the courts to consider whether the statement lowers the reputation of the claimant in the estimations of a right thinking member of society. </w:t>
      </w:r>
      <w:r w:rsidR="002E099F" w:rsidRPr="00DF4EEC">
        <w:rPr>
          <w:rFonts w:ascii="Arial" w:hAnsi="Arial" w:cs="Arial"/>
        </w:rPr>
        <w:t xml:space="preserve">If an individual or organisations publishes something about another individual that harms their reputation that person can then sue for damages. </w:t>
      </w:r>
      <w:r w:rsidR="004B26A3" w:rsidRPr="00DF4EEC">
        <w:rPr>
          <w:rFonts w:ascii="Arial" w:hAnsi="Arial" w:cs="Arial"/>
        </w:rPr>
        <w:t xml:space="preserve">An example of a recent case </w:t>
      </w:r>
      <w:r w:rsidR="00EA7166" w:rsidRPr="00DF4EEC">
        <w:rPr>
          <w:rFonts w:ascii="Arial" w:hAnsi="Arial" w:cs="Arial"/>
        </w:rPr>
        <w:t xml:space="preserve">where damages were awarded to the claimant following a successful defamation claim was in the case of </w:t>
      </w:r>
      <w:r w:rsidR="00EA7166" w:rsidRPr="00DF4EEC">
        <w:rPr>
          <w:rFonts w:ascii="Arial" w:hAnsi="Arial" w:cs="Arial"/>
          <w:u w:val="single"/>
        </w:rPr>
        <w:t>Triad Group Plc v Makar (2020)</w:t>
      </w:r>
      <w:r w:rsidR="00EA7166" w:rsidRPr="00DF4EEC">
        <w:rPr>
          <w:rFonts w:ascii="Arial" w:hAnsi="Arial" w:cs="Arial"/>
        </w:rPr>
        <w:t xml:space="preserve">. </w:t>
      </w:r>
      <w:r w:rsidR="002E099F" w:rsidRPr="00DF4EEC">
        <w:rPr>
          <w:rFonts w:ascii="Arial" w:hAnsi="Arial" w:cs="Arial"/>
        </w:rPr>
        <w:t xml:space="preserve">There are two different types of defamation these are libel and slander. Slander is when the statement or comments are spoken, however the defamatory statement can also appear in phots or cartoons. </w:t>
      </w:r>
      <w:r w:rsidR="002F0F55" w:rsidRPr="00DF4EEC">
        <w:rPr>
          <w:rFonts w:ascii="Arial" w:hAnsi="Arial" w:cs="Arial"/>
        </w:rPr>
        <w:t xml:space="preserve">On the other hand, libel is when the defamatory statement is when the untruths are published in any type of broadcast for the public. An example of a libel is if the defamatory statement is published in a newspaper or an email. Quality Solicitors (2022). The laws surrounding defamation have recently been updated within the </w:t>
      </w:r>
      <w:r w:rsidR="002F0F55" w:rsidRPr="00DF4EEC">
        <w:rPr>
          <w:rFonts w:ascii="Arial" w:hAnsi="Arial" w:cs="Arial"/>
          <w:u w:val="single"/>
        </w:rPr>
        <w:t xml:space="preserve">Defamation Act 2013. </w:t>
      </w:r>
      <w:r w:rsidR="004B26A3" w:rsidRPr="00DF4EEC">
        <w:rPr>
          <w:rFonts w:ascii="Arial" w:hAnsi="Arial" w:cs="Arial"/>
        </w:rPr>
        <w:t xml:space="preserve">One change that was brought into place as part of the </w:t>
      </w:r>
      <w:r w:rsidR="004B26A3" w:rsidRPr="00DF4EEC">
        <w:rPr>
          <w:rFonts w:ascii="Arial" w:hAnsi="Arial" w:cs="Arial"/>
          <w:u w:val="single"/>
        </w:rPr>
        <w:t>Defamation Act 2013</w:t>
      </w:r>
      <w:r w:rsidR="004B26A3" w:rsidRPr="00DF4EEC">
        <w:rPr>
          <w:rFonts w:ascii="Arial" w:hAnsi="Arial" w:cs="Arial"/>
        </w:rPr>
        <w:t xml:space="preserve"> was that defamation cases are now heard without a jury unless a court orders otherwise. This means when hearing defamation cases judges must weigh up two competing rights to see if there is a successful defamation claim or not. </w:t>
      </w:r>
      <w:r w:rsidR="00EA7166" w:rsidRPr="00DF4EEC">
        <w:rPr>
          <w:rFonts w:ascii="Arial" w:hAnsi="Arial" w:cs="Arial"/>
        </w:rPr>
        <w:t xml:space="preserve">The first right Is the right of the claimant to protect their reputation. The second right the judges </w:t>
      </w:r>
      <w:r w:rsidR="00023395" w:rsidRPr="00DF4EEC">
        <w:rPr>
          <w:rFonts w:ascii="Arial" w:hAnsi="Arial" w:cs="Arial"/>
        </w:rPr>
        <w:t>must</w:t>
      </w:r>
      <w:r w:rsidR="00EA7166" w:rsidRPr="00DF4EEC">
        <w:rPr>
          <w:rFonts w:ascii="Arial" w:hAnsi="Arial" w:cs="Arial"/>
        </w:rPr>
        <w:t xml:space="preserve"> weigh up is laid out in, </w:t>
      </w:r>
      <w:r w:rsidR="00EA7166" w:rsidRPr="00DF4EEC">
        <w:rPr>
          <w:rFonts w:ascii="Arial" w:hAnsi="Arial" w:cs="Arial"/>
          <w:u w:val="single"/>
        </w:rPr>
        <w:t>Article 10 of the European Convention of Human Rights 1953.</w:t>
      </w:r>
      <w:r w:rsidR="00023395" w:rsidRPr="00DF4EEC">
        <w:rPr>
          <w:rFonts w:ascii="Arial" w:hAnsi="Arial" w:cs="Arial"/>
        </w:rPr>
        <w:t xml:space="preserve"> For the claimant to have a successful defamation action they must prove four elements </w:t>
      </w:r>
      <w:r w:rsidR="00696B78" w:rsidRPr="00DF4EEC">
        <w:rPr>
          <w:rFonts w:ascii="Arial" w:hAnsi="Arial" w:cs="Arial"/>
        </w:rPr>
        <w:t xml:space="preserve">that are laid out within the Defamation Act (2013). </w:t>
      </w:r>
    </w:p>
    <w:p w14:paraId="54D0A682" w14:textId="77777777" w:rsidR="00696B78" w:rsidRPr="00DF4EEC" w:rsidRDefault="00696B78" w:rsidP="00DF4EEC">
      <w:pPr>
        <w:spacing w:line="360" w:lineRule="auto"/>
        <w:rPr>
          <w:rFonts w:ascii="Arial" w:hAnsi="Arial" w:cs="Arial"/>
        </w:rPr>
      </w:pPr>
    </w:p>
    <w:p w14:paraId="1896FA0C" w14:textId="15419C2A" w:rsidR="007F30C4" w:rsidRPr="00DF4EEC" w:rsidRDefault="00696B78" w:rsidP="00DF4EEC">
      <w:pPr>
        <w:spacing w:line="360" w:lineRule="auto"/>
        <w:rPr>
          <w:rFonts w:ascii="Arial" w:hAnsi="Arial" w:cs="Arial"/>
        </w:rPr>
      </w:pPr>
      <w:r w:rsidRPr="00DF4EEC">
        <w:rPr>
          <w:rFonts w:ascii="Arial" w:hAnsi="Arial" w:cs="Arial"/>
        </w:rPr>
        <w:t xml:space="preserve">The first element that the claimant must prove is outlined within the Defamation Act (2013) is that the defamatory statement must be published to someone other than the </w:t>
      </w:r>
      <w:r w:rsidR="00595FA8" w:rsidRPr="00DF4EEC">
        <w:rPr>
          <w:rFonts w:ascii="Arial" w:hAnsi="Arial" w:cs="Arial"/>
        </w:rPr>
        <w:t>defendant’s</w:t>
      </w:r>
      <w:r w:rsidRPr="00DF4EEC">
        <w:rPr>
          <w:rFonts w:ascii="Arial" w:hAnsi="Arial" w:cs="Arial"/>
        </w:rPr>
        <w:t xml:space="preserve"> spouse. </w:t>
      </w:r>
      <w:r w:rsidR="00023395" w:rsidRPr="00DF4EEC">
        <w:rPr>
          <w:rFonts w:ascii="Arial" w:hAnsi="Arial" w:cs="Arial"/>
        </w:rPr>
        <w:t xml:space="preserve"> </w:t>
      </w:r>
      <w:r w:rsidR="00595FA8" w:rsidRPr="00DF4EEC">
        <w:rPr>
          <w:rFonts w:ascii="Arial" w:hAnsi="Arial" w:cs="Arial"/>
        </w:rPr>
        <w:t xml:space="preserve">Even though this element </w:t>
      </w:r>
      <w:r w:rsidR="006A6AC7" w:rsidRPr="00DF4EEC">
        <w:rPr>
          <w:rFonts w:ascii="Arial" w:hAnsi="Arial" w:cs="Arial"/>
        </w:rPr>
        <w:t>must</w:t>
      </w:r>
      <w:r w:rsidR="00595FA8" w:rsidRPr="00DF4EEC">
        <w:rPr>
          <w:rFonts w:ascii="Arial" w:hAnsi="Arial" w:cs="Arial"/>
        </w:rPr>
        <w:t xml:space="preserve"> be proven, in the case of </w:t>
      </w:r>
      <w:proofErr w:type="spellStart"/>
      <w:r w:rsidR="00595FA8" w:rsidRPr="003317AE">
        <w:rPr>
          <w:rFonts w:ascii="Arial" w:hAnsi="Arial" w:cs="Arial"/>
          <w:u w:val="single"/>
        </w:rPr>
        <w:t>Huth</w:t>
      </w:r>
      <w:proofErr w:type="spellEnd"/>
      <w:r w:rsidR="00595FA8" w:rsidRPr="003317AE">
        <w:rPr>
          <w:rFonts w:ascii="Arial" w:hAnsi="Arial" w:cs="Arial"/>
          <w:u w:val="single"/>
        </w:rPr>
        <w:t xml:space="preserve"> v </w:t>
      </w:r>
      <w:proofErr w:type="spellStart"/>
      <w:r w:rsidR="00595FA8" w:rsidRPr="003317AE">
        <w:rPr>
          <w:rFonts w:ascii="Arial" w:hAnsi="Arial" w:cs="Arial"/>
          <w:u w:val="single"/>
        </w:rPr>
        <w:t>Huth</w:t>
      </w:r>
      <w:proofErr w:type="spellEnd"/>
      <w:r w:rsidR="00595FA8" w:rsidRPr="003317AE">
        <w:rPr>
          <w:rFonts w:ascii="Arial" w:hAnsi="Arial" w:cs="Arial"/>
          <w:u w:val="single"/>
        </w:rPr>
        <w:t xml:space="preserve"> (1915)</w:t>
      </w:r>
      <w:r w:rsidR="00BC3D47" w:rsidRPr="00DF4EEC">
        <w:rPr>
          <w:rFonts w:ascii="Arial" w:hAnsi="Arial" w:cs="Arial"/>
        </w:rPr>
        <w:t xml:space="preserve"> it was stated that liability can be avoided on behalf of the defendant If </w:t>
      </w:r>
      <w:r w:rsidR="003F1CB7" w:rsidRPr="00DF4EEC">
        <w:rPr>
          <w:rFonts w:ascii="Arial" w:hAnsi="Arial" w:cs="Arial"/>
        </w:rPr>
        <w:t>they can</w:t>
      </w:r>
      <w:r w:rsidR="00BC3D47" w:rsidRPr="00DF4EEC">
        <w:rPr>
          <w:rFonts w:ascii="Arial" w:hAnsi="Arial" w:cs="Arial"/>
        </w:rPr>
        <w:t xml:space="preserve"> prove that they could not see a possible way the publication would </w:t>
      </w:r>
      <w:r w:rsidR="003F1CB7" w:rsidRPr="00DF4EEC">
        <w:rPr>
          <w:rFonts w:ascii="Arial" w:hAnsi="Arial" w:cs="Arial"/>
        </w:rPr>
        <w:t xml:space="preserve">have </w:t>
      </w:r>
      <w:r w:rsidR="00BC3D47" w:rsidRPr="00DF4EEC">
        <w:rPr>
          <w:rFonts w:ascii="Arial" w:hAnsi="Arial" w:cs="Arial"/>
        </w:rPr>
        <w:t xml:space="preserve">occurred. </w:t>
      </w:r>
    </w:p>
    <w:p w14:paraId="7B51C91E" w14:textId="0B9D8BBF" w:rsidR="00BC3D47" w:rsidRPr="00DF4EEC" w:rsidRDefault="00BC3D47" w:rsidP="00DF4EEC">
      <w:pPr>
        <w:spacing w:line="360" w:lineRule="auto"/>
        <w:rPr>
          <w:rFonts w:ascii="Arial" w:hAnsi="Arial" w:cs="Arial"/>
        </w:rPr>
      </w:pPr>
    </w:p>
    <w:p w14:paraId="3606DE00" w14:textId="0AAC45FA" w:rsidR="00BC3D47" w:rsidRPr="00DF4EEC" w:rsidRDefault="00BC3D47" w:rsidP="00DF4EEC">
      <w:pPr>
        <w:spacing w:line="360" w:lineRule="auto"/>
        <w:rPr>
          <w:rFonts w:ascii="Arial" w:hAnsi="Arial" w:cs="Arial"/>
        </w:rPr>
      </w:pPr>
      <w:r w:rsidRPr="00DF4EEC">
        <w:rPr>
          <w:rFonts w:ascii="Arial" w:hAnsi="Arial" w:cs="Arial"/>
        </w:rPr>
        <w:t xml:space="preserve">In Ffion’s case there </w:t>
      </w:r>
      <w:r w:rsidR="003F1CB7" w:rsidRPr="00DF4EEC">
        <w:rPr>
          <w:rFonts w:ascii="Arial" w:hAnsi="Arial" w:cs="Arial"/>
        </w:rPr>
        <w:t>are two occasions where a defamatory statement has been published about her. The first time the defamation was published was in the anonyms email that Iuan received</w:t>
      </w:r>
      <w:r w:rsidR="00DD22F3" w:rsidRPr="00DF4EEC">
        <w:rPr>
          <w:rFonts w:ascii="Arial" w:hAnsi="Arial" w:cs="Arial"/>
        </w:rPr>
        <w:t>. This is a</w:t>
      </w:r>
      <w:r w:rsidR="00B51C97" w:rsidRPr="00DF4EEC">
        <w:rPr>
          <w:rFonts w:ascii="Arial" w:hAnsi="Arial" w:cs="Arial"/>
        </w:rPr>
        <w:t>n</w:t>
      </w:r>
      <w:r w:rsidR="00DD22F3" w:rsidRPr="00DF4EEC">
        <w:rPr>
          <w:rFonts w:ascii="Arial" w:hAnsi="Arial" w:cs="Arial"/>
        </w:rPr>
        <w:t xml:space="preserve"> </w:t>
      </w:r>
      <w:r w:rsidR="006A6AC7" w:rsidRPr="00DF4EEC">
        <w:rPr>
          <w:rFonts w:ascii="Arial" w:hAnsi="Arial" w:cs="Arial"/>
        </w:rPr>
        <w:t xml:space="preserve">example of </w:t>
      </w:r>
      <w:r w:rsidR="00B51C97" w:rsidRPr="00DF4EEC">
        <w:rPr>
          <w:rFonts w:ascii="Arial" w:hAnsi="Arial" w:cs="Arial"/>
        </w:rPr>
        <w:t>slander,</w:t>
      </w:r>
      <w:r w:rsidR="006A6AC7" w:rsidRPr="00DF4EEC">
        <w:rPr>
          <w:rFonts w:ascii="Arial" w:hAnsi="Arial" w:cs="Arial"/>
        </w:rPr>
        <w:t xml:space="preserve"> and it is the first </w:t>
      </w:r>
      <w:r w:rsidR="006A6AC7" w:rsidRPr="00DF4EEC">
        <w:rPr>
          <w:rFonts w:ascii="Arial" w:hAnsi="Arial" w:cs="Arial"/>
        </w:rPr>
        <w:lastRenderedPageBreak/>
        <w:t>time the false accusations were published against Ffion.</w:t>
      </w:r>
      <w:r w:rsidR="00B51C97" w:rsidRPr="00DF4EEC">
        <w:rPr>
          <w:rFonts w:ascii="Arial" w:hAnsi="Arial" w:cs="Arial"/>
        </w:rPr>
        <w:t xml:space="preserve"> The fact that this statement was sent in an email is proof that it was published. </w:t>
      </w:r>
      <w:r w:rsidR="006A6AC7" w:rsidRPr="00DF4EEC">
        <w:rPr>
          <w:rFonts w:ascii="Arial" w:hAnsi="Arial" w:cs="Arial"/>
        </w:rPr>
        <w:t xml:space="preserve"> There is another occasion where a defamatory statement is published about Ffion is when Iuan publishes the article stating that </w:t>
      </w:r>
      <w:r w:rsidR="00B51C97" w:rsidRPr="00DF4EEC">
        <w:rPr>
          <w:rFonts w:ascii="Arial" w:hAnsi="Arial" w:cs="Arial"/>
        </w:rPr>
        <w:t xml:space="preserve">Ffion was stealing money. The evidence that states this defamatory statement was published is because it is written up in an article for the public to read. </w:t>
      </w:r>
    </w:p>
    <w:p w14:paraId="3D8D0105" w14:textId="0E054830" w:rsidR="00023395" w:rsidRPr="00DF4EEC" w:rsidRDefault="00023395" w:rsidP="00DF4EEC">
      <w:pPr>
        <w:spacing w:line="360" w:lineRule="auto"/>
        <w:rPr>
          <w:rFonts w:ascii="Arial" w:hAnsi="Arial" w:cs="Arial"/>
        </w:rPr>
      </w:pPr>
    </w:p>
    <w:p w14:paraId="7BAF0E09" w14:textId="04805F3B" w:rsidR="00B51C97" w:rsidRPr="00DF4EEC" w:rsidRDefault="00B51C97" w:rsidP="00DF4EEC">
      <w:pPr>
        <w:spacing w:line="360" w:lineRule="auto"/>
        <w:rPr>
          <w:rFonts w:ascii="Arial" w:hAnsi="Arial" w:cs="Arial"/>
        </w:rPr>
      </w:pPr>
      <w:r w:rsidRPr="00DF4EEC">
        <w:rPr>
          <w:rFonts w:ascii="Arial" w:hAnsi="Arial" w:cs="Arial"/>
        </w:rPr>
        <w:t xml:space="preserve">On the other hand, there is also, proof of a defamatory statement that has been published against Kieran. This statement was made by Juliet. The fact that </w:t>
      </w:r>
      <w:r w:rsidR="002361E3" w:rsidRPr="00DF4EEC">
        <w:rPr>
          <w:rFonts w:ascii="Arial" w:hAnsi="Arial" w:cs="Arial"/>
        </w:rPr>
        <w:t>Juliet</w:t>
      </w:r>
      <w:r w:rsidRPr="00DF4EEC">
        <w:rPr>
          <w:rFonts w:ascii="Arial" w:hAnsi="Arial" w:cs="Arial"/>
        </w:rPr>
        <w:t xml:space="preserve"> made these comments </w:t>
      </w:r>
      <w:r w:rsidR="002361E3" w:rsidRPr="00DF4EEC">
        <w:rPr>
          <w:rFonts w:ascii="Arial" w:hAnsi="Arial" w:cs="Arial"/>
        </w:rPr>
        <w:t xml:space="preserve">during a Parliamentary session Is proof that the statement was published. </w:t>
      </w:r>
      <w:r w:rsidRPr="00DF4EEC">
        <w:rPr>
          <w:rFonts w:ascii="Arial" w:hAnsi="Arial" w:cs="Arial"/>
        </w:rPr>
        <w:t xml:space="preserve"> </w:t>
      </w:r>
    </w:p>
    <w:p w14:paraId="4BD21926" w14:textId="561BA1EB" w:rsidR="002361E3" w:rsidRPr="00DF4EEC" w:rsidRDefault="002361E3" w:rsidP="00DF4EEC">
      <w:pPr>
        <w:spacing w:line="360" w:lineRule="auto"/>
        <w:rPr>
          <w:rFonts w:ascii="Arial" w:hAnsi="Arial" w:cs="Arial"/>
        </w:rPr>
      </w:pPr>
    </w:p>
    <w:p w14:paraId="7D1F8969" w14:textId="63175244" w:rsidR="002361E3" w:rsidRPr="00DF4EEC" w:rsidRDefault="002361E3" w:rsidP="00DF4EEC">
      <w:pPr>
        <w:spacing w:line="360" w:lineRule="auto"/>
        <w:rPr>
          <w:rFonts w:ascii="Arial" w:hAnsi="Arial" w:cs="Arial"/>
        </w:rPr>
      </w:pPr>
      <w:r w:rsidRPr="00DF4EEC">
        <w:rPr>
          <w:rFonts w:ascii="Arial" w:hAnsi="Arial" w:cs="Arial"/>
        </w:rPr>
        <w:t>The nex</w:t>
      </w:r>
      <w:r w:rsidR="00CD10D1" w:rsidRPr="00DF4EEC">
        <w:rPr>
          <w:rFonts w:ascii="Arial" w:hAnsi="Arial" w:cs="Arial"/>
        </w:rPr>
        <w:t>t</w:t>
      </w:r>
      <w:r w:rsidRPr="00DF4EEC">
        <w:rPr>
          <w:rFonts w:ascii="Arial" w:hAnsi="Arial" w:cs="Arial"/>
        </w:rPr>
        <w:t xml:space="preserve"> element that the claimant is expected to prove in </w:t>
      </w:r>
      <w:r w:rsidR="00CD10D1" w:rsidRPr="00DF4EEC">
        <w:rPr>
          <w:rFonts w:ascii="Arial" w:hAnsi="Arial" w:cs="Arial"/>
        </w:rPr>
        <w:t xml:space="preserve">court is outlined under </w:t>
      </w:r>
      <w:r w:rsidR="00CD10D1" w:rsidRPr="00DF4EEC">
        <w:rPr>
          <w:rFonts w:ascii="Arial" w:hAnsi="Arial" w:cs="Arial"/>
          <w:u w:val="single"/>
        </w:rPr>
        <w:t>S.1 of the Defamation Act 2013</w:t>
      </w:r>
      <w:r w:rsidR="00CD10D1" w:rsidRPr="00DF4EEC">
        <w:rPr>
          <w:rFonts w:ascii="Arial" w:hAnsi="Arial" w:cs="Arial"/>
        </w:rPr>
        <w:t xml:space="preserve"> and is that the statement made must be defamatory. This means that the statement that is published must lower the reputation of the claimant in the eyes of a right-thinking member of society </w:t>
      </w:r>
      <w:r w:rsidR="00CD10D1" w:rsidRPr="00DF4EEC">
        <w:rPr>
          <w:rFonts w:ascii="Arial" w:hAnsi="Arial" w:cs="Arial"/>
          <w:u w:val="single"/>
        </w:rPr>
        <w:t>Sim v Stretch (1936</w:t>
      </w:r>
      <w:r w:rsidR="00CD10D1" w:rsidRPr="00DF4EEC">
        <w:rPr>
          <w:rFonts w:ascii="Arial" w:hAnsi="Arial" w:cs="Arial"/>
        </w:rPr>
        <w:t xml:space="preserve">). </w:t>
      </w:r>
      <w:r w:rsidR="00C10FEF" w:rsidRPr="00DF4EEC">
        <w:rPr>
          <w:rFonts w:ascii="Arial" w:hAnsi="Arial" w:cs="Arial"/>
        </w:rPr>
        <w:t>When the courts are trying to figure out whether a statement is defamatory, they are required to look at the whole statement. This is shown in the recent case</w:t>
      </w:r>
      <w:r w:rsidR="009465FC" w:rsidRPr="00DF4EEC">
        <w:rPr>
          <w:rFonts w:ascii="Arial" w:hAnsi="Arial" w:cs="Arial"/>
        </w:rPr>
        <w:t xml:space="preserve"> of </w:t>
      </w:r>
      <w:r w:rsidR="00C10FEF" w:rsidRPr="00DF4EEC">
        <w:rPr>
          <w:rFonts w:ascii="Arial" w:hAnsi="Arial" w:cs="Arial"/>
        </w:rPr>
        <w:t xml:space="preserve">Sam Oliver. BBC (2019). This is so that they can take on the perspective of the ordinary reader. This process also allows the courts to avoid taking anything out of context. </w:t>
      </w:r>
    </w:p>
    <w:p w14:paraId="61A7F75B" w14:textId="03C95A72" w:rsidR="009465FC" w:rsidRPr="00DF4EEC" w:rsidRDefault="009465FC" w:rsidP="00DF4EEC">
      <w:pPr>
        <w:spacing w:line="360" w:lineRule="auto"/>
        <w:rPr>
          <w:rFonts w:ascii="Arial" w:hAnsi="Arial" w:cs="Arial"/>
        </w:rPr>
      </w:pPr>
    </w:p>
    <w:p w14:paraId="5E9F7F9C" w14:textId="4B41A21D" w:rsidR="009465FC" w:rsidRPr="00DF4EEC" w:rsidRDefault="009465FC" w:rsidP="00DF4EEC">
      <w:pPr>
        <w:spacing w:line="360" w:lineRule="auto"/>
        <w:rPr>
          <w:rFonts w:ascii="Arial" w:hAnsi="Arial" w:cs="Arial"/>
        </w:rPr>
      </w:pPr>
      <w:r w:rsidRPr="00DF4EEC">
        <w:rPr>
          <w:rFonts w:ascii="Arial" w:hAnsi="Arial" w:cs="Arial"/>
        </w:rPr>
        <w:t xml:space="preserve">In the case of Ffion, the article that Kieran </w:t>
      </w:r>
      <w:r w:rsidR="006E10D5" w:rsidRPr="00DF4EEC">
        <w:rPr>
          <w:rFonts w:ascii="Arial" w:hAnsi="Arial" w:cs="Arial"/>
        </w:rPr>
        <w:t xml:space="preserve">wrote up and was published was a defamatory statement because it falsely calls her a ‘con’ and accuses her of stealing money. This is defamatory because this article would lower the reputation of Ffion in the eyes of a ‘right thinking member of society’ because right thinking members of society believe that stealing and conning are bad acts to commit. And this article could also make people who read the article think of Ffion in a negative way. </w:t>
      </w:r>
    </w:p>
    <w:p w14:paraId="2FF4FCF1" w14:textId="64986B30" w:rsidR="006E10D5" w:rsidRPr="00DF4EEC" w:rsidRDefault="006E10D5" w:rsidP="00DF4EEC">
      <w:pPr>
        <w:spacing w:line="360" w:lineRule="auto"/>
        <w:rPr>
          <w:rFonts w:ascii="Arial" w:hAnsi="Arial" w:cs="Arial"/>
        </w:rPr>
      </w:pPr>
    </w:p>
    <w:p w14:paraId="4654EEC6" w14:textId="5C9C803A" w:rsidR="006E10D5" w:rsidRDefault="006E10D5" w:rsidP="00DF4EEC">
      <w:pPr>
        <w:spacing w:line="360" w:lineRule="auto"/>
        <w:rPr>
          <w:rFonts w:ascii="Arial" w:hAnsi="Arial" w:cs="Arial"/>
        </w:rPr>
      </w:pPr>
      <w:r w:rsidRPr="00DF4EEC">
        <w:rPr>
          <w:rFonts w:ascii="Arial" w:hAnsi="Arial" w:cs="Arial"/>
        </w:rPr>
        <w:t xml:space="preserve">It could also be argued that the comments made by Juliet are defamatory statements as well because </w:t>
      </w:r>
      <w:r w:rsidR="00F771A4" w:rsidRPr="00DF4EEC">
        <w:rPr>
          <w:rFonts w:ascii="Arial" w:hAnsi="Arial" w:cs="Arial"/>
        </w:rPr>
        <w:t xml:space="preserve">it portrays Kieran as a person who has a ‘distaste for successful businesswoman.’ This comment could make people think less of Kieran because it portrays him in a negative way. Also, it could be argued that the comments made by </w:t>
      </w:r>
      <w:r w:rsidR="00C21B99" w:rsidRPr="00DF4EEC">
        <w:rPr>
          <w:rFonts w:ascii="Arial" w:hAnsi="Arial" w:cs="Arial"/>
        </w:rPr>
        <w:t>Juliet</w:t>
      </w:r>
      <w:r w:rsidR="00F771A4" w:rsidRPr="00DF4EEC">
        <w:rPr>
          <w:rFonts w:ascii="Arial" w:hAnsi="Arial" w:cs="Arial"/>
        </w:rPr>
        <w:t xml:space="preserve"> portrays Kieran as </w:t>
      </w:r>
      <w:r w:rsidR="000D1507">
        <w:rPr>
          <w:rFonts w:ascii="Arial" w:hAnsi="Arial" w:cs="Arial"/>
        </w:rPr>
        <w:t>‘</w:t>
      </w:r>
      <w:r w:rsidR="00F771A4" w:rsidRPr="00DF4EEC">
        <w:rPr>
          <w:rFonts w:ascii="Arial" w:hAnsi="Arial" w:cs="Arial"/>
        </w:rPr>
        <w:t>sexist</w:t>
      </w:r>
      <w:r w:rsidR="000D1507">
        <w:rPr>
          <w:rFonts w:ascii="Arial" w:hAnsi="Arial" w:cs="Arial"/>
        </w:rPr>
        <w:t>’</w:t>
      </w:r>
      <w:r w:rsidR="00F771A4" w:rsidRPr="00DF4EEC">
        <w:rPr>
          <w:rFonts w:ascii="Arial" w:hAnsi="Arial" w:cs="Arial"/>
        </w:rPr>
        <w:t xml:space="preserve"> </w:t>
      </w:r>
      <w:r w:rsidR="00C21B99" w:rsidRPr="00DF4EEC">
        <w:rPr>
          <w:rFonts w:ascii="Arial" w:hAnsi="Arial" w:cs="Arial"/>
        </w:rPr>
        <w:t xml:space="preserve">because it specifically states he has a distaste for ‘successful businesswomen.’ This could make people avoid Kieran because it is a negative and hurtful portrayal. </w:t>
      </w:r>
    </w:p>
    <w:p w14:paraId="216E4486" w14:textId="73794A69" w:rsidR="00154D77" w:rsidRDefault="00154D77" w:rsidP="00DF4EEC">
      <w:pPr>
        <w:spacing w:line="360" w:lineRule="auto"/>
        <w:rPr>
          <w:rFonts w:ascii="Arial" w:hAnsi="Arial" w:cs="Arial"/>
        </w:rPr>
      </w:pPr>
    </w:p>
    <w:p w14:paraId="0F2890F0" w14:textId="6A35DC0E" w:rsidR="00154D77" w:rsidRDefault="00154D77" w:rsidP="00DF4EEC">
      <w:pPr>
        <w:spacing w:line="360" w:lineRule="auto"/>
        <w:rPr>
          <w:rFonts w:ascii="Arial" w:hAnsi="Arial" w:cs="Arial"/>
        </w:rPr>
      </w:pPr>
      <w:r>
        <w:rPr>
          <w:rFonts w:ascii="Arial" w:hAnsi="Arial" w:cs="Arial"/>
        </w:rPr>
        <w:t xml:space="preserve">The next element that </w:t>
      </w:r>
      <w:r w:rsidR="00A64FEF">
        <w:rPr>
          <w:rFonts w:ascii="Arial" w:hAnsi="Arial" w:cs="Arial"/>
        </w:rPr>
        <w:t>needs</w:t>
      </w:r>
      <w:r>
        <w:rPr>
          <w:rFonts w:ascii="Arial" w:hAnsi="Arial" w:cs="Arial"/>
        </w:rPr>
        <w:t xml:space="preserve"> to be proven in court is the fact that the defamatory statement is referred to the claimant. </w:t>
      </w:r>
      <w:r w:rsidR="00A64FEF">
        <w:rPr>
          <w:rFonts w:ascii="Arial" w:hAnsi="Arial" w:cs="Arial"/>
        </w:rPr>
        <w:t>In cases where the defendant is stated by name this is an easy requirement for the courts to establish. However, in some cases a defamatory statement may be made without naming the claimant.</w:t>
      </w:r>
      <w:r w:rsidR="00A64FEF" w:rsidRPr="00DF4EEC">
        <w:rPr>
          <w:rFonts w:ascii="Arial" w:hAnsi="Arial" w:cs="Arial"/>
        </w:rPr>
        <w:t xml:space="preserve"> </w:t>
      </w:r>
      <w:r w:rsidR="00A64FEF">
        <w:rPr>
          <w:rFonts w:ascii="Arial" w:hAnsi="Arial" w:cs="Arial"/>
        </w:rPr>
        <w:t>T</w:t>
      </w:r>
      <w:r w:rsidR="00A64FEF" w:rsidRPr="00DF4EEC">
        <w:rPr>
          <w:rFonts w:ascii="Arial" w:hAnsi="Arial" w:cs="Arial"/>
        </w:rPr>
        <w:t xml:space="preserve">he case of </w:t>
      </w:r>
      <w:r w:rsidR="00A64FEF" w:rsidRPr="00DF4EEC">
        <w:rPr>
          <w:rFonts w:ascii="Arial" w:hAnsi="Arial" w:cs="Arial"/>
          <w:u w:val="single"/>
        </w:rPr>
        <w:t>Tolley v JS Fry &amp; Sons Ltd (1931)</w:t>
      </w:r>
      <w:r w:rsidR="00A64FEF" w:rsidRPr="00DF4EEC">
        <w:rPr>
          <w:rFonts w:ascii="Arial" w:hAnsi="Arial" w:cs="Arial"/>
        </w:rPr>
        <w:t xml:space="preserve"> states that the defamatory statement does not need to directly talk about the claimant about the defamatory statement can be made through an innuendo. This is also the case in Kieran’s case because Juliet does not specifically name him. </w:t>
      </w:r>
      <w:r w:rsidR="00A64FEF">
        <w:rPr>
          <w:rFonts w:ascii="Arial" w:hAnsi="Arial" w:cs="Arial"/>
        </w:rPr>
        <w:t xml:space="preserve">The defamatory statement does not need to name the </w:t>
      </w:r>
      <w:r w:rsidR="00912D66">
        <w:rPr>
          <w:rFonts w:ascii="Arial" w:hAnsi="Arial" w:cs="Arial"/>
        </w:rPr>
        <w:t xml:space="preserve">defendant it just needs to proven in court that a reasonable person reading or listening to the statement will be able to tell the statement is referring to them. </w:t>
      </w:r>
      <w:proofErr w:type="spellStart"/>
      <w:r w:rsidR="00912D66">
        <w:rPr>
          <w:rFonts w:ascii="Arial" w:hAnsi="Arial" w:cs="Arial"/>
        </w:rPr>
        <w:t>Pecanac</w:t>
      </w:r>
      <w:proofErr w:type="spellEnd"/>
      <w:r w:rsidR="00912D66">
        <w:rPr>
          <w:rFonts w:ascii="Arial" w:hAnsi="Arial" w:cs="Arial"/>
        </w:rPr>
        <w:t>, A. (2021).</w:t>
      </w:r>
      <w:r w:rsidR="00E73FA0">
        <w:rPr>
          <w:rFonts w:ascii="Arial" w:hAnsi="Arial" w:cs="Arial"/>
        </w:rPr>
        <w:t xml:space="preserve"> This was shown in the case of </w:t>
      </w:r>
      <w:proofErr w:type="spellStart"/>
      <w:r w:rsidR="00E73FA0" w:rsidRPr="006F79E4">
        <w:rPr>
          <w:rFonts w:ascii="Arial" w:hAnsi="Arial" w:cs="Arial"/>
          <w:u w:val="single"/>
        </w:rPr>
        <w:t>Hulton</w:t>
      </w:r>
      <w:proofErr w:type="spellEnd"/>
      <w:r w:rsidR="00E73FA0" w:rsidRPr="006F79E4">
        <w:rPr>
          <w:rFonts w:ascii="Arial" w:hAnsi="Arial" w:cs="Arial"/>
          <w:u w:val="single"/>
        </w:rPr>
        <w:t xml:space="preserve"> v Jones (1910)</w:t>
      </w:r>
      <w:r w:rsidR="00E73FA0">
        <w:rPr>
          <w:rFonts w:ascii="Arial" w:hAnsi="Arial" w:cs="Arial"/>
        </w:rPr>
        <w:t xml:space="preserve"> In this case a journalist named an ‘Artemus Jones’ even though the defendant did not intend for the article to be about someone there was a person with the name Artemus Jones who sued for defamation. </w:t>
      </w:r>
    </w:p>
    <w:p w14:paraId="6E2F30C7" w14:textId="236F433F" w:rsidR="006F79E4" w:rsidRDefault="006F79E4" w:rsidP="00DF4EEC">
      <w:pPr>
        <w:spacing w:line="360" w:lineRule="auto"/>
        <w:rPr>
          <w:rFonts w:ascii="Arial" w:hAnsi="Arial" w:cs="Arial"/>
        </w:rPr>
      </w:pPr>
    </w:p>
    <w:p w14:paraId="7E739296" w14:textId="2681A8BA" w:rsidR="006F79E4" w:rsidRDefault="006F79E4" w:rsidP="00DF4EEC">
      <w:pPr>
        <w:spacing w:line="360" w:lineRule="auto"/>
        <w:rPr>
          <w:rFonts w:ascii="Arial" w:hAnsi="Arial" w:cs="Arial"/>
        </w:rPr>
      </w:pPr>
      <w:r>
        <w:rPr>
          <w:rFonts w:ascii="Arial" w:hAnsi="Arial" w:cs="Arial"/>
        </w:rPr>
        <w:t xml:space="preserve">In Ffion’s case when the court will have to look at whether the article that was written by Kieran specifically refers to Ffion. They will do this by looking at the </w:t>
      </w:r>
      <w:r w:rsidR="000733B9">
        <w:rPr>
          <w:rFonts w:ascii="Arial" w:hAnsi="Arial" w:cs="Arial"/>
        </w:rPr>
        <w:t>article in its entirety</w:t>
      </w:r>
      <w:r>
        <w:rPr>
          <w:rFonts w:ascii="Arial" w:hAnsi="Arial" w:cs="Arial"/>
        </w:rPr>
        <w:t xml:space="preserve">. In Ffion’s case it is easy for the courts </w:t>
      </w:r>
      <w:r w:rsidR="000733B9">
        <w:rPr>
          <w:rFonts w:ascii="Arial" w:hAnsi="Arial" w:cs="Arial"/>
        </w:rPr>
        <w:t xml:space="preserve">to tell that the article that Kieran produced is about Ffion because the article specifically names her throughout and talks about her at length. </w:t>
      </w:r>
    </w:p>
    <w:p w14:paraId="5732B678" w14:textId="4F8EFDB3" w:rsidR="000733B9" w:rsidRDefault="000733B9" w:rsidP="00DF4EEC">
      <w:pPr>
        <w:spacing w:line="360" w:lineRule="auto"/>
        <w:rPr>
          <w:rFonts w:ascii="Arial" w:hAnsi="Arial" w:cs="Arial"/>
        </w:rPr>
      </w:pPr>
    </w:p>
    <w:p w14:paraId="3BA78947" w14:textId="35EDF207" w:rsidR="000733B9" w:rsidRDefault="000733B9" w:rsidP="00DF4EEC">
      <w:pPr>
        <w:spacing w:line="360" w:lineRule="auto"/>
        <w:rPr>
          <w:rFonts w:ascii="Arial" w:hAnsi="Arial" w:cs="Arial"/>
        </w:rPr>
      </w:pPr>
      <w:r>
        <w:rPr>
          <w:rFonts w:ascii="Arial" w:hAnsi="Arial" w:cs="Arial"/>
        </w:rPr>
        <w:t xml:space="preserve">On the other hand, when the courts are considering Kieran’s case it is more difficult because the comments made by Juliet do not name Kieran specifically. However, when the courts are looking at the </w:t>
      </w:r>
      <w:r w:rsidR="00A6555A">
        <w:rPr>
          <w:rFonts w:ascii="Arial" w:hAnsi="Arial" w:cs="Arial"/>
        </w:rPr>
        <w:t>comments,</w:t>
      </w:r>
      <w:r>
        <w:rPr>
          <w:rFonts w:ascii="Arial" w:hAnsi="Arial" w:cs="Arial"/>
        </w:rPr>
        <w:t xml:space="preserve"> they will be able to tell that the comments are </w:t>
      </w:r>
      <w:r w:rsidR="00F24287">
        <w:rPr>
          <w:rFonts w:ascii="Arial" w:hAnsi="Arial" w:cs="Arial"/>
        </w:rPr>
        <w:t>referring</w:t>
      </w:r>
      <w:r>
        <w:rPr>
          <w:rFonts w:ascii="Arial" w:hAnsi="Arial" w:cs="Arial"/>
        </w:rPr>
        <w:t xml:space="preserve"> to Kieran because </w:t>
      </w:r>
      <w:r w:rsidR="00F24287">
        <w:rPr>
          <w:rFonts w:ascii="Arial" w:hAnsi="Arial" w:cs="Arial"/>
        </w:rPr>
        <w:t>she talks about the ‘editor of WNO.’ So even though Juliet does</w:t>
      </w:r>
      <w:r w:rsidR="000D1507">
        <w:rPr>
          <w:rFonts w:ascii="Arial" w:hAnsi="Arial" w:cs="Arial"/>
        </w:rPr>
        <w:t xml:space="preserve"> no</w:t>
      </w:r>
      <w:r w:rsidR="00F24287">
        <w:rPr>
          <w:rFonts w:ascii="Arial" w:hAnsi="Arial" w:cs="Arial"/>
        </w:rPr>
        <w:t xml:space="preserve">t name Kieran </w:t>
      </w:r>
      <w:proofErr w:type="gramStart"/>
      <w:r w:rsidR="00F24287">
        <w:rPr>
          <w:rFonts w:ascii="Arial" w:hAnsi="Arial" w:cs="Arial"/>
        </w:rPr>
        <w:t>it is clear that she</w:t>
      </w:r>
      <w:proofErr w:type="gramEnd"/>
      <w:r w:rsidR="00F24287">
        <w:rPr>
          <w:rFonts w:ascii="Arial" w:hAnsi="Arial" w:cs="Arial"/>
        </w:rPr>
        <w:t xml:space="preserve"> is </w:t>
      </w:r>
      <w:r w:rsidR="000D1507">
        <w:rPr>
          <w:rFonts w:ascii="Arial" w:hAnsi="Arial" w:cs="Arial"/>
        </w:rPr>
        <w:t>referring</w:t>
      </w:r>
      <w:r w:rsidR="00F24287">
        <w:rPr>
          <w:rFonts w:ascii="Arial" w:hAnsi="Arial" w:cs="Arial"/>
        </w:rPr>
        <w:t xml:space="preserve"> to him. </w:t>
      </w:r>
    </w:p>
    <w:p w14:paraId="6CE0F1F5" w14:textId="0CAF39B8" w:rsidR="00F24287" w:rsidRDefault="00F24287" w:rsidP="00DF4EEC">
      <w:pPr>
        <w:spacing w:line="360" w:lineRule="auto"/>
        <w:rPr>
          <w:rFonts w:ascii="Arial" w:hAnsi="Arial" w:cs="Arial"/>
        </w:rPr>
      </w:pPr>
    </w:p>
    <w:p w14:paraId="3946091B" w14:textId="6FFE0C51" w:rsidR="00F24287" w:rsidRPr="000D1507" w:rsidRDefault="00F24287" w:rsidP="00DF4EEC">
      <w:pPr>
        <w:spacing w:line="360" w:lineRule="auto"/>
        <w:rPr>
          <w:rFonts w:ascii="Arial" w:hAnsi="Arial" w:cs="Arial"/>
        </w:rPr>
      </w:pPr>
      <w:r>
        <w:rPr>
          <w:rFonts w:ascii="Arial" w:hAnsi="Arial" w:cs="Arial"/>
        </w:rPr>
        <w:t xml:space="preserve">The final element that a claimant will have to prove is </w:t>
      </w:r>
      <w:r w:rsidR="00A6555A">
        <w:rPr>
          <w:rFonts w:ascii="Arial" w:hAnsi="Arial" w:cs="Arial"/>
        </w:rPr>
        <w:t xml:space="preserve">defined under S.1 (s.1) of The Defamation Act 2013. This element is that the claimant must prove that the defamatory statement has caused or is very likely to cause serious damage to reputation. The case of </w:t>
      </w:r>
      <w:r w:rsidR="00A6555A" w:rsidRPr="00CB328F">
        <w:rPr>
          <w:rFonts w:ascii="Arial" w:hAnsi="Arial" w:cs="Arial"/>
          <w:u w:val="single"/>
        </w:rPr>
        <w:t xml:space="preserve">Cooke </w:t>
      </w:r>
      <w:r w:rsidR="00CB328F">
        <w:rPr>
          <w:rFonts w:ascii="Arial" w:hAnsi="Arial" w:cs="Arial"/>
          <w:u w:val="single"/>
        </w:rPr>
        <w:t xml:space="preserve">and </w:t>
      </w:r>
      <w:r w:rsidR="00A6555A" w:rsidRPr="00CB328F">
        <w:rPr>
          <w:rFonts w:ascii="Arial" w:hAnsi="Arial" w:cs="Arial"/>
          <w:u w:val="single"/>
        </w:rPr>
        <w:t>Another</w:t>
      </w:r>
      <w:r w:rsidR="00CB328F">
        <w:rPr>
          <w:rFonts w:ascii="Arial" w:hAnsi="Arial" w:cs="Arial"/>
          <w:u w:val="single"/>
        </w:rPr>
        <w:t xml:space="preserve"> v MGN Ltd</w:t>
      </w:r>
      <w:r w:rsidR="00A6555A" w:rsidRPr="00CB328F">
        <w:rPr>
          <w:rFonts w:ascii="Arial" w:hAnsi="Arial" w:cs="Arial"/>
          <w:u w:val="single"/>
        </w:rPr>
        <w:t xml:space="preserve"> 2004</w:t>
      </w:r>
      <w:r w:rsidR="00A6555A">
        <w:rPr>
          <w:rFonts w:ascii="Arial" w:hAnsi="Arial" w:cs="Arial"/>
        </w:rPr>
        <w:t xml:space="preserve"> states that if the defendant is a media </w:t>
      </w:r>
      <w:r w:rsidR="00CB328F">
        <w:rPr>
          <w:rFonts w:ascii="Arial" w:hAnsi="Arial" w:cs="Arial"/>
        </w:rPr>
        <w:t>company, they can avoid liability if they publish a ‘swift apology.</w:t>
      </w:r>
      <w:r w:rsidR="000D1507">
        <w:rPr>
          <w:rFonts w:ascii="Arial" w:hAnsi="Arial" w:cs="Arial"/>
        </w:rPr>
        <w:t xml:space="preserve"> </w:t>
      </w:r>
      <w:r w:rsidR="00CB328F">
        <w:rPr>
          <w:rFonts w:ascii="Arial" w:hAnsi="Arial" w:cs="Arial"/>
        </w:rPr>
        <w:t xml:space="preserve">In 2019 The Supreme Court ruled that the claimant must have evidence </w:t>
      </w:r>
      <w:r w:rsidR="00CB328F">
        <w:rPr>
          <w:rFonts w:ascii="Arial" w:hAnsi="Arial" w:cs="Arial"/>
        </w:rPr>
        <w:lastRenderedPageBreak/>
        <w:t>that they can provide in court that shows they have suffered a damage to reputation.</w:t>
      </w:r>
      <w:r w:rsidR="00ED242D">
        <w:rPr>
          <w:rFonts w:ascii="Arial" w:hAnsi="Arial" w:cs="Arial"/>
        </w:rPr>
        <w:t xml:space="preserve"> This ruling was laid down in the case of </w:t>
      </w:r>
      <w:r w:rsidR="00ED242D" w:rsidRPr="00ED242D">
        <w:rPr>
          <w:rFonts w:ascii="Arial" w:hAnsi="Arial" w:cs="Arial"/>
          <w:u w:val="single"/>
        </w:rPr>
        <w:t xml:space="preserve">Lachaux </w:t>
      </w:r>
      <w:r w:rsidR="00660925">
        <w:rPr>
          <w:rFonts w:ascii="Arial" w:hAnsi="Arial" w:cs="Arial"/>
          <w:u w:val="single"/>
        </w:rPr>
        <w:t xml:space="preserve">v Independent Print Ltd &amp; Ors </w:t>
      </w:r>
      <w:r w:rsidR="00ED242D" w:rsidRPr="00ED242D">
        <w:rPr>
          <w:rFonts w:ascii="Arial" w:hAnsi="Arial" w:cs="Arial"/>
          <w:u w:val="single"/>
        </w:rPr>
        <w:t>(201</w:t>
      </w:r>
      <w:r w:rsidR="000D64BD">
        <w:rPr>
          <w:rFonts w:ascii="Arial" w:hAnsi="Arial" w:cs="Arial"/>
          <w:u w:val="single"/>
        </w:rPr>
        <w:t>7</w:t>
      </w:r>
      <w:r w:rsidR="00ED242D" w:rsidRPr="00ED242D">
        <w:rPr>
          <w:rFonts w:ascii="Arial" w:hAnsi="Arial" w:cs="Arial"/>
          <w:u w:val="single"/>
        </w:rPr>
        <w:t xml:space="preserve">). </w:t>
      </w:r>
      <w:r w:rsidR="00CB328F" w:rsidRPr="00ED242D">
        <w:rPr>
          <w:rFonts w:ascii="Arial" w:hAnsi="Arial" w:cs="Arial"/>
          <w:u w:val="single"/>
        </w:rPr>
        <w:t xml:space="preserve"> </w:t>
      </w:r>
    </w:p>
    <w:p w14:paraId="63E7C213" w14:textId="4D0D4DB6" w:rsidR="003317AE" w:rsidRDefault="003317AE" w:rsidP="00DF4EEC">
      <w:pPr>
        <w:spacing w:line="360" w:lineRule="auto"/>
        <w:rPr>
          <w:rFonts w:ascii="Arial" w:hAnsi="Arial" w:cs="Arial"/>
          <w:u w:val="single"/>
        </w:rPr>
      </w:pPr>
    </w:p>
    <w:p w14:paraId="126B0DCC" w14:textId="28CF2C90" w:rsidR="003317AE" w:rsidRDefault="003317AE" w:rsidP="00DF4EEC">
      <w:pPr>
        <w:spacing w:line="360" w:lineRule="auto"/>
        <w:rPr>
          <w:rFonts w:ascii="Arial" w:hAnsi="Arial" w:cs="Arial"/>
        </w:rPr>
      </w:pPr>
      <w:r>
        <w:rPr>
          <w:rFonts w:ascii="Arial" w:hAnsi="Arial" w:cs="Arial"/>
        </w:rPr>
        <w:t xml:space="preserve">In Ffion’s case, there is not enough evidence that states that the article has seriously damaged her reputation, however it could be argued that the article could cause serious harm to her reputation. Because the comments that </w:t>
      </w:r>
      <w:r w:rsidR="00EE1427">
        <w:rPr>
          <w:rFonts w:ascii="Arial" w:hAnsi="Arial" w:cs="Arial"/>
        </w:rPr>
        <w:t xml:space="preserve">are made call her a “con” and accuses her of stealing money this could cause serious harm to her reputation as a businesswoman and could lead to loss of revenue because people may be more reluctant to go into business with a “con.” Therefore, a judge may feel that this is </w:t>
      </w:r>
      <w:r w:rsidR="009A2514">
        <w:rPr>
          <w:rFonts w:ascii="Arial" w:hAnsi="Arial" w:cs="Arial"/>
        </w:rPr>
        <w:t xml:space="preserve">enough to constitute a serious damage to reputation. If the defamatory statement against Ffion is slander Ffion would have to prove that the article has caused or will cause loss of earnings on Ffion’s behalf. </w:t>
      </w:r>
    </w:p>
    <w:p w14:paraId="2EED53F9" w14:textId="61BB521E" w:rsidR="009A2514" w:rsidRDefault="009A2514" w:rsidP="00DF4EEC">
      <w:pPr>
        <w:spacing w:line="360" w:lineRule="auto"/>
        <w:rPr>
          <w:rFonts w:ascii="Arial" w:hAnsi="Arial" w:cs="Arial"/>
        </w:rPr>
      </w:pPr>
    </w:p>
    <w:p w14:paraId="6A4A40DB" w14:textId="62A35DA2" w:rsidR="009A2514" w:rsidRDefault="009A2514" w:rsidP="00DF4EEC">
      <w:pPr>
        <w:spacing w:line="360" w:lineRule="auto"/>
        <w:rPr>
          <w:rFonts w:ascii="Arial" w:hAnsi="Arial" w:cs="Arial"/>
        </w:rPr>
      </w:pPr>
      <w:r>
        <w:rPr>
          <w:rFonts w:ascii="Arial" w:hAnsi="Arial" w:cs="Arial"/>
        </w:rPr>
        <w:t xml:space="preserve">When it comes to Kieran it is more difficult for judges to prove whether the statement made by Juliet will cause serious damage to Kieran’s reputation. On one hand it could be argued that the comments do not cause serious damage to his reputation because people will have </w:t>
      </w:r>
      <w:r w:rsidR="0082278B">
        <w:rPr>
          <w:rFonts w:ascii="Arial" w:hAnsi="Arial" w:cs="Arial"/>
        </w:rPr>
        <w:t>originally</w:t>
      </w:r>
      <w:r>
        <w:rPr>
          <w:rFonts w:ascii="Arial" w:hAnsi="Arial" w:cs="Arial"/>
        </w:rPr>
        <w:t xml:space="preserve"> read his article and therefore may already have a negative opinion of him because he published </w:t>
      </w:r>
      <w:r w:rsidR="0082278B">
        <w:rPr>
          <w:rFonts w:ascii="Arial" w:hAnsi="Arial" w:cs="Arial"/>
        </w:rPr>
        <w:t xml:space="preserve">false information. But, on the other hand, it could be argued that these comments could cause serious harm to his reputation because the comments in Parliament may be heard by more people and therefore people could be more likely to not read his work and </w:t>
      </w:r>
      <w:r w:rsidR="000D64BD">
        <w:rPr>
          <w:rFonts w:ascii="Arial" w:hAnsi="Arial" w:cs="Arial"/>
        </w:rPr>
        <w:t>therefore,</w:t>
      </w:r>
      <w:r w:rsidR="0082278B">
        <w:rPr>
          <w:rFonts w:ascii="Arial" w:hAnsi="Arial" w:cs="Arial"/>
        </w:rPr>
        <w:t xml:space="preserve"> he could lose job opportunities of the back of Juliet’s comments. </w:t>
      </w:r>
    </w:p>
    <w:p w14:paraId="304BFEF9" w14:textId="4E68139A" w:rsidR="00660925" w:rsidRDefault="00660925" w:rsidP="00DF4EEC">
      <w:pPr>
        <w:spacing w:line="360" w:lineRule="auto"/>
        <w:rPr>
          <w:rFonts w:ascii="Arial" w:hAnsi="Arial" w:cs="Arial"/>
        </w:rPr>
      </w:pPr>
    </w:p>
    <w:p w14:paraId="09C4E619" w14:textId="459A4A80" w:rsidR="00660925" w:rsidRDefault="00660925" w:rsidP="00DF4EEC">
      <w:pPr>
        <w:spacing w:line="360" w:lineRule="auto"/>
        <w:rPr>
          <w:rFonts w:ascii="Arial" w:hAnsi="Arial" w:cs="Arial"/>
        </w:rPr>
      </w:pPr>
      <w:r>
        <w:rPr>
          <w:rFonts w:ascii="Arial" w:hAnsi="Arial" w:cs="Arial"/>
        </w:rPr>
        <w:t xml:space="preserve">There are three common law defences for defamation. These are, Truth, honest opinion and is the information a matter of public interest. UK Government (2013).  </w:t>
      </w:r>
      <w:r w:rsidR="00417A69">
        <w:rPr>
          <w:rFonts w:ascii="Arial" w:hAnsi="Arial" w:cs="Arial"/>
        </w:rPr>
        <w:t>The defence of truth is outlined under Section 2(1) of the Defamation Act 2013. And it states that if the statement is substantially true it will protect a person of being found liable of defamation. Carruthers Law (2022).</w:t>
      </w:r>
      <w:r w:rsidR="00CE4DD9">
        <w:rPr>
          <w:rFonts w:ascii="Arial" w:hAnsi="Arial" w:cs="Arial"/>
        </w:rPr>
        <w:t xml:space="preserve"> An example of a case where the defence of truth was successfully used was </w:t>
      </w:r>
      <w:r w:rsidR="00CE4DD9" w:rsidRPr="00CE4DD9">
        <w:rPr>
          <w:rFonts w:ascii="Arial" w:hAnsi="Arial" w:cs="Arial"/>
          <w:u w:val="single"/>
        </w:rPr>
        <w:t>Gecas v Scottish Television (1992)</w:t>
      </w:r>
      <w:r w:rsidR="00CE4DD9">
        <w:rPr>
          <w:rFonts w:ascii="Arial" w:hAnsi="Arial" w:cs="Arial"/>
        </w:rPr>
        <w:t>.</w:t>
      </w:r>
      <w:r w:rsidR="005109E4">
        <w:rPr>
          <w:rFonts w:ascii="Arial" w:hAnsi="Arial" w:cs="Arial"/>
        </w:rPr>
        <w:t xml:space="preserve"> The Herald, (1992).</w:t>
      </w:r>
      <w:r w:rsidR="00CE4DD9">
        <w:rPr>
          <w:rFonts w:ascii="Arial" w:hAnsi="Arial" w:cs="Arial"/>
        </w:rPr>
        <w:t xml:space="preserve"> In this case the defendant was sued for defamation when they accused the defendant of murdering Jews during the war. However, the action was not successful because they could prove the claimant was involved in the allegations. </w:t>
      </w:r>
      <w:r w:rsidR="00417A69">
        <w:rPr>
          <w:rFonts w:ascii="Arial" w:hAnsi="Arial" w:cs="Arial"/>
        </w:rPr>
        <w:t xml:space="preserve"> </w:t>
      </w:r>
      <w:r w:rsidR="00F81C8E">
        <w:rPr>
          <w:rFonts w:ascii="Arial" w:hAnsi="Arial" w:cs="Arial"/>
        </w:rPr>
        <w:t xml:space="preserve">The next defence is contained within section 3 of the Defamation Act </w:t>
      </w:r>
      <w:r w:rsidR="00F81C8E">
        <w:rPr>
          <w:rFonts w:ascii="Arial" w:hAnsi="Arial" w:cs="Arial"/>
        </w:rPr>
        <w:lastRenderedPageBreak/>
        <w:t xml:space="preserve">(2013). This defence available if the defamatory statement is one of opinion and not one of fact. </w:t>
      </w:r>
      <w:r w:rsidR="00F81C8E">
        <w:rPr>
          <w:rFonts w:ascii="Arial" w:hAnsi="Arial" w:cs="Arial"/>
        </w:rPr>
        <w:t>Carruthers Law (2022).</w:t>
      </w:r>
      <w:r w:rsidR="00F81C8E">
        <w:rPr>
          <w:rFonts w:ascii="Arial" w:hAnsi="Arial" w:cs="Arial"/>
        </w:rPr>
        <w:t xml:space="preserve"> </w:t>
      </w:r>
      <w:r w:rsidR="00CE4DD9">
        <w:rPr>
          <w:rFonts w:ascii="Arial" w:hAnsi="Arial" w:cs="Arial"/>
        </w:rPr>
        <w:t>This means that it is a defence if the statement that is published is that would of an opinion</w:t>
      </w:r>
      <w:r w:rsidR="003A3B5E">
        <w:rPr>
          <w:rFonts w:ascii="Arial" w:hAnsi="Arial" w:cs="Arial"/>
        </w:rPr>
        <w:t>. For this defence to successfully be applied the statement must be aware of some facts about what they are commenting on. This was stated in the case of Joseph v Spiller (2010). The final defence is known as the ‘Reynolds defence</w:t>
      </w:r>
      <w:r w:rsidR="0008527E">
        <w:rPr>
          <w:rFonts w:ascii="Arial" w:hAnsi="Arial" w:cs="Arial"/>
        </w:rPr>
        <w:t xml:space="preserve">.’ This defence was laid down in the defence of </w:t>
      </w:r>
      <w:r w:rsidR="0008527E" w:rsidRPr="0008527E">
        <w:rPr>
          <w:rFonts w:ascii="Arial" w:hAnsi="Arial" w:cs="Arial"/>
          <w:u w:val="single"/>
        </w:rPr>
        <w:t>Reynolds v Times Newspapers Ltd &amp; ors (2001).</w:t>
      </w:r>
      <w:r w:rsidR="0008527E">
        <w:rPr>
          <w:rFonts w:ascii="Arial" w:hAnsi="Arial" w:cs="Arial"/>
        </w:rPr>
        <w:t xml:space="preserve"> This defence is available in libel cases, and it is designed to protect investigative journalists from being sued for defamation if they publish something that is in the public interest. The Legal 500 (2009). </w:t>
      </w:r>
      <w:r w:rsidR="009035B9">
        <w:rPr>
          <w:rFonts w:ascii="Arial" w:hAnsi="Arial" w:cs="Arial"/>
        </w:rPr>
        <w:t xml:space="preserve">This defence can be used even if the journalist has published false information if he was acting in good faith. </w:t>
      </w:r>
    </w:p>
    <w:p w14:paraId="2C25891F" w14:textId="370A248F" w:rsidR="009035B9" w:rsidRDefault="009035B9" w:rsidP="00DF4EEC">
      <w:pPr>
        <w:spacing w:line="360" w:lineRule="auto"/>
        <w:rPr>
          <w:rFonts w:ascii="Arial" w:hAnsi="Arial" w:cs="Arial"/>
        </w:rPr>
      </w:pPr>
    </w:p>
    <w:p w14:paraId="36786575" w14:textId="0AF84A2F" w:rsidR="00CA5367" w:rsidRDefault="009035B9" w:rsidP="00DF4EEC">
      <w:pPr>
        <w:spacing w:line="360" w:lineRule="auto"/>
        <w:rPr>
          <w:rFonts w:ascii="Arial" w:hAnsi="Arial" w:cs="Arial"/>
        </w:rPr>
      </w:pPr>
      <w:r>
        <w:rPr>
          <w:rFonts w:ascii="Arial" w:hAnsi="Arial" w:cs="Arial"/>
        </w:rPr>
        <w:t>In Ffion’s case the defence of truth would not be available to Kieran because the statements he made turned out to be false.</w:t>
      </w:r>
      <w:r w:rsidR="00DB7CAC">
        <w:rPr>
          <w:rFonts w:ascii="Arial" w:hAnsi="Arial" w:cs="Arial"/>
        </w:rPr>
        <w:t xml:space="preserve"> Also, Kieran cannot rely on the defence of honest opinion because his accusations were based off false facts and was not his own true opinion. However, Kieran could potentially avoid liability because of the Reynolds defence. This is because the Reynolds defence is designed to protect investigative journalist even if they have published false accusations. But it would be up to the judge to decide whether publishing this story about Ffion and Ffion’s business was a matter of public interest.</w:t>
      </w:r>
      <w:r w:rsidR="00CA5367">
        <w:rPr>
          <w:rFonts w:ascii="Arial" w:hAnsi="Arial" w:cs="Arial"/>
        </w:rPr>
        <w:t xml:space="preserve"> However, Kieran could possibly avoid </w:t>
      </w:r>
      <w:r w:rsidR="004B2A2B">
        <w:rPr>
          <w:rFonts w:ascii="Arial" w:hAnsi="Arial" w:cs="Arial"/>
        </w:rPr>
        <w:t>liability</w:t>
      </w:r>
      <w:r w:rsidR="00CA5367">
        <w:rPr>
          <w:rFonts w:ascii="Arial" w:hAnsi="Arial" w:cs="Arial"/>
        </w:rPr>
        <w:t xml:space="preserve"> if </w:t>
      </w:r>
      <w:r w:rsidR="004B2A2B">
        <w:rPr>
          <w:rFonts w:ascii="Arial" w:hAnsi="Arial" w:cs="Arial"/>
        </w:rPr>
        <w:t xml:space="preserve">he published a swift apology. </w:t>
      </w:r>
    </w:p>
    <w:p w14:paraId="76A8CC97" w14:textId="77777777" w:rsidR="00CA5367" w:rsidRDefault="00CA5367" w:rsidP="00DF4EEC">
      <w:pPr>
        <w:spacing w:line="360" w:lineRule="auto"/>
        <w:rPr>
          <w:rFonts w:ascii="Arial" w:hAnsi="Arial" w:cs="Arial"/>
        </w:rPr>
      </w:pPr>
    </w:p>
    <w:p w14:paraId="3A6FDE56" w14:textId="77777777" w:rsidR="00CA5367" w:rsidRDefault="00CA5367" w:rsidP="00DF4EEC">
      <w:pPr>
        <w:spacing w:line="360" w:lineRule="auto"/>
        <w:rPr>
          <w:rFonts w:ascii="Arial" w:hAnsi="Arial" w:cs="Arial"/>
        </w:rPr>
      </w:pPr>
      <w:r>
        <w:rPr>
          <w:rFonts w:ascii="Arial" w:hAnsi="Arial" w:cs="Arial"/>
        </w:rPr>
        <w:t xml:space="preserve">The only defence that is possibly available to Juliet is the defence of honest opinion. This is because she has read Kieran’s article and knows it is false so therefore, she has this opinion that Kieran has a clear distaste for successful businesswomen. </w:t>
      </w:r>
    </w:p>
    <w:p w14:paraId="5DF13F4C" w14:textId="77777777" w:rsidR="00CA5367" w:rsidRDefault="00CA5367" w:rsidP="00DF4EEC">
      <w:pPr>
        <w:spacing w:line="360" w:lineRule="auto"/>
        <w:rPr>
          <w:rFonts w:ascii="Arial" w:hAnsi="Arial" w:cs="Arial"/>
        </w:rPr>
      </w:pPr>
    </w:p>
    <w:p w14:paraId="1B294191" w14:textId="3E478891" w:rsidR="009035B9" w:rsidRDefault="00CA5367" w:rsidP="00DF4EEC">
      <w:pPr>
        <w:spacing w:line="360" w:lineRule="auto"/>
        <w:rPr>
          <w:rFonts w:ascii="Arial" w:hAnsi="Arial" w:cs="Arial"/>
        </w:rPr>
      </w:pPr>
      <w:r>
        <w:rPr>
          <w:rFonts w:ascii="Arial" w:hAnsi="Arial" w:cs="Arial"/>
        </w:rPr>
        <w:t xml:space="preserve">In conclusion it is possible that Ffion could bring a successful claim for defamation against Kieran </w:t>
      </w:r>
      <w:r w:rsidR="004B2A2B">
        <w:rPr>
          <w:rFonts w:ascii="Arial" w:hAnsi="Arial" w:cs="Arial"/>
        </w:rPr>
        <w:t xml:space="preserve">if he doesn’t publish a swift apology. This is because </w:t>
      </w:r>
      <w:r>
        <w:rPr>
          <w:rFonts w:ascii="Arial" w:hAnsi="Arial" w:cs="Arial"/>
        </w:rPr>
        <w:t xml:space="preserve">his comments meet the four </w:t>
      </w:r>
      <w:r w:rsidR="004B2A2B">
        <w:rPr>
          <w:rFonts w:ascii="Arial" w:hAnsi="Arial" w:cs="Arial"/>
        </w:rPr>
        <w:t>elements,</w:t>
      </w:r>
      <w:r>
        <w:rPr>
          <w:rFonts w:ascii="Arial" w:hAnsi="Arial" w:cs="Arial"/>
        </w:rPr>
        <w:t xml:space="preserve"> and it would be up to the judge to decide whether the Reynolds defence is enough to prevent Kieran </w:t>
      </w:r>
      <w:r w:rsidR="004B2A2B">
        <w:rPr>
          <w:rFonts w:ascii="Arial" w:hAnsi="Arial" w:cs="Arial"/>
        </w:rPr>
        <w:t>f</w:t>
      </w:r>
      <w:r>
        <w:rPr>
          <w:rFonts w:ascii="Arial" w:hAnsi="Arial" w:cs="Arial"/>
        </w:rPr>
        <w:t xml:space="preserve">rom paying out any damages to Ffion. </w:t>
      </w:r>
      <w:r w:rsidR="00DB7CAC">
        <w:rPr>
          <w:rFonts w:ascii="Arial" w:hAnsi="Arial" w:cs="Arial"/>
        </w:rPr>
        <w:t xml:space="preserve"> </w:t>
      </w:r>
    </w:p>
    <w:p w14:paraId="594EFD43" w14:textId="4656E455" w:rsidR="004B2A2B" w:rsidRDefault="004B2A2B" w:rsidP="00DF4EEC">
      <w:pPr>
        <w:spacing w:line="360" w:lineRule="auto"/>
        <w:rPr>
          <w:rFonts w:ascii="Arial" w:hAnsi="Arial" w:cs="Arial"/>
        </w:rPr>
      </w:pPr>
    </w:p>
    <w:p w14:paraId="0E82676D" w14:textId="5D54F1E7" w:rsidR="004B2A2B" w:rsidRDefault="004B2A2B" w:rsidP="00DF4EEC">
      <w:pPr>
        <w:spacing w:line="360" w:lineRule="auto"/>
        <w:rPr>
          <w:rFonts w:ascii="Arial" w:hAnsi="Arial" w:cs="Arial"/>
        </w:rPr>
      </w:pPr>
      <w:r>
        <w:rPr>
          <w:rFonts w:ascii="Arial" w:hAnsi="Arial" w:cs="Arial"/>
        </w:rPr>
        <w:t xml:space="preserve">It is less likely that Juliet would be liable of defamation against Kieran because it could be strongly argued that the comments made were that of an honest opinion on </w:t>
      </w:r>
      <w:r>
        <w:rPr>
          <w:rFonts w:ascii="Arial" w:hAnsi="Arial" w:cs="Arial"/>
        </w:rPr>
        <w:lastRenderedPageBreak/>
        <w:t xml:space="preserve">the behalf of Juliet. Even though these comments are likely false and could severely harm his reputation Juliet has a defence that is likely to be available to her.  </w:t>
      </w:r>
    </w:p>
    <w:p w14:paraId="6AA00590" w14:textId="180257A8" w:rsidR="000D64BD" w:rsidRDefault="000D64BD" w:rsidP="00DF4EEC">
      <w:pPr>
        <w:spacing w:line="360" w:lineRule="auto"/>
        <w:rPr>
          <w:rFonts w:ascii="Arial" w:hAnsi="Arial" w:cs="Arial"/>
        </w:rPr>
      </w:pPr>
    </w:p>
    <w:p w14:paraId="2CE98E04" w14:textId="77777777" w:rsidR="000D64BD" w:rsidRPr="003317AE" w:rsidRDefault="000D64BD" w:rsidP="00DF4EEC">
      <w:pPr>
        <w:spacing w:line="360" w:lineRule="auto"/>
        <w:rPr>
          <w:rFonts w:ascii="Arial" w:hAnsi="Arial" w:cs="Arial"/>
        </w:rPr>
      </w:pPr>
    </w:p>
    <w:p w14:paraId="58F53165" w14:textId="77777777" w:rsidR="009465FC" w:rsidRPr="00ED242D" w:rsidRDefault="009465FC" w:rsidP="00DF4EEC">
      <w:pPr>
        <w:spacing w:line="360" w:lineRule="auto"/>
        <w:rPr>
          <w:rFonts w:ascii="Arial" w:hAnsi="Arial" w:cs="Arial"/>
          <w:u w:val="single"/>
        </w:rPr>
      </w:pPr>
    </w:p>
    <w:p w14:paraId="5F77C1F5" w14:textId="77777777" w:rsidR="004B2A2B" w:rsidRDefault="004B2A2B"/>
    <w:p w14:paraId="542BF296" w14:textId="77777777" w:rsidR="004B2A2B" w:rsidRDefault="004B2A2B"/>
    <w:p w14:paraId="4DB15C1C" w14:textId="77777777" w:rsidR="004B2A2B" w:rsidRDefault="004B2A2B"/>
    <w:p w14:paraId="0B651196" w14:textId="77777777" w:rsidR="004B2A2B" w:rsidRDefault="004B2A2B"/>
    <w:p w14:paraId="702F7B03" w14:textId="77777777" w:rsidR="004B2A2B" w:rsidRDefault="004B2A2B"/>
    <w:p w14:paraId="52C22FFE" w14:textId="77777777" w:rsidR="004B2A2B" w:rsidRDefault="004B2A2B"/>
    <w:p w14:paraId="776705D0" w14:textId="77777777" w:rsidR="004B2A2B" w:rsidRDefault="004B2A2B"/>
    <w:p w14:paraId="0E0FAC49" w14:textId="77777777" w:rsidR="004B2A2B" w:rsidRDefault="004B2A2B"/>
    <w:p w14:paraId="68110B1B" w14:textId="77777777" w:rsidR="004B2A2B" w:rsidRDefault="004B2A2B"/>
    <w:p w14:paraId="73291611" w14:textId="77777777" w:rsidR="004B2A2B" w:rsidRDefault="004B2A2B"/>
    <w:p w14:paraId="67C1CBBA" w14:textId="77777777" w:rsidR="004B2A2B" w:rsidRDefault="004B2A2B"/>
    <w:p w14:paraId="05C96A46" w14:textId="77777777" w:rsidR="004B2A2B" w:rsidRDefault="004B2A2B"/>
    <w:p w14:paraId="38C058D7" w14:textId="77777777" w:rsidR="004B2A2B" w:rsidRDefault="004B2A2B"/>
    <w:p w14:paraId="63893548" w14:textId="77777777" w:rsidR="004B2A2B" w:rsidRDefault="004B2A2B"/>
    <w:p w14:paraId="763255A3" w14:textId="77777777" w:rsidR="004B2A2B" w:rsidRDefault="004B2A2B"/>
    <w:p w14:paraId="66689935" w14:textId="77777777" w:rsidR="004B2A2B" w:rsidRDefault="004B2A2B"/>
    <w:p w14:paraId="50E65E1B" w14:textId="77777777" w:rsidR="004B2A2B" w:rsidRDefault="004B2A2B"/>
    <w:p w14:paraId="2B4D9F55" w14:textId="77777777" w:rsidR="004B2A2B" w:rsidRDefault="004B2A2B"/>
    <w:p w14:paraId="2E8B5F56" w14:textId="77777777" w:rsidR="004B2A2B" w:rsidRDefault="004B2A2B"/>
    <w:p w14:paraId="1602A313" w14:textId="77777777" w:rsidR="004B2A2B" w:rsidRDefault="004B2A2B"/>
    <w:p w14:paraId="14966190" w14:textId="77777777" w:rsidR="004B2A2B" w:rsidRDefault="004B2A2B"/>
    <w:p w14:paraId="1BC6CBD5" w14:textId="77777777" w:rsidR="004B2A2B" w:rsidRDefault="004B2A2B"/>
    <w:p w14:paraId="256EC255" w14:textId="77777777" w:rsidR="004B2A2B" w:rsidRDefault="004B2A2B"/>
    <w:p w14:paraId="2236AA93" w14:textId="77777777" w:rsidR="004B2A2B" w:rsidRDefault="004B2A2B"/>
    <w:p w14:paraId="31F45A70" w14:textId="77777777" w:rsidR="004B2A2B" w:rsidRDefault="004B2A2B"/>
    <w:p w14:paraId="20435075" w14:textId="77777777" w:rsidR="004B2A2B" w:rsidRDefault="004B2A2B"/>
    <w:p w14:paraId="2D4BFAA5" w14:textId="77777777" w:rsidR="004B2A2B" w:rsidRDefault="004B2A2B"/>
    <w:p w14:paraId="36B1DFCD" w14:textId="77777777" w:rsidR="004B2A2B" w:rsidRDefault="004B2A2B"/>
    <w:p w14:paraId="11C21F54" w14:textId="77777777" w:rsidR="004B2A2B" w:rsidRDefault="004B2A2B"/>
    <w:p w14:paraId="1A825B8C" w14:textId="77777777" w:rsidR="004B2A2B" w:rsidRDefault="004B2A2B"/>
    <w:p w14:paraId="6B13C27F" w14:textId="77777777" w:rsidR="004B2A2B" w:rsidRDefault="004B2A2B"/>
    <w:p w14:paraId="19268958" w14:textId="77777777" w:rsidR="004B2A2B" w:rsidRDefault="004B2A2B"/>
    <w:p w14:paraId="36A9178D" w14:textId="77777777" w:rsidR="004B2A2B" w:rsidRDefault="004B2A2B"/>
    <w:p w14:paraId="682B9ABA" w14:textId="77777777" w:rsidR="004B2A2B" w:rsidRDefault="004B2A2B"/>
    <w:p w14:paraId="6A9E2F83" w14:textId="77777777" w:rsidR="004B2A2B" w:rsidRDefault="004B2A2B"/>
    <w:p w14:paraId="5E391CC3" w14:textId="77777777" w:rsidR="004B2A2B" w:rsidRDefault="004B2A2B"/>
    <w:p w14:paraId="4150A2DD" w14:textId="77777777" w:rsidR="004B2A2B" w:rsidRDefault="004B2A2B"/>
    <w:p w14:paraId="7D60D191" w14:textId="77777777" w:rsidR="004B2A2B" w:rsidRDefault="004B2A2B"/>
    <w:p w14:paraId="7862F85D" w14:textId="77777777" w:rsidR="004B2A2B" w:rsidRDefault="004B2A2B"/>
    <w:p w14:paraId="12F3AB28" w14:textId="77777777" w:rsidR="004B2A2B" w:rsidRDefault="004B2A2B"/>
    <w:p w14:paraId="0799E888" w14:textId="4C2A6F11" w:rsidR="007F30C4" w:rsidRPr="005109E4" w:rsidRDefault="007F30C4" w:rsidP="005109E4">
      <w:pPr>
        <w:spacing w:line="360" w:lineRule="auto"/>
        <w:rPr>
          <w:rFonts w:ascii="Arial" w:hAnsi="Arial" w:cs="Arial"/>
        </w:rPr>
      </w:pPr>
      <w:r w:rsidRPr="005109E4">
        <w:rPr>
          <w:rFonts w:ascii="Arial" w:hAnsi="Arial" w:cs="Arial"/>
        </w:rPr>
        <w:lastRenderedPageBreak/>
        <w:t xml:space="preserve">Reference list. </w:t>
      </w:r>
    </w:p>
    <w:p w14:paraId="123B39E5" w14:textId="77777777" w:rsidR="007F30C4" w:rsidRDefault="007F30C4"/>
    <w:p w14:paraId="72FF73A2" w14:textId="5241F761" w:rsidR="005109E4" w:rsidRDefault="005109E4" w:rsidP="005109E4">
      <w:pPr>
        <w:spacing w:line="360" w:lineRule="auto"/>
        <w:rPr>
          <w:rFonts w:ascii="Arial" w:hAnsi="Arial" w:cs="Arial"/>
        </w:rPr>
      </w:pPr>
      <w:r w:rsidRPr="005109E4">
        <w:rPr>
          <w:rFonts w:ascii="Arial" w:hAnsi="Arial" w:cs="Arial"/>
        </w:rPr>
        <w:t xml:space="preserve">BBC, (2019). </w:t>
      </w:r>
      <w:r w:rsidRPr="005109E4">
        <w:rPr>
          <w:rFonts w:ascii="Arial" w:hAnsi="Arial" w:cs="Arial"/>
          <w:i/>
          <w:iCs/>
        </w:rPr>
        <w:t xml:space="preserve">UK tourist Sam Oliver wins Australian defamation case. </w:t>
      </w:r>
      <w:r w:rsidRPr="005109E4">
        <w:rPr>
          <w:rFonts w:ascii="Arial" w:hAnsi="Arial" w:cs="Arial"/>
        </w:rPr>
        <w:t xml:space="preserve">Available at: </w:t>
      </w:r>
      <w:hyperlink r:id="rId5" w:history="1">
        <w:r w:rsidRPr="005109E4">
          <w:rPr>
            <w:rStyle w:val="Hyperlink"/>
            <w:rFonts w:ascii="Arial" w:hAnsi="Arial" w:cs="Arial"/>
          </w:rPr>
          <w:t>https://www.bbc.co.uk/news/world-australia-48033816</w:t>
        </w:r>
      </w:hyperlink>
      <w:r w:rsidRPr="005109E4">
        <w:rPr>
          <w:rFonts w:ascii="Arial" w:hAnsi="Arial" w:cs="Arial"/>
        </w:rPr>
        <w:t>. (Accessed April 29</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47BC336F" w14:textId="77777777" w:rsidR="005109E4" w:rsidRPr="005109E4" w:rsidRDefault="005109E4" w:rsidP="005109E4">
      <w:pPr>
        <w:spacing w:line="360" w:lineRule="auto"/>
        <w:rPr>
          <w:rFonts w:ascii="Arial" w:hAnsi="Arial" w:cs="Arial"/>
        </w:rPr>
      </w:pPr>
    </w:p>
    <w:p w14:paraId="4D0405E3" w14:textId="1A0E0916" w:rsidR="005109E4" w:rsidRDefault="005109E4" w:rsidP="005109E4">
      <w:pPr>
        <w:spacing w:line="360" w:lineRule="auto"/>
        <w:rPr>
          <w:rFonts w:ascii="Arial" w:hAnsi="Arial" w:cs="Arial"/>
        </w:rPr>
      </w:pPr>
      <w:r w:rsidRPr="005109E4">
        <w:rPr>
          <w:rFonts w:ascii="Arial" w:hAnsi="Arial" w:cs="Arial"/>
        </w:rPr>
        <w:t xml:space="preserve">Britannica, (2022). </w:t>
      </w:r>
      <w:r w:rsidRPr="005109E4">
        <w:rPr>
          <w:rFonts w:ascii="Arial" w:hAnsi="Arial" w:cs="Arial"/>
          <w:i/>
          <w:iCs/>
        </w:rPr>
        <w:t xml:space="preserve">Defamation. </w:t>
      </w:r>
      <w:r w:rsidRPr="005109E4">
        <w:rPr>
          <w:rFonts w:ascii="Arial" w:hAnsi="Arial" w:cs="Arial"/>
        </w:rPr>
        <w:t xml:space="preserve">Available at: </w:t>
      </w:r>
      <w:hyperlink r:id="rId6" w:history="1">
        <w:r w:rsidRPr="005109E4">
          <w:rPr>
            <w:rStyle w:val="Hyperlink"/>
            <w:rFonts w:ascii="Arial" w:hAnsi="Arial" w:cs="Arial"/>
          </w:rPr>
          <w:t>https://www.britannica.com/topic/defamation</w:t>
        </w:r>
      </w:hyperlink>
      <w:r w:rsidRPr="005109E4">
        <w:rPr>
          <w:rFonts w:ascii="Arial" w:hAnsi="Arial" w:cs="Arial"/>
        </w:rPr>
        <w:t>. (Accessed April 29</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277F49B7" w14:textId="77777777" w:rsidR="005109E4" w:rsidRPr="005109E4" w:rsidRDefault="005109E4" w:rsidP="005109E4">
      <w:pPr>
        <w:spacing w:line="360" w:lineRule="auto"/>
        <w:rPr>
          <w:rFonts w:ascii="Arial" w:hAnsi="Arial" w:cs="Arial"/>
        </w:rPr>
      </w:pPr>
    </w:p>
    <w:p w14:paraId="2E62AF01" w14:textId="593BB836" w:rsidR="005109E4" w:rsidRDefault="005109E4" w:rsidP="005109E4">
      <w:pPr>
        <w:spacing w:line="360" w:lineRule="auto"/>
        <w:rPr>
          <w:rFonts w:ascii="Arial" w:hAnsi="Arial" w:cs="Arial"/>
        </w:rPr>
      </w:pPr>
      <w:r w:rsidRPr="005109E4">
        <w:rPr>
          <w:rFonts w:ascii="Arial" w:hAnsi="Arial" w:cs="Arial"/>
        </w:rPr>
        <w:t xml:space="preserve">Carruthers Law (2022). </w:t>
      </w:r>
      <w:r w:rsidRPr="005109E4">
        <w:rPr>
          <w:rFonts w:ascii="Arial" w:hAnsi="Arial" w:cs="Arial"/>
          <w:i/>
          <w:iCs/>
        </w:rPr>
        <w:t xml:space="preserve">Defamation Defences. </w:t>
      </w:r>
      <w:r w:rsidRPr="005109E4">
        <w:rPr>
          <w:rFonts w:ascii="Arial" w:hAnsi="Arial" w:cs="Arial"/>
        </w:rPr>
        <w:t xml:space="preserve">Available at </w:t>
      </w:r>
      <w:hyperlink r:id="rId7" w:history="1">
        <w:r w:rsidRPr="005109E4">
          <w:rPr>
            <w:rStyle w:val="Hyperlink"/>
            <w:rFonts w:ascii="Arial" w:hAnsi="Arial" w:cs="Arial"/>
          </w:rPr>
          <w:t>https://www.carruthers-law.co.uk/our-services/defamation/defamation-defences/</w:t>
        </w:r>
      </w:hyperlink>
      <w:r w:rsidRPr="005109E4">
        <w:rPr>
          <w:rFonts w:ascii="Arial" w:hAnsi="Arial" w:cs="Arial"/>
        </w:rPr>
        <w:t>. (Accessed April 30</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6316DB70" w14:textId="77777777" w:rsidR="005109E4" w:rsidRPr="005109E4" w:rsidRDefault="005109E4" w:rsidP="005109E4">
      <w:pPr>
        <w:spacing w:line="360" w:lineRule="auto"/>
        <w:rPr>
          <w:rFonts w:ascii="Arial" w:hAnsi="Arial" w:cs="Arial"/>
        </w:rPr>
      </w:pPr>
    </w:p>
    <w:p w14:paraId="1AE09587" w14:textId="7EED4022" w:rsidR="005109E4" w:rsidRDefault="005109E4" w:rsidP="005109E4">
      <w:pPr>
        <w:spacing w:line="360" w:lineRule="auto"/>
        <w:rPr>
          <w:rFonts w:ascii="Arial" w:hAnsi="Arial" w:cs="Arial"/>
        </w:rPr>
      </w:pPr>
      <w:r w:rsidRPr="005109E4">
        <w:rPr>
          <w:rFonts w:ascii="Arial" w:hAnsi="Arial" w:cs="Arial"/>
        </w:rPr>
        <w:t xml:space="preserve">European Convention of Human Rights (1953) Available at: </w:t>
      </w:r>
      <w:hyperlink r:id="rId8" w:history="1">
        <w:r w:rsidRPr="005109E4">
          <w:rPr>
            <w:rStyle w:val="Hyperlink"/>
            <w:rFonts w:ascii="Arial" w:hAnsi="Arial" w:cs="Arial"/>
          </w:rPr>
          <w:t>https://www.echr.coe.int/documents/convention_eng.pdf</w:t>
        </w:r>
      </w:hyperlink>
      <w:r w:rsidRPr="005109E4">
        <w:rPr>
          <w:rFonts w:ascii="Arial" w:hAnsi="Arial" w:cs="Arial"/>
        </w:rPr>
        <w:t>. (Accessed April 29</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6EC2607E" w14:textId="77777777" w:rsidR="005109E4" w:rsidRPr="005109E4" w:rsidRDefault="005109E4" w:rsidP="005109E4">
      <w:pPr>
        <w:spacing w:line="360" w:lineRule="auto"/>
        <w:rPr>
          <w:rFonts w:ascii="Arial" w:hAnsi="Arial" w:cs="Arial"/>
        </w:rPr>
      </w:pPr>
    </w:p>
    <w:p w14:paraId="34D51F8E" w14:textId="31FCC3A0" w:rsidR="005109E4" w:rsidRDefault="005109E4" w:rsidP="005109E4">
      <w:pPr>
        <w:spacing w:line="360" w:lineRule="auto"/>
        <w:rPr>
          <w:rFonts w:ascii="Arial" w:hAnsi="Arial" w:cs="Arial"/>
        </w:rPr>
      </w:pPr>
      <w:proofErr w:type="spellStart"/>
      <w:r w:rsidRPr="005109E4">
        <w:rPr>
          <w:rFonts w:ascii="Arial" w:hAnsi="Arial" w:cs="Arial"/>
        </w:rPr>
        <w:t>Pecanac</w:t>
      </w:r>
      <w:proofErr w:type="spellEnd"/>
      <w:r w:rsidRPr="005109E4">
        <w:rPr>
          <w:rFonts w:ascii="Arial" w:hAnsi="Arial" w:cs="Arial"/>
        </w:rPr>
        <w:t xml:space="preserve"> A, (2021). </w:t>
      </w:r>
      <w:r w:rsidRPr="005109E4">
        <w:rPr>
          <w:rFonts w:ascii="Arial" w:hAnsi="Arial" w:cs="Arial"/>
          <w:i/>
          <w:iCs/>
        </w:rPr>
        <w:t xml:space="preserve">Defamation- A Basic Guide- What do I need to prove to bring a defamation claim. </w:t>
      </w:r>
      <w:r w:rsidRPr="005109E4">
        <w:rPr>
          <w:rFonts w:ascii="Arial" w:hAnsi="Arial" w:cs="Arial"/>
        </w:rPr>
        <w:t xml:space="preserve">Available at: </w:t>
      </w:r>
      <w:hyperlink r:id="rId9" w:history="1">
        <w:r w:rsidRPr="005109E4">
          <w:rPr>
            <w:rStyle w:val="Hyperlink"/>
            <w:rFonts w:ascii="Arial" w:hAnsi="Arial" w:cs="Arial"/>
          </w:rPr>
          <w:t>https://www.hja.net/expert-comments/blog/commercial-dispute-resolution/defamation-a-basic-guide-what-do-i-need-to-prove-to-bring-a-defamation-claim/</w:t>
        </w:r>
      </w:hyperlink>
      <w:r w:rsidRPr="005109E4">
        <w:rPr>
          <w:rFonts w:ascii="Arial" w:hAnsi="Arial" w:cs="Arial"/>
        </w:rPr>
        <w:t>. (Accessed April 30</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48E9A2B9" w14:textId="77777777" w:rsidR="005109E4" w:rsidRPr="005109E4" w:rsidRDefault="005109E4" w:rsidP="005109E4">
      <w:pPr>
        <w:spacing w:line="360" w:lineRule="auto"/>
        <w:rPr>
          <w:rFonts w:ascii="Arial" w:hAnsi="Arial" w:cs="Arial"/>
        </w:rPr>
      </w:pPr>
    </w:p>
    <w:p w14:paraId="6F28574F" w14:textId="461465A1" w:rsidR="005109E4" w:rsidRDefault="005109E4" w:rsidP="005109E4">
      <w:pPr>
        <w:spacing w:line="360" w:lineRule="auto"/>
        <w:rPr>
          <w:rFonts w:ascii="Arial" w:hAnsi="Arial" w:cs="Arial"/>
        </w:rPr>
      </w:pPr>
      <w:r w:rsidRPr="005109E4">
        <w:rPr>
          <w:rFonts w:ascii="Arial" w:hAnsi="Arial" w:cs="Arial"/>
        </w:rPr>
        <w:t xml:space="preserve">Quality Solicitors. (2022). </w:t>
      </w:r>
      <w:r w:rsidRPr="005109E4">
        <w:rPr>
          <w:rFonts w:ascii="Arial" w:hAnsi="Arial" w:cs="Arial"/>
          <w:i/>
          <w:iCs/>
        </w:rPr>
        <w:t xml:space="preserve">Define defamation of character. </w:t>
      </w:r>
      <w:r w:rsidRPr="005109E4">
        <w:rPr>
          <w:rFonts w:ascii="Arial" w:hAnsi="Arial" w:cs="Arial"/>
        </w:rPr>
        <w:t xml:space="preserve">Available at: </w:t>
      </w:r>
      <w:hyperlink r:id="rId10" w:history="1">
        <w:r w:rsidRPr="005109E4">
          <w:rPr>
            <w:rStyle w:val="Hyperlink"/>
            <w:rFonts w:ascii="Arial" w:hAnsi="Arial" w:cs="Arial"/>
          </w:rPr>
          <w:t>https://www.qualitysolicitors.com/blog/define-defamation-of-character</w:t>
        </w:r>
      </w:hyperlink>
      <w:r w:rsidRPr="005109E4">
        <w:rPr>
          <w:rFonts w:ascii="Arial" w:hAnsi="Arial" w:cs="Arial"/>
        </w:rPr>
        <w:t>. (Accessed April 29</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178BA3D6" w14:textId="77777777" w:rsidR="005109E4" w:rsidRPr="005109E4" w:rsidRDefault="005109E4" w:rsidP="005109E4">
      <w:pPr>
        <w:spacing w:line="360" w:lineRule="auto"/>
        <w:rPr>
          <w:rFonts w:ascii="Arial" w:hAnsi="Arial" w:cs="Arial"/>
        </w:rPr>
      </w:pPr>
    </w:p>
    <w:p w14:paraId="79AA71E6" w14:textId="6319141E" w:rsidR="005109E4" w:rsidRDefault="005109E4" w:rsidP="005109E4">
      <w:pPr>
        <w:spacing w:line="360" w:lineRule="auto"/>
        <w:rPr>
          <w:rFonts w:ascii="Arial" w:hAnsi="Arial" w:cs="Arial"/>
        </w:rPr>
      </w:pPr>
      <w:r w:rsidRPr="005109E4">
        <w:rPr>
          <w:rFonts w:ascii="Arial" w:hAnsi="Arial" w:cs="Arial"/>
        </w:rPr>
        <w:t xml:space="preserve">The Defamation Act 2013. Available at: </w:t>
      </w:r>
      <w:hyperlink r:id="rId11" w:history="1">
        <w:r w:rsidRPr="005109E4">
          <w:rPr>
            <w:rStyle w:val="Hyperlink"/>
            <w:rFonts w:ascii="Arial" w:hAnsi="Arial" w:cs="Arial"/>
          </w:rPr>
          <w:t>https://www.legislation.gov.uk/ukpga/2013/26/contents/enacted</w:t>
        </w:r>
      </w:hyperlink>
      <w:r w:rsidRPr="005109E4">
        <w:rPr>
          <w:rFonts w:ascii="Arial" w:hAnsi="Arial" w:cs="Arial"/>
        </w:rPr>
        <w:t>. (Accessed April 29</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5425B8C2" w14:textId="77777777" w:rsidR="005109E4" w:rsidRPr="005109E4" w:rsidRDefault="005109E4" w:rsidP="005109E4">
      <w:pPr>
        <w:spacing w:line="360" w:lineRule="auto"/>
        <w:rPr>
          <w:rFonts w:ascii="Arial" w:hAnsi="Arial" w:cs="Arial"/>
        </w:rPr>
      </w:pPr>
    </w:p>
    <w:p w14:paraId="1AE07CAB" w14:textId="462DDFF7" w:rsidR="005109E4" w:rsidRDefault="005109E4" w:rsidP="005109E4">
      <w:pPr>
        <w:spacing w:line="360" w:lineRule="auto"/>
        <w:rPr>
          <w:rFonts w:ascii="Arial" w:hAnsi="Arial" w:cs="Arial"/>
        </w:rPr>
      </w:pPr>
      <w:r w:rsidRPr="005109E4">
        <w:rPr>
          <w:rFonts w:ascii="Arial" w:hAnsi="Arial" w:cs="Arial"/>
        </w:rPr>
        <w:t xml:space="preserve">The Herald, (1992). </w:t>
      </w:r>
      <w:r w:rsidRPr="005109E4">
        <w:rPr>
          <w:rFonts w:ascii="Arial" w:hAnsi="Arial" w:cs="Arial"/>
          <w:i/>
          <w:iCs/>
        </w:rPr>
        <w:t xml:space="preserve">TV company cleared of libel. Judge brands Gecas mass murderer and war criminal. </w:t>
      </w:r>
      <w:r w:rsidRPr="005109E4">
        <w:rPr>
          <w:rFonts w:ascii="Arial" w:hAnsi="Arial" w:cs="Arial"/>
        </w:rPr>
        <w:t xml:space="preserve">Available at: </w:t>
      </w:r>
      <w:hyperlink r:id="rId12" w:history="1">
        <w:r w:rsidRPr="005109E4">
          <w:rPr>
            <w:rStyle w:val="Hyperlink"/>
            <w:rFonts w:ascii="Arial" w:hAnsi="Arial" w:cs="Arial"/>
          </w:rPr>
          <w:t>https://www.heraldscotland.com/news/12641016.tv-company-cleared-of-libel-judge-brands-gecas-mass-murderer-and-war-criminal/</w:t>
        </w:r>
      </w:hyperlink>
      <w:r w:rsidRPr="005109E4">
        <w:rPr>
          <w:rFonts w:ascii="Arial" w:hAnsi="Arial" w:cs="Arial"/>
        </w:rPr>
        <w:t>. (Accessed April 30</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68F5D960" w14:textId="77777777" w:rsidR="005109E4" w:rsidRPr="005109E4" w:rsidRDefault="005109E4" w:rsidP="005109E4">
      <w:pPr>
        <w:spacing w:line="360" w:lineRule="auto"/>
        <w:rPr>
          <w:rFonts w:ascii="Arial" w:hAnsi="Arial" w:cs="Arial"/>
        </w:rPr>
      </w:pPr>
    </w:p>
    <w:p w14:paraId="311B6631" w14:textId="3AA11F20" w:rsidR="005109E4" w:rsidRDefault="005109E4" w:rsidP="005109E4">
      <w:pPr>
        <w:spacing w:line="360" w:lineRule="auto"/>
        <w:rPr>
          <w:rFonts w:ascii="Arial" w:hAnsi="Arial" w:cs="Arial"/>
        </w:rPr>
      </w:pPr>
      <w:r w:rsidRPr="005109E4">
        <w:rPr>
          <w:rFonts w:ascii="Arial" w:hAnsi="Arial" w:cs="Arial"/>
        </w:rPr>
        <w:lastRenderedPageBreak/>
        <w:t>The Legal 500, (2009)</w:t>
      </w:r>
      <w:r w:rsidRPr="005109E4">
        <w:rPr>
          <w:rFonts w:ascii="Arial" w:hAnsi="Arial" w:cs="Arial"/>
          <w:i/>
          <w:iCs/>
        </w:rPr>
        <w:t xml:space="preserve"> Stop the </w:t>
      </w:r>
      <w:proofErr w:type="gramStart"/>
      <w:r w:rsidRPr="005109E4">
        <w:rPr>
          <w:rFonts w:ascii="Arial" w:hAnsi="Arial" w:cs="Arial"/>
          <w:i/>
          <w:iCs/>
        </w:rPr>
        <w:t>press;</w:t>
      </w:r>
      <w:proofErr w:type="gramEnd"/>
      <w:r w:rsidRPr="005109E4">
        <w:rPr>
          <w:rFonts w:ascii="Arial" w:hAnsi="Arial" w:cs="Arial"/>
          <w:i/>
          <w:iCs/>
        </w:rPr>
        <w:t xml:space="preserve"> Reynolds defence. </w:t>
      </w:r>
      <w:r w:rsidRPr="005109E4">
        <w:rPr>
          <w:rFonts w:ascii="Arial" w:hAnsi="Arial" w:cs="Arial"/>
        </w:rPr>
        <w:t xml:space="preserve">Available at: </w:t>
      </w:r>
      <w:hyperlink r:id="rId13" w:history="1">
        <w:r w:rsidRPr="005109E4">
          <w:rPr>
            <w:rStyle w:val="Hyperlink"/>
            <w:rFonts w:ascii="Arial" w:hAnsi="Arial" w:cs="Arial"/>
          </w:rPr>
          <w:t>https://www.inhouselawyer.co.uk/legal-briefing/stop-the-pressthe-reynolds-defence/</w:t>
        </w:r>
      </w:hyperlink>
      <w:r w:rsidRPr="005109E4">
        <w:rPr>
          <w:rFonts w:ascii="Arial" w:hAnsi="Arial" w:cs="Arial"/>
        </w:rPr>
        <w:t>. (Accessed April 30</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5233F401" w14:textId="77777777" w:rsidR="005109E4" w:rsidRPr="005109E4" w:rsidRDefault="005109E4" w:rsidP="005109E4">
      <w:pPr>
        <w:spacing w:line="360" w:lineRule="auto"/>
        <w:rPr>
          <w:rFonts w:ascii="Arial" w:hAnsi="Arial" w:cs="Arial"/>
        </w:rPr>
      </w:pPr>
    </w:p>
    <w:p w14:paraId="032C36E1" w14:textId="77777777" w:rsidR="005109E4" w:rsidRPr="005109E4" w:rsidRDefault="005109E4" w:rsidP="005109E4">
      <w:pPr>
        <w:spacing w:line="360" w:lineRule="auto"/>
        <w:rPr>
          <w:rFonts w:ascii="Arial" w:hAnsi="Arial" w:cs="Arial"/>
        </w:rPr>
      </w:pPr>
      <w:r w:rsidRPr="005109E4">
        <w:rPr>
          <w:rFonts w:ascii="Arial" w:hAnsi="Arial" w:cs="Arial"/>
        </w:rPr>
        <w:t xml:space="preserve">UK Government (2013). </w:t>
      </w:r>
      <w:r w:rsidRPr="005109E4">
        <w:rPr>
          <w:rFonts w:ascii="Arial" w:hAnsi="Arial" w:cs="Arial"/>
          <w:i/>
          <w:iCs/>
        </w:rPr>
        <w:t xml:space="preserve">Defamation Act 2013. </w:t>
      </w:r>
      <w:r w:rsidRPr="005109E4">
        <w:rPr>
          <w:rFonts w:ascii="Arial" w:hAnsi="Arial" w:cs="Arial"/>
        </w:rPr>
        <w:t xml:space="preserve">Available at: </w:t>
      </w:r>
      <w:hyperlink r:id="rId14" w:history="1">
        <w:r w:rsidRPr="005109E4">
          <w:rPr>
            <w:rStyle w:val="Hyperlink"/>
            <w:rFonts w:ascii="Arial" w:hAnsi="Arial" w:cs="Arial"/>
          </w:rPr>
          <w:t>https://www.legislation.gov.uk/ukpga/2013/26/crossheading/defences/enacted</w:t>
        </w:r>
      </w:hyperlink>
      <w:r w:rsidRPr="005109E4">
        <w:rPr>
          <w:rFonts w:ascii="Arial" w:hAnsi="Arial" w:cs="Arial"/>
        </w:rPr>
        <w:t>. (Accessed April 30</w:t>
      </w:r>
      <w:r w:rsidRPr="005109E4">
        <w:rPr>
          <w:rFonts w:ascii="Arial" w:hAnsi="Arial" w:cs="Arial"/>
          <w:vertAlign w:val="superscript"/>
        </w:rPr>
        <w:t>th</w:t>
      </w:r>
      <w:proofErr w:type="gramStart"/>
      <w:r w:rsidRPr="005109E4">
        <w:rPr>
          <w:rFonts w:ascii="Arial" w:hAnsi="Arial" w:cs="Arial"/>
        </w:rPr>
        <w:t xml:space="preserve"> 2022</w:t>
      </w:r>
      <w:proofErr w:type="gramEnd"/>
      <w:r w:rsidRPr="005109E4">
        <w:rPr>
          <w:rFonts w:ascii="Arial" w:hAnsi="Arial" w:cs="Arial"/>
        </w:rPr>
        <w:t xml:space="preserve">). </w:t>
      </w:r>
    </w:p>
    <w:p w14:paraId="415A3858" w14:textId="77777777" w:rsidR="009211AE" w:rsidRDefault="009211AE"/>
    <w:p w14:paraId="05F99ECB" w14:textId="77777777" w:rsidR="009211AE" w:rsidRDefault="009211AE"/>
    <w:p w14:paraId="3FBCEDB2" w14:textId="77777777" w:rsidR="009211AE" w:rsidRDefault="009211AE"/>
    <w:p w14:paraId="2DC91F65" w14:textId="77777777" w:rsidR="009211AE" w:rsidRDefault="009211AE"/>
    <w:p w14:paraId="26922EDB" w14:textId="77777777" w:rsidR="009211AE" w:rsidRDefault="009211AE"/>
    <w:p w14:paraId="09A44458" w14:textId="77777777" w:rsidR="005109E4" w:rsidRDefault="005109E4" w:rsidP="005109E4">
      <w:pPr>
        <w:spacing w:line="360" w:lineRule="auto"/>
      </w:pPr>
    </w:p>
    <w:p w14:paraId="4D5AA078" w14:textId="77777777" w:rsidR="005109E4" w:rsidRDefault="005109E4" w:rsidP="005109E4">
      <w:pPr>
        <w:spacing w:line="360" w:lineRule="auto"/>
        <w:rPr>
          <w:rFonts w:ascii="Arial" w:hAnsi="Arial" w:cs="Arial"/>
        </w:rPr>
      </w:pPr>
    </w:p>
    <w:p w14:paraId="0E5E87AE" w14:textId="77777777" w:rsidR="005109E4" w:rsidRDefault="005109E4" w:rsidP="005109E4">
      <w:pPr>
        <w:spacing w:line="360" w:lineRule="auto"/>
        <w:rPr>
          <w:rFonts w:ascii="Arial" w:hAnsi="Arial" w:cs="Arial"/>
        </w:rPr>
      </w:pPr>
    </w:p>
    <w:p w14:paraId="041403A8" w14:textId="77777777" w:rsidR="005109E4" w:rsidRDefault="005109E4" w:rsidP="005109E4">
      <w:pPr>
        <w:spacing w:line="360" w:lineRule="auto"/>
        <w:rPr>
          <w:rFonts w:ascii="Arial" w:hAnsi="Arial" w:cs="Arial"/>
        </w:rPr>
      </w:pPr>
    </w:p>
    <w:p w14:paraId="4F159C21" w14:textId="77777777" w:rsidR="005109E4" w:rsidRDefault="005109E4" w:rsidP="005109E4">
      <w:pPr>
        <w:spacing w:line="360" w:lineRule="auto"/>
        <w:rPr>
          <w:rFonts w:ascii="Arial" w:hAnsi="Arial" w:cs="Arial"/>
        </w:rPr>
      </w:pPr>
    </w:p>
    <w:p w14:paraId="06222398" w14:textId="77777777" w:rsidR="005109E4" w:rsidRDefault="005109E4" w:rsidP="005109E4">
      <w:pPr>
        <w:spacing w:line="360" w:lineRule="auto"/>
        <w:rPr>
          <w:rFonts w:ascii="Arial" w:hAnsi="Arial" w:cs="Arial"/>
        </w:rPr>
      </w:pPr>
    </w:p>
    <w:p w14:paraId="5E6658D7" w14:textId="77777777" w:rsidR="005109E4" w:rsidRDefault="005109E4" w:rsidP="005109E4">
      <w:pPr>
        <w:spacing w:line="360" w:lineRule="auto"/>
        <w:rPr>
          <w:rFonts w:ascii="Arial" w:hAnsi="Arial" w:cs="Arial"/>
        </w:rPr>
      </w:pPr>
    </w:p>
    <w:p w14:paraId="04041114" w14:textId="77777777" w:rsidR="005109E4" w:rsidRDefault="005109E4" w:rsidP="005109E4">
      <w:pPr>
        <w:spacing w:line="360" w:lineRule="auto"/>
        <w:rPr>
          <w:rFonts w:ascii="Arial" w:hAnsi="Arial" w:cs="Arial"/>
        </w:rPr>
      </w:pPr>
    </w:p>
    <w:p w14:paraId="18300E6B" w14:textId="77777777" w:rsidR="005109E4" w:rsidRDefault="005109E4" w:rsidP="005109E4">
      <w:pPr>
        <w:spacing w:line="360" w:lineRule="auto"/>
        <w:rPr>
          <w:rFonts w:ascii="Arial" w:hAnsi="Arial" w:cs="Arial"/>
        </w:rPr>
      </w:pPr>
    </w:p>
    <w:p w14:paraId="2377C703" w14:textId="77777777" w:rsidR="005109E4" w:rsidRDefault="005109E4" w:rsidP="005109E4">
      <w:pPr>
        <w:spacing w:line="360" w:lineRule="auto"/>
        <w:rPr>
          <w:rFonts w:ascii="Arial" w:hAnsi="Arial" w:cs="Arial"/>
        </w:rPr>
      </w:pPr>
    </w:p>
    <w:p w14:paraId="27718093" w14:textId="77777777" w:rsidR="005109E4" w:rsidRDefault="005109E4" w:rsidP="005109E4">
      <w:pPr>
        <w:spacing w:line="360" w:lineRule="auto"/>
        <w:rPr>
          <w:rFonts w:ascii="Arial" w:hAnsi="Arial" w:cs="Arial"/>
        </w:rPr>
      </w:pPr>
    </w:p>
    <w:p w14:paraId="66CB4472" w14:textId="77777777" w:rsidR="005109E4" w:rsidRDefault="005109E4" w:rsidP="005109E4">
      <w:pPr>
        <w:spacing w:line="360" w:lineRule="auto"/>
        <w:rPr>
          <w:rFonts w:ascii="Arial" w:hAnsi="Arial" w:cs="Arial"/>
        </w:rPr>
      </w:pPr>
    </w:p>
    <w:p w14:paraId="6B28502B" w14:textId="77777777" w:rsidR="005109E4" w:rsidRDefault="005109E4" w:rsidP="005109E4">
      <w:pPr>
        <w:spacing w:line="360" w:lineRule="auto"/>
        <w:rPr>
          <w:rFonts w:ascii="Arial" w:hAnsi="Arial" w:cs="Arial"/>
        </w:rPr>
      </w:pPr>
    </w:p>
    <w:p w14:paraId="6788C68A" w14:textId="77777777" w:rsidR="005109E4" w:rsidRDefault="005109E4" w:rsidP="005109E4">
      <w:pPr>
        <w:spacing w:line="360" w:lineRule="auto"/>
        <w:rPr>
          <w:rFonts w:ascii="Arial" w:hAnsi="Arial" w:cs="Arial"/>
        </w:rPr>
      </w:pPr>
    </w:p>
    <w:p w14:paraId="745C852E" w14:textId="77777777" w:rsidR="005109E4" w:rsidRDefault="005109E4" w:rsidP="005109E4">
      <w:pPr>
        <w:spacing w:line="360" w:lineRule="auto"/>
        <w:rPr>
          <w:rFonts w:ascii="Arial" w:hAnsi="Arial" w:cs="Arial"/>
        </w:rPr>
      </w:pPr>
    </w:p>
    <w:p w14:paraId="48682297" w14:textId="77777777" w:rsidR="005109E4" w:rsidRDefault="005109E4" w:rsidP="005109E4">
      <w:pPr>
        <w:spacing w:line="360" w:lineRule="auto"/>
        <w:rPr>
          <w:rFonts w:ascii="Arial" w:hAnsi="Arial" w:cs="Arial"/>
        </w:rPr>
      </w:pPr>
    </w:p>
    <w:p w14:paraId="521238B5" w14:textId="77777777" w:rsidR="005109E4" w:rsidRDefault="005109E4" w:rsidP="005109E4">
      <w:pPr>
        <w:spacing w:line="360" w:lineRule="auto"/>
        <w:rPr>
          <w:rFonts w:ascii="Arial" w:hAnsi="Arial" w:cs="Arial"/>
        </w:rPr>
      </w:pPr>
    </w:p>
    <w:p w14:paraId="168F4000" w14:textId="77777777" w:rsidR="005109E4" w:rsidRDefault="005109E4" w:rsidP="005109E4">
      <w:pPr>
        <w:spacing w:line="360" w:lineRule="auto"/>
        <w:rPr>
          <w:rFonts w:ascii="Arial" w:hAnsi="Arial" w:cs="Arial"/>
        </w:rPr>
      </w:pPr>
    </w:p>
    <w:p w14:paraId="0CFB5EFC" w14:textId="77777777" w:rsidR="005109E4" w:rsidRDefault="005109E4" w:rsidP="005109E4">
      <w:pPr>
        <w:spacing w:line="360" w:lineRule="auto"/>
        <w:rPr>
          <w:rFonts w:ascii="Arial" w:hAnsi="Arial" w:cs="Arial"/>
        </w:rPr>
      </w:pPr>
    </w:p>
    <w:p w14:paraId="604BB24F" w14:textId="77777777" w:rsidR="005109E4" w:rsidRDefault="005109E4" w:rsidP="005109E4">
      <w:pPr>
        <w:spacing w:line="360" w:lineRule="auto"/>
        <w:rPr>
          <w:rFonts w:ascii="Arial" w:hAnsi="Arial" w:cs="Arial"/>
        </w:rPr>
      </w:pPr>
    </w:p>
    <w:p w14:paraId="6BE3B157" w14:textId="77777777" w:rsidR="005109E4" w:rsidRDefault="005109E4" w:rsidP="005109E4">
      <w:pPr>
        <w:spacing w:line="360" w:lineRule="auto"/>
        <w:rPr>
          <w:rFonts w:ascii="Arial" w:hAnsi="Arial" w:cs="Arial"/>
        </w:rPr>
      </w:pPr>
    </w:p>
    <w:p w14:paraId="2F8F7331" w14:textId="77777777" w:rsidR="005109E4" w:rsidRDefault="005109E4" w:rsidP="005109E4">
      <w:pPr>
        <w:spacing w:line="360" w:lineRule="auto"/>
        <w:rPr>
          <w:rFonts w:ascii="Arial" w:hAnsi="Arial" w:cs="Arial"/>
        </w:rPr>
      </w:pPr>
    </w:p>
    <w:p w14:paraId="7AEFBC2C" w14:textId="77777777" w:rsidR="005109E4" w:rsidRDefault="005109E4" w:rsidP="005109E4">
      <w:pPr>
        <w:spacing w:line="360" w:lineRule="auto"/>
        <w:rPr>
          <w:rFonts w:ascii="Arial" w:hAnsi="Arial" w:cs="Arial"/>
        </w:rPr>
      </w:pPr>
    </w:p>
    <w:p w14:paraId="079D68B1" w14:textId="50EEF9BE" w:rsidR="005109E4" w:rsidRDefault="005109E4" w:rsidP="005109E4">
      <w:pPr>
        <w:spacing w:line="360" w:lineRule="auto"/>
        <w:rPr>
          <w:rFonts w:ascii="Arial" w:hAnsi="Arial" w:cs="Arial"/>
        </w:rPr>
      </w:pPr>
      <w:r w:rsidRPr="005109E4">
        <w:rPr>
          <w:rFonts w:ascii="Arial" w:hAnsi="Arial" w:cs="Arial"/>
        </w:rPr>
        <w:lastRenderedPageBreak/>
        <w:t xml:space="preserve">Case list </w:t>
      </w:r>
    </w:p>
    <w:p w14:paraId="5CFABDE4" w14:textId="77777777" w:rsidR="005109E4" w:rsidRPr="005109E4" w:rsidRDefault="005109E4" w:rsidP="005109E4">
      <w:pPr>
        <w:spacing w:line="360" w:lineRule="auto"/>
        <w:rPr>
          <w:rFonts w:ascii="Arial" w:hAnsi="Arial" w:cs="Arial"/>
        </w:rPr>
      </w:pPr>
    </w:p>
    <w:p w14:paraId="3CC5F9FC" w14:textId="1A53B0F7" w:rsidR="005109E4" w:rsidRDefault="005109E4" w:rsidP="005109E4">
      <w:pPr>
        <w:spacing w:line="360" w:lineRule="auto"/>
        <w:rPr>
          <w:rFonts w:ascii="Arial" w:hAnsi="Arial" w:cs="Arial"/>
        </w:rPr>
      </w:pPr>
      <w:r w:rsidRPr="005109E4">
        <w:rPr>
          <w:rFonts w:ascii="Arial" w:hAnsi="Arial" w:cs="Arial"/>
        </w:rPr>
        <w:t>Cooke and Another v MGN Ltd EWHC 2831</w:t>
      </w:r>
    </w:p>
    <w:p w14:paraId="17B8C51B" w14:textId="77777777" w:rsidR="005109E4" w:rsidRPr="005109E4" w:rsidRDefault="005109E4" w:rsidP="005109E4">
      <w:pPr>
        <w:spacing w:line="360" w:lineRule="auto"/>
        <w:rPr>
          <w:rFonts w:ascii="Arial" w:hAnsi="Arial" w:cs="Arial"/>
        </w:rPr>
      </w:pPr>
    </w:p>
    <w:p w14:paraId="12140E6B" w14:textId="266E5A54" w:rsidR="005109E4" w:rsidRDefault="005109E4" w:rsidP="005109E4">
      <w:pPr>
        <w:spacing w:line="360" w:lineRule="auto"/>
        <w:rPr>
          <w:rFonts w:ascii="Arial" w:hAnsi="Arial" w:cs="Arial"/>
        </w:rPr>
      </w:pPr>
      <w:r w:rsidRPr="005109E4">
        <w:rPr>
          <w:rFonts w:ascii="Arial" w:hAnsi="Arial" w:cs="Arial"/>
        </w:rPr>
        <w:t>Gecas v Scottish Television (1992).</w:t>
      </w:r>
    </w:p>
    <w:p w14:paraId="728C00DC" w14:textId="77777777" w:rsidR="005109E4" w:rsidRPr="005109E4" w:rsidRDefault="005109E4" w:rsidP="005109E4">
      <w:pPr>
        <w:spacing w:line="360" w:lineRule="auto"/>
        <w:rPr>
          <w:rFonts w:ascii="Arial" w:hAnsi="Arial" w:cs="Arial"/>
        </w:rPr>
      </w:pPr>
    </w:p>
    <w:p w14:paraId="2679D87E" w14:textId="0009E88B" w:rsidR="005109E4" w:rsidRDefault="005109E4" w:rsidP="005109E4">
      <w:pPr>
        <w:spacing w:line="360" w:lineRule="auto"/>
        <w:rPr>
          <w:rFonts w:ascii="Arial" w:hAnsi="Arial" w:cs="Arial"/>
        </w:rPr>
      </w:pPr>
      <w:proofErr w:type="spellStart"/>
      <w:r w:rsidRPr="005109E4">
        <w:rPr>
          <w:rFonts w:ascii="Arial" w:hAnsi="Arial" w:cs="Arial"/>
        </w:rPr>
        <w:t>Hulton</w:t>
      </w:r>
      <w:proofErr w:type="spellEnd"/>
      <w:r w:rsidRPr="005109E4">
        <w:rPr>
          <w:rFonts w:ascii="Arial" w:hAnsi="Arial" w:cs="Arial"/>
        </w:rPr>
        <w:t xml:space="preserve"> v Jones (1910) AC 20 </w:t>
      </w:r>
    </w:p>
    <w:p w14:paraId="172AD046" w14:textId="77777777" w:rsidR="005109E4" w:rsidRPr="005109E4" w:rsidRDefault="005109E4" w:rsidP="005109E4">
      <w:pPr>
        <w:spacing w:line="360" w:lineRule="auto"/>
        <w:rPr>
          <w:rFonts w:ascii="Arial" w:hAnsi="Arial" w:cs="Arial"/>
        </w:rPr>
      </w:pPr>
    </w:p>
    <w:p w14:paraId="2B732767" w14:textId="6084D49C" w:rsidR="005109E4" w:rsidRDefault="005109E4" w:rsidP="005109E4">
      <w:pPr>
        <w:spacing w:line="360" w:lineRule="auto"/>
        <w:rPr>
          <w:rFonts w:ascii="Arial" w:hAnsi="Arial" w:cs="Arial"/>
        </w:rPr>
      </w:pPr>
      <w:proofErr w:type="spellStart"/>
      <w:r w:rsidRPr="005109E4">
        <w:rPr>
          <w:rFonts w:ascii="Arial" w:hAnsi="Arial" w:cs="Arial"/>
        </w:rPr>
        <w:t>Huth</w:t>
      </w:r>
      <w:proofErr w:type="spellEnd"/>
      <w:r w:rsidRPr="005109E4">
        <w:rPr>
          <w:rFonts w:ascii="Arial" w:hAnsi="Arial" w:cs="Arial"/>
        </w:rPr>
        <w:t xml:space="preserve"> v </w:t>
      </w:r>
      <w:proofErr w:type="spellStart"/>
      <w:r w:rsidRPr="005109E4">
        <w:rPr>
          <w:rFonts w:ascii="Arial" w:hAnsi="Arial" w:cs="Arial"/>
        </w:rPr>
        <w:t>Huth</w:t>
      </w:r>
      <w:proofErr w:type="spellEnd"/>
      <w:r w:rsidRPr="005109E4">
        <w:rPr>
          <w:rFonts w:ascii="Arial" w:hAnsi="Arial" w:cs="Arial"/>
        </w:rPr>
        <w:t xml:space="preserve"> (1915) 3 KB 32</w:t>
      </w:r>
    </w:p>
    <w:p w14:paraId="62DD6198" w14:textId="77777777" w:rsidR="005109E4" w:rsidRPr="005109E4" w:rsidRDefault="005109E4" w:rsidP="005109E4">
      <w:pPr>
        <w:spacing w:line="360" w:lineRule="auto"/>
        <w:rPr>
          <w:rFonts w:ascii="Arial" w:hAnsi="Arial" w:cs="Arial"/>
        </w:rPr>
      </w:pPr>
    </w:p>
    <w:p w14:paraId="7BBB54C9" w14:textId="33B8D011" w:rsidR="005109E4" w:rsidRDefault="005109E4" w:rsidP="005109E4">
      <w:pPr>
        <w:spacing w:line="360" w:lineRule="auto"/>
        <w:rPr>
          <w:rFonts w:ascii="Arial" w:hAnsi="Arial" w:cs="Arial"/>
        </w:rPr>
      </w:pPr>
      <w:r w:rsidRPr="005109E4">
        <w:rPr>
          <w:rFonts w:ascii="Arial" w:hAnsi="Arial" w:cs="Arial"/>
        </w:rPr>
        <w:t>Joseph v Spiller and Another (2010) UKSC 53</w:t>
      </w:r>
    </w:p>
    <w:p w14:paraId="42227B01" w14:textId="77777777" w:rsidR="005109E4" w:rsidRPr="005109E4" w:rsidRDefault="005109E4" w:rsidP="005109E4">
      <w:pPr>
        <w:spacing w:line="360" w:lineRule="auto"/>
        <w:rPr>
          <w:rFonts w:ascii="Arial" w:hAnsi="Arial" w:cs="Arial"/>
        </w:rPr>
      </w:pPr>
    </w:p>
    <w:p w14:paraId="5CB08FF7" w14:textId="0C241A42" w:rsidR="005109E4" w:rsidRDefault="005109E4" w:rsidP="005109E4">
      <w:pPr>
        <w:spacing w:line="360" w:lineRule="auto"/>
        <w:rPr>
          <w:rFonts w:ascii="Arial" w:hAnsi="Arial" w:cs="Arial"/>
        </w:rPr>
      </w:pPr>
      <w:r w:rsidRPr="005109E4">
        <w:rPr>
          <w:rFonts w:ascii="Arial" w:hAnsi="Arial" w:cs="Arial"/>
        </w:rPr>
        <w:t xml:space="preserve">Lachaux (2017). UKSC 27 </w:t>
      </w:r>
    </w:p>
    <w:p w14:paraId="600FFDB9" w14:textId="60859D0D" w:rsidR="000D1507" w:rsidRDefault="000D1507" w:rsidP="005109E4">
      <w:pPr>
        <w:spacing w:line="360" w:lineRule="auto"/>
        <w:rPr>
          <w:rFonts w:ascii="Arial" w:hAnsi="Arial" w:cs="Arial"/>
        </w:rPr>
      </w:pPr>
    </w:p>
    <w:p w14:paraId="00E6E108" w14:textId="0542D436" w:rsidR="000D1507" w:rsidRPr="000D1507" w:rsidRDefault="000D1507" w:rsidP="005109E4">
      <w:pPr>
        <w:spacing w:line="360" w:lineRule="auto"/>
        <w:rPr>
          <w:rFonts w:ascii="Arial" w:hAnsi="Arial" w:cs="Arial"/>
        </w:rPr>
      </w:pPr>
      <w:r w:rsidRPr="000D1507">
        <w:rPr>
          <w:rFonts w:ascii="Arial" w:hAnsi="Arial" w:cs="Arial"/>
        </w:rPr>
        <w:t>Reynolds v Times Newspapers Ltd &amp; ors (2001</w:t>
      </w:r>
      <w:r w:rsidRPr="000D1507">
        <w:rPr>
          <w:rFonts w:ascii="Arial" w:hAnsi="Arial" w:cs="Arial"/>
        </w:rPr>
        <w:t>)</w:t>
      </w:r>
    </w:p>
    <w:p w14:paraId="0524DEC1" w14:textId="77777777" w:rsidR="005109E4" w:rsidRPr="005109E4" w:rsidRDefault="005109E4" w:rsidP="005109E4">
      <w:pPr>
        <w:spacing w:line="360" w:lineRule="auto"/>
        <w:rPr>
          <w:rFonts w:ascii="Arial" w:hAnsi="Arial" w:cs="Arial"/>
        </w:rPr>
      </w:pPr>
    </w:p>
    <w:p w14:paraId="0984B362" w14:textId="77777777" w:rsidR="005109E4" w:rsidRDefault="005109E4" w:rsidP="005109E4">
      <w:pPr>
        <w:spacing w:line="360" w:lineRule="auto"/>
        <w:rPr>
          <w:rFonts w:ascii="Arial" w:hAnsi="Arial" w:cs="Arial"/>
        </w:rPr>
      </w:pPr>
      <w:r w:rsidRPr="005109E4">
        <w:rPr>
          <w:rFonts w:ascii="Arial" w:hAnsi="Arial" w:cs="Arial"/>
        </w:rPr>
        <w:t xml:space="preserve">Sim v Stretch (1936). 2 All ER 1237 </w:t>
      </w:r>
    </w:p>
    <w:p w14:paraId="7C8FD4C3" w14:textId="73D9E720" w:rsidR="005109E4" w:rsidRPr="005109E4" w:rsidRDefault="005109E4" w:rsidP="005109E4">
      <w:pPr>
        <w:spacing w:line="360" w:lineRule="auto"/>
        <w:rPr>
          <w:rFonts w:ascii="Arial" w:hAnsi="Arial" w:cs="Arial"/>
        </w:rPr>
      </w:pPr>
      <w:r w:rsidRPr="005109E4">
        <w:rPr>
          <w:rFonts w:ascii="Arial" w:hAnsi="Arial" w:cs="Arial"/>
        </w:rPr>
        <w:tab/>
      </w:r>
    </w:p>
    <w:p w14:paraId="058A763B" w14:textId="77777777" w:rsidR="005109E4" w:rsidRDefault="005109E4" w:rsidP="005109E4">
      <w:pPr>
        <w:spacing w:line="360" w:lineRule="auto"/>
        <w:rPr>
          <w:rFonts w:ascii="Arial" w:hAnsi="Arial" w:cs="Arial"/>
        </w:rPr>
      </w:pPr>
      <w:r w:rsidRPr="005109E4">
        <w:rPr>
          <w:rFonts w:ascii="Arial" w:hAnsi="Arial" w:cs="Arial"/>
        </w:rPr>
        <w:t>Tolley v JS Fry &amp; Sons Ltd (1931) AC 333</w:t>
      </w:r>
    </w:p>
    <w:p w14:paraId="34E23B78" w14:textId="42E27AB6" w:rsidR="005109E4" w:rsidRPr="005109E4" w:rsidRDefault="005109E4" w:rsidP="005109E4">
      <w:pPr>
        <w:spacing w:line="360" w:lineRule="auto"/>
        <w:rPr>
          <w:rFonts w:ascii="Arial" w:hAnsi="Arial" w:cs="Arial"/>
        </w:rPr>
      </w:pPr>
      <w:r w:rsidRPr="005109E4">
        <w:rPr>
          <w:rFonts w:ascii="Arial" w:hAnsi="Arial" w:cs="Arial"/>
        </w:rPr>
        <w:tab/>
      </w:r>
    </w:p>
    <w:p w14:paraId="66104388" w14:textId="581894DB" w:rsidR="005109E4" w:rsidRDefault="005109E4" w:rsidP="005109E4">
      <w:pPr>
        <w:spacing w:line="360" w:lineRule="auto"/>
        <w:rPr>
          <w:rFonts w:ascii="Arial" w:hAnsi="Arial" w:cs="Arial"/>
        </w:rPr>
      </w:pPr>
      <w:r w:rsidRPr="005109E4">
        <w:rPr>
          <w:rFonts w:ascii="Arial" w:hAnsi="Arial" w:cs="Arial"/>
        </w:rPr>
        <w:t xml:space="preserve">Triad Group Plc v Makar (2020) EWHC 306 (QB). </w:t>
      </w:r>
    </w:p>
    <w:p w14:paraId="42137BD6" w14:textId="00829843" w:rsidR="000D1507" w:rsidRDefault="000D1507" w:rsidP="005109E4">
      <w:pPr>
        <w:spacing w:line="360" w:lineRule="auto"/>
        <w:rPr>
          <w:rFonts w:ascii="Arial" w:hAnsi="Arial" w:cs="Arial"/>
        </w:rPr>
      </w:pPr>
    </w:p>
    <w:p w14:paraId="2D17FBD0" w14:textId="77777777" w:rsidR="000D1507" w:rsidRPr="005109E4" w:rsidRDefault="000D1507" w:rsidP="005109E4">
      <w:pPr>
        <w:spacing w:line="360" w:lineRule="auto"/>
        <w:rPr>
          <w:rFonts w:ascii="Arial" w:hAnsi="Arial" w:cs="Arial"/>
        </w:rPr>
      </w:pPr>
    </w:p>
    <w:sectPr w:rsidR="000D1507" w:rsidRPr="005109E4" w:rsidSect="00DF4E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0C4"/>
    <w:rsid w:val="00023395"/>
    <w:rsid w:val="000733B9"/>
    <w:rsid w:val="0008527E"/>
    <w:rsid w:val="000D1507"/>
    <w:rsid w:val="000D64BD"/>
    <w:rsid w:val="00154D77"/>
    <w:rsid w:val="002361E3"/>
    <w:rsid w:val="002E099F"/>
    <w:rsid w:val="002F0F55"/>
    <w:rsid w:val="003317AE"/>
    <w:rsid w:val="003A3B5E"/>
    <w:rsid w:val="003F1CB7"/>
    <w:rsid w:val="00417A69"/>
    <w:rsid w:val="004B26A3"/>
    <w:rsid w:val="004B2A2B"/>
    <w:rsid w:val="005109E4"/>
    <w:rsid w:val="00595FA8"/>
    <w:rsid w:val="00660925"/>
    <w:rsid w:val="00696B78"/>
    <w:rsid w:val="006A6AC7"/>
    <w:rsid w:val="006E10D5"/>
    <w:rsid w:val="006F79E4"/>
    <w:rsid w:val="007F30C4"/>
    <w:rsid w:val="0082278B"/>
    <w:rsid w:val="00887626"/>
    <w:rsid w:val="009035B9"/>
    <w:rsid w:val="00912D66"/>
    <w:rsid w:val="009211AE"/>
    <w:rsid w:val="009465FC"/>
    <w:rsid w:val="00950717"/>
    <w:rsid w:val="009A2514"/>
    <w:rsid w:val="00A64FEF"/>
    <w:rsid w:val="00A6555A"/>
    <w:rsid w:val="00B51C97"/>
    <w:rsid w:val="00BC3D47"/>
    <w:rsid w:val="00C10FEF"/>
    <w:rsid w:val="00C21B99"/>
    <w:rsid w:val="00CA5367"/>
    <w:rsid w:val="00CB328F"/>
    <w:rsid w:val="00CD10D1"/>
    <w:rsid w:val="00CE4DD9"/>
    <w:rsid w:val="00DB7CAC"/>
    <w:rsid w:val="00DD22F3"/>
    <w:rsid w:val="00DF4EEC"/>
    <w:rsid w:val="00E73FA0"/>
    <w:rsid w:val="00EA7166"/>
    <w:rsid w:val="00ED242D"/>
    <w:rsid w:val="00EE1427"/>
    <w:rsid w:val="00F24287"/>
    <w:rsid w:val="00F771A4"/>
    <w:rsid w:val="00F8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8C94"/>
  <w15:chartTrackingRefBased/>
  <w15:docId w15:val="{7DDD67FF-28D1-5142-9537-7B5C919E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0C4"/>
    <w:rPr>
      <w:color w:val="0563C1" w:themeColor="hyperlink"/>
      <w:u w:val="single"/>
    </w:rPr>
  </w:style>
  <w:style w:type="character" w:styleId="UnresolvedMention">
    <w:name w:val="Unresolved Mention"/>
    <w:basedOn w:val="DefaultParagraphFont"/>
    <w:uiPriority w:val="99"/>
    <w:semiHidden/>
    <w:unhideWhenUsed/>
    <w:rsid w:val="007F30C4"/>
    <w:rPr>
      <w:color w:val="605E5C"/>
      <w:shd w:val="clear" w:color="auto" w:fill="E1DFDD"/>
    </w:rPr>
  </w:style>
  <w:style w:type="paragraph" w:styleId="NoSpacing">
    <w:name w:val="No Spacing"/>
    <w:link w:val="NoSpacingChar"/>
    <w:uiPriority w:val="1"/>
    <w:qFormat/>
    <w:rsid w:val="00DF4EEC"/>
    <w:rPr>
      <w:rFonts w:eastAsiaTheme="minorEastAsia"/>
      <w:sz w:val="22"/>
      <w:szCs w:val="22"/>
      <w:lang w:val="en-US" w:eastAsia="zh-CN"/>
    </w:rPr>
  </w:style>
  <w:style w:type="character" w:customStyle="1" w:styleId="NoSpacingChar">
    <w:name w:val="No Spacing Char"/>
    <w:basedOn w:val="DefaultParagraphFont"/>
    <w:link w:val="NoSpacing"/>
    <w:uiPriority w:val="1"/>
    <w:rsid w:val="00DF4EE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convention_eng.pdf" TargetMode="External"/><Relationship Id="rId13" Type="http://schemas.openxmlformats.org/officeDocument/2006/relationships/hyperlink" Target="https://www.inhouselawyer.co.uk/legal-briefing/stop-the-pressthe-reynolds-defence/" TargetMode="External"/><Relationship Id="rId3" Type="http://schemas.openxmlformats.org/officeDocument/2006/relationships/settings" Target="settings.xml"/><Relationship Id="rId7" Type="http://schemas.openxmlformats.org/officeDocument/2006/relationships/hyperlink" Target="https://www.carruthers-law.co.uk/our-services/defamation/defamation-defences/" TargetMode="External"/><Relationship Id="rId12" Type="http://schemas.openxmlformats.org/officeDocument/2006/relationships/hyperlink" Target="https://www.heraldscotland.com/news/12641016.tv-company-cleared-of-libel-judge-brands-gecas-mass-murderer-and-war-crimin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ritannica.com/topic/defamation" TargetMode="External"/><Relationship Id="rId11" Type="http://schemas.openxmlformats.org/officeDocument/2006/relationships/hyperlink" Target="https://www.legislation.gov.uk/ukpga/2013/26/contents/enacted" TargetMode="External"/><Relationship Id="rId5" Type="http://schemas.openxmlformats.org/officeDocument/2006/relationships/hyperlink" Target="https://www.bbc.co.uk/news/world-australia-48033816" TargetMode="External"/><Relationship Id="rId15" Type="http://schemas.openxmlformats.org/officeDocument/2006/relationships/fontTable" Target="fontTable.xml"/><Relationship Id="rId10" Type="http://schemas.openxmlformats.org/officeDocument/2006/relationships/hyperlink" Target="https://www.qualitysolicitors.com/blog/define-defamation-of-character" TargetMode="External"/><Relationship Id="rId4" Type="http://schemas.openxmlformats.org/officeDocument/2006/relationships/webSettings" Target="webSettings.xml"/><Relationship Id="rId9" Type="http://schemas.openxmlformats.org/officeDocument/2006/relationships/hyperlink" Target="https://www.hja.net/expert-comments/blog/commercial-dispute-resolution/defamation-a-basic-guide-what-do-i-need-to-prove-to-bring-a-defamation-claim/" TargetMode="External"/><Relationship Id="rId14" Type="http://schemas.openxmlformats.org/officeDocument/2006/relationships/hyperlink" Target="https://www.legislation.gov.uk/ukpga/2013/26/crossheading/defence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10</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BMLW4004</dc:subject>
  <dc:creator>OLIVER Rowe (2100430)</dc:creator>
  <cp:keywords/>
  <dc:description/>
  <cp:lastModifiedBy>Olly Rowe (2100430)</cp:lastModifiedBy>
  <cp:revision>4</cp:revision>
  <dcterms:created xsi:type="dcterms:W3CDTF">2022-05-03T11:17:00Z</dcterms:created>
  <dcterms:modified xsi:type="dcterms:W3CDTF">2022-05-03T20:26:00Z</dcterms:modified>
</cp:coreProperties>
</file>