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8D2EA" w14:textId="77777777" w:rsidR="001B2861" w:rsidRDefault="001B2861" w:rsidP="001B2861">
      <w:pPr>
        <w:spacing w:line="360" w:lineRule="auto"/>
        <w:rPr>
          <w:rFonts w:ascii="Arial" w:hAnsi="Arial" w:cs="Arial"/>
          <w:b/>
          <w:bCs/>
          <w:sz w:val="22"/>
          <w:szCs w:val="22"/>
        </w:rPr>
      </w:pPr>
    </w:p>
    <w:p w14:paraId="37DC343E" w14:textId="1FBEEE5B" w:rsidR="001B2861" w:rsidRDefault="001B2861" w:rsidP="001B2861">
      <w:pPr>
        <w:spacing w:line="360" w:lineRule="auto"/>
        <w:rPr>
          <w:rFonts w:ascii="Arial" w:hAnsi="Arial" w:cs="Arial"/>
          <w:b/>
          <w:bCs/>
          <w:sz w:val="22"/>
          <w:szCs w:val="22"/>
        </w:rPr>
      </w:pPr>
    </w:p>
    <w:p w14:paraId="6219F07A" w14:textId="4C6828DF" w:rsidR="001B2861" w:rsidRDefault="001B2861" w:rsidP="001B2861">
      <w:pPr>
        <w:spacing w:line="360" w:lineRule="auto"/>
        <w:rPr>
          <w:rFonts w:ascii="Arial" w:hAnsi="Arial" w:cs="Arial"/>
          <w:b/>
          <w:bCs/>
          <w:sz w:val="22"/>
          <w:szCs w:val="22"/>
        </w:rPr>
      </w:pPr>
      <w:r>
        <w:rPr>
          <w:noProof/>
        </w:rPr>
        <w:drawing>
          <wp:inline distT="0" distB="0" distL="0" distR="0" wp14:anchorId="77F89528" wp14:editId="174377C3">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182B5C94" w14:textId="662E5139" w:rsidR="001B2861" w:rsidRDefault="001B2861" w:rsidP="001B2861">
      <w:pPr>
        <w:spacing w:line="360" w:lineRule="auto"/>
        <w:rPr>
          <w:rFonts w:ascii="Arial" w:hAnsi="Arial" w:cs="Arial"/>
          <w:b/>
          <w:bCs/>
          <w:sz w:val="22"/>
          <w:szCs w:val="22"/>
        </w:rPr>
      </w:pPr>
    </w:p>
    <w:p w14:paraId="4552D2DE" w14:textId="1C450D90" w:rsidR="001B2861" w:rsidRDefault="001B2861" w:rsidP="001B2861">
      <w:pPr>
        <w:spacing w:line="276" w:lineRule="auto"/>
        <w:rPr>
          <w:rFonts w:ascii="Arial" w:hAnsi="Arial" w:cs="Arial"/>
          <w:b/>
          <w:bCs/>
          <w:sz w:val="40"/>
          <w:szCs w:val="40"/>
        </w:rPr>
      </w:pPr>
    </w:p>
    <w:p w14:paraId="15706A97" w14:textId="111FD069" w:rsidR="001B2861" w:rsidRDefault="001B2861" w:rsidP="00B83276">
      <w:pPr>
        <w:spacing w:line="360" w:lineRule="auto"/>
        <w:rPr>
          <w:rFonts w:ascii="Arial" w:hAnsi="Arial" w:cs="Arial"/>
          <w:b/>
          <w:bCs/>
          <w:sz w:val="44"/>
          <w:szCs w:val="44"/>
        </w:rPr>
      </w:pPr>
      <w:r w:rsidRPr="00627B4E">
        <w:rPr>
          <w:rFonts w:ascii="Arial" w:hAnsi="Arial" w:cs="Arial"/>
          <w:b/>
          <w:bCs/>
          <w:sz w:val="44"/>
          <w:szCs w:val="44"/>
        </w:rPr>
        <w:t>BMHP5021: Protecting and Supporting Families in Health and Care</w:t>
      </w:r>
    </w:p>
    <w:p w14:paraId="7FE3FF0B" w14:textId="164D75C4" w:rsidR="009A71AB" w:rsidRDefault="009A71AB" w:rsidP="00B83276">
      <w:pPr>
        <w:spacing w:line="360" w:lineRule="auto"/>
        <w:rPr>
          <w:rFonts w:ascii="Arial" w:hAnsi="Arial" w:cs="Arial"/>
          <w:b/>
          <w:bCs/>
          <w:sz w:val="44"/>
          <w:szCs w:val="44"/>
        </w:rPr>
      </w:pPr>
      <w:r>
        <w:rPr>
          <w:rFonts w:ascii="Arial" w:hAnsi="Arial" w:cs="Arial"/>
          <w:b/>
          <w:bCs/>
          <w:sz w:val="44"/>
          <w:szCs w:val="44"/>
        </w:rPr>
        <w:t>Student Name: Sharon Akhigbe</w:t>
      </w:r>
    </w:p>
    <w:p w14:paraId="2E02CFDE" w14:textId="6C881E40" w:rsidR="009A1F08" w:rsidRDefault="009A1F08" w:rsidP="00B83276">
      <w:pPr>
        <w:spacing w:line="360" w:lineRule="auto"/>
        <w:rPr>
          <w:rFonts w:ascii="Arial" w:hAnsi="Arial" w:cs="Arial"/>
          <w:b/>
          <w:bCs/>
          <w:sz w:val="44"/>
          <w:szCs w:val="44"/>
        </w:rPr>
      </w:pPr>
      <w:r>
        <w:rPr>
          <w:rFonts w:ascii="Arial" w:hAnsi="Arial" w:cs="Arial"/>
          <w:b/>
          <w:bCs/>
          <w:sz w:val="44"/>
          <w:szCs w:val="44"/>
        </w:rPr>
        <w:t>Student Number: 2334467</w:t>
      </w:r>
    </w:p>
    <w:p w14:paraId="39639CCF" w14:textId="1FAD6779" w:rsidR="009A71AB" w:rsidRPr="00627B4E" w:rsidRDefault="009A71AB" w:rsidP="00B83276">
      <w:pPr>
        <w:spacing w:line="360" w:lineRule="auto"/>
        <w:rPr>
          <w:rFonts w:ascii="Arial" w:hAnsi="Arial" w:cs="Arial"/>
          <w:b/>
          <w:bCs/>
          <w:sz w:val="44"/>
          <w:szCs w:val="44"/>
        </w:rPr>
      </w:pPr>
      <w:r>
        <w:rPr>
          <w:rFonts w:ascii="Arial" w:hAnsi="Arial" w:cs="Arial"/>
          <w:b/>
          <w:bCs/>
          <w:sz w:val="44"/>
          <w:szCs w:val="44"/>
        </w:rPr>
        <w:t>Lecturer: Phillip Jones</w:t>
      </w:r>
    </w:p>
    <w:p w14:paraId="1ADB7615" w14:textId="04C7D401" w:rsidR="001B2861" w:rsidRPr="001B2861" w:rsidRDefault="001B2861" w:rsidP="001B2861">
      <w:pPr>
        <w:spacing w:line="360" w:lineRule="auto"/>
        <w:rPr>
          <w:rFonts w:ascii="Arial" w:hAnsi="Arial" w:cs="Arial"/>
          <w:b/>
          <w:bCs/>
          <w:sz w:val="32"/>
          <w:szCs w:val="32"/>
        </w:rPr>
      </w:pPr>
      <w:r w:rsidRPr="00627B4E">
        <w:rPr>
          <w:rFonts w:ascii="Arial" w:hAnsi="Arial" w:cs="Arial"/>
          <w:b/>
          <w:bCs/>
          <w:sz w:val="32"/>
          <w:szCs w:val="32"/>
        </w:rPr>
        <w:t>Component 2</w:t>
      </w:r>
      <w:r w:rsidRPr="001B2861">
        <w:rPr>
          <w:rFonts w:ascii="Arial" w:hAnsi="Arial" w:cs="Arial"/>
          <w:b/>
          <w:bCs/>
          <w:sz w:val="32"/>
          <w:szCs w:val="32"/>
        </w:rPr>
        <w:t>:</w:t>
      </w:r>
      <w:r w:rsidRPr="00627B4E">
        <w:rPr>
          <w:rFonts w:ascii="Arial" w:hAnsi="Arial" w:cs="Arial"/>
          <w:b/>
          <w:bCs/>
          <w:sz w:val="32"/>
          <w:szCs w:val="32"/>
        </w:rPr>
        <w:t xml:space="preserve"> Written Report</w:t>
      </w:r>
    </w:p>
    <w:p w14:paraId="704DCE1B" w14:textId="6F1E29DA" w:rsidR="001B2861" w:rsidRPr="00627B4E" w:rsidRDefault="001B2861" w:rsidP="001B2861">
      <w:pPr>
        <w:spacing w:line="360" w:lineRule="auto"/>
        <w:rPr>
          <w:rFonts w:ascii="Arial" w:hAnsi="Arial" w:cs="Arial"/>
          <w:b/>
          <w:bCs/>
        </w:rPr>
      </w:pPr>
      <w:r w:rsidRPr="00627B4E">
        <w:rPr>
          <w:rFonts w:ascii="Arial" w:hAnsi="Arial" w:cs="Arial"/>
          <w:b/>
          <w:bCs/>
        </w:rPr>
        <w:t xml:space="preserve">‘Early Help’ System </w:t>
      </w:r>
      <w:r w:rsidRPr="001B2861">
        <w:rPr>
          <w:rFonts w:ascii="Arial" w:hAnsi="Arial" w:cs="Arial"/>
          <w:b/>
          <w:bCs/>
        </w:rPr>
        <w:t xml:space="preserve">in the </w:t>
      </w:r>
      <w:r w:rsidRPr="00627B4E">
        <w:rPr>
          <w:rFonts w:ascii="Arial" w:hAnsi="Arial" w:cs="Arial"/>
          <w:b/>
          <w:bCs/>
        </w:rPr>
        <w:t xml:space="preserve">UK </w:t>
      </w:r>
    </w:p>
    <w:p w14:paraId="73E8D0C6" w14:textId="77777777" w:rsidR="001B2861" w:rsidRDefault="001B2861" w:rsidP="001B2861">
      <w:pPr>
        <w:spacing w:line="360" w:lineRule="auto"/>
        <w:rPr>
          <w:rFonts w:ascii="Arial" w:hAnsi="Arial" w:cs="Arial"/>
          <w:b/>
          <w:bCs/>
          <w:sz w:val="22"/>
          <w:szCs w:val="22"/>
        </w:rPr>
      </w:pPr>
    </w:p>
    <w:p w14:paraId="459E3C95" w14:textId="77777777" w:rsidR="001B2861" w:rsidRDefault="001B2861" w:rsidP="001B2861">
      <w:pPr>
        <w:spacing w:line="360" w:lineRule="auto"/>
        <w:rPr>
          <w:rFonts w:ascii="Arial" w:hAnsi="Arial" w:cs="Arial"/>
          <w:b/>
          <w:bCs/>
          <w:sz w:val="22"/>
          <w:szCs w:val="22"/>
        </w:rPr>
      </w:pPr>
    </w:p>
    <w:p w14:paraId="6286F552" w14:textId="77777777" w:rsidR="001B2861" w:rsidRDefault="001B2861" w:rsidP="001B2861">
      <w:pPr>
        <w:spacing w:line="360" w:lineRule="auto"/>
        <w:rPr>
          <w:rFonts w:ascii="Arial" w:hAnsi="Arial" w:cs="Arial"/>
          <w:b/>
          <w:bCs/>
          <w:sz w:val="22"/>
          <w:szCs w:val="22"/>
        </w:rPr>
      </w:pPr>
    </w:p>
    <w:p w14:paraId="7220737C" w14:textId="77777777" w:rsidR="001B2861" w:rsidRDefault="001B2861" w:rsidP="001B2861">
      <w:pPr>
        <w:spacing w:line="360" w:lineRule="auto"/>
        <w:rPr>
          <w:rFonts w:ascii="Arial" w:hAnsi="Arial" w:cs="Arial"/>
          <w:b/>
          <w:bCs/>
          <w:sz w:val="22"/>
          <w:szCs w:val="22"/>
        </w:rPr>
      </w:pPr>
    </w:p>
    <w:p w14:paraId="027C3B86" w14:textId="77777777" w:rsidR="001B2861" w:rsidRDefault="001B2861" w:rsidP="001B2861">
      <w:pPr>
        <w:spacing w:line="360" w:lineRule="auto"/>
        <w:rPr>
          <w:rFonts w:ascii="Arial" w:hAnsi="Arial" w:cs="Arial"/>
          <w:b/>
          <w:bCs/>
          <w:sz w:val="22"/>
          <w:szCs w:val="22"/>
        </w:rPr>
      </w:pPr>
    </w:p>
    <w:p w14:paraId="00B40E84" w14:textId="77777777" w:rsidR="001B2861" w:rsidRDefault="001B2861" w:rsidP="001B2861">
      <w:pPr>
        <w:spacing w:line="360" w:lineRule="auto"/>
        <w:rPr>
          <w:rFonts w:ascii="Arial" w:hAnsi="Arial" w:cs="Arial"/>
          <w:b/>
          <w:bCs/>
          <w:sz w:val="22"/>
          <w:szCs w:val="22"/>
        </w:rPr>
      </w:pPr>
    </w:p>
    <w:p w14:paraId="3C77B735" w14:textId="77777777" w:rsidR="001B2861" w:rsidRDefault="001B2861" w:rsidP="001B2861">
      <w:pPr>
        <w:spacing w:line="360" w:lineRule="auto"/>
        <w:rPr>
          <w:rFonts w:ascii="Arial" w:hAnsi="Arial" w:cs="Arial"/>
          <w:b/>
          <w:bCs/>
          <w:sz w:val="22"/>
          <w:szCs w:val="22"/>
        </w:rPr>
      </w:pPr>
    </w:p>
    <w:p w14:paraId="7B55435E" w14:textId="6106C39F" w:rsidR="001B2861" w:rsidRDefault="001B2861" w:rsidP="001B2861">
      <w:pPr>
        <w:spacing w:line="360" w:lineRule="auto"/>
        <w:rPr>
          <w:rFonts w:ascii="Arial" w:hAnsi="Arial" w:cs="Arial"/>
          <w:b/>
          <w:bCs/>
          <w:sz w:val="22"/>
          <w:szCs w:val="22"/>
        </w:rPr>
      </w:pPr>
      <w:r>
        <w:rPr>
          <w:rFonts w:ascii="Arial" w:hAnsi="Arial" w:cs="Arial"/>
          <w:b/>
          <w:bCs/>
          <w:sz w:val="22"/>
          <w:szCs w:val="22"/>
        </w:rPr>
        <w:t xml:space="preserve">Word Count: </w:t>
      </w:r>
      <w:r w:rsidR="00B83276">
        <w:rPr>
          <w:rFonts w:ascii="Arial" w:hAnsi="Arial" w:cs="Arial"/>
          <w:b/>
          <w:bCs/>
          <w:sz w:val="22"/>
          <w:szCs w:val="22"/>
        </w:rPr>
        <w:t>2190</w:t>
      </w:r>
    </w:p>
    <w:sdt>
      <w:sdtPr>
        <w:rPr>
          <w:rFonts w:ascii="Tahoma" w:eastAsiaTheme="minorHAnsi" w:hAnsi="Tahoma" w:cs="Tahoma"/>
          <w:b/>
          <w:bCs/>
          <w:color w:val="auto"/>
          <w:sz w:val="24"/>
          <w:szCs w:val="24"/>
          <w:u w:val="single"/>
          <w:lang w:val="en-GB"/>
          <w14:ligatures w14:val="standardContextual"/>
        </w:rPr>
        <w:id w:val="-1517534322"/>
        <w:docPartObj>
          <w:docPartGallery w:val="Table of Contents"/>
          <w:docPartUnique/>
        </w:docPartObj>
      </w:sdtPr>
      <w:sdtEndPr>
        <w:rPr>
          <w:noProof/>
          <w:sz w:val="22"/>
          <w:szCs w:val="22"/>
          <w:u w:val="none"/>
        </w:rPr>
      </w:sdtEndPr>
      <w:sdtContent>
        <w:p w14:paraId="27BC0EAB" w14:textId="79A53A9C" w:rsidR="00B83276" w:rsidRPr="00B83276" w:rsidRDefault="00B83276" w:rsidP="00B83276">
          <w:pPr>
            <w:pStyle w:val="TOCHeading"/>
            <w:spacing w:line="360" w:lineRule="auto"/>
            <w:rPr>
              <w:rFonts w:ascii="Tahoma" w:hAnsi="Tahoma" w:cs="Tahoma"/>
              <w:b/>
              <w:bCs/>
              <w:color w:val="auto"/>
              <w:sz w:val="24"/>
              <w:szCs w:val="24"/>
              <w:u w:val="single"/>
            </w:rPr>
          </w:pPr>
          <w:r w:rsidRPr="00B83276">
            <w:rPr>
              <w:rFonts w:ascii="Tahoma" w:hAnsi="Tahoma" w:cs="Tahoma"/>
              <w:b/>
              <w:bCs/>
              <w:color w:val="auto"/>
              <w:sz w:val="24"/>
              <w:szCs w:val="24"/>
              <w:u w:val="single"/>
            </w:rPr>
            <w:t>Table of Contents</w:t>
          </w:r>
        </w:p>
        <w:p w14:paraId="54432F45" w14:textId="169D8171" w:rsidR="00B83276" w:rsidRPr="00B83276" w:rsidRDefault="00B83276" w:rsidP="00B83276">
          <w:pPr>
            <w:pStyle w:val="TOC1"/>
            <w:tabs>
              <w:tab w:val="right" w:leader="dot" w:pos="9016"/>
            </w:tabs>
            <w:spacing w:line="360" w:lineRule="auto"/>
            <w:rPr>
              <w:rFonts w:ascii="Tahoma" w:eastAsiaTheme="minorEastAsia" w:hAnsi="Tahoma" w:cs="Tahoma"/>
              <w:noProof/>
              <w:kern w:val="2"/>
              <w:sz w:val="22"/>
              <w:szCs w:val="22"/>
              <w:lang w:eastAsia="en-GB"/>
            </w:rPr>
          </w:pPr>
          <w:r w:rsidRPr="00B83276">
            <w:rPr>
              <w:rFonts w:ascii="Tahoma" w:hAnsi="Tahoma" w:cs="Tahoma"/>
              <w:sz w:val="22"/>
              <w:szCs w:val="22"/>
            </w:rPr>
            <w:fldChar w:fldCharType="begin"/>
          </w:r>
          <w:r w:rsidRPr="00B83276">
            <w:rPr>
              <w:rFonts w:ascii="Tahoma" w:hAnsi="Tahoma" w:cs="Tahoma"/>
              <w:sz w:val="22"/>
              <w:szCs w:val="22"/>
            </w:rPr>
            <w:instrText xml:space="preserve"> TOC \o "1-3" \h \z \u </w:instrText>
          </w:r>
          <w:r w:rsidRPr="00B83276">
            <w:rPr>
              <w:rFonts w:ascii="Tahoma" w:hAnsi="Tahoma" w:cs="Tahoma"/>
              <w:sz w:val="22"/>
              <w:szCs w:val="22"/>
            </w:rPr>
            <w:fldChar w:fldCharType="separate"/>
          </w:r>
          <w:hyperlink w:anchor="_Toc214067204" w:history="1">
            <w:r w:rsidRPr="00B83276">
              <w:rPr>
                <w:rStyle w:val="Hyperlink"/>
                <w:rFonts w:ascii="Tahoma" w:hAnsi="Tahoma" w:cs="Tahoma"/>
                <w:noProof/>
                <w:sz w:val="22"/>
                <w:szCs w:val="22"/>
              </w:rPr>
              <w:t>Introduction</w:t>
            </w:r>
            <w:r w:rsidRPr="00B83276">
              <w:rPr>
                <w:rFonts w:ascii="Tahoma" w:hAnsi="Tahoma" w:cs="Tahoma"/>
                <w:noProof/>
                <w:webHidden/>
                <w:sz w:val="22"/>
                <w:szCs w:val="22"/>
              </w:rPr>
              <w:tab/>
            </w:r>
            <w:r w:rsidRPr="00B83276">
              <w:rPr>
                <w:rFonts w:ascii="Tahoma" w:hAnsi="Tahoma" w:cs="Tahoma"/>
                <w:noProof/>
                <w:webHidden/>
                <w:sz w:val="22"/>
                <w:szCs w:val="22"/>
              </w:rPr>
              <w:fldChar w:fldCharType="begin"/>
            </w:r>
            <w:r w:rsidRPr="00B83276">
              <w:rPr>
                <w:rFonts w:ascii="Tahoma" w:hAnsi="Tahoma" w:cs="Tahoma"/>
                <w:noProof/>
                <w:webHidden/>
                <w:sz w:val="22"/>
                <w:szCs w:val="22"/>
              </w:rPr>
              <w:instrText xml:space="preserve"> PAGEREF _Toc214067204 \h </w:instrText>
            </w:r>
            <w:r w:rsidRPr="00B83276">
              <w:rPr>
                <w:rFonts w:ascii="Tahoma" w:hAnsi="Tahoma" w:cs="Tahoma"/>
                <w:noProof/>
                <w:webHidden/>
                <w:sz w:val="22"/>
                <w:szCs w:val="22"/>
              </w:rPr>
            </w:r>
            <w:r w:rsidRPr="00B83276">
              <w:rPr>
                <w:rFonts w:ascii="Tahoma" w:hAnsi="Tahoma" w:cs="Tahoma"/>
                <w:noProof/>
                <w:webHidden/>
                <w:sz w:val="22"/>
                <w:szCs w:val="22"/>
              </w:rPr>
              <w:fldChar w:fldCharType="separate"/>
            </w:r>
            <w:r w:rsidRPr="00B83276">
              <w:rPr>
                <w:rFonts w:ascii="Tahoma" w:hAnsi="Tahoma" w:cs="Tahoma"/>
                <w:noProof/>
                <w:webHidden/>
                <w:sz w:val="22"/>
                <w:szCs w:val="22"/>
              </w:rPr>
              <w:t>3</w:t>
            </w:r>
            <w:r w:rsidRPr="00B83276">
              <w:rPr>
                <w:rFonts w:ascii="Tahoma" w:hAnsi="Tahoma" w:cs="Tahoma"/>
                <w:noProof/>
                <w:webHidden/>
                <w:sz w:val="22"/>
                <w:szCs w:val="22"/>
              </w:rPr>
              <w:fldChar w:fldCharType="end"/>
            </w:r>
          </w:hyperlink>
        </w:p>
        <w:p w14:paraId="30793EE3" w14:textId="2605D6A1" w:rsidR="00B83276" w:rsidRPr="00B83276" w:rsidRDefault="00B83276" w:rsidP="00B83276">
          <w:pPr>
            <w:pStyle w:val="TOC1"/>
            <w:tabs>
              <w:tab w:val="right" w:leader="dot" w:pos="9016"/>
            </w:tabs>
            <w:spacing w:line="360" w:lineRule="auto"/>
            <w:rPr>
              <w:rFonts w:ascii="Tahoma" w:eastAsiaTheme="minorEastAsia" w:hAnsi="Tahoma" w:cs="Tahoma"/>
              <w:noProof/>
              <w:kern w:val="2"/>
              <w:sz w:val="22"/>
              <w:szCs w:val="22"/>
              <w:lang w:eastAsia="en-GB"/>
            </w:rPr>
          </w:pPr>
          <w:hyperlink w:anchor="_Toc214067205" w:history="1">
            <w:r w:rsidRPr="00B83276">
              <w:rPr>
                <w:rStyle w:val="Hyperlink"/>
                <w:rFonts w:ascii="Tahoma" w:hAnsi="Tahoma" w:cs="Tahoma"/>
                <w:noProof/>
                <w:sz w:val="22"/>
                <w:szCs w:val="22"/>
              </w:rPr>
              <w:t>Explanation of the Early Help System</w:t>
            </w:r>
            <w:r w:rsidRPr="00B83276">
              <w:rPr>
                <w:rFonts w:ascii="Tahoma" w:hAnsi="Tahoma" w:cs="Tahoma"/>
                <w:noProof/>
                <w:webHidden/>
                <w:sz w:val="22"/>
                <w:szCs w:val="22"/>
              </w:rPr>
              <w:tab/>
            </w:r>
            <w:r w:rsidRPr="00B83276">
              <w:rPr>
                <w:rFonts w:ascii="Tahoma" w:hAnsi="Tahoma" w:cs="Tahoma"/>
                <w:noProof/>
                <w:webHidden/>
                <w:sz w:val="22"/>
                <w:szCs w:val="22"/>
              </w:rPr>
              <w:fldChar w:fldCharType="begin"/>
            </w:r>
            <w:r w:rsidRPr="00B83276">
              <w:rPr>
                <w:rFonts w:ascii="Tahoma" w:hAnsi="Tahoma" w:cs="Tahoma"/>
                <w:noProof/>
                <w:webHidden/>
                <w:sz w:val="22"/>
                <w:szCs w:val="22"/>
              </w:rPr>
              <w:instrText xml:space="preserve"> PAGEREF _Toc214067205 \h </w:instrText>
            </w:r>
            <w:r w:rsidRPr="00B83276">
              <w:rPr>
                <w:rFonts w:ascii="Tahoma" w:hAnsi="Tahoma" w:cs="Tahoma"/>
                <w:noProof/>
                <w:webHidden/>
                <w:sz w:val="22"/>
                <w:szCs w:val="22"/>
              </w:rPr>
            </w:r>
            <w:r w:rsidRPr="00B83276">
              <w:rPr>
                <w:rFonts w:ascii="Tahoma" w:hAnsi="Tahoma" w:cs="Tahoma"/>
                <w:noProof/>
                <w:webHidden/>
                <w:sz w:val="22"/>
                <w:szCs w:val="22"/>
              </w:rPr>
              <w:fldChar w:fldCharType="separate"/>
            </w:r>
            <w:r w:rsidRPr="00B83276">
              <w:rPr>
                <w:rFonts w:ascii="Tahoma" w:hAnsi="Tahoma" w:cs="Tahoma"/>
                <w:noProof/>
                <w:webHidden/>
                <w:sz w:val="22"/>
                <w:szCs w:val="22"/>
              </w:rPr>
              <w:t>3</w:t>
            </w:r>
            <w:r w:rsidRPr="00B83276">
              <w:rPr>
                <w:rFonts w:ascii="Tahoma" w:hAnsi="Tahoma" w:cs="Tahoma"/>
                <w:noProof/>
                <w:webHidden/>
                <w:sz w:val="22"/>
                <w:szCs w:val="22"/>
              </w:rPr>
              <w:fldChar w:fldCharType="end"/>
            </w:r>
          </w:hyperlink>
        </w:p>
        <w:p w14:paraId="366E559E" w14:textId="4351F893" w:rsidR="00B83276" w:rsidRPr="00B83276" w:rsidRDefault="00B83276" w:rsidP="00B83276">
          <w:pPr>
            <w:pStyle w:val="TOC1"/>
            <w:tabs>
              <w:tab w:val="right" w:leader="dot" w:pos="9016"/>
            </w:tabs>
            <w:spacing w:line="360" w:lineRule="auto"/>
            <w:rPr>
              <w:rFonts w:ascii="Tahoma" w:eastAsiaTheme="minorEastAsia" w:hAnsi="Tahoma" w:cs="Tahoma"/>
              <w:noProof/>
              <w:kern w:val="2"/>
              <w:sz w:val="22"/>
              <w:szCs w:val="22"/>
              <w:lang w:eastAsia="en-GB"/>
            </w:rPr>
          </w:pPr>
          <w:hyperlink w:anchor="_Toc214067206" w:history="1">
            <w:r w:rsidRPr="00B83276">
              <w:rPr>
                <w:rStyle w:val="Hyperlink"/>
                <w:rFonts w:ascii="Tahoma" w:hAnsi="Tahoma" w:cs="Tahoma"/>
                <w:noProof/>
                <w:sz w:val="22"/>
                <w:szCs w:val="22"/>
              </w:rPr>
              <w:t>Explanation of Multi-Agency Working</w:t>
            </w:r>
            <w:r w:rsidRPr="00B83276">
              <w:rPr>
                <w:rFonts w:ascii="Tahoma" w:hAnsi="Tahoma" w:cs="Tahoma"/>
                <w:noProof/>
                <w:webHidden/>
                <w:sz w:val="22"/>
                <w:szCs w:val="22"/>
              </w:rPr>
              <w:tab/>
            </w:r>
            <w:r w:rsidRPr="00B83276">
              <w:rPr>
                <w:rFonts w:ascii="Tahoma" w:hAnsi="Tahoma" w:cs="Tahoma"/>
                <w:noProof/>
                <w:webHidden/>
                <w:sz w:val="22"/>
                <w:szCs w:val="22"/>
              </w:rPr>
              <w:fldChar w:fldCharType="begin"/>
            </w:r>
            <w:r w:rsidRPr="00B83276">
              <w:rPr>
                <w:rFonts w:ascii="Tahoma" w:hAnsi="Tahoma" w:cs="Tahoma"/>
                <w:noProof/>
                <w:webHidden/>
                <w:sz w:val="22"/>
                <w:szCs w:val="22"/>
              </w:rPr>
              <w:instrText xml:space="preserve"> PAGEREF _Toc214067206 \h </w:instrText>
            </w:r>
            <w:r w:rsidRPr="00B83276">
              <w:rPr>
                <w:rFonts w:ascii="Tahoma" w:hAnsi="Tahoma" w:cs="Tahoma"/>
                <w:noProof/>
                <w:webHidden/>
                <w:sz w:val="22"/>
                <w:szCs w:val="22"/>
              </w:rPr>
            </w:r>
            <w:r w:rsidRPr="00B83276">
              <w:rPr>
                <w:rFonts w:ascii="Tahoma" w:hAnsi="Tahoma" w:cs="Tahoma"/>
                <w:noProof/>
                <w:webHidden/>
                <w:sz w:val="22"/>
                <w:szCs w:val="22"/>
              </w:rPr>
              <w:fldChar w:fldCharType="separate"/>
            </w:r>
            <w:r w:rsidRPr="00B83276">
              <w:rPr>
                <w:rFonts w:ascii="Tahoma" w:hAnsi="Tahoma" w:cs="Tahoma"/>
                <w:noProof/>
                <w:webHidden/>
                <w:sz w:val="22"/>
                <w:szCs w:val="22"/>
              </w:rPr>
              <w:t>4</w:t>
            </w:r>
            <w:r w:rsidRPr="00B83276">
              <w:rPr>
                <w:rFonts w:ascii="Tahoma" w:hAnsi="Tahoma" w:cs="Tahoma"/>
                <w:noProof/>
                <w:webHidden/>
                <w:sz w:val="22"/>
                <w:szCs w:val="22"/>
              </w:rPr>
              <w:fldChar w:fldCharType="end"/>
            </w:r>
          </w:hyperlink>
        </w:p>
        <w:p w14:paraId="41D76F5B" w14:textId="0A98DCD7" w:rsidR="00B83276" w:rsidRPr="00B83276" w:rsidRDefault="00B83276" w:rsidP="00B83276">
          <w:pPr>
            <w:pStyle w:val="TOC1"/>
            <w:tabs>
              <w:tab w:val="right" w:leader="dot" w:pos="9016"/>
            </w:tabs>
            <w:spacing w:line="360" w:lineRule="auto"/>
            <w:rPr>
              <w:rFonts w:ascii="Tahoma" w:eastAsiaTheme="minorEastAsia" w:hAnsi="Tahoma" w:cs="Tahoma"/>
              <w:noProof/>
              <w:kern w:val="2"/>
              <w:sz w:val="22"/>
              <w:szCs w:val="22"/>
              <w:lang w:eastAsia="en-GB"/>
            </w:rPr>
          </w:pPr>
          <w:hyperlink w:anchor="_Toc214067207" w:history="1">
            <w:r w:rsidRPr="00B83276">
              <w:rPr>
                <w:rStyle w:val="Hyperlink"/>
                <w:rFonts w:ascii="Tahoma" w:hAnsi="Tahoma" w:cs="Tahoma"/>
                <w:noProof/>
                <w:sz w:val="22"/>
                <w:szCs w:val="22"/>
              </w:rPr>
              <w:t>Evaluation of Three Local Authority Websites</w:t>
            </w:r>
            <w:r w:rsidRPr="00B83276">
              <w:rPr>
                <w:rFonts w:ascii="Tahoma" w:hAnsi="Tahoma" w:cs="Tahoma"/>
                <w:noProof/>
                <w:webHidden/>
                <w:sz w:val="22"/>
                <w:szCs w:val="22"/>
              </w:rPr>
              <w:tab/>
            </w:r>
            <w:r w:rsidRPr="00B83276">
              <w:rPr>
                <w:rFonts w:ascii="Tahoma" w:hAnsi="Tahoma" w:cs="Tahoma"/>
                <w:noProof/>
                <w:webHidden/>
                <w:sz w:val="22"/>
                <w:szCs w:val="22"/>
              </w:rPr>
              <w:fldChar w:fldCharType="begin"/>
            </w:r>
            <w:r w:rsidRPr="00B83276">
              <w:rPr>
                <w:rFonts w:ascii="Tahoma" w:hAnsi="Tahoma" w:cs="Tahoma"/>
                <w:noProof/>
                <w:webHidden/>
                <w:sz w:val="22"/>
                <w:szCs w:val="22"/>
              </w:rPr>
              <w:instrText xml:space="preserve"> PAGEREF _Toc214067207 \h </w:instrText>
            </w:r>
            <w:r w:rsidRPr="00B83276">
              <w:rPr>
                <w:rFonts w:ascii="Tahoma" w:hAnsi="Tahoma" w:cs="Tahoma"/>
                <w:noProof/>
                <w:webHidden/>
                <w:sz w:val="22"/>
                <w:szCs w:val="22"/>
              </w:rPr>
            </w:r>
            <w:r w:rsidRPr="00B83276">
              <w:rPr>
                <w:rFonts w:ascii="Tahoma" w:hAnsi="Tahoma" w:cs="Tahoma"/>
                <w:noProof/>
                <w:webHidden/>
                <w:sz w:val="22"/>
                <w:szCs w:val="22"/>
              </w:rPr>
              <w:fldChar w:fldCharType="separate"/>
            </w:r>
            <w:r w:rsidRPr="00B83276">
              <w:rPr>
                <w:rFonts w:ascii="Tahoma" w:hAnsi="Tahoma" w:cs="Tahoma"/>
                <w:noProof/>
                <w:webHidden/>
                <w:sz w:val="22"/>
                <w:szCs w:val="22"/>
              </w:rPr>
              <w:t>5</w:t>
            </w:r>
            <w:r w:rsidRPr="00B83276">
              <w:rPr>
                <w:rFonts w:ascii="Tahoma" w:hAnsi="Tahoma" w:cs="Tahoma"/>
                <w:noProof/>
                <w:webHidden/>
                <w:sz w:val="22"/>
                <w:szCs w:val="22"/>
              </w:rPr>
              <w:fldChar w:fldCharType="end"/>
            </w:r>
          </w:hyperlink>
        </w:p>
        <w:p w14:paraId="00D7D18D" w14:textId="73CD578F" w:rsidR="00B83276" w:rsidRPr="00B83276" w:rsidRDefault="00B83276" w:rsidP="00B83276">
          <w:pPr>
            <w:pStyle w:val="TOC2"/>
            <w:tabs>
              <w:tab w:val="right" w:leader="dot" w:pos="9016"/>
            </w:tabs>
            <w:spacing w:line="360" w:lineRule="auto"/>
            <w:rPr>
              <w:rFonts w:ascii="Tahoma" w:eastAsiaTheme="minorEastAsia" w:hAnsi="Tahoma" w:cs="Tahoma"/>
              <w:noProof/>
              <w:kern w:val="2"/>
              <w:sz w:val="22"/>
              <w:szCs w:val="22"/>
              <w:lang w:eastAsia="en-GB"/>
            </w:rPr>
          </w:pPr>
          <w:hyperlink w:anchor="_Toc214067208" w:history="1">
            <w:r w:rsidRPr="00B83276">
              <w:rPr>
                <w:rStyle w:val="Hyperlink"/>
                <w:rFonts w:ascii="Tahoma" w:hAnsi="Tahoma" w:cs="Tahoma"/>
                <w:noProof/>
                <w:sz w:val="22"/>
                <w:szCs w:val="22"/>
              </w:rPr>
              <w:t>Leeds City Council</w:t>
            </w:r>
            <w:r w:rsidRPr="00B83276">
              <w:rPr>
                <w:rFonts w:ascii="Tahoma" w:hAnsi="Tahoma" w:cs="Tahoma"/>
                <w:noProof/>
                <w:webHidden/>
                <w:sz w:val="22"/>
                <w:szCs w:val="22"/>
              </w:rPr>
              <w:tab/>
            </w:r>
            <w:r w:rsidRPr="00B83276">
              <w:rPr>
                <w:rFonts w:ascii="Tahoma" w:hAnsi="Tahoma" w:cs="Tahoma"/>
                <w:noProof/>
                <w:webHidden/>
                <w:sz w:val="22"/>
                <w:szCs w:val="22"/>
              </w:rPr>
              <w:fldChar w:fldCharType="begin"/>
            </w:r>
            <w:r w:rsidRPr="00B83276">
              <w:rPr>
                <w:rFonts w:ascii="Tahoma" w:hAnsi="Tahoma" w:cs="Tahoma"/>
                <w:noProof/>
                <w:webHidden/>
                <w:sz w:val="22"/>
                <w:szCs w:val="22"/>
              </w:rPr>
              <w:instrText xml:space="preserve"> PAGEREF _Toc214067208 \h </w:instrText>
            </w:r>
            <w:r w:rsidRPr="00B83276">
              <w:rPr>
                <w:rFonts w:ascii="Tahoma" w:hAnsi="Tahoma" w:cs="Tahoma"/>
                <w:noProof/>
                <w:webHidden/>
                <w:sz w:val="22"/>
                <w:szCs w:val="22"/>
              </w:rPr>
            </w:r>
            <w:r w:rsidRPr="00B83276">
              <w:rPr>
                <w:rFonts w:ascii="Tahoma" w:hAnsi="Tahoma" w:cs="Tahoma"/>
                <w:noProof/>
                <w:webHidden/>
                <w:sz w:val="22"/>
                <w:szCs w:val="22"/>
              </w:rPr>
              <w:fldChar w:fldCharType="separate"/>
            </w:r>
            <w:r w:rsidRPr="00B83276">
              <w:rPr>
                <w:rFonts w:ascii="Tahoma" w:hAnsi="Tahoma" w:cs="Tahoma"/>
                <w:noProof/>
                <w:webHidden/>
                <w:sz w:val="22"/>
                <w:szCs w:val="22"/>
              </w:rPr>
              <w:t>5</w:t>
            </w:r>
            <w:r w:rsidRPr="00B83276">
              <w:rPr>
                <w:rFonts w:ascii="Tahoma" w:hAnsi="Tahoma" w:cs="Tahoma"/>
                <w:noProof/>
                <w:webHidden/>
                <w:sz w:val="22"/>
                <w:szCs w:val="22"/>
              </w:rPr>
              <w:fldChar w:fldCharType="end"/>
            </w:r>
          </w:hyperlink>
        </w:p>
        <w:p w14:paraId="728EB961" w14:textId="00C1B5E7" w:rsidR="00B83276" w:rsidRPr="00B83276" w:rsidRDefault="00B83276" w:rsidP="00B83276">
          <w:pPr>
            <w:pStyle w:val="TOC2"/>
            <w:tabs>
              <w:tab w:val="right" w:leader="dot" w:pos="9016"/>
            </w:tabs>
            <w:spacing w:line="360" w:lineRule="auto"/>
            <w:rPr>
              <w:rFonts w:ascii="Tahoma" w:eastAsiaTheme="minorEastAsia" w:hAnsi="Tahoma" w:cs="Tahoma"/>
              <w:noProof/>
              <w:kern w:val="2"/>
              <w:sz w:val="22"/>
              <w:szCs w:val="22"/>
              <w:lang w:eastAsia="en-GB"/>
            </w:rPr>
          </w:pPr>
          <w:hyperlink w:anchor="_Toc214067209" w:history="1">
            <w:r w:rsidRPr="00B83276">
              <w:rPr>
                <w:rStyle w:val="Hyperlink"/>
                <w:rFonts w:ascii="Tahoma" w:hAnsi="Tahoma" w:cs="Tahoma"/>
                <w:noProof/>
                <w:sz w:val="22"/>
                <w:szCs w:val="22"/>
              </w:rPr>
              <w:t>Southwark Council</w:t>
            </w:r>
            <w:r w:rsidRPr="00B83276">
              <w:rPr>
                <w:rFonts w:ascii="Tahoma" w:hAnsi="Tahoma" w:cs="Tahoma"/>
                <w:noProof/>
                <w:webHidden/>
                <w:sz w:val="22"/>
                <w:szCs w:val="22"/>
              </w:rPr>
              <w:tab/>
            </w:r>
            <w:r w:rsidRPr="00B83276">
              <w:rPr>
                <w:rFonts w:ascii="Tahoma" w:hAnsi="Tahoma" w:cs="Tahoma"/>
                <w:noProof/>
                <w:webHidden/>
                <w:sz w:val="22"/>
                <w:szCs w:val="22"/>
              </w:rPr>
              <w:fldChar w:fldCharType="begin"/>
            </w:r>
            <w:r w:rsidRPr="00B83276">
              <w:rPr>
                <w:rFonts w:ascii="Tahoma" w:hAnsi="Tahoma" w:cs="Tahoma"/>
                <w:noProof/>
                <w:webHidden/>
                <w:sz w:val="22"/>
                <w:szCs w:val="22"/>
              </w:rPr>
              <w:instrText xml:space="preserve"> PAGEREF _Toc214067209 \h </w:instrText>
            </w:r>
            <w:r w:rsidRPr="00B83276">
              <w:rPr>
                <w:rFonts w:ascii="Tahoma" w:hAnsi="Tahoma" w:cs="Tahoma"/>
                <w:noProof/>
                <w:webHidden/>
                <w:sz w:val="22"/>
                <w:szCs w:val="22"/>
              </w:rPr>
            </w:r>
            <w:r w:rsidRPr="00B83276">
              <w:rPr>
                <w:rFonts w:ascii="Tahoma" w:hAnsi="Tahoma" w:cs="Tahoma"/>
                <w:noProof/>
                <w:webHidden/>
                <w:sz w:val="22"/>
                <w:szCs w:val="22"/>
              </w:rPr>
              <w:fldChar w:fldCharType="separate"/>
            </w:r>
            <w:r w:rsidRPr="00B83276">
              <w:rPr>
                <w:rFonts w:ascii="Tahoma" w:hAnsi="Tahoma" w:cs="Tahoma"/>
                <w:noProof/>
                <w:webHidden/>
                <w:sz w:val="22"/>
                <w:szCs w:val="22"/>
              </w:rPr>
              <w:t>5</w:t>
            </w:r>
            <w:r w:rsidRPr="00B83276">
              <w:rPr>
                <w:rFonts w:ascii="Tahoma" w:hAnsi="Tahoma" w:cs="Tahoma"/>
                <w:noProof/>
                <w:webHidden/>
                <w:sz w:val="22"/>
                <w:szCs w:val="22"/>
              </w:rPr>
              <w:fldChar w:fldCharType="end"/>
            </w:r>
          </w:hyperlink>
        </w:p>
        <w:p w14:paraId="686AB00E" w14:textId="26DF604E" w:rsidR="00B83276" w:rsidRPr="00B83276" w:rsidRDefault="00B83276" w:rsidP="00B83276">
          <w:pPr>
            <w:pStyle w:val="TOC2"/>
            <w:tabs>
              <w:tab w:val="right" w:leader="dot" w:pos="9016"/>
            </w:tabs>
            <w:spacing w:line="360" w:lineRule="auto"/>
            <w:rPr>
              <w:rFonts w:ascii="Tahoma" w:eastAsiaTheme="minorEastAsia" w:hAnsi="Tahoma" w:cs="Tahoma"/>
              <w:noProof/>
              <w:kern w:val="2"/>
              <w:sz w:val="22"/>
              <w:szCs w:val="22"/>
              <w:lang w:eastAsia="en-GB"/>
            </w:rPr>
          </w:pPr>
          <w:hyperlink w:anchor="_Toc214067210" w:history="1">
            <w:r w:rsidRPr="00B83276">
              <w:rPr>
                <w:rStyle w:val="Hyperlink"/>
                <w:rFonts w:ascii="Tahoma" w:hAnsi="Tahoma" w:cs="Tahoma"/>
                <w:noProof/>
                <w:sz w:val="22"/>
                <w:szCs w:val="22"/>
              </w:rPr>
              <w:t>Staffordshire County Council</w:t>
            </w:r>
            <w:r w:rsidRPr="00B83276">
              <w:rPr>
                <w:rFonts w:ascii="Tahoma" w:hAnsi="Tahoma" w:cs="Tahoma"/>
                <w:noProof/>
                <w:webHidden/>
                <w:sz w:val="22"/>
                <w:szCs w:val="22"/>
              </w:rPr>
              <w:tab/>
            </w:r>
            <w:r w:rsidRPr="00B83276">
              <w:rPr>
                <w:rFonts w:ascii="Tahoma" w:hAnsi="Tahoma" w:cs="Tahoma"/>
                <w:noProof/>
                <w:webHidden/>
                <w:sz w:val="22"/>
                <w:szCs w:val="22"/>
              </w:rPr>
              <w:fldChar w:fldCharType="begin"/>
            </w:r>
            <w:r w:rsidRPr="00B83276">
              <w:rPr>
                <w:rFonts w:ascii="Tahoma" w:hAnsi="Tahoma" w:cs="Tahoma"/>
                <w:noProof/>
                <w:webHidden/>
                <w:sz w:val="22"/>
                <w:szCs w:val="22"/>
              </w:rPr>
              <w:instrText xml:space="preserve"> PAGEREF _Toc214067210 \h </w:instrText>
            </w:r>
            <w:r w:rsidRPr="00B83276">
              <w:rPr>
                <w:rFonts w:ascii="Tahoma" w:hAnsi="Tahoma" w:cs="Tahoma"/>
                <w:noProof/>
                <w:webHidden/>
                <w:sz w:val="22"/>
                <w:szCs w:val="22"/>
              </w:rPr>
            </w:r>
            <w:r w:rsidRPr="00B83276">
              <w:rPr>
                <w:rFonts w:ascii="Tahoma" w:hAnsi="Tahoma" w:cs="Tahoma"/>
                <w:noProof/>
                <w:webHidden/>
                <w:sz w:val="22"/>
                <w:szCs w:val="22"/>
              </w:rPr>
              <w:fldChar w:fldCharType="separate"/>
            </w:r>
            <w:r w:rsidRPr="00B83276">
              <w:rPr>
                <w:rFonts w:ascii="Tahoma" w:hAnsi="Tahoma" w:cs="Tahoma"/>
                <w:noProof/>
                <w:webHidden/>
                <w:sz w:val="22"/>
                <w:szCs w:val="22"/>
              </w:rPr>
              <w:t>6</w:t>
            </w:r>
            <w:r w:rsidRPr="00B83276">
              <w:rPr>
                <w:rFonts w:ascii="Tahoma" w:hAnsi="Tahoma" w:cs="Tahoma"/>
                <w:noProof/>
                <w:webHidden/>
                <w:sz w:val="22"/>
                <w:szCs w:val="22"/>
              </w:rPr>
              <w:fldChar w:fldCharType="end"/>
            </w:r>
          </w:hyperlink>
        </w:p>
        <w:p w14:paraId="5FF0EB2A" w14:textId="262808AF" w:rsidR="00B83276" w:rsidRPr="00B83276" w:rsidRDefault="00B83276" w:rsidP="00B83276">
          <w:pPr>
            <w:pStyle w:val="TOC1"/>
            <w:tabs>
              <w:tab w:val="right" w:leader="dot" w:pos="9016"/>
            </w:tabs>
            <w:spacing w:line="360" w:lineRule="auto"/>
            <w:rPr>
              <w:rFonts w:ascii="Tahoma" w:eastAsiaTheme="minorEastAsia" w:hAnsi="Tahoma" w:cs="Tahoma"/>
              <w:noProof/>
              <w:kern w:val="2"/>
              <w:sz w:val="22"/>
              <w:szCs w:val="22"/>
              <w:lang w:eastAsia="en-GB"/>
            </w:rPr>
          </w:pPr>
          <w:hyperlink w:anchor="_Toc214067211" w:history="1">
            <w:r w:rsidRPr="00B83276">
              <w:rPr>
                <w:rStyle w:val="Hyperlink"/>
                <w:rFonts w:ascii="Tahoma" w:hAnsi="Tahoma" w:cs="Tahoma"/>
                <w:noProof/>
                <w:sz w:val="22"/>
                <w:szCs w:val="22"/>
              </w:rPr>
              <w:t>Summary of Evaluation</w:t>
            </w:r>
            <w:r w:rsidRPr="00B83276">
              <w:rPr>
                <w:rFonts w:ascii="Tahoma" w:hAnsi="Tahoma" w:cs="Tahoma"/>
                <w:noProof/>
                <w:webHidden/>
                <w:sz w:val="22"/>
                <w:szCs w:val="22"/>
              </w:rPr>
              <w:tab/>
            </w:r>
            <w:r w:rsidRPr="00B83276">
              <w:rPr>
                <w:rFonts w:ascii="Tahoma" w:hAnsi="Tahoma" w:cs="Tahoma"/>
                <w:noProof/>
                <w:webHidden/>
                <w:sz w:val="22"/>
                <w:szCs w:val="22"/>
              </w:rPr>
              <w:fldChar w:fldCharType="begin"/>
            </w:r>
            <w:r w:rsidRPr="00B83276">
              <w:rPr>
                <w:rFonts w:ascii="Tahoma" w:hAnsi="Tahoma" w:cs="Tahoma"/>
                <w:noProof/>
                <w:webHidden/>
                <w:sz w:val="22"/>
                <w:szCs w:val="22"/>
              </w:rPr>
              <w:instrText xml:space="preserve"> PAGEREF _Toc214067211 \h </w:instrText>
            </w:r>
            <w:r w:rsidRPr="00B83276">
              <w:rPr>
                <w:rFonts w:ascii="Tahoma" w:hAnsi="Tahoma" w:cs="Tahoma"/>
                <w:noProof/>
                <w:webHidden/>
                <w:sz w:val="22"/>
                <w:szCs w:val="22"/>
              </w:rPr>
            </w:r>
            <w:r w:rsidRPr="00B83276">
              <w:rPr>
                <w:rFonts w:ascii="Tahoma" w:hAnsi="Tahoma" w:cs="Tahoma"/>
                <w:noProof/>
                <w:webHidden/>
                <w:sz w:val="22"/>
                <w:szCs w:val="22"/>
              </w:rPr>
              <w:fldChar w:fldCharType="separate"/>
            </w:r>
            <w:r w:rsidRPr="00B83276">
              <w:rPr>
                <w:rFonts w:ascii="Tahoma" w:hAnsi="Tahoma" w:cs="Tahoma"/>
                <w:noProof/>
                <w:webHidden/>
                <w:sz w:val="22"/>
                <w:szCs w:val="22"/>
              </w:rPr>
              <w:t>7</w:t>
            </w:r>
            <w:r w:rsidRPr="00B83276">
              <w:rPr>
                <w:rFonts w:ascii="Tahoma" w:hAnsi="Tahoma" w:cs="Tahoma"/>
                <w:noProof/>
                <w:webHidden/>
                <w:sz w:val="22"/>
                <w:szCs w:val="22"/>
              </w:rPr>
              <w:fldChar w:fldCharType="end"/>
            </w:r>
          </w:hyperlink>
        </w:p>
        <w:p w14:paraId="387AA18B" w14:textId="3AD6C3F9" w:rsidR="00B83276" w:rsidRPr="00B83276" w:rsidRDefault="00B83276" w:rsidP="00B83276">
          <w:pPr>
            <w:pStyle w:val="TOC1"/>
            <w:tabs>
              <w:tab w:val="right" w:leader="dot" w:pos="9016"/>
            </w:tabs>
            <w:spacing w:line="360" w:lineRule="auto"/>
            <w:rPr>
              <w:rFonts w:ascii="Tahoma" w:eastAsiaTheme="minorEastAsia" w:hAnsi="Tahoma" w:cs="Tahoma"/>
              <w:noProof/>
              <w:kern w:val="2"/>
              <w:sz w:val="22"/>
              <w:szCs w:val="22"/>
              <w:lang w:eastAsia="en-GB"/>
            </w:rPr>
          </w:pPr>
          <w:hyperlink w:anchor="_Toc214067212" w:history="1">
            <w:r w:rsidRPr="00B83276">
              <w:rPr>
                <w:rStyle w:val="Hyperlink"/>
                <w:rFonts w:ascii="Tahoma" w:hAnsi="Tahoma" w:cs="Tahoma"/>
                <w:noProof/>
                <w:sz w:val="22"/>
                <w:szCs w:val="22"/>
              </w:rPr>
              <w:t>Comparative Analysis</w:t>
            </w:r>
            <w:r w:rsidRPr="00B83276">
              <w:rPr>
                <w:rFonts w:ascii="Tahoma" w:hAnsi="Tahoma" w:cs="Tahoma"/>
                <w:noProof/>
                <w:webHidden/>
                <w:sz w:val="22"/>
                <w:szCs w:val="22"/>
              </w:rPr>
              <w:tab/>
            </w:r>
            <w:r w:rsidRPr="00B83276">
              <w:rPr>
                <w:rFonts w:ascii="Tahoma" w:hAnsi="Tahoma" w:cs="Tahoma"/>
                <w:noProof/>
                <w:webHidden/>
                <w:sz w:val="22"/>
                <w:szCs w:val="22"/>
              </w:rPr>
              <w:fldChar w:fldCharType="begin"/>
            </w:r>
            <w:r w:rsidRPr="00B83276">
              <w:rPr>
                <w:rFonts w:ascii="Tahoma" w:hAnsi="Tahoma" w:cs="Tahoma"/>
                <w:noProof/>
                <w:webHidden/>
                <w:sz w:val="22"/>
                <w:szCs w:val="22"/>
              </w:rPr>
              <w:instrText xml:space="preserve"> PAGEREF _Toc214067212 \h </w:instrText>
            </w:r>
            <w:r w:rsidRPr="00B83276">
              <w:rPr>
                <w:rFonts w:ascii="Tahoma" w:hAnsi="Tahoma" w:cs="Tahoma"/>
                <w:noProof/>
                <w:webHidden/>
                <w:sz w:val="22"/>
                <w:szCs w:val="22"/>
              </w:rPr>
            </w:r>
            <w:r w:rsidRPr="00B83276">
              <w:rPr>
                <w:rFonts w:ascii="Tahoma" w:hAnsi="Tahoma" w:cs="Tahoma"/>
                <w:noProof/>
                <w:webHidden/>
                <w:sz w:val="22"/>
                <w:szCs w:val="22"/>
              </w:rPr>
              <w:fldChar w:fldCharType="separate"/>
            </w:r>
            <w:r w:rsidRPr="00B83276">
              <w:rPr>
                <w:rFonts w:ascii="Tahoma" w:hAnsi="Tahoma" w:cs="Tahoma"/>
                <w:noProof/>
                <w:webHidden/>
                <w:sz w:val="22"/>
                <w:szCs w:val="22"/>
              </w:rPr>
              <w:t>7</w:t>
            </w:r>
            <w:r w:rsidRPr="00B83276">
              <w:rPr>
                <w:rFonts w:ascii="Tahoma" w:hAnsi="Tahoma" w:cs="Tahoma"/>
                <w:noProof/>
                <w:webHidden/>
                <w:sz w:val="22"/>
                <w:szCs w:val="22"/>
              </w:rPr>
              <w:fldChar w:fldCharType="end"/>
            </w:r>
          </w:hyperlink>
        </w:p>
        <w:p w14:paraId="539431EE" w14:textId="2B06FF16" w:rsidR="00B83276" w:rsidRPr="00B83276" w:rsidRDefault="00B83276" w:rsidP="00B83276">
          <w:pPr>
            <w:pStyle w:val="TOC1"/>
            <w:tabs>
              <w:tab w:val="right" w:leader="dot" w:pos="9016"/>
            </w:tabs>
            <w:spacing w:line="360" w:lineRule="auto"/>
            <w:rPr>
              <w:rFonts w:ascii="Tahoma" w:eastAsiaTheme="minorEastAsia" w:hAnsi="Tahoma" w:cs="Tahoma"/>
              <w:noProof/>
              <w:kern w:val="2"/>
              <w:sz w:val="22"/>
              <w:szCs w:val="22"/>
              <w:lang w:eastAsia="en-GB"/>
            </w:rPr>
          </w:pPr>
          <w:hyperlink w:anchor="_Toc214067213" w:history="1">
            <w:r w:rsidRPr="00B83276">
              <w:rPr>
                <w:rStyle w:val="Hyperlink"/>
                <w:rFonts w:ascii="Tahoma" w:hAnsi="Tahoma" w:cs="Tahoma"/>
                <w:noProof/>
                <w:sz w:val="22"/>
                <w:szCs w:val="22"/>
              </w:rPr>
              <w:t>Conclusion and Recommendations</w:t>
            </w:r>
            <w:r w:rsidRPr="00B83276">
              <w:rPr>
                <w:rFonts w:ascii="Tahoma" w:hAnsi="Tahoma" w:cs="Tahoma"/>
                <w:noProof/>
                <w:webHidden/>
                <w:sz w:val="22"/>
                <w:szCs w:val="22"/>
              </w:rPr>
              <w:tab/>
            </w:r>
            <w:r w:rsidRPr="00B83276">
              <w:rPr>
                <w:rFonts w:ascii="Tahoma" w:hAnsi="Tahoma" w:cs="Tahoma"/>
                <w:noProof/>
                <w:webHidden/>
                <w:sz w:val="22"/>
                <w:szCs w:val="22"/>
              </w:rPr>
              <w:fldChar w:fldCharType="begin"/>
            </w:r>
            <w:r w:rsidRPr="00B83276">
              <w:rPr>
                <w:rFonts w:ascii="Tahoma" w:hAnsi="Tahoma" w:cs="Tahoma"/>
                <w:noProof/>
                <w:webHidden/>
                <w:sz w:val="22"/>
                <w:szCs w:val="22"/>
              </w:rPr>
              <w:instrText xml:space="preserve"> PAGEREF _Toc214067213 \h </w:instrText>
            </w:r>
            <w:r w:rsidRPr="00B83276">
              <w:rPr>
                <w:rFonts w:ascii="Tahoma" w:hAnsi="Tahoma" w:cs="Tahoma"/>
                <w:noProof/>
                <w:webHidden/>
                <w:sz w:val="22"/>
                <w:szCs w:val="22"/>
              </w:rPr>
            </w:r>
            <w:r w:rsidRPr="00B83276">
              <w:rPr>
                <w:rFonts w:ascii="Tahoma" w:hAnsi="Tahoma" w:cs="Tahoma"/>
                <w:noProof/>
                <w:webHidden/>
                <w:sz w:val="22"/>
                <w:szCs w:val="22"/>
              </w:rPr>
              <w:fldChar w:fldCharType="separate"/>
            </w:r>
            <w:r w:rsidRPr="00B83276">
              <w:rPr>
                <w:rFonts w:ascii="Tahoma" w:hAnsi="Tahoma" w:cs="Tahoma"/>
                <w:noProof/>
                <w:webHidden/>
                <w:sz w:val="22"/>
                <w:szCs w:val="22"/>
              </w:rPr>
              <w:t>8</w:t>
            </w:r>
            <w:r w:rsidRPr="00B83276">
              <w:rPr>
                <w:rFonts w:ascii="Tahoma" w:hAnsi="Tahoma" w:cs="Tahoma"/>
                <w:noProof/>
                <w:webHidden/>
                <w:sz w:val="22"/>
                <w:szCs w:val="22"/>
              </w:rPr>
              <w:fldChar w:fldCharType="end"/>
            </w:r>
          </w:hyperlink>
        </w:p>
        <w:p w14:paraId="774C4888" w14:textId="071E9E04" w:rsidR="00B83276" w:rsidRPr="00B83276" w:rsidRDefault="00B83276" w:rsidP="00B83276">
          <w:pPr>
            <w:pStyle w:val="TOC1"/>
            <w:tabs>
              <w:tab w:val="right" w:leader="dot" w:pos="9016"/>
            </w:tabs>
            <w:spacing w:line="360" w:lineRule="auto"/>
            <w:rPr>
              <w:rFonts w:ascii="Tahoma" w:eastAsiaTheme="minorEastAsia" w:hAnsi="Tahoma" w:cs="Tahoma"/>
              <w:noProof/>
              <w:kern w:val="2"/>
              <w:sz w:val="22"/>
              <w:szCs w:val="22"/>
              <w:lang w:eastAsia="en-GB"/>
            </w:rPr>
          </w:pPr>
          <w:hyperlink w:anchor="_Toc214067214" w:history="1">
            <w:r w:rsidRPr="00B83276">
              <w:rPr>
                <w:rStyle w:val="Hyperlink"/>
                <w:rFonts w:ascii="Tahoma" w:hAnsi="Tahoma" w:cs="Tahoma"/>
                <w:noProof/>
                <w:sz w:val="22"/>
                <w:szCs w:val="22"/>
              </w:rPr>
              <w:t>References</w:t>
            </w:r>
            <w:r w:rsidRPr="00B83276">
              <w:rPr>
                <w:rFonts w:ascii="Tahoma" w:hAnsi="Tahoma" w:cs="Tahoma"/>
                <w:noProof/>
                <w:webHidden/>
                <w:sz w:val="22"/>
                <w:szCs w:val="22"/>
              </w:rPr>
              <w:tab/>
            </w:r>
            <w:r w:rsidRPr="00B83276">
              <w:rPr>
                <w:rFonts w:ascii="Tahoma" w:hAnsi="Tahoma" w:cs="Tahoma"/>
                <w:noProof/>
                <w:webHidden/>
                <w:sz w:val="22"/>
                <w:szCs w:val="22"/>
              </w:rPr>
              <w:fldChar w:fldCharType="begin"/>
            </w:r>
            <w:r w:rsidRPr="00B83276">
              <w:rPr>
                <w:rFonts w:ascii="Tahoma" w:hAnsi="Tahoma" w:cs="Tahoma"/>
                <w:noProof/>
                <w:webHidden/>
                <w:sz w:val="22"/>
                <w:szCs w:val="22"/>
              </w:rPr>
              <w:instrText xml:space="preserve"> PAGEREF _Toc214067214 \h </w:instrText>
            </w:r>
            <w:r w:rsidRPr="00B83276">
              <w:rPr>
                <w:rFonts w:ascii="Tahoma" w:hAnsi="Tahoma" w:cs="Tahoma"/>
                <w:noProof/>
                <w:webHidden/>
                <w:sz w:val="22"/>
                <w:szCs w:val="22"/>
              </w:rPr>
            </w:r>
            <w:r w:rsidRPr="00B83276">
              <w:rPr>
                <w:rFonts w:ascii="Tahoma" w:hAnsi="Tahoma" w:cs="Tahoma"/>
                <w:noProof/>
                <w:webHidden/>
                <w:sz w:val="22"/>
                <w:szCs w:val="22"/>
              </w:rPr>
              <w:fldChar w:fldCharType="separate"/>
            </w:r>
            <w:r w:rsidRPr="00B83276">
              <w:rPr>
                <w:rFonts w:ascii="Tahoma" w:hAnsi="Tahoma" w:cs="Tahoma"/>
                <w:noProof/>
                <w:webHidden/>
                <w:sz w:val="22"/>
                <w:szCs w:val="22"/>
              </w:rPr>
              <w:t>8</w:t>
            </w:r>
            <w:r w:rsidRPr="00B83276">
              <w:rPr>
                <w:rFonts w:ascii="Tahoma" w:hAnsi="Tahoma" w:cs="Tahoma"/>
                <w:noProof/>
                <w:webHidden/>
                <w:sz w:val="22"/>
                <w:szCs w:val="22"/>
              </w:rPr>
              <w:fldChar w:fldCharType="end"/>
            </w:r>
          </w:hyperlink>
        </w:p>
        <w:p w14:paraId="748B86BE" w14:textId="448777C7" w:rsidR="00B83276" w:rsidRPr="00B83276" w:rsidRDefault="00B83276" w:rsidP="00B83276">
          <w:pPr>
            <w:spacing w:line="360" w:lineRule="auto"/>
            <w:rPr>
              <w:rFonts w:ascii="Tahoma" w:hAnsi="Tahoma" w:cs="Tahoma"/>
              <w:sz w:val="22"/>
              <w:szCs w:val="22"/>
            </w:rPr>
          </w:pPr>
          <w:r w:rsidRPr="00B83276">
            <w:rPr>
              <w:rFonts w:ascii="Tahoma" w:hAnsi="Tahoma" w:cs="Tahoma"/>
              <w:b/>
              <w:bCs/>
              <w:noProof/>
              <w:sz w:val="22"/>
              <w:szCs w:val="22"/>
            </w:rPr>
            <w:fldChar w:fldCharType="end"/>
          </w:r>
        </w:p>
      </w:sdtContent>
    </w:sdt>
    <w:p w14:paraId="2D4CF38F" w14:textId="77777777" w:rsidR="00B83276" w:rsidRDefault="00B83276" w:rsidP="001B2861">
      <w:pPr>
        <w:spacing w:line="360" w:lineRule="auto"/>
        <w:rPr>
          <w:rFonts w:ascii="Arial" w:hAnsi="Arial" w:cs="Arial"/>
          <w:b/>
          <w:bCs/>
          <w:sz w:val="22"/>
          <w:szCs w:val="22"/>
        </w:rPr>
      </w:pPr>
    </w:p>
    <w:p w14:paraId="30122F1A" w14:textId="77777777" w:rsidR="00B83276" w:rsidRDefault="00B83276" w:rsidP="001B2861">
      <w:pPr>
        <w:spacing w:line="360" w:lineRule="auto"/>
        <w:rPr>
          <w:rFonts w:ascii="Arial" w:hAnsi="Arial" w:cs="Arial"/>
          <w:b/>
          <w:bCs/>
          <w:sz w:val="22"/>
          <w:szCs w:val="22"/>
        </w:rPr>
      </w:pPr>
    </w:p>
    <w:p w14:paraId="0F89095E" w14:textId="77777777" w:rsidR="00B83276" w:rsidRDefault="00B83276" w:rsidP="001B2861">
      <w:pPr>
        <w:spacing w:line="360" w:lineRule="auto"/>
        <w:rPr>
          <w:rFonts w:ascii="Arial" w:hAnsi="Arial" w:cs="Arial"/>
          <w:b/>
          <w:bCs/>
          <w:sz w:val="22"/>
          <w:szCs w:val="22"/>
        </w:rPr>
      </w:pPr>
    </w:p>
    <w:p w14:paraId="1C355598" w14:textId="77777777" w:rsidR="00B83276" w:rsidRDefault="00B83276" w:rsidP="001B2861">
      <w:pPr>
        <w:spacing w:line="360" w:lineRule="auto"/>
        <w:rPr>
          <w:rFonts w:ascii="Arial" w:hAnsi="Arial" w:cs="Arial"/>
          <w:b/>
          <w:bCs/>
          <w:sz w:val="22"/>
          <w:szCs w:val="22"/>
        </w:rPr>
      </w:pPr>
    </w:p>
    <w:p w14:paraId="1E8DD03E" w14:textId="77777777" w:rsidR="00B83276" w:rsidRDefault="00B83276" w:rsidP="001B2861">
      <w:pPr>
        <w:spacing w:line="360" w:lineRule="auto"/>
        <w:rPr>
          <w:rFonts w:ascii="Arial" w:hAnsi="Arial" w:cs="Arial"/>
          <w:b/>
          <w:bCs/>
          <w:sz w:val="22"/>
          <w:szCs w:val="22"/>
        </w:rPr>
      </w:pPr>
    </w:p>
    <w:p w14:paraId="2F548DA9" w14:textId="77777777" w:rsidR="00B83276" w:rsidRDefault="00B83276" w:rsidP="001B2861">
      <w:pPr>
        <w:spacing w:line="360" w:lineRule="auto"/>
        <w:rPr>
          <w:rFonts w:ascii="Arial" w:hAnsi="Arial" w:cs="Arial"/>
          <w:b/>
          <w:bCs/>
          <w:sz w:val="22"/>
          <w:szCs w:val="22"/>
        </w:rPr>
      </w:pPr>
    </w:p>
    <w:p w14:paraId="748A0E40" w14:textId="77777777" w:rsidR="00B83276" w:rsidRDefault="00B83276" w:rsidP="001B2861">
      <w:pPr>
        <w:spacing w:line="360" w:lineRule="auto"/>
        <w:rPr>
          <w:rFonts w:ascii="Arial" w:hAnsi="Arial" w:cs="Arial"/>
          <w:b/>
          <w:bCs/>
          <w:sz w:val="22"/>
          <w:szCs w:val="22"/>
        </w:rPr>
      </w:pPr>
    </w:p>
    <w:p w14:paraId="7B4BA548" w14:textId="77777777" w:rsidR="00B83276" w:rsidRDefault="00B83276" w:rsidP="001B2861">
      <w:pPr>
        <w:spacing w:line="360" w:lineRule="auto"/>
        <w:rPr>
          <w:rFonts w:ascii="Arial" w:hAnsi="Arial" w:cs="Arial"/>
          <w:b/>
          <w:bCs/>
          <w:sz w:val="22"/>
          <w:szCs w:val="22"/>
        </w:rPr>
      </w:pPr>
    </w:p>
    <w:p w14:paraId="20810EBE" w14:textId="77777777" w:rsidR="00B83276" w:rsidRDefault="00B83276" w:rsidP="001B2861">
      <w:pPr>
        <w:spacing w:line="360" w:lineRule="auto"/>
        <w:rPr>
          <w:rFonts w:ascii="Arial" w:hAnsi="Arial" w:cs="Arial"/>
          <w:b/>
          <w:bCs/>
          <w:sz w:val="22"/>
          <w:szCs w:val="22"/>
        </w:rPr>
      </w:pPr>
    </w:p>
    <w:p w14:paraId="5BAC2FAE" w14:textId="77777777" w:rsidR="00B83276" w:rsidRDefault="00B83276" w:rsidP="001B2861">
      <w:pPr>
        <w:spacing w:line="360" w:lineRule="auto"/>
        <w:rPr>
          <w:rFonts w:ascii="Arial" w:hAnsi="Arial" w:cs="Arial"/>
          <w:b/>
          <w:bCs/>
          <w:sz w:val="22"/>
          <w:szCs w:val="22"/>
        </w:rPr>
      </w:pPr>
    </w:p>
    <w:p w14:paraId="29E36A15" w14:textId="77777777" w:rsidR="00B83276" w:rsidRDefault="00B83276" w:rsidP="001B2861">
      <w:pPr>
        <w:spacing w:line="360" w:lineRule="auto"/>
        <w:rPr>
          <w:rFonts w:ascii="Arial" w:hAnsi="Arial" w:cs="Arial"/>
          <w:b/>
          <w:bCs/>
          <w:sz w:val="22"/>
          <w:szCs w:val="22"/>
        </w:rPr>
      </w:pPr>
    </w:p>
    <w:p w14:paraId="3D7FA3BA" w14:textId="77777777" w:rsidR="00B83276" w:rsidRDefault="00B83276" w:rsidP="001B2861">
      <w:pPr>
        <w:spacing w:line="360" w:lineRule="auto"/>
        <w:rPr>
          <w:rFonts w:ascii="Arial" w:hAnsi="Arial" w:cs="Arial"/>
          <w:b/>
          <w:bCs/>
          <w:sz w:val="22"/>
          <w:szCs w:val="22"/>
        </w:rPr>
      </w:pPr>
    </w:p>
    <w:p w14:paraId="5107BD0E" w14:textId="77777777" w:rsidR="00B83276" w:rsidRDefault="00B83276" w:rsidP="001B2861">
      <w:pPr>
        <w:spacing w:line="360" w:lineRule="auto"/>
        <w:rPr>
          <w:rFonts w:ascii="Arial" w:hAnsi="Arial" w:cs="Arial"/>
          <w:b/>
          <w:bCs/>
          <w:sz w:val="22"/>
          <w:szCs w:val="22"/>
        </w:rPr>
      </w:pPr>
    </w:p>
    <w:p w14:paraId="732727EF" w14:textId="77777777" w:rsidR="00B83276" w:rsidRDefault="00B83276" w:rsidP="001B2861">
      <w:pPr>
        <w:spacing w:line="360" w:lineRule="auto"/>
        <w:rPr>
          <w:rFonts w:ascii="Arial" w:hAnsi="Arial" w:cs="Arial"/>
          <w:b/>
          <w:bCs/>
          <w:sz w:val="22"/>
          <w:szCs w:val="22"/>
        </w:rPr>
      </w:pPr>
    </w:p>
    <w:p w14:paraId="75A59CFD" w14:textId="6DFA62CD" w:rsidR="001B2861" w:rsidRPr="001B2861" w:rsidRDefault="001B2861" w:rsidP="00B83276">
      <w:pPr>
        <w:pStyle w:val="Heading1"/>
      </w:pPr>
      <w:bookmarkStart w:id="0" w:name="_Toc214067204"/>
      <w:r w:rsidRPr="001B2861">
        <w:lastRenderedPageBreak/>
        <w:t>Introduction</w:t>
      </w:r>
      <w:bookmarkEnd w:id="0"/>
    </w:p>
    <w:p w14:paraId="3DA35005" w14:textId="3C8EB49D"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The backbone of a preventative safeguarding system in the United Kingdom is Early Help</w:t>
      </w:r>
      <w:r w:rsidR="009A71AB">
        <w:rPr>
          <w:rFonts w:ascii="Arial" w:hAnsi="Arial" w:cs="Arial"/>
          <w:sz w:val="22"/>
          <w:szCs w:val="22"/>
        </w:rPr>
        <w:t>,</w:t>
      </w:r>
      <w:r w:rsidRPr="00B83276">
        <w:rPr>
          <w:rFonts w:ascii="Arial" w:hAnsi="Arial" w:cs="Arial"/>
          <w:sz w:val="22"/>
          <w:szCs w:val="22"/>
        </w:rPr>
        <w:t xml:space="preserve"> which seeks to provide coordinated support to families at an early stage, before problems reach crisis point. Early Help focuses on identifying issues at the earliest possible opportunity (such as with parenting, housing, finances, and mental health), so that resilience within the family is increased (DfE, 2023). Under Working Together to Safeguard Children (2023) legislation, local authorities must publish local arrangements for Early Help. It is often the first point of contact between families and statutory or community services, and the way in which this is presented strongly influences engagement with services (Local Government Association [LGA], 2022).</w:t>
      </w:r>
    </w:p>
    <w:p w14:paraId="3D41A576" w14:textId="5B4AEAF0"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This paper presents an analysis of the online signposting resources relating to Early Help and wider family-support services in three English local authorities: Leeds City Council, Southwark Council and Staffordshire County Council. The main sections of this report cover: the Early Help System, multi-agency working, and the findings of the website analysis of the three councils; the comparative analysis of the reviews; and the evidence-based recommendations.</w:t>
      </w:r>
    </w:p>
    <w:p w14:paraId="454FA968" w14:textId="77777777" w:rsidR="00B83276" w:rsidRDefault="00B83276" w:rsidP="001B2861">
      <w:pPr>
        <w:spacing w:line="360" w:lineRule="auto"/>
        <w:jc w:val="both"/>
        <w:rPr>
          <w:rFonts w:ascii="Arial" w:hAnsi="Arial" w:cs="Arial"/>
          <w:b/>
          <w:bCs/>
          <w:sz w:val="22"/>
          <w:szCs w:val="22"/>
        </w:rPr>
      </w:pPr>
    </w:p>
    <w:p w14:paraId="205E9DFC" w14:textId="0165D0DE" w:rsidR="001B2861" w:rsidRPr="001B2861" w:rsidRDefault="001B2861" w:rsidP="00B83276">
      <w:pPr>
        <w:pStyle w:val="Heading1"/>
      </w:pPr>
      <w:bookmarkStart w:id="1" w:name="_Toc214067205"/>
      <w:r w:rsidRPr="001B2861">
        <w:t>Explanation of the Early Help System</w:t>
      </w:r>
      <w:bookmarkEnd w:id="1"/>
    </w:p>
    <w:p w14:paraId="3BE2E346" w14:textId="77777777"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The Early Help System Guide (DfE, 2023) says Early Help is support given in a coordinated way to children, young people and families when it is first needed before social-care rules are required. Early Help sits in the gap between universal services and statutory child protection systems within the safeguarding continuum, stressing proportionality and partnership. Early Help usually includes an assessment, a shared plan and several interventions. These interventions focus on issues like poor school attendance, family conflict, parental mental-health difficulties, or domestic abuse exposure (HM Government, 2023). Early Help is predicated on the view that "the right help at the right time" prevents escalation of problems and reduces demand on crisis services (Munro, 2021).</w:t>
      </w:r>
    </w:p>
    <w:p w14:paraId="0A35BC70" w14:textId="77777777"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The legal basis for the approach lies in the Children Act 2004, whereby local authorities and partner agencies must cooperate to promote the welfare of children (Section 10). The Children and Social Work Act 2017 merged Local Safeguarding Children Boards into Safeguarding Partnerships of local authorities, health, and the police (Frost and Parton, 2021). The expectation that each partnership publishes information on how Early Help works in their area has led to a focus on signposting via websites in this report.</w:t>
      </w:r>
    </w:p>
    <w:p w14:paraId="7E73020E" w14:textId="5E44C9E1"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In practice</w:t>
      </w:r>
      <w:r w:rsidR="009A71AB">
        <w:rPr>
          <w:rFonts w:ascii="Arial" w:hAnsi="Arial" w:cs="Arial"/>
          <w:sz w:val="22"/>
          <w:szCs w:val="22"/>
        </w:rPr>
        <w:t>,</w:t>
      </w:r>
      <w:r w:rsidRPr="00B83276">
        <w:rPr>
          <w:rFonts w:ascii="Arial" w:hAnsi="Arial" w:cs="Arial"/>
          <w:sz w:val="22"/>
          <w:szCs w:val="22"/>
        </w:rPr>
        <w:t xml:space="preserve"> this involves schools, GPs, and community groups identifying unmet need; assessing need in a standardised way</w:t>
      </w:r>
      <w:r w:rsidR="009A71AB">
        <w:rPr>
          <w:rFonts w:ascii="Arial" w:hAnsi="Arial" w:cs="Arial"/>
          <w:sz w:val="22"/>
          <w:szCs w:val="22"/>
        </w:rPr>
        <w:t>,</w:t>
      </w:r>
      <w:r w:rsidRPr="00B83276">
        <w:rPr>
          <w:rFonts w:ascii="Arial" w:hAnsi="Arial" w:cs="Arial"/>
          <w:sz w:val="22"/>
          <w:szCs w:val="22"/>
        </w:rPr>
        <w:t xml:space="preserve"> like with an Early Help Assessment (EHA); and teams coordinating to provide support for the family</w:t>
      </w:r>
      <w:r w:rsidR="009A71AB">
        <w:rPr>
          <w:rFonts w:ascii="Arial" w:hAnsi="Arial" w:cs="Arial"/>
          <w:sz w:val="22"/>
          <w:szCs w:val="22"/>
        </w:rPr>
        <w:t>,</w:t>
      </w:r>
      <w:r w:rsidRPr="00B83276">
        <w:rPr>
          <w:rFonts w:ascii="Arial" w:hAnsi="Arial" w:cs="Arial"/>
          <w:sz w:val="22"/>
          <w:szCs w:val="22"/>
        </w:rPr>
        <w:t xml:space="preserve"> usually through a Team Around the Family (TAF) </w:t>
      </w:r>
      <w:r w:rsidRPr="00B83276">
        <w:rPr>
          <w:rFonts w:ascii="Arial" w:hAnsi="Arial" w:cs="Arial"/>
          <w:sz w:val="22"/>
          <w:szCs w:val="22"/>
        </w:rPr>
        <w:lastRenderedPageBreak/>
        <w:t>approach. The voluntary nature of family engagement with early help is intended to ease empowerment and shared ownership (Brandon et al., 2020). Research shows that timely Early Help reduces the likelihood of future statutory involvement, and improves educational, emotional and health outcomes (Whittaker and Havard, 2022).</w:t>
      </w:r>
      <w:r>
        <w:rPr>
          <w:rFonts w:ascii="Arial" w:hAnsi="Arial" w:cs="Arial"/>
          <w:sz w:val="22"/>
          <w:szCs w:val="22"/>
        </w:rPr>
        <w:t xml:space="preserve"> </w:t>
      </w:r>
      <w:r w:rsidRPr="00B83276">
        <w:rPr>
          <w:rFonts w:ascii="Arial" w:hAnsi="Arial" w:cs="Arial"/>
          <w:sz w:val="22"/>
          <w:szCs w:val="22"/>
        </w:rPr>
        <w:t xml:space="preserve">Digital access is essential if these aims are to be fully realised. According to Ofsted (2022), as families are likely to use the internet first, websites must be user-friendly. If the websites are filled with technical language or are only understandable by a professional, they will not be visited by at-risk users. </w:t>
      </w:r>
    </w:p>
    <w:p w14:paraId="078EF9BF" w14:textId="77777777" w:rsidR="00B83276" w:rsidRDefault="00B83276" w:rsidP="001B2861">
      <w:pPr>
        <w:spacing w:line="360" w:lineRule="auto"/>
        <w:jc w:val="both"/>
        <w:rPr>
          <w:rFonts w:ascii="Arial" w:hAnsi="Arial" w:cs="Arial"/>
          <w:b/>
          <w:bCs/>
          <w:sz w:val="22"/>
          <w:szCs w:val="22"/>
        </w:rPr>
      </w:pPr>
    </w:p>
    <w:p w14:paraId="335E1021" w14:textId="0D47F25E" w:rsidR="001B2861" w:rsidRPr="001B2861" w:rsidRDefault="001B2861" w:rsidP="00B83276">
      <w:pPr>
        <w:pStyle w:val="Heading1"/>
      </w:pPr>
      <w:bookmarkStart w:id="2" w:name="_Toc214067206"/>
      <w:r w:rsidRPr="001B2861">
        <w:t>Explanation of Multi-Agency Working</w:t>
      </w:r>
      <w:bookmarkEnd w:id="2"/>
    </w:p>
    <w:p w14:paraId="7608E296" w14:textId="66DAAAD8"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Multi-agency working is a key part of Early Help</w:t>
      </w:r>
      <w:r w:rsidR="009A71AB">
        <w:rPr>
          <w:rFonts w:ascii="Arial" w:hAnsi="Arial" w:cs="Arial"/>
          <w:sz w:val="22"/>
          <w:szCs w:val="22"/>
        </w:rPr>
        <w:t>;</w:t>
      </w:r>
      <w:r w:rsidRPr="00B83276">
        <w:rPr>
          <w:rFonts w:ascii="Arial" w:hAnsi="Arial" w:cs="Arial"/>
          <w:sz w:val="22"/>
          <w:szCs w:val="22"/>
        </w:rPr>
        <w:t xml:space="preserve"> health education</w:t>
      </w:r>
      <w:r w:rsidR="009A71AB">
        <w:rPr>
          <w:rFonts w:ascii="Arial" w:hAnsi="Arial" w:cs="Arial"/>
          <w:sz w:val="22"/>
          <w:szCs w:val="22"/>
        </w:rPr>
        <w:t>,</w:t>
      </w:r>
      <w:r w:rsidRPr="00B83276">
        <w:rPr>
          <w:rFonts w:ascii="Arial" w:hAnsi="Arial" w:cs="Arial"/>
          <w:sz w:val="22"/>
          <w:szCs w:val="22"/>
        </w:rPr>
        <w:t xml:space="preserve"> social care</w:t>
      </w:r>
      <w:r w:rsidR="009A71AB">
        <w:rPr>
          <w:rFonts w:ascii="Arial" w:hAnsi="Arial" w:cs="Arial"/>
          <w:sz w:val="22"/>
          <w:szCs w:val="22"/>
        </w:rPr>
        <w:t>,</w:t>
      </w:r>
      <w:r w:rsidRPr="00B83276">
        <w:rPr>
          <w:rFonts w:ascii="Arial" w:hAnsi="Arial" w:cs="Arial"/>
          <w:sz w:val="22"/>
          <w:szCs w:val="22"/>
        </w:rPr>
        <w:t xml:space="preserve"> police</w:t>
      </w:r>
      <w:r w:rsidR="009A71AB">
        <w:rPr>
          <w:rFonts w:ascii="Arial" w:hAnsi="Arial" w:cs="Arial"/>
          <w:sz w:val="22"/>
          <w:szCs w:val="22"/>
        </w:rPr>
        <w:t>,</w:t>
      </w:r>
      <w:r w:rsidRPr="00B83276">
        <w:rPr>
          <w:rFonts w:ascii="Arial" w:hAnsi="Arial" w:cs="Arial"/>
          <w:sz w:val="22"/>
          <w:szCs w:val="22"/>
        </w:rPr>
        <w:t xml:space="preserve"> housing, and the voluntary sector all work together to provide family-focused services (Carpenter and </w:t>
      </w:r>
      <w:proofErr w:type="spellStart"/>
      <w:r w:rsidR="009A71AB">
        <w:rPr>
          <w:rFonts w:ascii="Arial" w:hAnsi="Arial" w:cs="Arial"/>
          <w:sz w:val="22"/>
          <w:szCs w:val="22"/>
        </w:rPr>
        <w:t>Shucksmith</w:t>
      </w:r>
      <w:proofErr w:type="spellEnd"/>
      <w:r w:rsidRPr="00B83276">
        <w:rPr>
          <w:rFonts w:ascii="Arial" w:hAnsi="Arial" w:cs="Arial"/>
          <w:sz w:val="22"/>
          <w:szCs w:val="22"/>
        </w:rPr>
        <w:t xml:space="preserve">, 2019). Working Together to Safeguard Children (2023) states </w:t>
      </w:r>
      <w:r w:rsidR="009A71AB">
        <w:rPr>
          <w:rFonts w:ascii="Arial" w:hAnsi="Arial" w:cs="Arial"/>
          <w:sz w:val="22"/>
          <w:szCs w:val="22"/>
        </w:rPr>
        <w:t xml:space="preserve">that </w:t>
      </w:r>
      <w:r w:rsidRPr="00B83276">
        <w:rPr>
          <w:rFonts w:ascii="Arial" w:hAnsi="Arial" w:cs="Arial"/>
          <w:sz w:val="22"/>
          <w:szCs w:val="22"/>
        </w:rPr>
        <w:t xml:space="preserve">information-sharing, joint assessments and </w:t>
      </w:r>
      <w:r w:rsidR="009A71AB">
        <w:rPr>
          <w:rFonts w:ascii="Arial" w:hAnsi="Arial" w:cs="Arial"/>
          <w:sz w:val="22"/>
          <w:szCs w:val="22"/>
        </w:rPr>
        <w:t>coordinated</w:t>
      </w:r>
      <w:r w:rsidRPr="00B83276">
        <w:rPr>
          <w:rFonts w:ascii="Arial" w:hAnsi="Arial" w:cs="Arial"/>
          <w:sz w:val="22"/>
          <w:szCs w:val="22"/>
        </w:rPr>
        <w:t xml:space="preserve"> service planning should be in place for children (HM Government, 2023). Early Help Assessments aim to share a single picture of the child's situation, to avoid repeating information or assessments (HM Government, 2023).</w:t>
      </w:r>
    </w:p>
    <w:p w14:paraId="4DE99179" w14:textId="2BEBD646"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The multi-agency working, collaboration and co-operation in practice is obvious through Teams Around the Family, locality-based hubs, and integrated 'front-door' models to streamline referrals (Featherstone et al., 2022). Families receive coherent support during agency communication, and cases escalate after this collaboration breaks down. Victoria Climbié died in 2000. Daniel Pelka died in 2012. These deaths exemplify the fatal consequences that poor inter-agency coordination causes. Serious Case Reviews revealed this information after they died (National Society for the Prevention of Cruelty to Children [NSPCC], 2023).</w:t>
      </w:r>
    </w:p>
    <w:p w14:paraId="147EA7E6" w14:textId="434CF303"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 xml:space="preserve">Multi-agency working brings well-established benefits like sharing expertise, preventing duplication of services and developing trust-based relationships between families and professionals (Day and Davis, 2020). Research highlights that people must overcome barriers for sharing information regarding concerns about data protection, differing professional cultures and resources (Hood, 2018). Websites that local authorities run can also reduce these issues </w:t>
      </w:r>
      <w:r w:rsidR="009A71AB">
        <w:rPr>
          <w:rFonts w:ascii="Arial" w:hAnsi="Arial" w:cs="Arial"/>
          <w:sz w:val="22"/>
          <w:szCs w:val="22"/>
        </w:rPr>
        <w:t>by</w:t>
      </w:r>
      <w:r w:rsidRPr="00B83276">
        <w:rPr>
          <w:rFonts w:ascii="Arial" w:hAnsi="Arial" w:cs="Arial"/>
          <w:sz w:val="22"/>
          <w:szCs w:val="22"/>
        </w:rPr>
        <w:t xml:space="preserve"> informing about referral pathways, responsibilities, and single points of contact. This signposting aids families </w:t>
      </w:r>
      <w:r w:rsidR="009A71AB">
        <w:rPr>
          <w:rFonts w:ascii="Arial" w:hAnsi="Arial" w:cs="Arial"/>
          <w:sz w:val="22"/>
          <w:szCs w:val="22"/>
        </w:rPr>
        <w:t>in understanding</w:t>
      </w:r>
      <w:r w:rsidRPr="00B83276">
        <w:rPr>
          <w:rFonts w:ascii="Arial" w:hAnsi="Arial" w:cs="Arial"/>
          <w:sz w:val="22"/>
          <w:szCs w:val="22"/>
        </w:rPr>
        <w:t xml:space="preserve"> who does what in the system.</w:t>
      </w:r>
    </w:p>
    <w:p w14:paraId="59FBED55" w14:textId="2871BA1C"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 xml:space="preserve">The role of digital communication has been particularly important since the COVID-19 pandemic, where an increased number of online referrals or virtual case-conferencing have been used, resulting in an increased demand for accurate, accessible digital health information (Thomas and Shaw, 2021). The guidelines that govern accessibility in web design across the UK's public sector are now the WCAG 2.2 and the Government Digital Service (GDS, 2023) </w:t>
      </w:r>
      <w:r w:rsidRPr="00B83276">
        <w:rPr>
          <w:rFonts w:ascii="Arial" w:hAnsi="Arial" w:cs="Arial"/>
          <w:sz w:val="22"/>
          <w:szCs w:val="22"/>
        </w:rPr>
        <w:lastRenderedPageBreak/>
        <w:t>principles. In the area of safeguarding, compliance ensures people with disabilities, low literacy or language skills can access information about services.</w:t>
      </w:r>
    </w:p>
    <w:p w14:paraId="39162527" w14:textId="5D643946"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 xml:space="preserve">The Early Help System Guide (2023) states that communications must reflect </w:t>
      </w:r>
      <w:r w:rsidR="009A71AB">
        <w:rPr>
          <w:rFonts w:ascii="Arial" w:hAnsi="Arial" w:cs="Arial"/>
          <w:sz w:val="22"/>
          <w:szCs w:val="22"/>
        </w:rPr>
        <w:t>a multi-agency</w:t>
      </w:r>
      <w:r w:rsidRPr="00B83276">
        <w:rPr>
          <w:rFonts w:ascii="Arial" w:hAnsi="Arial" w:cs="Arial"/>
          <w:sz w:val="22"/>
          <w:szCs w:val="22"/>
        </w:rPr>
        <w:t xml:space="preserve"> ethos that Early Help is everyone's business, not just a social care function. Local authority Early Help websites should be written to ensure that they can be navigated by professionals and families.</w:t>
      </w:r>
      <w:r>
        <w:rPr>
          <w:rFonts w:ascii="Arial" w:hAnsi="Arial" w:cs="Arial"/>
          <w:sz w:val="22"/>
          <w:szCs w:val="22"/>
        </w:rPr>
        <w:t xml:space="preserve"> </w:t>
      </w:r>
      <w:r w:rsidRPr="00B83276">
        <w:rPr>
          <w:rFonts w:ascii="Arial" w:hAnsi="Arial" w:cs="Arial"/>
          <w:sz w:val="22"/>
          <w:szCs w:val="22"/>
        </w:rPr>
        <w:t>For collaboration to work</w:t>
      </w:r>
      <w:r w:rsidR="009A71AB">
        <w:rPr>
          <w:rFonts w:ascii="Arial" w:hAnsi="Arial" w:cs="Arial"/>
          <w:sz w:val="22"/>
          <w:szCs w:val="22"/>
        </w:rPr>
        <w:t>,</w:t>
      </w:r>
      <w:r w:rsidRPr="00B83276">
        <w:rPr>
          <w:rFonts w:ascii="Arial" w:hAnsi="Arial" w:cs="Arial"/>
          <w:sz w:val="22"/>
          <w:szCs w:val="22"/>
        </w:rPr>
        <w:t xml:space="preserve"> it must be easy to do, and this applies to the online world</w:t>
      </w:r>
      <w:r w:rsidR="009A71AB">
        <w:rPr>
          <w:rFonts w:ascii="Arial" w:hAnsi="Arial" w:cs="Arial"/>
          <w:sz w:val="22"/>
          <w:szCs w:val="22"/>
        </w:rPr>
        <w:t>,</w:t>
      </w:r>
      <w:r w:rsidRPr="00B83276">
        <w:rPr>
          <w:rFonts w:ascii="Arial" w:hAnsi="Arial" w:cs="Arial"/>
          <w:sz w:val="22"/>
          <w:szCs w:val="22"/>
        </w:rPr>
        <w:t xml:space="preserve"> too. As Featherstone et al. (2022) put it in their study of partnership working, "collaboration must be mirrored in the systems that describe it." Consequently, a council's online Early Help pages can be a measure of its commitment to partnership working.</w:t>
      </w:r>
    </w:p>
    <w:p w14:paraId="38D44EB7" w14:textId="77777777" w:rsidR="00B83276" w:rsidRPr="001B2861" w:rsidRDefault="00B83276" w:rsidP="00B83276">
      <w:pPr>
        <w:spacing w:line="360" w:lineRule="auto"/>
        <w:jc w:val="both"/>
        <w:rPr>
          <w:rFonts w:ascii="Arial" w:hAnsi="Arial" w:cs="Arial"/>
          <w:sz w:val="22"/>
          <w:szCs w:val="22"/>
        </w:rPr>
      </w:pPr>
    </w:p>
    <w:p w14:paraId="77017BB0" w14:textId="686CCCEE" w:rsidR="001B2861" w:rsidRPr="001B2861" w:rsidRDefault="001B2861" w:rsidP="00B83276">
      <w:pPr>
        <w:pStyle w:val="Heading1"/>
      </w:pPr>
      <w:bookmarkStart w:id="3" w:name="_Toc214067207"/>
      <w:r w:rsidRPr="001B2861">
        <w:t>Evaluation of Three Local Authority Websites</w:t>
      </w:r>
      <w:bookmarkEnd w:id="3"/>
    </w:p>
    <w:p w14:paraId="0EF2F930" w14:textId="1CEB3B41" w:rsidR="001B2861" w:rsidRPr="001B2861" w:rsidRDefault="001B2861" w:rsidP="00B83276">
      <w:pPr>
        <w:pStyle w:val="Heading2"/>
      </w:pPr>
      <w:bookmarkStart w:id="4" w:name="_Toc214067208"/>
      <w:r w:rsidRPr="001B2861">
        <w:t>Leeds City Council</w:t>
      </w:r>
      <w:bookmarkEnd w:id="4"/>
    </w:p>
    <w:p w14:paraId="43A82226" w14:textId="192D4F4B"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 xml:space="preserve">Leeds City Council's Family Help and Support portal is an example of a </w:t>
      </w:r>
      <w:r w:rsidR="009A71AB">
        <w:rPr>
          <w:rFonts w:ascii="Arial" w:hAnsi="Arial" w:cs="Arial"/>
          <w:sz w:val="22"/>
          <w:szCs w:val="22"/>
        </w:rPr>
        <w:t>family-friendly</w:t>
      </w:r>
      <w:r w:rsidRPr="00B83276">
        <w:rPr>
          <w:rFonts w:ascii="Arial" w:hAnsi="Arial" w:cs="Arial"/>
          <w:sz w:val="22"/>
          <w:szCs w:val="22"/>
        </w:rPr>
        <w:t xml:space="preserve"> approach. The homepage starts with the following: "support for you and your family when things get tough" and reflects the Child Friendly Leeds vision for the city (Leeds City Council, 2024). People navigate easily, and they access Early Help from the Children and Families tab for Family Hubs, Parenting Support and Leeds Local Offer. Leaflets and professional guidance documents are available to download for greater transparency and </w:t>
      </w:r>
      <w:r w:rsidR="009A71AB">
        <w:rPr>
          <w:rFonts w:ascii="Arial" w:hAnsi="Arial" w:cs="Arial"/>
          <w:sz w:val="22"/>
          <w:szCs w:val="22"/>
        </w:rPr>
        <w:t>to connect</w:t>
      </w:r>
      <w:r w:rsidRPr="00B83276">
        <w:rPr>
          <w:rFonts w:ascii="Arial" w:hAnsi="Arial" w:cs="Arial"/>
          <w:sz w:val="22"/>
          <w:szCs w:val="22"/>
        </w:rPr>
        <w:t xml:space="preserve"> professionals and the public.</w:t>
      </w:r>
    </w:p>
    <w:p w14:paraId="4E2391EA" w14:textId="3856D0A8" w:rsidR="001B2861" w:rsidRPr="001B2861" w:rsidRDefault="00B83276" w:rsidP="001B2861">
      <w:pPr>
        <w:spacing w:line="360" w:lineRule="auto"/>
        <w:jc w:val="both"/>
        <w:rPr>
          <w:rFonts w:ascii="Arial" w:hAnsi="Arial" w:cs="Arial"/>
          <w:sz w:val="22"/>
          <w:szCs w:val="22"/>
        </w:rPr>
      </w:pPr>
      <w:r w:rsidRPr="00B83276">
        <w:rPr>
          <w:rFonts w:ascii="Arial" w:hAnsi="Arial" w:cs="Arial"/>
          <w:sz w:val="22"/>
          <w:szCs w:val="22"/>
        </w:rPr>
        <w:t>The visibility of contact details, the option of self-referral (and referral by other professionals), links to the Leeds Safeguarding Children Partnership, and the mention of community and VCSE work are all aspects of good practice present on the website. However, it does have some limitations. The data-rich website may not meet the needs of low literacy users or users who may benefit if someone presents information through alternative media types</w:t>
      </w:r>
      <w:r w:rsidR="009A71AB">
        <w:rPr>
          <w:rFonts w:ascii="Arial" w:hAnsi="Arial" w:cs="Arial"/>
          <w:sz w:val="22"/>
          <w:szCs w:val="22"/>
        </w:rPr>
        <w:t>,</w:t>
      </w:r>
      <w:r w:rsidRPr="00B83276">
        <w:rPr>
          <w:rFonts w:ascii="Arial" w:hAnsi="Arial" w:cs="Arial"/>
          <w:sz w:val="22"/>
          <w:szCs w:val="22"/>
        </w:rPr>
        <w:t xml:space="preserve"> such as video or simplified infographics. Additionally, failing to automatically translate could challenge access for </w:t>
      </w:r>
      <w:r w:rsidR="009A71AB">
        <w:rPr>
          <w:rFonts w:ascii="Arial" w:hAnsi="Arial" w:cs="Arial"/>
          <w:sz w:val="22"/>
          <w:szCs w:val="22"/>
        </w:rPr>
        <w:t>non-English-speaking</w:t>
      </w:r>
      <w:r w:rsidRPr="00B83276">
        <w:rPr>
          <w:rFonts w:ascii="Arial" w:hAnsi="Arial" w:cs="Arial"/>
          <w:sz w:val="22"/>
          <w:szCs w:val="22"/>
        </w:rPr>
        <w:t xml:space="preserve"> families. However, the Leeds approach stands out in presenting Early Help as a positive offer rather than a punishment, growing trust with families in accordance with DfE (2023).</w:t>
      </w:r>
    </w:p>
    <w:p w14:paraId="3D5DDA64" w14:textId="77777777" w:rsidR="00B83276" w:rsidRDefault="00B83276" w:rsidP="001B2861">
      <w:pPr>
        <w:spacing w:line="360" w:lineRule="auto"/>
        <w:jc w:val="both"/>
        <w:rPr>
          <w:rFonts w:ascii="Arial" w:hAnsi="Arial" w:cs="Arial"/>
          <w:b/>
          <w:bCs/>
          <w:sz w:val="22"/>
          <w:szCs w:val="22"/>
        </w:rPr>
      </w:pPr>
    </w:p>
    <w:p w14:paraId="590666C1" w14:textId="35F1FBA5" w:rsidR="001B2861" w:rsidRPr="001B2861" w:rsidRDefault="001B2861" w:rsidP="00B83276">
      <w:pPr>
        <w:pStyle w:val="Heading2"/>
      </w:pPr>
      <w:bookmarkStart w:id="5" w:name="_Toc214067209"/>
      <w:r w:rsidRPr="001B2861">
        <w:t>Southwark Council</w:t>
      </w:r>
      <w:bookmarkEnd w:id="5"/>
    </w:p>
    <w:p w14:paraId="682E2F1B" w14:textId="3C4E24C2"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Southwark Council's Early Help and Family Support pages appear on its main website in "Children and Families" (Southwark Council, 2024). These pages include short paragraphs with headings, for example</w:t>
      </w:r>
      <w:r w:rsidR="009A71AB">
        <w:rPr>
          <w:rFonts w:ascii="Arial" w:hAnsi="Arial" w:cs="Arial"/>
          <w:sz w:val="22"/>
          <w:szCs w:val="22"/>
        </w:rPr>
        <w:t>,</w:t>
      </w:r>
      <w:r w:rsidRPr="00B83276">
        <w:rPr>
          <w:rFonts w:ascii="Arial" w:hAnsi="Arial" w:cs="Arial"/>
          <w:sz w:val="22"/>
          <w:szCs w:val="22"/>
        </w:rPr>
        <w:t xml:space="preserve"> What Early Help Means, How to Get Support and Contact the Early Help Team. The multilingual drop-down menu, translating the page's content into </w:t>
      </w:r>
      <w:r w:rsidRPr="00B83276">
        <w:rPr>
          <w:rFonts w:ascii="Arial" w:hAnsi="Arial" w:cs="Arial"/>
          <w:sz w:val="22"/>
          <w:szCs w:val="22"/>
        </w:rPr>
        <w:lastRenderedPageBreak/>
        <w:t>languages including Arabic, Somali and Spanish, addresses Southwark's diverse ethnic population (ONS, 2023) and meets the requirements of the Web Content Accessibility Guidelines 2.2 (GDS, 2023). It also addresses the existing language barrier within the local population.</w:t>
      </w:r>
      <w:r>
        <w:rPr>
          <w:rFonts w:ascii="Arial" w:hAnsi="Arial" w:cs="Arial"/>
          <w:sz w:val="22"/>
          <w:szCs w:val="22"/>
        </w:rPr>
        <w:t xml:space="preserve"> </w:t>
      </w:r>
      <w:r w:rsidRPr="00B83276">
        <w:rPr>
          <w:rFonts w:ascii="Arial" w:hAnsi="Arial" w:cs="Arial"/>
          <w:sz w:val="22"/>
          <w:szCs w:val="22"/>
        </w:rPr>
        <w:t>Early Help pages refer to statutory safeguarding arrangements. The service seeks to "prevent small problems from becoming big ones". It provides details and links to self-referral forms in PDF format. The Southwark Family Information Directory lists parenting, financial-advice groups and charities for domestic-abuse victims and has links with the voluntary sector.</w:t>
      </w:r>
    </w:p>
    <w:p w14:paraId="4ED20D2D" w14:textId="31347884"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Some usability problems were observed</w:t>
      </w:r>
      <w:r w:rsidR="009A71AB">
        <w:rPr>
          <w:rFonts w:ascii="Arial" w:hAnsi="Arial" w:cs="Arial"/>
          <w:sz w:val="22"/>
          <w:szCs w:val="22"/>
        </w:rPr>
        <w:t>,</w:t>
      </w:r>
      <w:r w:rsidRPr="00B83276">
        <w:rPr>
          <w:rFonts w:ascii="Arial" w:hAnsi="Arial" w:cs="Arial"/>
          <w:sz w:val="22"/>
          <w:szCs w:val="22"/>
        </w:rPr>
        <w:t xml:space="preserve"> such as users </w:t>
      </w:r>
      <w:r w:rsidR="009A71AB">
        <w:rPr>
          <w:rFonts w:ascii="Arial" w:hAnsi="Arial" w:cs="Arial"/>
          <w:sz w:val="22"/>
          <w:szCs w:val="22"/>
        </w:rPr>
        <w:t>having</w:t>
      </w:r>
      <w:r w:rsidRPr="00B83276">
        <w:rPr>
          <w:rFonts w:ascii="Arial" w:hAnsi="Arial" w:cs="Arial"/>
          <w:sz w:val="22"/>
          <w:szCs w:val="22"/>
        </w:rPr>
        <w:t xml:space="preserve"> to dig through several layers of content to find the desired page</w:t>
      </w:r>
      <w:r w:rsidR="009A71AB">
        <w:rPr>
          <w:rFonts w:ascii="Arial" w:hAnsi="Arial" w:cs="Arial"/>
          <w:sz w:val="22"/>
          <w:szCs w:val="22"/>
        </w:rPr>
        <w:t>,</w:t>
      </w:r>
      <w:r w:rsidRPr="00B83276">
        <w:rPr>
          <w:rFonts w:ascii="Arial" w:hAnsi="Arial" w:cs="Arial"/>
          <w:sz w:val="22"/>
          <w:szCs w:val="22"/>
        </w:rPr>
        <w:t xml:space="preserve"> which may deter stressed users from continuing. Though professionals provide straightforward and detailed information for users, the technical language that they use may challenge users unfamiliar with this jargon. "TAF" and "MARF" are unexplained acronyms. According to Day and Davis (2020), technical language may disengage families. The pathway for referring a concern is not optimised for mobile devices, contrary to the Government Digital Service (2023) guidance on informative web design.</w:t>
      </w:r>
    </w:p>
    <w:p w14:paraId="6B50668A" w14:textId="77777777" w:rsidR="00B83276" w:rsidRPr="00B83276" w:rsidRDefault="00B83276" w:rsidP="00B83276">
      <w:pPr>
        <w:spacing w:line="360" w:lineRule="auto"/>
        <w:jc w:val="both"/>
        <w:rPr>
          <w:rFonts w:ascii="Arial" w:hAnsi="Arial" w:cs="Arial"/>
          <w:sz w:val="22"/>
          <w:szCs w:val="22"/>
        </w:rPr>
      </w:pPr>
    </w:p>
    <w:p w14:paraId="3339683D" w14:textId="45030994" w:rsidR="001B2861" w:rsidRPr="001B2861" w:rsidRDefault="001B2861" w:rsidP="00B83276">
      <w:pPr>
        <w:pStyle w:val="Heading2"/>
      </w:pPr>
      <w:bookmarkStart w:id="6" w:name="_Toc214067210"/>
      <w:r w:rsidRPr="001B2861">
        <w:t>Staffordshire County Council</w:t>
      </w:r>
      <w:bookmarkEnd w:id="6"/>
    </w:p>
    <w:p w14:paraId="2E09D405" w14:textId="77777777"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Staffordshire County Council has produced most of its Early Help information on a website called Staffordshire Connects, which is an online directory of statutory, community and voluntary services (Staffordshire County Council, 2024). Staffordshire's main site for information on Early Help is a service directory, unlike Leeds or Southwark. They can filter services according to, for example, parenting, housing, or mental health needs, or search, for example, by postcode. The model shows breadth and responsiveness to rural access and equity across remote communities (LGA, 2022).</w:t>
      </w:r>
    </w:p>
    <w:p w14:paraId="4A178740" w14:textId="0A352197"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 xml:space="preserve">Positive points include mapping of resources, joined-up working with the Family Support Service, detailed entries for provider agencies, and good inter-agency working between the council, NHS Trusts and voluntary </w:t>
      </w:r>
      <w:r w:rsidR="009A71AB">
        <w:rPr>
          <w:rFonts w:ascii="Arial" w:hAnsi="Arial" w:cs="Arial"/>
          <w:sz w:val="22"/>
          <w:szCs w:val="22"/>
        </w:rPr>
        <w:t>organisations</w:t>
      </w:r>
      <w:r w:rsidRPr="00B83276">
        <w:rPr>
          <w:rFonts w:ascii="Arial" w:hAnsi="Arial" w:cs="Arial"/>
          <w:sz w:val="22"/>
          <w:szCs w:val="22"/>
        </w:rPr>
        <w:t xml:space="preserve"> such as Barnardo's and Home-Start Staffordshire. However, this design does not consider the user experience because the landing page does not explain what "Early Help" is. Instead, the design assumes that users already understand the concept. Accordingly, Hood (2018) and Whittaker and Havard (2022) point out that unclear language causes some vulnerable families to drop out of services.</w:t>
      </w:r>
    </w:p>
    <w:p w14:paraId="03AC8E60" w14:textId="00829F17" w:rsidR="00B83276" w:rsidRDefault="00B83276" w:rsidP="00B83276">
      <w:pPr>
        <w:spacing w:line="360" w:lineRule="auto"/>
        <w:jc w:val="both"/>
        <w:rPr>
          <w:rFonts w:ascii="Arial" w:hAnsi="Arial" w:cs="Arial"/>
          <w:b/>
          <w:bCs/>
          <w:sz w:val="22"/>
          <w:szCs w:val="22"/>
        </w:rPr>
      </w:pPr>
      <w:r w:rsidRPr="00B83276">
        <w:rPr>
          <w:rFonts w:ascii="Arial" w:hAnsi="Arial" w:cs="Arial"/>
          <w:sz w:val="22"/>
          <w:szCs w:val="22"/>
        </w:rPr>
        <w:t xml:space="preserve">Other concerns include insufficient visual hierarchy (such as heading sizes and the use of icons), a lack of video explainers and translated material for people who don't speak English or battle to read, and a lack of hyperlinks to the Staffordshire Local Safeguarding Partnership, </w:t>
      </w:r>
      <w:r w:rsidRPr="00B83276">
        <w:rPr>
          <w:rFonts w:ascii="Arial" w:hAnsi="Arial" w:cs="Arial"/>
          <w:sz w:val="22"/>
          <w:szCs w:val="22"/>
        </w:rPr>
        <w:lastRenderedPageBreak/>
        <w:t>which is only mentioned topically rather than explicitly, making it less clear to families. In short, it is thorough and transparent but not easy to read and not sympathetic in tone.</w:t>
      </w:r>
    </w:p>
    <w:p w14:paraId="741C08BA" w14:textId="436252A8" w:rsidR="001B2861" w:rsidRPr="001B2861" w:rsidRDefault="001B2861" w:rsidP="001B2861">
      <w:pPr>
        <w:spacing w:line="360" w:lineRule="auto"/>
        <w:jc w:val="both"/>
        <w:rPr>
          <w:rFonts w:ascii="Arial" w:hAnsi="Arial" w:cs="Arial"/>
          <w:sz w:val="22"/>
          <w:szCs w:val="22"/>
        </w:rPr>
      </w:pPr>
    </w:p>
    <w:p w14:paraId="59E5F844" w14:textId="53F36C6A" w:rsidR="001B2861" w:rsidRPr="001B2861" w:rsidRDefault="001B2861" w:rsidP="00B83276">
      <w:pPr>
        <w:pStyle w:val="Heading1"/>
      </w:pPr>
      <w:bookmarkStart w:id="7" w:name="_Toc214067211"/>
      <w:r w:rsidRPr="001B2861">
        <w:t>Summary of Evaluation</w:t>
      </w:r>
      <w:bookmarkEnd w:id="7"/>
    </w:p>
    <w:p w14:paraId="501826BE" w14:textId="1E5D3893" w:rsidR="00B83276" w:rsidRDefault="00B83276" w:rsidP="00B83276">
      <w:pPr>
        <w:spacing w:line="360" w:lineRule="auto"/>
        <w:jc w:val="both"/>
        <w:rPr>
          <w:rFonts w:ascii="Arial" w:hAnsi="Arial" w:cs="Arial"/>
          <w:sz w:val="22"/>
          <w:szCs w:val="22"/>
        </w:rPr>
      </w:pPr>
      <w:r w:rsidRPr="00B83276">
        <w:rPr>
          <w:rFonts w:ascii="Arial" w:hAnsi="Arial" w:cs="Arial"/>
          <w:sz w:val="22"/>
          <w:szCs w:val="22"/>
        </w:rPr>
        <w:t>As shown by the analysis, the reviewed websites from the three councils show that they have varying design approaches. Leeds adopts an approach that uses clear and child-friendly language. Southwark on the other presents an approach that is more culturally inclusive and features strong links with other local organisation</w:t>
      </w:r>
      <w:r>
        <w:rPr>
          <w:rFonts w:ascii="Arial" w:hAnsi="Arial" w:cs="Arial"/>
          <w:sz w:val="22"/>
          <w:szCs w:val="22"/>
        </w:rPr>
        <w:t>s</w:t>
      </w:r>
      <w:r w:rsidRPr="00B83276">
        <w:rPr>
          <w:rFonts w:ascii="Arial" w:hAnsi="Arial" w:cs="Arial"/>
          <w:sz w:val="22"/>
          <w:szCs w:val="22"/>
        </w:rPr>
        <w:t xml:space="preserve">. The last, Staffordshire, shows a broad provision for early help but </w:t>
      </w:r>
      <w:r w:rsidR="009A71AB">
        <w:rPr>
          <w:rFonts w:ascii="Arial" w:hAnsi="Arial" w:cs="Arial"/>
          <w:sz w:val="22"/>
          <w:szCs w:val="22"/>
        </w:rPr>
        <w:t xml:space="preserve">is </w:t>
      </w:r>
      <w:r w:rsidRPr="00B83276">
        <w:rPr>
          <w:rFonts w:ascii="Arial" w:hAnsi="Arial" w:cs="Arial"/>
          <w:sz w:val="22"/>
          <w:szCs w:val="22"/>
        </w:rPr>
        <w:t xml:space="preserve">seen </w:t>
      </w:r>
      <w:r w:rsidR="009A71AB">
        <w:rPr>
          <w:rFonts w:ascii="Arial" w:hAnsi="Arial" w:cs="Arial"/>
          <w:sz w:val="22"/>
          <w:szCs w:val="22"/>
        </w:rPr>
        <w:t xml:space="preserve">as </w:t>
      </w:r>
      <w:r w:rsidRPr="00B83276">
        <w:rPr>
          <w:rFonts w:ascii="Arial" w:hAnsi="Arial" w:cs="Arial"/>
          <w:sz w:val="22"/>
          <w:szCs w:val="22"/>
        </w:rPr>
        <w:t xml:space="preserve">less clear and welcoming. This illustrates the absence of a national digital-communication standard for Early Help. </w:t>
      </w:r>
    </w:p>
    <w:p w14:paraId="037404C8" w14:textId="6D44EC5F" w:rsidR="00B83276" w:rsidRDefault="00B83276" w:rsidP="00B83276">
      <w:pPr>
        <w:spacing w:line="360" w:lineRule="auto"/>
        <w:jc w:val="both"/>
        <w:rPr>
          <w:rFonts w:ascii="Arial" w:hAnsi="Arial" w:cs="Arial"/>
          <w:sz w:val="22"/>
          <w:szCs w:val="22"/>
        </w:rPr>
      </w:pPr>
      <w:r w:rsidRPr="00B83276">
        <w:rPr>
          <w:rFonts w:ascii="Arial" w:hAnsi="Arial" w:cs="Arial"/>
          <w:sz w:val="22"/>
          <w:szCs w:val="22"/>
        </w:rPr>
        <w:t xml:space="preserve">All three regions publish information to meet statutory requirements, but only Leeds does so in the context of Early Help being a positive, voluntary offer. The professional language of Southwark's offer and Staffordshire's directory approach may have reinforced these services as bureaucracies to which families only turn when they have problems. Brandon et al. (2020) </w:t>
      </w:r>
      <w:r w:rsidR="009A71AB">
        <w:rPr>
          <w:rFonts w:ascii="Arial" w:hAnsi="Arial" w:cs="Arial"/>
          <w:sz w:val="22"/>
          <w:szCs w:val="22"/>
        </w:rPr>
        <w:t>retort</w:t>
      </w:r>
      <w:r w:rsidRPr="00B83276">
        <w:rPr>
          <w:rFonts w:ascii="Arial" w:hAnsi="Arial" w:cs="Arial"/>
          <w:sz w:val="22"/>
          <w:szCs w:val="22"/>
        </w:rPr>
        <w:t xml:space="preserve"> that effective intervention is based on inter-agency collaboration as well as having a welcoming and friendly reception for people seeking help. </w:t>
      </w:r>
      <w:r>
        <w:rPr>
          <w:rFonts w:ascii="Arial" w:hAnsi="Arial" w:cs="Arial"/>
          <w:sz w:val="22"/>
          <w:szCs w:val="22"/>
        </w:rPr>
        <w:t>Thus,</w:t>
      </w:r>
      <w:r w:rsidRPr="00B83276">
        <w:rPr>
          <w:rFonts w:ascii="Arial" w:hAnsi="Arial" w:cs="Arial"/>
          <w:sz w:val="22"/>
          <w:szCs w:val="22"/>
        </w:rPr>
        <w:t xml:space="preserve"> the communication style itself is a protective factor.</w:t>
      </w:r>
    </w:p>
    <w:p w14:paraId="2405178B" w14:textId="77777777" w:rsidR="00B83276" w:rsidRDefault="00B83276" w:rsidP="001B2861">
      <w:pPr>
        <w:spacing w:line="360" w:lineRule="auto"/>
        <w:jc w:val="both"/>
        <w:rPr>
          <w:rFonts w:ascii="Arial" w:hAnsi="Arial" w:cs="Arial"/>
          <w:b/>
          <w:bCs/>
          <w:sz w:val="22"/>
          <w:szCs w:val="22"/>
        </w:rPr>
      </w:pPr>
    </w:p>
    <w:p w14:paraId="18AC33A7" w14:textId="6257E3E7" w:rsidR="001B2861" w:rsidRPr="001B2861" w:rsidRDefault="001B2861" w:rsidP="00B83276">
      <w:pPr>
        <w:pStyle w:val="Heading1"/>
      </w:pPr>
      <w:bookmarkStart w:id="8" w:name="_Toc214067212"/>
      <w:r w:rsidRPr="001B2861">
        <w:t>Comparative Analysis</w:t>
      </w:r>
      <w:bookmarkEnd w:id="8"/>
    </w:p>
    <w:p w14:paraId="2B8339EB" w14:textId="5F695283" w:rsidR="00B83276" w:rsidRDefault="00B83276" w:rsidP="001B2861">
      <w:pPr>
        <w:spacing w:line="360" w:lineRule="auto"/>
        <w:jc w:val="both"/>
        <w:rPr>
          <w:rFonts w:ascii="Arial" w:hAnsi="Arial" w:cs="Arial"/>
          <w:sz w:val="22"/>
          <w:szCs w:val="22"/>
        </w:rPr>
      </w:pPr>
      <w:r w:rsidRPr="00B83276">
        <w:rPr>
          <w:rFonts w:ascii="Arial" w:hAnsi="Arial" w:cs="Arial"/>
          <w:sz w:val="22"/>
          <w:szCs w:val="22"/>
        </w:rPr>
        <w:t>For accessibility, clarity, inclusivity and content, Leeds City Council's service outperforms the best practice examples recommended by the DfE (2023) with its clear, simple language, logical structure and integration into the Family Hubs system of services. It shows how reframing as "help when you need it" reduces stigma and encourages early engagement</w:t>
      </w:r>
      <w:r w:rsidR="009A71AB">
        <w:rPr>
          <w:rFonts w:ascii="Arial" w:hAnsi="Arial" w:cs="Arial"/>
          <w:sz w:val="22"/>
          <w:szCs w:val="22"/>
        </w:rPr>
        <w:t>,</w:t>
      </w:r>
      <w:r w:rsidRPr="00B83276">
        <w:rPr>
          <w:rFonts w:ascii="Arial" w:hAnsi="Arial" w:cs="Arial"/>
          <w:sz w:val="22"/>
          <w:szCs w:val="22"/>
        </w:rPr>
        <w:t xml:space="preserve"> according to NSPCC (2024). The limited translation and audio access greatly restrict its audience. This is especially true for non-English speakers or people with visual impairments.</w:t>
      </w:r>
      <w:r w:rsidRPr="00B83276">
        <w:rPr>
          <w:rFonts w:ascii="Arial" w:hAnsi="Arial" w:cs="Arial"/>
          <w:sz w:val="22"/>
          <w:szCs w:val="22"/>
        </w:rPr>
        <w:br/>
        <w:t>The Southwark council leads with inclusive design using web pages in multiple languages and images representative of the borough. The reference to domestic-abuse advocacy services and partnerships with communities reflects intersectionality in familial vulnerability (Odeyemi, 2022). However, navigation and terminology can be challenging, and the user's adventure throughout the site can be simplified, perhaps by including an "Early Help Portal" button (GDS, 2023).</w:t>
      </w:r>
      <w:r w:rsidRPr="00B83276">
        <w:rPr>
          <w:rFonts w:ascii="Arial" w:hAnsi="Arial" w:cs="Arial"/>
          <w:sz w:val="22"/>
          <w:szCs w:val="22"/>
        </w:rPr>
        <w:br/>
        <w:t xml:space="preserve">Staffordshire County Council </w:t>
      </w:r>
      <w:r w:rsidR="009A71AB">
        <w:rPr>
          <w:rFonts w:ascii="Arial" w:hAnsi="Arial" w:cs="Arial"/>
          <w:sz w:val="22"/>
          <w:szCs w:val="22"/>
        </w:rPr>
        <w:t>provides</w:t>
      </w:r>
      <w:r w:rsidRPr="00B83276">
        <w:rPr>
          <w:rFonts w:ascii="Arial" w:hAnsi="Arial" w:cs="Arial"/>
          <w:sz w:val="22"/>
          <w:szCs w:val="22"/>
        </w:rPr>
        <w:t xml:space="preserve"> health, education, and social care services. Staffordshire Connects multiple agencies. However, navigation is difficult within it and cohesion is lacking in it</w:t>
      </w:r>
      <w:r w:rsidR="009A71AB">
        <w:rPr>
          <w:rFonts w:ascii="Arial" w:hAnsi="Arial" w:cs="Arial"/>
          <w:sz w:val="22"/>
          <w:szCs w:val="22"/>
        </w:rPr>
        <w:t>;</w:t>
      </w:r>
      <w:r w:rsidRPr="00B83276">
        <w:rPr>
          <w:rFonts w:ascii="Arial" w:hAnsi="Arial" w:cs="Arial"/>
          <w:sz w:val="22"/>
          <w:szCs w:val="22"/>
        </w:rPr>
        <w:t xml:space="preserve"> for example</w:t>
      </w:r>
      <w:r w:rsidR="009A71AB">
        <w:rPr>
          <w:rFonts w:ascii="Arial" w:hAnsi="Arial" w:cs="Arial"/>
          <w:sz w:val="22"/>
          <w:szCs w:val="22"/>
        </w:rPr>
        <w:t>,</w:t>
      </w:r>
      <w:r w:rsidRPr="00B83276">
        <w:rPr>
          <w:rFonts w:ascii="Arial" w:hAnsi="Arial" w:cs="Arial"/>
          <w:sz w:val="22"/>
          <w:szCs w:val="22"/>
        </w:rPr>
        <w:t xml:space="preserve"> it may lack labels for individual services such as Early Help</w:t>
      </w:r>
      <w:r w:rsidR="009A71AB">
        <w:rPr>
          <w:rFonts w:ascii="Arial" w:hAnsi="Arial" w:cs="Arial"/>
          <w:sz w:val="22"/>
          <w:szCs w:val="22"/>
        </w:rPr>
        <w:t>,</w:t>
      </w:r>
      <w:r w:rsidRPr="00B83276">
        <w:rPr>
          <w:rFonts w:ascii="Arial" w:hAnsi="Arial" w:cs="Arial"/>
          <w:sz w:val="22"/>
          <w:szCs w:val="22"/>
        </w:rPr>
        <w:t xml:space="preserve"> which may be unrecognisable to users. For example, embedding an explanatory </w:t>
      </w:r>
      <w:r w:rsidRPr="00B83276">
        <w:rPr>
          <w:rFonts w:ascii="Arial" w:hAnsi="Arial" w:cs="Arial"/>
          <w:sz w:val="22"/>
          <w:szCs w:val="22"/>
        </w:rPr>
        <w:lastRenderedPageBreak/>
        <w:t>resource such as "What is Early Help?" would help to contextualise the directory within the public's understanding.</w:t>
      </w:r>
    </w:p>
    <w:p w14:paraId="25D79BAC" w14:textId="77777777" w:rsidR="00B83276" w:rsidRDefault="00B83276" w:rsidP="001B2861">
      <w:pPr>
        <w:spacing w:line="360" w:lineRule="auto"/>
        <w:jc w:val="both"/>
        <w:rPr>
          <w:rFonts w:ascii="Arial" w:hAnsi="Arial" w:cs="Arial"/>
          <w:sz w:val="22"/>
          <w:szCs w:val="22"/>
        </w:rPr>
      </w:pPr>
    </w:p>
    <w:p w14:paraId="42EDED10" w14:textId="0AC0E9D7" w:rsidR="001B2861" w:rsidRPr="001B2861" w:rsidRDefault="001B2861" w:rsidP="00B83276">
      <w:pPr>
        <w:pStyle w:val="Heading1"/>
      </w:pPr>
      <w:bookmarkStart w:id="9" w:name="_Toc214067213"/>
      <w:r w:rsidRPr="001B2861">
        <w:t>Conclusion and Recommendations</w:t>
      </w:r>
      <w:bookmarkEnd w:id="9"/>
    </w:p>
    <w:p w14:paraId="53F97BBA" w14:textId="214B358D" w:rsidR="00B83276" w:rsidRPr="00B83276" w:rsidRDefault="00B83276" w:rsidP="00B83276">
      <w:pPr>
        <w:spacing w:line="360" w:lineRule="auto"/>
        <w:jc w:val="both"/>
        <w:rPr>
          <w:rFonts w:ascii="Arial" w:hAnsi="Arial" w:cs="Arial"/>
          <w:sz w:val="22"/>
          <w:szCs w:val="22"/>
        </w:rPr>
      </w:pPr>
      <w:r w:rsidRPr="00B83276">
        <w:rPr>
          <w:rFonts w:ascii="Arial" w:hAnsi="Arial" w:cs="Arial"/>
          <w:sz w:val="22"/>
          <w:szCs w:val="22"/>
        </w:rPr>
        <w:t xml:space="preserve">This report critically analysed the online dissemination of Early Help information in three English local authorities, concluding that whilst they all understood and used it as </w:t>
      </w:r>
      <w:r w:rsidR="009A71AB">
        <w:rPr>
          <w:rFonts w:ascii="Arial" w:hAnsi="Arial" w:cs="Arial"/>
          <w:sz w:val="22"/>
          <w:szCs w:val="22"/>
        </w:rPr>
        <w:t xml:space="preserve">a </w:t>
      </w:r>
      <w:r w:rsidRPr="00B83276">
        <w:rPr>
          <w:rFonts w:ascii="Arial" w:hAnsi="Arial" w:cs="Arial"/>
          <w:sz w:val="22"/>
          <w:szCs w:val="22"/>
        </w:rPr>
        <w:t xml:space="preserve">preventative safeguarding, the practice varies. Leeds City Council gives a clear, human narrative with </w:t>
      </w:r>
      <w:r w:rsidR="009A71AB">
        <w:rPr>
          <w:rFonts w:ascii="Arial" w:hAnsi="Arial" w:cs="Arial"/>
          <w:sz w:val="22"/>
          <w:szCs w:val="22"/>
        </w:rPr>
        <w:t xml:space="preserve">a </w:t>
      </w:r>
      <w:r w:rsidRPr="00B83276">
        <w:rPr>
          <w:rFonts w:ascii="Arial" w:hAnsi="Arial" w:cs="Arial"/>
          <w:sz w:val="22"/>
          <w:szCs w:val="22"/>
        </w:rPr>
        <w:t>single Family Help brand for family access to practical resources. Southwark Council has a strong</w:t>
      </w:r>
      <w:r w:rsidR="009A71AB">
        <w:rPr>
          <w:rFonts w:ascii="Arial" w:hAnsi="Arial" w:cs="Arial"/>
          <w:sz w:val="22"/>
          <w:szCs w:val="22"/>
        </w:rPr>
        <w:t>,</w:t>
      </w:r>
      <w:r w:rsidRPr="00B83276">
        <w:rPr>
          <w:rFonts w:ascii="Arial" w:hAnsi="Arial" w:cs="Arial"/>
          <w:sz w:val="22"/>
          <w:szCs w:val="22"/>
        </w:rPr>
        <w:t xml:space="preserve"> inclusive and culturally aware human narrative, but the site can be difficult to navigate. Staffordshire County Council provides a full record of multi-agency mapping</w:t>
      </w:r>
      <w:r w:rsidR="009A71AB">
        <w:rPr>
          <w:rFonts w:ascii="Arial" w:hAnsi="Arial" w:cs="Arial"/>
          <w:sz w:val="22"/>
          <w:szCs w:val="22"/>
        </w:rPr>
        <w:t>,</w:t>
      </w:r>
      <w:r w:rsidRPr="00B83276">
        <w:rPr>
          <w:rFonts w:ascii="Arial" w:hAnsi="Arial" w:cs="Arial"/>
          <w:sz w:val="22"/>
          <w:szCs w:val="22"/>
        </w:rPr>
        <w:t xml:space="preserve"> but no clear narrative or human tone to encourage early self-referral.</w:t>
      </w:r>
    </w:p>
    <w:p w14:paraId="40E86A37" w14:textId="2FA3D2F5" w:rsidR="00B83276" w:rsidRDefault="00B83276" w:rsidP="00B83276">
      <w:pPr>
        <w:spacing w:line="360" w:lineRule="auto"/>
        <w:jc w:val="both"/>
        <w:rPr>
          <w:rFonts w:ascii="Arial" w:hAnsi="Arial" w:cs="Arial"/>
          <w:sz w:val="22"/>
          <w:szCs w:val="22"/>
        </w:rPr>
      </w:pPr>
      <w:r w:rsidRPr="00B83276">
        <w:rPr>
          <w:rFonts w:ascii="Arial" w:hAnsi="Arial" w:cs="Arial"/>
          <w:sz w:val="22"/>
          <w:szCs w:val="22"/>
        </w:rPr>
        <w:t xml:space="preserve">The report's recommendations include that the DfE and Local Government Association develop a common Early Help </w:t>
      </w:r>
      <w:r w:rsidR="009A71AB">
        <w:rPr>
          <w:rFonts w:ascii="Arial" w:hAnsi="Arial" w:cs="Arial"/>
          <w:sz w:val="22"/>
          <w:szCs w:val="22"/>
        </w:rPr>
        <w:t>web template</w:t>
      </w:r>
      <w:r w:rsidRPr="00B83276">
        <w:rPr>
          <w:rFonts w:ascii="Arial" w:hAnsi="Arial" w:cs="Arial"/>
          <w:sz w:val="22"/>
          <w:szCs w:val="22"/>
        </w:rPr>
        <w:t xml:space="preserve"> with consistent terminology, layout</w:t>
      </w:r>
      <w:r w:rsidR="009A71AB">
        <w:rPr>
          <w:rFonts w:ascii="Arial" w:hAnsi="Arial" w:cs="Arial"/>
          <w:sz w:val="22"/>
          <w:szCs w:val="22"/>
        </w:rPr>
        <w:t>,</w:t>
      </w:r>
      <w:r w:rsidRPr="00B83276">
        <w:rPr>
          <w:rFonts w:ascii="Arial" w:hAnsi="Arial" w:cs="Arial"/>
          <w:sz w:val="22"/>
          <w:szCs w:val="22"/>
        </w:rPr>
        <w:t xml:space="preserve"> and accessibility standards to be rolled out across England. - Simplify language and layout. For families, replace bureaucratic language and jargon</w:t>
      </w:r>
      <w:r w:rsidR="009A71AB">
        <w:rPr>
          <w:rFonts w:ascii="Arial" w:hAnsi="Arial" w:cs="Arial"/>
          <w:sz w:val="22"/>
          <w:szCs w:val="22"/>
        </w:rPr>
        <w:t>,</w:t>
      </w:r>
      <w:r w:rsidRPr="00B83276">
        <w:rPr>
          <w:rFonts w:ascii="Arial" w:hAnsi="Arial" w:cs="Arial"/>
          <w:sz w:val="22"/>
          <w:szCs w:val="22"/>
        </w:rPr>
        <w:t xml:space="preserve"> such as "TAF meeting"</w:t>
      </w:r>
      <w:r w:rsidR="009A71AB">
        <w:rPr>
          <w:rFonts w:ascii="Arial" w:hAnsi="Arial" w:cs="Arial"/>
          <w:sz w:val="22"/>
          <w:szCs w:val="22"/>
        </w:rPr>
        <w:t>,</w:t>
      </w:r>
      <w:r w:rsidRPr="00B83276">
        <w:rPr>
          <w:rFonts w:ascii="Arial" w:hAnsi="Arial" w:cs="Arial"/>
          <w:sz w:val="22"/>
          <w:szCs w:val="22"/>
        </w:rPr>
        <w:t xml:space="preserve"> </w:t>
      </w:r>
      <w:r w:rsidR="009A71AB">
        <w:rPr>
          <w:rFonts w:ascii="Arial" w:hAnsi="Arial" w:cs="Arial"/>
          <w:sz w:val="22"/>
          <w:szCs w:val="22"/>
        </w:rPr>
        <w:t>with</w:t>
      </w:r>
      <w:r w:rsidRPr="00B83276">
        <w:rPr>
          <w:rFonts w:ascii="Arial" w:hAnsi="Arial" w:cs="Arial"/>
          <w:sz w:val="22"/>
          <w:szCs w:val="22"/>
        </w:rPr>
        <w:t xml:space="preserve"> plain English and standardise the language used in all resources to make it easier. Access improvements include automatic translation</w:t>
      </w:r>
      <w:r w:rsidR="009A71AB">
        <w:rPr>
          <w:rFonts w:ascii="Arial" w:hAnsi="Arial" w:cs="Arial"/>
          <w:sz w:val="22"/>
          <w:szCs w:val="22"/>
        </w:rPr>
        <w:t>,</w:t>
      </w:r>
      <w:r w:rsidRPr="00B83276">
        <w:rPr>
          <w:rFonts w:ascii="Arial" w:hAnsi="Arial" w:cs="Arial"/>
          <w:sz w:val="22"/>
          <w:szCs w:val="22"/>
        </w:rPr>
        <w:t xml:space="preserve"> audio description</w:t>
      </w:r>
      <w:r w:rsidR="009A71AB">
        <w:rPr>
          <w:rFonts w:ascii="Arial" w:hAnsi="Arial" w:cs="Arial"/>
          <w:sz w:val="22"/>
          <w:szCs w:val="22"/>
        </w:rPr>
        <w:t>,</w:t>
      </w:r>
      <w:r w:rsidRPr="00B83276">
        <w:rPr>
          <w:rFonts w:ascii="Arial" w:hAnsi="Arial" w:cs="Arial"/>
          <w:sz w:val="22"/>
          <w:szCs w:val="22"/>
        </w:rPr>
        <w:t xml:space="preserve"> and </w:t>
      </w:r>
      <w:r w:rsidR="009A71AB">
        <w:rPr>
          <w:rFonts w:ascii="Arial" w:hAnsi="Arial" w:cs="Arial"/>
          <w:sz w:val="22"/>
          <w:szCs w:val="22"/>
        </w:rPr>
        <w:t>dyslexia-friendly</w:t>
      </w:r>
      <w:r w:rsidRPr="00B83276">
        <w:rPr>
          <w:rFonts w:ascii="Arial" w:hAnsi="Arial" w:cs="Arial"/>
          <w:sz w:val="22"/>
          <w:szCs w:val="22"/>
        </w:rPr>
        <w:t xml:space="preserve"> font. </w:t>
      </w:r>
    </w:p>
    <w:p w14:paraId="330EA0B7" w14:textId="77777777" w:rsidR="00B83276" w:rsidRDefault="00B83276" w:rsidP="001B2861">
      <w:pPr>
        <w:spacing w:line="360" w:lineRule="auto"/>
        <w:jc w:val="both"/>
        <w:rPr>
          <w:rFonts w:ascii="Arial" w:hAnsi="Arial" w:cs="Arial"/>
          <w:sz w:val="22"/>
          <w:szCs w:val="22"/>
        </w:rPr>
      </w:pPr>
    </w:p>
    <w:p w14:paraId="7152594C" w14:textId="77777777" w:rsidR="0052298D" w:rsidRDefault="0052298D" w:rsidP="001B2861">
      <w:pPr>
        <w:spacing w:line="360" w:lineRule="auto"/>
        <w:jc w:val="both"/>
        <w:rPr>
          <w:rFonts w:ascii="Arial" w:hAnsi="Arial" w:cs="Arial"/>
          <w:sz w:val="22"/>
          <w:szCs w:val="22"/>
        </w:rPr>
      </w:pPr>
    </w:p>
    <w:p w14:paraId="3EB20E53" w14:textId="77777777" w:rsidR="0052298D" w:rsidRDefault="0052298D" w:rsidP="001B2861">
      <w:pPr>
        <w:spacing w:line="360" w:lineRule="auto"/>
        <w:jc w:val="both"/>
        <w:rPr>
          <w:rFonts w:ascii="Arial" w:hAnsi="Arial" w:cs="Arial"/>
          <w:sz w:val="22"/>
          <w:szCs w:val="22"/>
        </w:rPr>
      </w:pPr>
    </w:p>
    <w:p w14:paraId="4B45C6A2" w14:textId="77777777" w:rsidR="0052298D" w:rsidRDefault="0052298D" w:rsidP="001B2861">
      <w:pPr>
        <w:spacing w:line="360" w:lineRule="auto"/>
        <w:jc w:val="both"/>
        <w:rPr>
          <w:rFonts w:ascii="Arial" w:hAnsi="Arial" w:cs="Arial"/>
          <w:sz w:val="22"/>
          <w:szCs w:val="22"/>
        </w:rPr>
      </w:pPr>
    </w:p>
    <w:p w14:paraId="32024765" w14:textId="77777777" w:rsidR="0052298D" w:rsidRDefault="0052298D" w:rsidP="001B2861">
      <w:pPr>
        <w:spacing w:line="360" w:lineRule="auto"/>
        <w:jc w:val="both"/>
        <w:rPr>
          <w:rFonts w:ascii="Arial" w:hAnsi="Arial" w:cs="Arial"/>
          <w:sz w:val="22"/>
          <w:szCs w:val="22"/>
        </w:rPr>
      </w:pPr>
    </w:p>
    <w:p w14:paraId="7E4C64CA" w14:textId="77777777" w:rsidR="0052298D" w:rsidRDefault="0052298D" w:rsidP="001B2861">
      <w:pPr>
        <w:spacing w:line="360" w:lineRule="auto"/>
        <w:jc w:val="both"/>
        <w:rPr>
          <w:rFonts w:ascii="Arial" w:hAnsi="Arial" w:cs="Arial"/>
          <w:sz w:val="22"/>
          <w:szCs w:val="22"/>
        </w:rPr>
      </w:pPr>
    </w:p>
    <w:p w14:paraId="6F958FA3" w14:textId="77777777" w:rsidR="0052298D" w:rsidRDefault="0052298D" w:rsidP="001B2861">
      <w:pPr>
        <w:spacing w:line="360" w:lineRule="auto"/>
        <w:jc w:val="both"/>
        <w:rPr>
          <w:rFonts w:ascii="Arial" w:hAnsi="Arial" w:cs="Arial"/>
          <w:sz w:val="22"/>
          <w:szCs w:val="22"/>
        </w:rPr>
      </w:pPr>
    </w:p>
    <w:p w14:paraId="7B898E90" w14:textId="77777777" w:rsidR="0052298D" w:rsidRDefault="0052298D" w:rsidP="001B2861">
      <w:pPr>
        <w:spacing w:line="360" w:lineRule="auto"/>
        <w:jc w:val="both"/>
        <w:rPr>
          <w:rFonts w:ascii="Arial" w:hAnsi="Arial" w:cs="Arial"/>
          <w:sz w:val="22"/>
          <w:szCs w:val="22"/>
        </w:rPr>
      </w:pPr>
    </w:p>
    <w:p w14:paraId="3F7F46D8" w14:textId="77777777" w:rsidR="0052298D" w:rsidRDefault="0052298D" w:rsidP="001B2861">
      <w:pPr>
        <w:spacing w:line="360" w:lineRule="auto"/>
        <w:jc w:val="both"/>
        <w:rPr>
          <w:rFonts w:ascii="Arial" w:hAnsi="Arial" w:cs="Arial"/>
          <w:sz w:val="22"/>
          <w:szCs w:val="22"/>
        </w:rPr>
      </w:pPr>
    </w:p>
    <w:p w14:paraId="71FA83BF" w14:textId="77777777" w:rsidR="0052298D" w:rsidRDefault="0052298D" w:rsidP="001B2861">
      <w:pPr>
        <w:spacing w:line="360" w:lineRule="auto"/>
        <w:jc w:val="both"/>
        <w:rPr>
          <w:rFonts w:ascii="Arial" w:hAnsi="Arial" w:cs="Arial"/>
          <w:sz w:val="22"/>
          <w:szCs w:val="22"/>
        </w:rPr>
      </w:pPr>
    </w:p>
    <w:p w14:paraId="1C13C2F3" w14:textId="77777777" w:rsidR="0052298D" w:rsidRDefault="0052298D" w:rsidP="001B2861">
      <w:pPr>
        <w:spacing w:line="360" w:lineRule="auto"/>
        <w:jc w:val="both"/>
        <w:rPr>
          <w:rFonts w:ascii="Arial" w:hAnsi="Arial" w:cs="Arial"/>
          <w:sz w:val="22"/>
          <w:szCs w:val="22"/>
        </w:rPr>
      </w:pPr>
    </w:p>
    <w:p w14:paraId="065B0AF0" w14:textId="77777777" w:rsidR="0052298D" w:rsidRDefault="0052298D" w:rsidP="001B2861">
      <w:pPr>
        <w:spacing w:line="360" w:lineRule="auto"/>
        <w:jc w:val="both"/>
        <w:rPr>
          <w:rFonts w:ascii="Arial" w:hAnsi="Arial" w:cs="Arial"/>
          <w:sz w:val="22"/>
          <w:szCs w:val="22"/>
        </w:rPr>
      </w:pPr>
    </w:p>
    <w:p w14:paraId="3186ACFC" w14:textId="77777777" w:rsidR="0052298D" w:rsidRDefault="0052298D" w:rsidP="001B2861">
      <w:pPr>
        <w:spacing w:line="360" w:lineRule="auto"/>
        <w:jc w:val="both"/>
        <w:rPr>
          <w:rFonts w:ascii="Arial" w:hAnsi="Arial" w:cs="Arial"/>
          <w:sz w:val="22"/>
          <w:szCs w:val="22"/>
        </w:rPr>
      </w:pPr>
    </w:p>
    <w:p w14:paraId="735BD63E" w14:textId="77777777" w:rsidR="0052298D" w:rsidRDefault="0052298D" w:rsidP="001B2861">
      <w:pPr>
        <w:spacing w:line="360" w:lineRule="auto"/>
        <w:jc w:val="both"/>
        <w:rPr>
          <w:rFonts w:ascii="Arial" w:hAnsi="Arial" w:cs="Arial"/>
          <w:sz w:val="22"/>
          <w:szCs w:val="22"/>
        </w:rPr>
      </w:pPr>
    </w:p>
    <w:p w14:paraId="1DE335DB" w14:textId="35DF87C8" w:rsidR="001B2861" w:rsidRPr="001B2861" w:rsidRDefault="001B2861" w:rsidP="00B83276">
      <w:pPr>
        <w:pStyle w:val="Heading1"/>
      </w:pPr>
      <w:bookmarkStart w:id="10" w:name="_Toc214067214"/>
      <w:r w:rsidRPr="001B2861">
        <w:t>References</w:t>
      </w:r>
      <w:bookmarkEnd w:id="10"/>
      <w:r w:rsidRPr="001B2861">
        <w:t xml:space="preserve"> </w:t>
      </w:r>
    </w:p>
    <w:p w14:paraId="689FDBA9"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Barnardo’s (2023) </w:t>
      </w:r>
      <w:r w:rsidRPr="0052298D">
        <w:rPr>
          <w:rFonts w:ascii="Arial" w:hAnsi="Arial" w:cs="Arial"/>
          <w:i/>
          <w:iCs/>
          <w:sz w:val="22"/>
          <w:szCs w:val="22"/>
        </w:rPr>
        <w:t>Early Intervention and Family Support</w:t>
      </w:r>
      <w:r w:rsidRPr="0052298D">
        <w:rPr>
          <w:rFonts w:ascii="Arial" w:hAnsi="Arial" w:cs="Arial"/>
          <w:sz w:val="22"/>
          <w:szCs w:val="22"/>
        </w:rPr>
        <w:t>. London: Barnardo’s.</w:t>
      </w:r>
    </w:p>
    <w:p w14:paraId="57BADB2E"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British Association of Social Workers (BASW) (2023) </w:t>
      </w:r>
      <w:r w:rsidRPr="0052298D">
        <w:rPr>
          <w:rFonts w:ascii="Arial" w:hAnsi="Arial" w:cs="Arial"/>
          <w:i/>
          <w:iCs/>
          <w:sz w:val="22"/>
          <w:szCs w:val="22"/>
        </w:rPr>
        <w:t>Code of Ethics for Social Work</w:t>
      </w:r>
      <w:r w:rsidRPr="0052298D">
        <w:rPr>
          <w:rFonts w:ascii="Arial" w:hAnsi="Arial" w:cs="Arial"/>
          <w:sz w:val="22"/>
          <w:szCs w:val="22"/>
        </w:rPr>
        <w:t>. Birmingham: BASW.</w:t>
      </w:r>
    </w:p>
    <w:p w14:paraId="3677460F" w14:textId="14760DCA"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Brandon, M., </w:t>
      </w:r>
      <w:proofErr w:type="spellStart"/>
      <w:r w:rsidR="009A71AB">
        <w:rPr>
          <w:rFonts w:ascii="Arial" w:hAnsi="Arial" w:cs="Arial"/>
          <w:sz w:val="22"/>
          <w:szCs w:val="22"/>
        </w:rPr>
        <w:t>Sidebothem</w:t>
      </w:r>
      <w:proofErr w:type="spellEnd"/>
      <w:r w:rsidRPr="0052298D">
        <w:rPr>
          <w:rFonts w:ascii="Arial" w:hAnsi="Arial" w:cs="Arial"/>
          <w:sz w:val="22"/>
          <w:szCs w:val="22"/>
        </w:rPr>
        <w:t xml:space="preserve">, P., Ellis, C. and Bailey, S. (2020) ‘Towards a typology of effective early intervention’, </w:t>
      </w:r>
      <w:r w:rsidRPr="0052298D">
        <w:rPr>
          <w:rFonts w:ascii="Arial" w:hAnsi="Arial" w:cs="Arial"/>
          <w:i/>
          <w:iCs/>
          <w:sz w:val="22"/>
          <w:szCs w:val="22"/>
        </w:rPr>
        <w:t>Child and Family Social Work</w:t>
      </w:r>
      <w:r w:rsidRPr="0052298D">
        <w:rPr>
          <w:rFonts w:ascii="Arial" w:hAnsi="Arial" w:cs="Arial"/>
          <w:sz w:val="22"/>
          <w:szCs w:val="22"/>
        </w:rPr>
        <w:t>, 25(3), pp. 413–426.</w:t>
      </w:r>
    </w:p>
    <w:p w14:paraId="18C778D4"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Carpenter, H. and </w:t>
      </w:r>
      <w:proofErr w:type="spellStart"/>
      <w:r w:rsidRPr="0052298D">
        <w:rPr>
          <w:rFonts w:ascii="Arial" w:hAnsi="Arial" w:cs="Arial"/>
          <w:sz w:val="22"/>
          <w:szCs w:val="22"/>
        </w:rPr>
        <w:t>Shucksmith</w:t>
      </w:r>
      <w:proofErr w:type="spellEnd"/>
      <w:r w:rsidRPr="0052298D">
        <w:rPr>
          <w:rFonts w:ascii="Arial" w:hAnsi="Arial" w:cs="Arial"/>
          <w:sz w:val="22"/>
          <w:szCs w:val="22"/>
        </w:rPr>
        <w:t xml:space="preserve">, J. (2019) ‘Inter-agency collaboration in early help’, </w:t>
      </w:r>
      <w:r w:rsidRPr="0052298D">
        <w:rPr>
          <w:rFonts w:ascii="Arial" w:hAnsi="Arial" w:cs="Arial"/>
          <w:i/>
          <w:iCs/>
          <w:sz w:val="22"/>
          <w:szCs w:val="22"/>
        </w:rPr>
        <w:t>British Journal of Social Work</w:t>
      </w:r>
      <w:r w:rsidRPr="0052298D">
        <w:rPr>
          <w:rFonts w:ascii="Arial" w:hAnsi="Arial" w:cs="Arial"/>
          <w:sz w:val="22"/>
          <w:szCs w:val="22"/>
        </w:rPr>
        <w:t>, 49(7), pp. 1885–1903.</w:t>
      </w:r>
    </w:p>
    <w:p w14:paraId="37732C84" w14:textId="1649FDBF"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Day, C. and Davis, H. (2020)</w:t>
      </w:r>
      <w:r w:rsidR="009A71AB">
        <w:rPr>
          <w:rFonts w:ascii="Arial" w:hAnsi="Arial" w:cs="Arial"/>
          <w:sz w:val="22"/>
          <w:szCs w:val="22"/>
        </w:rPr>
        <w:t>.</w:t>
      </w:r>
      <w:r w:rsidRPr="0052298D">
        <w:rPr>
          <w:rFonts w:ascii="Arial" w:hAnsi="Arial" w:cs="Arial"/>
          <w:sz w:val="22"/>
          <w:szCs w:val="22"/>
        </w:rPr>
        <w:t xml:space="preserve"> </w:t>
      </w:r>
      <w:r w:rsidRPr="0052298D">
        <w:rPr>
          <w:rFonts w:ascii="Arial" w:hAnsi="Arial" w:cs="Arial"/>
          <w:i/>
          <w:iCs/>
          <w:sz w:val="22"/>
          <w:szCs w:val="22"/>
        </w:rPr>
        <w:t>Working in partnership with families</w:t>
      </w:r>
      <w:r w:rsidRPr="0052298D">
        <w:rPr>
          <w:rFonts w:ascii="Arial" w:hAnsi="Arial" w:cs="Arial"/>
          <w:sz w:val="22"/>
          <w:szCs w:val="22"/>
        </w:rPr>
        <w:t>. London: SAGE.</w:t>
      </w:r>
    </w:p>
    <w:p w14:paraId="587F9314"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Department for Education (DfE) (2023) </w:t>
      </w:r>
      <w:r w:rsidRPr="0052298D">
        <w:rPr>
          <w:rFonts w:ascii="Arial" w:hAnsi="Arial" w:cs="Arial"/>
          <w:i/>
          <w:iCs/>
          <w:sz w:val="22"/>
          <w:szCs w:val="22"/>
        </w:rPr>
        <w:t>Early help system guide</w:t>
      </w:r>
      <w:r w:rsidRPr="0052298D">
        <w:rPr>
          <w:rFonts w:ascii="Arial" w:hAnsi="Arial" w:cs="Arial"/>
          <w:sz w:val="22"/>
          <w:szCs w:val="22"/>
        </w:rPr>
        <w:t>. London: HM Government.</w:t>
      </w:r>
    </w:p>
    <w:p w14:paraId="313A38EA" w14:textId="79D85F79"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Featherstone, B., Gupta, A. and Morris, K. (2022)</w:t>
      </w:r>
      <w:r w:rsidR="009A71AB">
        <w:rPr>
          <w:rFonts w:ascii="Arial" w:hAnsi="Arial" w:cs="Arial"/>
          <w:sz w:val="22"/>
          <w:szCs w:val="22"/>
        </w:rPr>
        <w:t>.</w:t>
      </w:r>
      <w:r w:rsidRPr="0052298D">
        <w:rPr>
          <w:rFonts w:ascii="Arial" w:hAnsi="Arial" w:cs="Arial"/>
          <w:sz w:val="22"/>
          <w:szCs w:val="22"/>
        </w:rPr>
        <w:t xml:space="preserve"> </w:t>
      </w:r>
      <w:r w:rsidRPr="0052298D">
        <w:rPr>
          <w:rFonts w:ascii="Arial" w:hAnsi="Arial" w:cs="Arial"/>
          <w:i/>
          <w:iCs/>
          <w:sz w:val="22"/>
          <w:szCs w:val="22"/>
        </w:rPr>
        <w:t>Protecting children: A social model</w:t>
      </w:r>
      <w:r w:rsidRPr="0052298D">
        <w:rPr>
          <w:rFonts w:ascii="Arial" w:hAnsi="Arial" w:cs="Arial"/>
          <w:sz w:val="22"/>
          <w:szCs w:val="22"/>
        </w:rPr>
        <w:t>. Bristol: Policy Press.</w:t>
      </w:r>
    </w:p>
    <w:p w14:paraId="21A629E6"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Frost, N. and Parton, N. (2021) ‘Reflections on safeguarding reforms in England’, </w:t>
      </w:r>
      <w:r w:rsidRPr="0052298D">
        <w:rPr>
          <w:rFonts w:ascii="Arial" w:hAnsi="Arial" w:cs="Arial"/>
          <w:i/>
          <w:iCs/>
          <w:sz w:val="22"/>
          <w:szCs w:val="22"/>
        </w:rPr>
        <w:t>Social Policy and Society</w:t>
      </w:r>
      <w:r w:rsidRPr="0052298D">
        <w:rPr>
          <w:rFonts w:ascii="Arial" w:hAnsi="Arial" w:cs="Arial"/>
          <w:sz w:val="22"/>
          <w:szCs w:val="22"/>
        </w:rPr>
        <w:t>, 20(1), pp. 13–27.</w:t>
      </w:r>
    </w:p>
    <w:p w14:paraId="7EA21B91"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Government Digital Service (GDS) (2023) </w:t>
      </w:r>
      <w:r w:rsidRPr="0052298D">
        <w:rPr>
          <w:rFonts w:ascii="Arial" w:hAnsi="Arial" w:cs="Arial"/>
          <w:i/>
          <w:iCs/>
          <w:sz w:val="22"/>
          <w:szCs w:val="22"/>
        </w:rPr>
        <w:t>Designing for accessibility</w:t>
      </w:r>
      <w:r w:rsidRPr="0052298D">
        <w:rPr>
          <w:rFonts w:ascii="Arial" w:hAnsi="Arial" w:cs="Arial"/>
          <w:sz w:val="22"/>
          <w:szCs w:val="22"/>
        </w:rPr>
        <w:t>. London: Cabinet Office.</w:t>
      </w:r>
    </w:p>
    <w:p w14:paraId="2C0880AA"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HM Government (2023) </w:t>
      </w:r>
      <w:r w:rsidRPr="0052298D">
        <w:rPr>
          <w:rFonts w:ascii="Arial" w:hAnsi="Arial" w:cs="Arial"/>
          <w:i/>
          <w:iCs/>
          <w:sz w:val="22"/>
          <w:szCs w:val="22"/>
        </w:rPr>
        <w:t>Working together to safeguard children 2023: Statutory guidance</w:t>
      </w:r>
      <w:r w:rsidRPr="0052298D">
        <w:rPr>
          <w:rFonts w:ascii="Arial" w:hAnsi="Arial" w:cs="Arial"/>
          <w:sz w:val="22"/>
          <w:szCs w:val="22"/>
        </w:rPr>
        <w:t>. London: Department for Education.</w:t>
      </w:r>
    </w:p>
    <w:p w14:paraId="5D3CBE51" w14:textId="57B289B6"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Hood, R. (2018)</w:t>
      </w:r>
      <w:r w:rsidR="009A71AB">
        <w:rPr>
          <w:rFonts w:ascii="Arial" w:hAnsi="Arial" w:cs="Arial"/>
          <w:sz w:val="22"/>
          <w:szCs w:val="22"/>
        </w:rPr>
        <w:t>.</w:t>
      </w:r>
      <w:r w:rsidRPr="0052298D">
        <w:rPr>
          <w:rFonts w:ascii="Arial" w:hAnsi="Arial" w:cs="Arial"/>
          <w:sz w:val="22"/>
          <w:szCs w:val="22"/>
        </w:rPr>
        <w:t xml:space="preserve"> </w:t>
      </w:r>
      <w:r w:rsidRPr="0052298D">
        <w:rPr>
          <w:rFonts w:ascii="Arial" w:hAnsi="Arial" w:cs="Arial"/>
          <w:i/>
          <w:iCs/>
          <w:sz w:val="22"/>
          <w:szCs w:val="22"/>
        </w:rPr>
        <w:t>Complexity and integrated working in children’s services</w:t>
      </w:r>
      <w:r w:rsidRPr="0052298D">
        <w:rPr>
          <w:rFonts w:ascii="Arial" w:hAnsi="Arial" w:cs="Arial"/>
          <w:sz w:val="22"/>
          <w:szCs w:val="22"/>
        </w:rPr>
        <w:t>. Bristol: Policy Press.</w:t>
      </w:r>
    </w:p>
    <w:p w14:paraId="7E5E0AFB"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Joseph Rowntree Foundation (JRF) (2023) </w:t>
      </w:r>
      <w:r w:rsidRPr="0052298D">
        <w:rPr>
          <w:rFonts w:ascii="Arial" w:hAnsi="Arial" w:cs="Arial"/>
          <w:i/>
          <w:iCs/>
          <w:sz w:val="22"/>
          <w:szCs w:val="22"/>
        </w:rPr>
        <w:t>UK poverty 2023</w:t>
      </w:r>
      <w:r w:rsidRPr="0052298D">
        <w:rPr>
          <w:rFonts w:ascii="Arial" w:hAnsi="Arial" w:cs="Arial"/>
          <w:sz w:val="22"/>
          <w:szCs w:val="22"/>
        </w:rPr>
        <w:t>. York: JRF.</w:t>
      </w:r>
    </w:p>
    <w:p w14:paraId="78D82C0D"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Leeds City Council (2024) </w:t>
      </w:r>
      <w:r w:rsidRPr="0052298D">
        <w:rPr>
          <w:rFonts w:ascii="Arial" w:hAnsi="Arial" w:cs="Arial"/>
          <w:i/>
          <w:iCs/>
          <w:sz w:val="22"/>
          <w:szCs w:val="22"/>
        </w:rPr>
        <w:t>Family help and support</w:t>
      </w:r>
      <w:r w:rsidRPr="0052298D">
        <w:rPr>
          <w:rFonts w:ascii="Arial" w:hAnsi="Arial" w:cs="Arial"/>
          <w:sz w:val="22"/>
          <w:szCs w:val="22"/>
        </w:rPr>
        <w:t xml:space="preserve">. Available at: </w:t>
      </w:r>
      <w:hyperlink r:id="rId10" w:tgtFrame="_new" w:history="1">
        <w:r w:rsidRPr="0052298D">
          <w:rPr>
            <w:rStyle w:val="Hyperlink"/>
            <w:rFonts w:ascii="Arial" w:hAnsi="Arial" w:cs="Arial"/>
            <w:sz w:val="22"/>
            <w:szCs w:val="22"/>
          </w:rPr>
          <w:t>https://www.leeds.gov.uk/children-and-families/family-help-and-support</w:t>
        </w:r>
      </w:hyperlink>
      <w:r w:rsidRPr="0052298D">
        <w:rPr>
          <w:rFonts w:ascii="Arial" w:hAnsi="Arial" w:cs="Arial"/>
          <w:sz w:val="22"/>
          <w:szCs w:val="22"/>
        </w:rPr>
        <w:t xml:space="preserve"> (Accessed: 12 November 2025).</w:t>
      </w:r>
    </w:p>
    <w:p w14:paraId="181EEC15" w14:textId="75C6DB39"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Local Government Association (LGA) (2022)</w:t>
      </w:r>
      <w:r w:rsidR="009A71AB">
        <w:rPr>
          <w:rFonts w:ascii="Arial" w:hAnsi="Arial" w:cs="Arial"/>
          <w:sz w:val="22"/>
          <w:szCs w:val="22"/>
        </w:rPr>
        <w:t>.</w:t>
      </w:r>
      <w:r w:rsidRPr="0052298D">
        <w:rPr>
          <w:rFonts w:ascii="Arial" w:hAnsi="Arial" w:cs="Arial"/>
          <w:sz w:val="22"/>
          <w:szCs w:val="22"/>
        </w:rPr>
        <w:t xml:space="preserve"> </w:t>
      </w:r>
      <w:r w:rsidRPr="0052298D">
        <w:rPr>
          <w:rFonts w:ascii="Arial" w:hAnsi="Arial" w:cs="Arial"/>
          <w:i/>
          <w:iCs/>
          <w:sz w:val="22"/>
          <w:szCs w:val="22"/>
        </w:rPr>
        <w:t>Developing effective multi-agency partnerships</w:t>
      </w:r>
      <w:r w:rsidRPr="0052298D">
        <w:rPr>
          <w:rFonts w:ascii="Arial" w:hAnsi="Arial" w:cs="Arial"/>
          <w:sz w:val="22"/>
          <w:szCs w:val="22"/>
        </w:rPr>
        <w:t>. London: LGA.</w:t>
      </w:r>
    </w:p>
    <w:p w14:paraId="755390C2"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Munro, E. (2021) ‘Reflections on child protection policy and practice in England’, </w:t>
      </w:r>
      <w:r w:rsidRPr="0052298D">
        <w:rPr>
          <w:rFonts w:ascii="Arial" w:hAnsi="Arial" w:cs="Arial"/>
          <w:i/>
          <w:iCs/>
          <w:sz w:val="22"/>
          <w:szCs w:val="22"/>
        </w:rPr>
        <w:t>Child Abuse Review</w:t>
      </w:r>
      <w:r w:rsidRPr="0052298D">
        <w:rPr>
          <w:rFonts w:ascii="Arial" w:hAnsi="Arial" w:cs="Arial"/>
          <w:sz w:val="22"/>
          <w:szCs w:val="22"/>
        </w:rPr>
        <w:t>, 30(5), pp. 377–389.</w:t>
      </w:r>
    </w:p>
    <w:p w14:paraId="21E545FC"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National Society for the Prevention of Cruelty to Children (NSPCC) (2023) </w:t>
      </w:r>
      <w:r w:rsidRPr="0052298D">
        <w:rPr>
          <w:rFonts w:ascii="Arial" w:hAnsi="Arial" w:cs="Arial"/>
          <w:i/>
          <w:iCs/>
          <w:sz w:val="22"/>
          <w:szCs w:val="22"/>
        </w:rPr>
        <w:t>Learning from serious case reviews 2023</w:t>
      </w:r>
      <w:r w:rsidRPr="0052298D">
        <w:rPr>
          <w:rFonts w:ascii="Arial" w:hAnsi="Arial" w:cs="Arial"/>
          <w:sz w:val="22"/>
          <w:szCs w:val="22"/>
        </w:rPr>
        <w:t>. London: NSPCC.</w:t>
      </w:r>
    </w:p>
    <w:p w14:paraId="73BA9069" w14:textId="3A3871C3"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lastRenderedPageBreak/>
        <w:t>NSPCC (2024)</w:t>
      </w:r>
      <w:r w:rsidR="009A71AB">
        <w:rPr>
          <w:rFonts w:ascii="Arial" w:hAnsi="Arial" w:cs="Arial"/>
          <w:sz w:val="22"/>
          <w:szCs w:val="22"/>
        </w:rPr>
        <w:t>.</w:t>
      </w:r>
      <w:r w:rsidRPr="0052298D">
        <w:rPr>
          <w:rFonts w:ascii="Arial" w:hAnsi="Arial" w:cs="Arial"/>
          <w:sz w:val="22"/>
          <w:szCs w:val="22"/>
        </w:rPr>
        <w:t xml:space="preserve"> </w:t>
      </w:r>
      <w:r w:rsidRPr="0052298D">
        <w:rPr>
          <w:rFonts w:ascii="Arial" w:hAnsi="Arial" w:cs="Arial"/>
          <w:i/>
          <w:iCs/>
          <w:sz w:val="22"/>
          <w:szCs w:val="22"/>
        </w:rPr>
        <w:t>Early intervention in child protection</w:t>
      </w:r>
      <w:r w:rsidRPr="0052298D">
        <w:rPr>
          <w:rFonts w:ascii="Arial" w:hAnsi="Arial" w:cs="Arial"/>
          <w:sz w:val="22"/>
          <w:szCs w:val="22"/>
        </w:rPr>
        <w:t xml:space="preserve">. Available at: </w:t>
      </w:r>
      <w:hyperlink r:id="rId11" w:tgtFrame="_new" w:history="1">
        <w:r w:rsidRPr="0052298D">
          <w:rPr>
            <w:rStyle w:val="Hyperlink"/>
            <w:rFonts w:ascii="Arial" w:hAnsi="Arial" w:cs="Arial"/>
            <w:sz w:val="22"/>
            <w:szCs w:val="22"/>
          </w:rPr>
          <w:t>https://learning.nspcc.org.uk</w:t>
        </w:r>
      </w:hyperlink>
      <w:r w:rsidRPr="0052298D">
        <w:rPr>
          <w:rFonts w:ascii="Arial" w:hAnsi="Arial" w:cs="Arial"/>
          <w:sz w:val="22"/>
          <w:szCs w:val="22"/>
        </w:rPr>
        <w:t xml:space="preserve"> (Accessed: 10 November 2025).</w:t>
      </w:r>
    </w:p>
    <w:p w14:paraId="5743115E"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Odeyemi, I.A. (2022) ‘Innovating primary health care delivery in Nigeria: A review of mobile health interventions’, </w:t>
      </w:r>
      <w:r w:rsidRPr="0052298D">
        <w:rPr>
          <w:rFonts w:ascii="Arial" w:hAnsi="Arial" w:cs="Arial"/>
          <w:i/>
          <w:iCs/>
          <w:sz w:val="22"/>
          <w:szCs w:val="22"/>
        </w:rPr>
        <w:t>African Journal of Health Economics</w:t>
      </w:r>
      <w:r w:rsidRPr="0052298D">
        <w:rPr>
          <w:rFonts w:ascii="Arial" w:hAnsi="Arial" w:cs="Arial"/>
          <w:sz w:val="22"/>
          <w:szCs w:val="22"/>
        </w:rPr>
        <w:t>, 31(2), pp. 45–54.</w:t>
      </w:r>
    </w:p>
    <w:p w14:paraId="42FE1B7D"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Office for National Statistics (ONS) (2023) </w:t>
      </w:r>
      <w:r w:rsidRPr="0052298D">
        <w:rPr>
          <w:rFonts w:ascii="Arial" w:hAnsi="Arial" w:cs="Arial"/>
          <w:i/>
          <w:iCs/>
          <w:sz w:val="22"/>
          <w:szCs w:val="22"/>
        </w:rPr>
        <w:t>Families and households in the UK: 2023</w:t>
      </w:r>
      <w:r w:rsidRPr="0052298D">
        <w:rPr>
          <w:rFonts w:ascii="Arial" w:hAnsi="Arial" w:cs="Arial"/>
          <w:sz w:val="22"/>
          <w:szCs w:val="22"/>
        </w:rPr>
        <w:t>. London: ONS.</w:t>
      </w:r>
    </w:p>
    <w:p w14:paraId="29716A2C"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Ofsted (2022) </w:t>
      </w:r>
      <w:r w:rsidRPr="0052298D">
        <w:rPr>
          <w:rFonts w:ascii="Arial" w:hAnsi="Arial" w:cs="Arial"/>
          <w:i/>
          <w:iCs/>
          <w:sz w:val="22"/>
          <w:szCs w:val="22"/>
        </w:rPr>
        <w:t>Early help: What works well</w:t>
      </w:r>
      <w:r w:rsidRPr="0052298D">
        <w:rPr>
          <w:rFonts w:ascii="Arial" w:hAnsi="Arial" w:cs="Arial"/>
          <w:sz w:val="22"/>
          <w:szCs w:val="22"/>
        </w:rPr>
        <w:t>. London: Ofsted.</w:t>
      </w:r>
    </w:p>
    <w:p w14:paraId="7F02D2B4" w14:textId="191863D2"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Southwark Council (2024)</w:t>
      </w:r>
      <w:r w:rsidR="009A71AB">
        <w:rPr>
          <w:rFonts w:ascii="Arial" w:hAnsi="Arial" w:cs="Arial"/>
          <w:sz w:val="22"/>
          <w:szCs w:val="22"/>
        </w:rPr>
        <w:t>.</w:t>
      </w:r>
      <w:r w:rsidRPr="0052298D">
        <w:rPr>
          <w:rFonts w:ascii="Arial" w:hAnsi="Arial" w:cs="Arial"/>
          <w:sz w:val="22"/>
          <w:szCs w:val="22"/>
        </w:rPr>
        <w:t xml:space="preserve"> </w:t>
      </w:r>
      <w:r w:rsidRPr="0052298D">
        <w:rPr>
          <w:rFonts w:ascii="Arial" w:hAnsi="Arial" w:cs="Arial"/>
          <w:i/>
          <w:iCs/>
          <w:sz w:val="22"/>
          <w:szCs w:val="22"/>
        </w:rPr>
        <w:t>Early help and family support</w:t>
      </w:r>
      <w:r w:rsidRPr="0052298D">
        <w:rPr>
          <w:rFonts w:ascii="Arial" w:hAnsi="Arial" w:cs="Arial"/>
          <w:sz w:val="22"/>
          <w:szCs w:val="22"/>
        </w:rPr>
        <w:t xml:space="preserve">. Available at: </w:t>
      </w:r>
      <w:hyperlink r:id="rId12" w:tgtFrame="_new" w:history="1">
        <w:r w:rsidRPr="0052298D">
          <w:rPr>
            <w:rStyle w:val="Hyperlink"/>
            <w:rFonts w:ascii="Arial" w:hAnsi="Arial" w:cs="Arial"/>
            <w:sz w:val="22"/>
            <w:szCs w:val="22"/>
          </w:rPr>
          <w:t>https://www.southwark.gov.uk/children-and-families</w:t>
        </w:r>
      </w:hyperlink>
      <w:r w:rsidRPr="0052298D">
        <w:rPr>
          <w:rFonts w:ascii="Arial" w:hAnsi="Arial" w:cs="Arial"/>
          <w:sz w:val="22"/>
          <w:szCs w:val="22"/>
        </w:rPr>
        <w:t xml:space="preserve"> (Accessed: 12 November 2025).</w:t>
      </w:r>
    </w:p>
    <w:p w14:paraId="2A5A307D"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Staffordshire County Council (2024) </w:t>
      </w:r>
      <w:r w:rsidRPr="0052298D">
        <w:rPr>
          <w:rFonts w:ascii="Arial" w:hAnsi="Arial" w:cs="Arial"/>
          <w:i/>
          <w:iCs/>
          <w:sz w:val="22"/>
          <w:szCs w:val="22"/>
        </w:rPr>
        <w:t>Staffordshire Connects – Family support and early help</w:t>
      </w:r>
      <w:r w:rsidRPr="0052298D">
        <w:rPr>
          <w:rFonts w:ascii="Arial" w:hAnsi="Arial" w:cs="Arial"/>
          <w:sz w:val="22"/>
          <w:szCs w:val="22"/>
        </w:rPr>
        <w:t xml:space="preserve">. Available at: </w:t>
      </w:r>
      <w:hyperlink r:id="rId13" w:tgtFrame="_new" w:history="1">
        <w:r w:rsidRPr="0052298D">
          <w:rPr>
            <w:rStyle w:val="Hyperlink"/>
            <w:rFonts w:ascii="Arial" w:hAnsi="Arial" w:cs="Arial"/>
            <w:sz w:val="22"/>
            <w:szCs w:val="22"/>
          </w:rPr>
          <w:t>https://www.staffordshireconnects.info</w:t>
        </w:r>
      </w:hyperlink>
      <w:r w:rsidRPr="0052298D">
        <w:rPr>
          <w:rFonts w:ascii="Arial" w:hAnsi="Arial" w:cs="Arial"/>
          <w:sz w:val="22"/>
          <w:szCs w:val="22"/>
        </w:rPr>
        <w:t xml:space="preserve"> (Accessed: 12 November 2025).</w:t>
      </w:r>
    </w:p>
    <w:p w14:paraId="6102F0DE"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Thomas, G. and Shaw, C. (2021) ‘Digital transformation and child safeguarding during COVID-19’, </w:t>
      </w:r>
      <w:r w:rsidRPr="0052298D">
        <w:rPr>
          <w:rFonts w:ascii="Arial" w:hAnsi="Arial" w:cs="Arial"/>
          <w:i/>
          <w:iCs/>
          <w:sz w:val="22"/>
          <w:szCs w:val="22"/>
        </w:rPr>
        <w:t>Children and Youth Services Review</w:t>
      </w:r>
      <w:r w:rsidRPr="0052298D">
        <w:rPr>
          <w:rFonts w:ascii="Arial" w:hAnsi="Arial" w:cs="Arial"/>
          <w:sz w:val="22"/>
          <w:szCs w:val="22"/>
        </w:rPr>
        <w:t>, 126, 106041.</w:t>
      </w:r>
    </w:p>
    <w:p w14:paraId="48DF5D19" w14:textId="77777777" w:rsidR="0052298D" w:rsidRPr="0052298D" w:rsidRDefault="0052298D" w:rsidP="0052298D">
      <w:pPr>
        <w:spacing w:line="360" w:lineRule="auto"/>
        <w:jc w:val="both"/>
        <w:rPr>
          <w:rFonts w:ascii="Arial" w:hAnsi="Arial" w:cs="Arial"/>
          <w:sz w:val="22"/>
          <w:szCs w:val="22"/>
        </w:rPr>
      </w:pPr>
      <w:r w:rsidRPr="0052298D">
        <w:rPr>
          <w:rFonts w:ascii="Arial" w:hAnsi="Arial" w:cs="Arial"/>
          <w:sz w:val="22"/>
          <w:szCs w:val="22"/>
        </w:rPr>
        <w:t xml:space="preserve">Whittaker, A. and Havard, T. (2022) ‘Outcomes of early help assessments in England’, </w:t>
      </w:r>
      <w:r w:rsidRPr="0052298D">
        <w:rPr>
          <w:rFonts w:ascii="Arial" w:hAnsi="Arial" w:cs="Arial"/>
          <w:i/>
          <w:iCs/>
          <w:sz w:val="22"/>
          <w:szCs w:val="22"/>
        </w:rPr>
        <w:t>British Journal of Social Work</w:t>
      </w:r>
      <w:r w:rsidRPr="0052298D">
        <w:rPr>
          <w:rFonts w:ascii="Arial" w:hAnsi="Arial" w:cs="Arial"/>
          <w:sz w:val="22"/>
          <w:szCs w:val="22"/>
        </w:rPr>
        <w:t>, 52(8), pp. 4661–4678.</w:t>
      </w:r>
    </w:p>
    <w:p w14:paraId="3966FD9B" w14:textId="77777777" w:rsidR="001B2861" w:rsidRPr="001B2861" w:rsidRDefault="001B2861" w:rsidP="001B2861">
      <w:pPr>
        <w:spacing w:line="360" w:lineRule="auto"/>
        <w:jc w:val="both"/>
        <w:rPr>
          <w:rFonts w:ascii="Arial" w:hAnsi="Arial" w:cs="Arial"/>
          <w:sz w:val="22"/>
          <w:szCs w:val="22"/>
        </w:rPr>
      </w:pPr>
    </w:p>
    <w:sectPr w:rsidR="001B2861" w:rsidRPr="001B2861" w:rsidSect="00730FA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C67D19" w14:textId="77777777" w:rsidR="00662B9C" w:rsidRDefault="00662B9C" w:rsidP="0052298D">
      <w:pPr>
        <w:spacing w:after="0" w:line="240" w:lineRule="auto"/>
      </w:pPr>
      <w:r>
        <w:separator/>
      </w:r>
    </w:p>
  </w:endnote>
  <w:endnote w:type="continuationSeparator" w:id="0">
    <w:p w14:paraId="7AEE4C25" w14:textId="77777777" w:rsidR="00662B9C" w:rsidRDefault="00662B9C" w:rsidP="00522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9373295"/>
      <w:docPartObj>
        <w:docPartGallery w:val="Page Numbers (Bottom of Page)"/>
        <w:docPartUnique/>
      </w:docPartObj>
    </w:sdtPr>
    <w:sdtEndPr>
      <w:rPr>
        <w:noProof/>
      </w:rPr>
    </w:sdtEndPr>
    <w:sdtContent>
      <w:p w14:paraId="78DEB32B" w14:textId="405DC7CE" w:rsidR="0052298D" w:rsidRDefault="005229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BCF5EC" w14:textId="77777777" w:rsidR="0052298D" w:rsidRDefault="00522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99DDAE" w14:textId="77777777" w:rsidR="00662B9C" w:rsidRDefault="00662B9C" w:rsidP="0052298D">
      <w:pPr>
        <w:spacing w:after="0" w:line="240" w:lineRule="auto"/>
      </w:pPr>
      <w:r>
        <w:separator/>
      </w:r>
    </w:p>
  </w:footnote>
  <w:footnote w:type="continuationSeparator" w:id="0">
    <w:p w14:paraId="3AA6D874" w14:textId="77777777" w:rsidR="00662B9C" w:rsidRDefault="00662B9C" w:rsidP="005229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88124F"/>
    <w:multiLevelType w:val="multilevel"/>
    <w:tmpl w:val="3FEC8C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3541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861"/>
    <w:rsid w:val="001B2861"/>
    <w:rsid w:val="00233328"/>
    <w:rsid w:val="002D42A6"/>
    <w:rsid w:val="00331CB3"/>
    <w:rsid w:val="004E7710"/>
    <w:rsid w:val="0052298D"/>
    <w:rsid w:val="00662B9C"/>
    <w:rsid w:val="006760A7"/>
    <w:rsid w:val="00730FAE"/>
    <w:rsid w:val="008234F6"/>
    <w:rsid w:val="0084007D"/>
    <w:rsid w:val="009A1F08"/>
    <w:rsid w:val="009A71AB"/>
    <w:rsid w:val="00B83276"/>
    <w:rsid w:val="00C3670B"/>
    <w:rsid w:val="00C62418"/>
    <w:rsid w:val="00DC1E02"/>
    <w:rsid w:val="00E51ABF"/>
    <w:rsid w:val="00E7050A"/>
    <w:rsid w:val="00F838C7"/>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763861"/>
  <w15:chartTrackingRefBased/>
  <w15:docId w15:val="{0C0E38DF-228C-44CB-B3A6-BBD03A0FD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861"/>
  </w:style>
  <w:style w:type="paragraph" w:styleId="Heading1">
    <w:name w:val="heading 1"/>
    <w:basedOn w:val="Normal"/>
    <w:next w:val="Normal"/>
    <w:link w:val="Heading1Char"/>
    <w:uiPriority w:val="9"/>
    <w:qFormat/>
    <w:rsid w:val="00B83276"/>
    <w:pPr>
      <w:spacing w:after="0" w:line="360" w:lineRule="auto"/>
      <w:jc w:val="both"/>
      <w:outlineLvl w:val="0"/>
    </w:pPr>
    <w:rPr>
      <w:rFonts w:ascii="Arial" w:hAnsi="Arial" w:cs="Arial"/>
      <w:b/>
      <w:bCs/>
      <w:sz w:val="22"/>
      <w:szCs w:val="22"/>
    </w:rPr>
  </w:style>
  <w:style w:type="paragraph" w:styleId="Heading2">
    <w:name w:val="heading 2"/>
    <w:basedOn w:val="Normal"/>
    <w:next w:val="Normal"/>
    <w:link w:val="Heading2Char"/>
    <w:uiPriority w:val="9"/>
    <w:unhideWhenUsed/>
    <w:qFormat/>
    <w:rsid w:val="00B83276"/>
    <w:pPr>
      <w:spacing w:after="0" w:line="360" w:lineRule="auto"/>
      <w:jc w:val="both"/>
      <w:outlineLvl w:val="1"/>
    </w:pPr>
    <w:rPr>
      <w:rFonts w:ascii="Arial" w:hAnsi="Arial" w:cs="Arial"/>
      <w:b/>
      <w:bCs/>
      <w:sz w:val="22"/>
      <w:szCs w:val="22"/>
    </w:rPr>
  </w:style>
  <w:style w:type="paragraph" w:styleId="Heading3">
    <w:name w:val="heading 3"/>
    <w:basedOn w:val="Normal"/>
    <w:next w:val="Normal"/>
    <w:link w:val="Heading3Char"/>
    <w:uiPriority w:val="9"/>
    <w:semiHidden/>
    <w:unhideWhenUsed/>
    <w:qFormat/>
    <w:rsid w:val="001B28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B28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28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28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28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28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28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276"/>
    <w:rPr>
      <w:rFonts w:ascii="Arial" w:hAnsi="Arial" w:cs="Arial"/>
      <w:b/>
      <w:bCs/>
      <w:sz w:val="22"/>
      <w:szCs w:val="22"/>
    </w:rPr>
  </w:style>
  <w:style w:type="character" w:customStyle="1" w:styleId="Heading2Char">
    <w:name w:val="Heading 2 Char"/>
    <w:basedOn w:val="DefaultParagraphFont"/>
    <w:link w:val="Heading2"/>
    <w:uiPriority w:val="9"/>
    <w:rsid w:val="00B83276"/>
    <w:rPr>
      <w:rFonts w:ascii="Arial" w:hAnsi="Arial" w:cs="Arial"/>
      <w:b/>
      <w:bCs/>
      <w:sz w:val="22"/>
      <w:szCs w:val="22"/>
    </w:rPr>
  </w:style>
  <w:style w:type="character" w:customStyle="1" w:styleId="Heading3Char">
    <w:name w:val="Heading 3 Char"/>
    <w:basedOn w:val="DefaultParagraphFont"/>
    <w:link w:val="Heading3"/>
    <w:uiPriority w:val="9"/>
    <w:semiHidden/>
    <w:rsid w:val="001B286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B28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28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28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28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28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2861"/>
    <w:rPr>
      <w:rFonts w:eastAsiaTheme="majorEastAsia" w:cstheme="majorBidi"/>
      <w:color w:val="272727" w:themeColor="text1" w:themeTint="D8"/>
    </w:rPr>
  </w:style>
  <w:style w:type="paragraph" w:styleId="Title">
    <w:name w:val="Title"/>
    <w:basedOn w:val="Normal"/>
    <w:next w:val="Normal"/>
    <w:link w:val="TitleChar"/>
    <w:uiPriority w:val="10"/>
    <w:qFormat/>
    <w:rsid w:val="001B28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28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28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28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2861"/>
    <w:pPr>
      <w:spacing w:before="160"/>
      <w:jc w:val="center"/>
    </w:pPr>
    <w:rPr>
      <w:i/>
      <w:iCs/>
      <w:color w:val="404040" w:themeColor="text1" w:themeTint="BF"/>
    </w:rPr>
  </w:style>
  <w:style w:type="character" w:customStyle="1" w:styleId="QuoteChar">
    <w:name w:val="Quote Char"/>
    <w:basedOn w:val="DefaultParagraphFont"/>
    <w:link w:val="Quote"/>
    <w:uiPriority w:val="29"/>
    <w:rsid w:val="001B2861"/>
    <w:rPr>
      <w:i/>
      <w:iCs/>
      <w:color w:val="404040" w:themeColor="text1" w:themeTint="BF"/>
    </w:rPr>
  </w:style>
  <w:style w:type="paragraph" w:styleId="ListParagraph">
    <w:name w:val="List Paragraph"/>
    <w:basedOn w:val="Normal"/>
    <w:uiPriority w:val="34"/>
    <w:qFormat/>
    <w:rsid w:val="001B2861"/>
    <w:pPr>
      <w:ind w:left="720"/>
      <w:contextualSpacing/>
    </w:pPr>
  </w:style>
  <w:style w:type="character" w:styleId="IntenseEmphasis">
    <w:name w:val="Intense Emphasis"/>
    <w:basedOn w:val="DefaultParagraphFont"/>
    <w:uiPriority w:val="21"/>
    <w:qFormat/>
    <w:rsid w:val="001B2861"/>
    <w:rPr>
      <w:i/>
      <w:iCs/>
      <w:color w:val="2F5496" w:themeColor="accent1" w:themeShade="BF"/>
    </w:rPr>
  </w:style>
  <w:style w:type="paragraph" w:styleId="IntenseQuote">
    <w:name w:val="Intense Quote"/>
    <w:basedOn w:val="Normal"/>
    <w:next w:val="Normal"/>
    <w:link w:val="IntenseQuoteChar"/>
    <w:uiPriority w:val="30"/>
    <w:qFormat/>
    <w:rsid w:val="001B28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2861"/>
    <w:rPr>
      <w:i/>
      <w:iCs/>
      <w:color w:val="2F5496" w:themeColor="accent1" w:themeShade="BF"/>
    </w:rPr>
  </w:style>
  <w:style w:type="character" w:styleId="IntenseReference">
    <w:name w:val="Intense Reference"/>
    <w:basedOn w:val="DefaultParagraphFont"/>
    <w:uiPriority w:val="32"/>
    <w:qFormat/>
    <w:rsid w:val="001B2861"/>
    <w:rPr>
      <w:b/>
      <w:bCs/>
      <w:smallCaps/>
      <w:color w:val="2F5496" w:themeColor="accent1" w:themeShade="BF"/>
      <w:spacing w:val="5"/>
    </w:rPr>
  </w:style>
  <w:style w:type="character" w:styleId="Hyperlink">
    <w:name w:val="Hyperlink"/>
    <w:basedOn w:val="DefaultParagraphFont"/>
    <w:uiPriority w:val="99"/>
    <w:unhideWhenUsed/>
    <w:rsid w:val="001B2861"/>
    <w:rPr>
      <w:color w:val="0563C1" w:themeColor="hyperlink"/>
      <w:u w:val="single"/>
    </w:rPr>
  </w:style>
  <w:style w:type="character" w:styleId="UnresolvedMention">
    <w:name w:val="Unresolved Mention"/>
    <w:basedOn w:val="DefaultParagraphFont"/>
    <w:uiPriority w:val="99"/>
    <w:semiHidden/>
    <w:unhideWhenUsed/>
    <w:rsid w:val="001B2861"/>
    <w:rPr>
      <w:color w:val="605E5C"/>
      <w:shd w:val="clear" w:color="auto" w:fill="E1DFDD"/>
    </w:rPr>
  </w:style>
  <w:style w:type="paragraph" w:styleId="TOCHeading">
    <w:name w:val="TOC Heading"/>
    <w:basedOn w:val="Heading1"/>
    <w:next w:val="Normal"/>
    <w:uiPriority w:val="39"/>
    <w:unhideWhenUsed/>
    <w:qFormat/>
    <w:rsid w:val="00B83276"/>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B83276"/>
    <w:pPr>
      <w:spacing w:after="100"/>
    </w:pPr>
  </w:style>
  <w:style w:type="paragraph" w:styleId="TOC2">
    <w:name w:val="toc 2"/>
    <w:basedOn w:val="Normal"/>
    <w:next w:val="Normal"/>
    <w:autoRedefine/>
    <w:uiPriority w:val="39"/>
    <w:unhideWhenUsed/>
    <w:rsid w:val="00B83276"/>
    <w:pPr>
      <w:spacing w:after="100"/>
      <w:ind w:left="240"/>
    </w:pPr>
  </w:style>
  <w:style w:type="paragraph" w:styleId="Header">
    <w:name w:val="header"/>
    <w:basedOn w:val="Normal"/>
    <w:link w:val="HeaderChar"/>
    <w:uiPriority w:val="99"/>
    <w:unhideWhenUsed/>
    <w:rsid w:val="005229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98D"/>
  </w:style>
  <w:style w:type="paragraph" w:styleId="Footer">
    <w:name w:val="footer"/>
    <w:basedOn w:val="Normal"/>
    <w:link w:val="FooterChar"/>
    <w:uiPriority w:val="99"/>
    <w:unhideWhenUsed/>
    <w:rsid w:val="00522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9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ffordshireconnects.inf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outhwark.gov.uk/children-and-famili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nspcc.org.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eeds.gov.uk/children-and-families/family-help-and-suppor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AC387B-3384-4D87-89FC-E19DE49F05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2809</Words>
  <Characters>16719</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Sharon Akhigbe</cp:lastModifiedBy>
  <cp:revision>15</cp:revision>
  <dcterms:created xsi:type="dcterms:W3CDTF">2025-11-14T00:47:00Z</dcterms:created>
  <dcterms:modified xsi:type="dcterms:W3CDTF">2025-11-23T10:02:00Z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33c2b352-d82d-4462-8351-ace51d5fd6b2</vt:lpwstr>
  </property>
</Properties>
</file>