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C78396" w14:textId="77777777" w:rsidR="00F96ECC" w:rsidRDefault="00F96ECC">
      <w:pPr>
        <w:spacing w:line="259" w:lineRule="auto"/>
        <w:jc w:val="left"/>
      </w:pPr>
      <w:r w:rsidRPr="00A406E5">
        <w:rPr>
          <w:rFonts w:ascii="Arial" w:hAnsi="Arial" w:cs="Arial"/>
          <w:noProof/>
        </w:rPr>
        <w:drawing>
          <wp:inline distT="0" distB="0" distL="0" distR="0" wp14:anchorId="01EB0948" wp14:editId="30CFB18D">
            <wp:extent cx="1809750" cy="723900"/>
            <wp:effectExtent l="0" t="0" r="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F0FF347" w14:textId="77777777" w:rsidR="00F96ECC" w:rsidRDefault="00F96ECC">
      <w:pPr>
        <w:spacing w:line="259" w:lineRule="auto"/>
        <w:jc w:val="left"/>
      </w:pPr>
    </w:p>
    <w:p w14:paraId="71F49FD7" w14:textId="77777777" w:rsidR="00F96ECC" w:rsidRDefault="00F96ECC" w:rsidP="00F96ECC">
      <w:pPr>
        <w:spacing w:line="259" w:lineRule="auto"/>
        <w:jc w:val="left"/>
      </w:pPr>
    </w:p>
    <w:p w14:paraId="50A4EC06" w14:textId="77777777" w:rsidR="00F96ECC" w:rsidRDefault="00F96ECC" w:rsidP="00F96ECC">
      <w:pPr>
        <w:spacing w:line="259" w:lineRule="auto"/>
        <w:jc w:val="left"/>
      </w:pPr>
    </w:p>
    <w:p w14:paraId="61FF71D4" w14:textId="77777777" w:rsidR="00F96ECC" w:rsidRDefault="00F96ECC" w:rsidP="00F96ECC">
      <w:pPr>
        <w:spacing w:line="259" w:lineRule="auto"/>
        <w:jc w:val="left"/>
      </w:pPr>
    </w:p>
    <w:p w14:paraId="33EDD135" w14:textId="77777777" w:rsidR="0017641D" w:rsidRPr="0017641D" w:rsidRDefault="00F96ECC" w:rsidP="0017641D">
      <w:pPr>
        <w:spacing w:line="259" w:lineRule="auto"/>
        <w:jc w:val="center"/>
        <w:rPr>
          <w:rFonts w:ascii="Arial" w:hAnsi="Arial" w:cs="Arial"/>
          <w:sz w:val="40"/>
        </w:rPr>
      </w:pPr>
      <w:r w:rsidRPr="0017641D">
        <w:rPr>
          <w:rFonts w:ascii="Arial" w:hAnsi="Arial" w:cs="Arial"/>
          <w:b/>
          <w:sz w:val="40"/>
        </w:rPr>
        <w:t>Module Name</w:t>
      </w:r>
      <w:r w:rsidR="0017641D" w:rsidRPr="0017641D">
        <w:rPr>
          <w:rFonts w:ascii="Arial" w:hAnsi="Arial" w:cs="Arial"/>
          <w:b/>
          <w:sz w:val="40"/>
        </w:rPr>
        <w:t xml:space="preserve">: </w:t>
      </w:r>
      <w:r w:rsidRPr="0017641D">
        <w:rPr>
          <w:rFonts w:ascii="Arial" w:hAnsi="Arial" w:cs="Arial"/>
          <w:sz w:val="40"/>
        </w:rPr>
        <w:t>Marketing Management</w:t>
      </w:r>
      <w:r w:rsidR="0017641D" w:rsidRPr="0017641D">
        <w:rPr>
          <w:rFonts w:ascii="Arial" w:hAnsi="Arial" w:cs="Arial"/>
          <w:sz w:val="40"/>
        </w:rPr>
        <w:t xml:space="preserve"> </w:t>
      </w:r>
    </w:p>
    <w:p w14:paraId="714F5CAB" w14:textId="4DB500D5" w:rsidR="00F96ECC" w:rsidRPr="0017641D" w:rsidRDefault="0017641D" w:rsidP="0017641D">
      <w:pPr>
        <w:spacing w:line="259" w:lineRule="auto"/>
        <w:jc w:val="center"/>
        <w:rPr>
          <w:rFonts w:ascii="Arial" w:hAnsi="Arial" w:cs="Arial"/>
          <w:b/>
          <w:sz w:val="40"/>
        </w:rPr>
      </w:pPr>
      <w:r w:rsidRPr="0017641D">
        <w:rPr>
          <w:rFonts w:ascii="Arial" w:hAnsi="Arial" w:cs="Arial"/>
          <w:sz w:val="40"/>
        </w:rPr>
        <w:t>(Portfolio Submission)</w:t>
      </w:r>
    </w:p>
    <w:p w14:paraId="627C2798" w14:textId="06994B46" w:rsidR="00F96ECC" w:rsidRPr="0017641D" w:rsidRDefault="00F96ECC" w:rsidP="0017641D">
      <w:pPr>
        <w:spacing w:line="259" w:lineRule="auto"/>
        <w:jc w:val="center"/>
        <w:rPr>
          <w:rFonts w:ascii="Arial" w:hAnsi="Arial" w:cs="Arial"/>
          <w:b/>
          <w:sz w:val="40"/>
        </w:rPr>
      </w:pPr>
      <w:r w:rsidRPr="0017641D">
        <w:rPr>
          <w:rFonts w:ascii="Arial" w:hAnsi="Arial" w:cs="Arial"/>
          <w:b/>
          <w:sz w:val="40"/>
        </w:rPr>
        <w:t>Module code</w:t>
      </w:r>
      <w:r w:rsidR="0017641D" w:rsidRPr="0017641D">
        <w:rPr>
          <w:rFonts w:ascii="Arial" w:hAnsi="Arial" w:cs="Arial"/>
          <w:b/>
          <w:sz w:val="40"/>
        </w:rPr>
        <w:t xml:space="preserve">: </w:t>
      </w:r>
      <w:r w:rsidRPr="0017641D">
        <w:rPr>
          <w:rFonts w:ascii="Arial" w:hAnsi="Arial" w:cs="Arial"/>
          <w:sz w:val="40"/>
        </w:rPr>
        <w:t>LCMB7024</w:t>
      </w:r>
    </w:p>
    <w:p w14:paraId="45A1FF2B" w14:textId="3F078922" w:rsidR="0017641D" w:rsidRPr="0017641D" w:rsidRDefault="0017641D" w:rsidP="0017641D">
      <w:pPr>
        <w:spacing w:line="259" w:lineRule="auto"/>
        <w:jc w:val="center"/>
        <w:rPr>
          <w:rFonts w:ascii="Arial" w:hAnsi="Arial" w:cs="Arial"/>
          <w:sz w:val="40"/>
          <w:lang w:val="en-GB"/>
        </w:rPr>
      </w:pPr>
      <w:r w:rsidRPr="0017641D">
        <w:rPr>
          <w:rFonts w:ascii="Arial" w:hAnsi="Arial" w:cs="Arial"/>
          <w:b/>
          <w:bCs/>
          <w:sz w:val="40"/>
          <w:lang w:val="en-GB"/>
        </w:rPr>
        <w:t xml:space="preserve">Lecturer </w:t>
      </w:r>
      <w:r w:rsidR="008C4B23">
        <w:rPr>
          <w:rFonts w:ascii="Arial" w:hAnsi="Arial" w:cs="Arial"/>
          <w:b/>
          <w:bCs/>
          <w:sz w:val="40"/>
          <w:lang w:val="en-GB"/>
        </w:rPr>
        <w:t>N</w:t>
      </w:r>
      <w:r w:rsidRPr="0017641D">
        <w:rPr>
          <w:rFonts w:ascii="Arial" w:hAnsi="Arial" w:cs="Arial"/>
          <w:b/>
          <w:bCs/>
          <w:sz w:val="40"/>
          <w:lang w:val="en-GB"/>
        </w:rPr>
        <w:t>ame:</w:t>
      </w:r>
      <w:r w:rsidRPr="0017641D">
        <w:rPr>
          <w:rFonts w:ascii="Arial" w:hAnsi="Arial" w:cs="Arial"/>
          <w:sz w:val="40"/>
          <w:lang w:val="en-GB"/>
        </w:rPr>
        <w:t xml:space="preserve"> Taonga </w:t>
      </w:r>
      <w:proofErr w:type="spellStart"/>
      <w:r w:rsidRPr="0017641D">
        <w:rPr>
          <w:rFonts w:ascii="Arial" w:hAnsi="Arial" w:cs="Arial"/>
          <w:sz w:val="40"/>
          <w:lang w:val="en-GB"/>
        </w:rPr>
        <w:t>Kaonga</w:t>
      </w:r>
      <w:proofErr w:type="spellEnd"/>
      <w:r w:rsidRPr="0017641D">
        <w:rPr>
          <w:rFonts w:ascii="Arial" w:hAnsi="Arial" w:cs="Arial"/>
          <w:sz w:val="40"/>
          <w:lang w:val="en-GB"/>
        </w:rPr>
        <w:t xml:space="preserve"> </w:t>
      </w:r>
      <w:proofErr w:type="spellStart"/>
      <w:r w:rsidRPr="0017641D">
        <w:rPr>
          <w:rFonts w:ascii="Arial" w:hAnsi="Arial" w:cs="Arial"/>
          <w:sz w:val="40"/>
          <w:lang w:val="en-GB"/>
        </w:rPr>
        <w:t>Sobere-Snithers</w:t>
      </w:r>
      <w:proofErr w:type="spellEnd"/>
    </w:p>
    <w:p w14:paraId="4EE8EC59" w14:textId="68B9D91A" w:rsidR="0017641D" w:rsidRPr="0017641D" w:rsidRDefault="0017641D" w:rsidP="0017641D">
      <w:pPr>
        <w:spacing w:line="259" w:lineRule="auto"/>
        <w:jc w:val="center"/>
        <w:rPr>
          <w:rFonts w:ascii="Arial" w:hAnsi="Arial" w:cs="Arial"/>
          <w:sz w:val="40"/>
          <w:lang w:val="en-GB"/>
        </w:rPr>
      </w:pPr>
      <w:r w:rsidRPr="0017641D">
        <w:rPr>
          <w:rFonts w:ascii="Arial" w:hAnsi="Arial" w:cs="Arial"/>
          <w:b/>
          <w:bCs/>
          <w:sz w:val="40"/>
          <w:lang w:val="en-GB"/>
        </w:rPr>
        <w:t>Student Name:</w:t>
      </w:r>
      <w:r w:rsidRPr="0017641D">
        <w:rPr>
          <w:rFonts w:ascii="Arial" w:hAnsi="Arial" w:cs="Arial"/>
          <w:sz w:val="40"/>
          <w:lang w:val="en-GB"/>
        </w:rPr>
        <w:t xml:space="preserve"> Mohammed </w:t>
      </w:r>
      <w:proofErr w:type="spellStart"/>
      <w:r w:rsidRPr="0017641D">
        <w:rPr>
          <w:rFonts w:ascii="Arial" w:hAnsi="Arial" w:cs="Arial"/>
          <w:sz w:val="40"/>
          <w:lang w:val="en-GB"/>
        </w:rPr>
        <w:t>Masoom</w:t>
      </w:r>
      <w:proofErr w:type="spellEnd"/>
      <w:r w:rsidRPr="0017641D">
        <w:rPr>
          <w:rFonts w:ascii="Arial" w:hAnsi="Arial" w:cs="Arial"/>
          <w:sz w:val="40"/>
          <w:lang w:val="en-GB"/>
        </w:rPr>
        <w:t xml:space="preserve"> (Max)</w:t>
      </w:r>
    </w:p>
    <w:p w14:paraId="3CCAA8AA" w14:textId="6A2B4954" w:rsidR="0017641D" w:rsidRPr="0017641D" w:rsidRDefault="0017641D" w:rsidP="0017641D">
      <w:pPr>
        <w:spacing w:line="259" w:lineRule="auto"/>
        <w:jc w:val="center"/>
        <w:rPr>
          <w:rFonts w:ascii="Arial" w:hAnsi="Arial" w:cs="Arial"/>
          <w:sz w:val="40"/>
          <w:lang w:val="en-GB"/>
        </w:rPr>
      </w:pPr>
      <w:r w:rsidRPr="0017641D">
        <w:rPr>
          <w:rFonts w:ascii="Arial" w:hAnsi="Arial" w:cs="Arial"/>
          <w:b/>
          <w:bCs/>
          <w:sz w:val="40"/>
          <w:lang w:val="en-GB"/>
        </w:rPr>
        <w:t>Student Number:</w:t>
      </w:r>
      <w:r w:rsidRPr="0017641D">
        <w:rPr>
          <w:rFonts w:ascii="Arial" w:hAnsi="Arial" w:cs="Arial"/>
          <w:sz w:val="40"/>
          <w:lang w:val="en-GB"/>
        </w:rPr>
        <w:t xml:space="preserve"> 2223129</w:t>
      </w:r>
    </w:p>
    <w:p w14:paraId="6818B2BF" w14:textId="77777777" w:rsidR="0017641D" w:rsidRDefault="0017641D" w:rsidP="00F96ECC">
      <w:pPr>
        <w:spacing w:line="259" w:lineRule="auto"/>
        <w:jc w:val="center"/>
        <w:rPr>
          <w:sz w:val="40"/>
        </w:rPr>
      </w:pPr>
    </w:p>
    <w:p w14:paraId="17FBE730" w14:textId="77777777" w:rsidR="0017641D" w:rsidRPr="00F96ECC" w:rsidRDefault="0017641D" w:rsidP="00F96ECC">
      <w:pPr>
        <w:spacing w:line="259" w:lineRule="auto"/>
        <w:jc w:val="center"/>
        <w:rPr>
          <w:sz w:val="40"/>
        </w:rPr>
      </w:pPr>
    </w:p>
    <w:p w14:paraId="5007E65B" w14:textId="77777777" w:rsidR="00F96ECC" w:rsidRDefault="00F96ECC" w:rsidP="00F96ECC">
      <w:pPr>
        <w:spacing w:line="259" w:lineRule="auto"/>
        <w:jc w:val="left"/>
      </w:pPr>
      <w:r>
        <w:br w:type="page"/>
      </w:r>
    </w:p>
    <w:sdt>
      <w:sdtPr>
        <w:rPr>
          <w:rFonts w:ascii="Times New Roman" w:eastAsiaTheme="minorHAnsi" w:hAnsi="Times New Roman" w:cs="Times New Roman"/>
          <w:color w:val="auto"/>
          <w:sz w:val="24"/>
          <w:szCs w:val="24"/>
        </w:rPr>
        <w:id w:val="-383489532"/>
        <w:docPartObj>
          <w:docPartGallery w:val="Table of Contents"/>
          <w:docPartUnique/>
        </w:docPartObj>
      </w:sdtPr>
      <w:sdtEndPr>
        <w:rPr>
          <w:b/>
          <w:bCs/>
          <w:noProof/>
        </w:rPr>
      </w:sdtEndPr>
      <w:sdtContent>
        <w:p w14:paraId="5A1D1FBA" w14:textId="07AEBF7C" w:rsidR="00F96ECC" w:rsidRPr="0017641D" w:rsidRDefault="00F96ECC">
          <w:pPr>
            <w:pStyle w:val="TOCHeading"/>
            <w:rPr>
              <w:rFonts w:ascii="Arial" w:hAnsi="Arial" w:cs="Arial"/>
              <w:b/>
              <w:color w:val="auto"/>
            </w:rPr>
          </w:pPr>
          <w:r w:rsidRPr="0017641D">
            <w:rPr>
              <w:rFonts w:ascii="Arial" w:hAnsi="Arial" w:cs="Arial"/>
              <w:b/>
              <w:color w:val="auto"/>
            </w:rPr>
            <w:t>Contents</w:t>
          </w:r>
          <w:r w:rsidR="00055FC0">
            <w:rPr>
              <w:rFonts w:ascii="Arial" w:hAnsi="Arial" w:cs="Arial"/>
              <w:b/>
              <w:color w:val="auto"/>
            </w:rPr>
            <w:t>:</w:t>
          </w:r>
        </w:p>
        <w:p w14:paraId="7F32E763" w14:textId="77777777" w:rsidR="0017641D" w:rsidRPr="0017641D" w:rsidRDefault="0017641D" w:rsidP="0017641D">
          <w:pPr>
            <w:rPr>
              <w:rFonts w:ascii="Arial" w:hAnsi="Arial" w:cs="Arial"/>
            </w:rPr>
          </w:pPr>
        </w:p>
        <w:p w14:paraId="1799D901" w14:textId="456F0A66" w:rsidR="00C06418" w:rsidRDefault="00F96ECC">
          <w:pPr>
            <w:pStyle w:val="TOC1"/>
            <w:tabs>
              <w:tab w:val="right" w:leader="dot" w:pos="9350"/>
            </w:tabs>
            <w:rPr>
              <w:rFonts w:asciiTheme="minorHAnsi" w:eastAsiaTheme="minorEastAsia" w:hAnsiTheme="minorHAnsi" w:cstheme="minorBidi"/>
              <w:noProof/>
              <w:lang w:val="en-GB" w:eastAsia="en-GB"/>
            </w:rPr>
          </w:pPr>
          <w:r w:rsidRPr="0017641D">
            <w:rPr>
              <w:rFonts w:ascii="Arial" w:hAnsi="Arial" w:cs="Arial"/>
            </w:rPr>
            <w:fldChar w:fldCharType="begin"/>
          </w:r>
          <w:r w:rsidRPr="0017641D">
            <w:rPr>
              <w:rFonts w:ascii="Arial" w:hAnsi="Arial" w:cs="Arial"/>
            </w:rPr>
            <w:instrText xml:space="preserve"> TOC \o "1-3" \h \z \u </w:instrText>
          </w:r>
          <w:r w:rsidRPr="0017641D">
            <w:rPr>
              <w:rFonts w:ascii="Arial" w:hAnsi="Arial" w:cs="Arial"/>
            </w:rPr>
            <w:fldChar w:fldCharType="separate"/>
          </w:r>
          <w:hyperlink w:anchor="_Toc223827761" w:history="1">
            <w:r w:rsidR="00C06418" w:rsidRPr="0098670B">
              <w:rPr>
                <w:rStyle w:val="Hyperlink"/>
                <w:rFonts w:ascii="Arial" w:hAnsi="Arial" w:cs="Arial"/>
                <w:noProof/>
              </w:rPr>
              <w:t>Brand Extension Poster:</w:t>
            </w:r>
            <w:r w:rsidR="00C06418">
              <w:rPr>
                <w:noProof/>
                <w:webHidden/>
              </w:rPr>
              <w:tab/>
            </w:r>
            <w:r w:rsidR="00C06418">
              <w:rPr>
                <w:noProof/>
                <w:webHidden/>
              </w:rPr>
              <w:fldChar w:fldCharType="begin"/>
            </w:r>
            <w:r w:rsidR="00C06418">
              <w:rPr>
                <w:noProof/>
                <w:webHidden/>
              </w:rPr>
              <w:instrText xml:space="preserve"> PAGEREF _Toc223827761 \h </w:instrText>
            </w:r>
            <w:r w:rsidR="00C06418">
              <w:rPr>
                <w:noProof/>
                <w:webHidden/>
              </w:rPr>
            </w:r>
            <w:r w:rsidR="00C06418">
              <w:rPr>
                <w:noProof/>
                <w:webHidden/>
              </w:rPr>
              <w:fldChar w:fldCharType="separate"/>
            </w:r>
            <w:r w:rsidR="00C06418">
              <w:rPr>
                <w:noProof/>
                <w:webHidden/>
              </w:rPr>
              <w:t>1</w:t>
            </w:r>
            <w:r w:rsidR="00C06418">
              <w:rPr>
                <w:noProof/>
                <w:webHidden/>
              </w:rPr>
              <w:fldChar w:fldCharType="end"/>
            </w:r>
          </w:hyperlink>
        </w:p>
        <w:p w14:paraId="0426B822" w14:textId="0E6475B1" w:rsidR="00C06418" w:rsidRDefault="00000000">
          <w:pPr>
            <w:pStyle w:val="TOC1"/>
            <w:tabs>
              <w:tab w:val="right" w:leader="dot" w:pos="9350"/>
            </w:tabs>
            <w:rPr>
              <w:rFonts w:asciiTheme="minorHAnsi" w:eastAsiaTheme="minorEastAsia" w:hAnsiTheme="minorHAnsi" w:cstheme="minorBidi"/>
              <w:noProof/>
              <w:lang w:val="en-GB" w:eastAsia="en-GB"/>
            </w:rPr>
          </w:pPr>
          <w:hyperlink w:anchor="_Toc223827762" w:history="1">
            <w:r w:rsidR="00C06418" w:rsidRPr="0098670B">
              <w:rPr>
                <w:rStyle w:val="Hyperlink"/>
                <w:rFonts w:ascii="Arial" w:hAnsi="Arial" w:cs="Arial"/>
                <w:noProof/>
              </w:rPr>
              <w:t>Segmentation, Targeting, Differentiation, and Positioning (STDP) Analysis:</w:t>
            </w:r>
            <w:r w:rsidR="00C06418">
              <w:rPr>
                <w:noProof/>
                <w:webHidden/>
              </w:rPr>
              <w:tab/>
            </w:r>
            <w:r w:rsidR="00C06418">
              <w:rPr>
                <w:noProof/>
                <w:webHidden/>
              </w:rPr>
              <w:fldChar w:fldCharType="begin"/>
            </w:r>
            <w:r w:rsidR="00C06418">
              <w:rPr>
                <w:noProof/>
                <w:webHidden/>
              </w:rPr>
              <w:instrText xml:space="preserve"> PAGEREF _Toc223827762 \h </w:instrText>
            </w:r>
            <w:r w:rsidR="00C06418">
              <w:rPr>
                <w:noProof/>
                <w:webHidden/>
              </w:rPr>
            </w:r>
            <w:r w:rsidR="00C06418">
              <w:rPr>
                <w:noProof/>
                <w:webHidden/>
              </w:rPr>
              <w:fldChar w:fldCharType="separate"/>
            </w:r>
            <w:r w:rsidR="00C06418">
              <w:rPr>
                <w:noProof/>
                <w:webHidden/>
              </w:rPr>
              <w:t>3</w:t>
            </w:r>
            <w:r w:rsidR="00C06418">
              <w:rPr>
                <w:noProof/>
                <w:webHidden/>
              </w:rPr>
              <w:fldChar w:fldCharType="end"/>
            </w:r>
          </w:hyperlink>
        </w:p>
        <w:p w14:paraId="5C72AFBD" w14:textId="20AE0928" w:rsidR="00C06418" w:rsidRDefault="00000000">
          <w:pPr>
            <w:pStyle w:val="TOC1"/>
            <w:tabs>
              <w:tab w:val="right" w:leader="dot" w:pos="9350"/>
            </w:tabs>
            <w:rPr>
              <w:rFonts w:asciiTheme="minorHAnsi" w:eastAsiaTheme="minorEastAsia" w:hAnsiTheme="minorHAnsi" w:cstheme="minorBidi"/>
              <w:noProof/>
              <w:lang w:val="en-GB" w:eastAsia="en-GB"/>
            </w:rPr>
          </w:pPr>
          <w:hyperlink w:anchor="_Toc223827763" w:history="1">
            <w:r w:rsidR="00C06418" w:rsidRPr="0098670B">
              <w:rPr>
                <w:rStyle w:val="Hyperlink"/>
                <w:rFonts w:ascii="Arial" w:hAnsi="Arial" w:cs="Arial"/>
                <w:noProof/>
              </w:rPr>
              <w:t>Sage EcoInsight marketing mix:</w:t>
            </w:r>
            <w:r w:rsidR="00C06418">
              <w:rPr>
                <w:noProof/>
                <w:webHidden/>
              </w:rPr>
              <w:tab/>
            </w:r>
            <w:r w:rsidR="00C06418">
              <w:rPr>
                <w:noProof/>
                <w:webHidden/>
              </w:rPr>
              <w:fldChar w:fldCharType="begin"/>
            </w:r>
            <w:r w:rsidR="00C06418">
              <w:rPr>
                <w:noProof/>
                <w:webHidden/>
              </w:rPr>
              <w:instrText xml:space="preserve"> PAGEREF _Toc223827763 \h </w:instrText>
            </w:r>
            <w:r w:rsidR="00C06418">
              <w:rPr>
                <w:noProof/>
                <w:webHidden/>
              </w:rPr>
            </w:r>
            <w:r w:rsidR="00C06418">
              <w:rPr>
                <w:noProof/>
                <w:webHidden/>
              </w:rPr>
              <w:fldChar w:fldCharType="separate"/>
            </w:r>
            <w:r w:rsidR="00C06418">
              <w:rPr>
                <w:noProof/>
                <w:webHidden/>
              </w:rPr>
              <w:t>6</w:t>
            </w:r>
            <w:r w:rsidR="00C06418">
              <w:rPr>
                <w:noProof/>
                <w:webHidden/>
              </w:rPr>
              <w:fldChar w:fldCharType="end"/>
            </w:r>
          </w:hyperlink>
        </w:p>
        <w:p w14:paraId="36CCD920" w14:textId="1BFD7191" w:rsidR="00C06418" w:rsidRDefault="00000000">
          <w:pPr>
            <w:pStyle w:val="TOC1"/>
            <w:tabs>
              <w:tab w:val="right" w:leader="dot" w:pos="9350"/>
            </w:tabs>
            <w:rPr>
              <w:rFonts w:asciiTheme="minorHAnsi" w:eastAsiaTheme="minorEastAsia" w:hAnsiTheme="minorHAnsi" w:cstheme="minorBidi"/>
              <w:noProof/>
              <w:lang w:val="en-GB" w:eastAsia="en-GB"/>
            </w:rPr>
          </w:pPr>
          <w:hyperlink w:anchor="_Toc223827764" w:history="1">
            <w:r w:rsidR="00C06418" w:rsidRPr="0098670B">
              <w:rPr>
                <w:rStyle w:val="Hyperlink"/>
                <w:rFonts w:ascii="Arial" w:hAnsi="Arial" w:cs="Arial"/>
                <w:noProof/>
              </w:rPr>
              <w:t>Reflection:</w:t>
            </w:r>
            <w:r w:rsidR="00C06418">
              <w:rPr>
                <w:noProof/>
                <w:webHidden/>
              </w:rPr>
              <w:tab/>
            </w:r>
            <w:r w:rsidR="00C06418">
              <w:rPr>
                <w:noProof/>
                <w:webHidden/>
              </w:rPr>
              <w:fldChar w:fldCharType="begin"/>
            </w:r>
            <w:r w:rsidR="00C06418">
              <w:rPr>
                <w:noProof/>
                <w:webHidden/>
              </w:rPr>
              <w:instrText xml:space="preserve"> PAGEREF _Toc223827764 \h </w:instrText>
            </w:r>
            <w:r w:rsidR="00C06418">
              <w:rPr>
                <w:noProof/>
                <w:webHidden/>
              </w:rPr>
            </w:r>
            <w:r w:rsidR="00C06418">
              <w:rPr>
                <w:noProof/>
                <w:webHidden/>
              </w:rPr>
              <w:fldChar w:fldCharType="separate"/>
            </w:r>
            <w:r w:rsidR="00C06418">
              <w:rPr>
                <w:noProof/>
                <w:webHidden/>
              </w:rPr>
              <w:t>10</w:t>
            </w:r>
            <w:r w:rsidR="00C06418">
              <w:rPr>
                <w:noProof/>
                <w:webHidden/>
              </w:rPr>
              <w:fldChar w:fldCharType="end"/>
            </w:r>
          </w:hyperlink>
        </w:p>
        <w:p w14:paraId="6BB276F1" w14:textId="0AEBBF01" w:rsidR="00C06418" w:rsidRDefault="00000000">
          <w:pPr>
            <w:pStyle w:val="TOC1"/>
            <w:tabs>
              <w:tab w:val="right" w:leader="dot" w:pos="9350"/>
            </w:tabs>
            <w:rPr>
              <w:rFonts w:asciiTheme="minorHAnsi" w:eastAsiaTheme="minorEastAsia" w:hAnsiTheme="minorHAnsi" w:cstheme="minorBidi"/>
              <w:noProof/>
              <w:lang w:val="en-GB" w:eastAsia="en-GB"/>
            </w:rPr>
          </w:pPr>
          <w:hyperlink w:anchor="_Toc223827765" w:history="1">
            <w:r w:rsidR="00C06418" w:rsidRPr="0098670B">
              <w:rPr>
                <w:rStyle w:val="Hyperlink"/>
                <w:rFonts w:ascii="Arial" w:hAnsi="Arial" w:cs="Arial"/>
                <w:noProof/>
              </w:rPr>
              <w:t>References:</w:t>
            </w:r>
            <w:r w:rsidR="00C06418">
              <w:rPr>
                <w:noProof/>
                <w:webHidden/>
              </w:rPr>
              <w:tab/>
            </w:r>
            <w:r w:rsidR="00C06418">
              <w:rPr>
                <w:noProof/>
                <w:webHidden/>
              </w:rPr>
              <w:fldChar w:fldCharType="begin"/>
            </w:r>
            <w:r w:rsidR="00C06418">
              <w:rPr>
                <w:noProof/>
                <w:webHidden/>
              </w:rPr>
              <w:instrText xml:space="preserve"> PAGEREF _Toc223827765 \h </w:instrText>
            </w:r>
            <w:r w:rsidR="00C06418">
              <w:rPr>
                <w:noProof/>
                <w:webHidden/>
              </w:rPr>
            </w:r>
            <w:r w:rsidR="00C06418">
              <w:rPr>
                <w:noProof/>
                <w:webHidden/>
              </w:rPr>
              <w:fldChar w:fldCharType="separate"/>
            </w:r>
            <w:r w:rsidR="00C06418">
              <w:rPr>
                <w:noProof/>
                <w:webHidden/>
              </w:rPr>
              <w:t>11</w:t>
            </w:r>
            <w:r w:rsidR="00C06418">
              <w:rPr>
                <w:noProof/>
                <w:webHidden/>
              </w:rPr>
              <w:fldChar w:fldCharType="end"/>
            </w:r>
          </w:hyperlink>
        </w:p>
        <w:p w14:paraId="2B8AA3A6" w14:textId="3889DEFB" w:rsidR="00F96ECC" w:rsidRDefault="00F96ECC">
          <w:r w:rsidRPr="0017641D">
            <w:rPr>
              <w:rFonts w:ascii="Arial" w:hAnsi="Arial" w:cs="Arial"/>
              <w:b/>
              <w:bCs/>
              <w:noProof/>
            </w:rPr>
            <w:fldChar w:fldCharType="end"/>
          </w:r>
        </w:p>
      </w:sdtContent>
    </w:sdt>
    <w:p w14:paraId="00B4D4E6" w14:textId="77777777" w:rsidR="00B57E11" w:rsidRDefault="00B57E11">
      <w:pPr>
        <w:spacing w:line="259" w:lineRule="auto"/>
        <w:jc w:val="left"/>
      </w:pPr>
      <w:r>
        <w:br w:type="page"/>
      </w:r>
    </w:p>
    <w:p w14:paraId="34583ADF" w14:textId="77777777" w:rsidR="00F96ECC" w:rsidRDefault="00F96ECC" w:rsidP="00B57E11">
      <w:pPr>
        <w:pStyle w:val="Heading1"/>
        <w:sectPr w:rsidR="00F96ECC">
          <w:footerReference w:type="default" r:id="rId9"/>
          <w:pgSz w:w="12240" w:h="15840"/>
          <w:pgMar w:top="1440" w:right="1440" w:bottom="1440" w:left="1440" w:header="720" w:footer="720" w:gutter="0"/>
          <w:cols w:space="720"/>
          <w:docGrid w:linePitch="360"/>
        </w:sectPr>
      </w:pPr>
    </w:p>
    <w:p w14:paraId="37D74326" w14:textId="7E5B5879" w:rsidR="00B57E11" w:rsidRDefault="00B57E11" w:rsidP="00B57E11">
      <w:pPr>
        <w:pStyle w:val="Heading1"/>
        <w:rPr>
          <w:rFonts w:ascii="Arial" w:hAnsi="Arial" w:cs="Arial"/>
        </w:rPr>
      </w:pPr>
      <w:bookmarkStart w:id="0" w:name="_Toc223827761"/>
      <w:r w:rsidRPr="0017641D">
        <w:rPr>
          <w:rFonts w:ascii="Arial" w:hAnsi="Arial" w:cs="Arial"/>
        </w:rPr>
        <w:lastRenderedPageBreak/>
        <w:t>Brand Extension Poster</w:t>
      </w:r>
      <w:r w:rsidR="0017641D">
        <w:rPr>
          <w:rFonts w:ascii="Arial" w:hAnsi="Arial" w:cs="Arial"/>
        </w:rPr>
        <w:t>:</w:t>
      </w:r>
      <w:bookmarkEnd w:id="0"/>
    </w:p>
    <w:p w14:paraId="115E1B10" w14:textId="77777777" w:rsidR="0017641D" w:rsidRPr="0017641D" w:rsidRDefault="0017641D" w:rsidP="0017641D"/>
    <w:p w14:paraId="5837C861" w14:textId="77777777" w:rsidR="00B57E11" w:rsidRPr="00B57E11" w:rsidRDefault="00A904BE" w:rsidP="00B57E11">
      <w:pPr>
        <w:jc w:val="center"/>
      </w:pPr>
      <w:r>
        <w:rPr>
          <w:noProof/>
        </w:rPr>
        <w:drawing>
          <wp:inline distT="0" distB="0" distL="0" distR="0" wp14:anchorId="2ADB3003" wp14:editId="35CDC000">
            <wp:extent cx="3455258" cy="4991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1.JPG"/>
                    <pic:cNvPicPr/>
                  </pic:nvPicPr>
                  <pic:blipFill>
                    <a:blip r:embed="rId10">
                      <a:extLst>
                        <a:ext uri="{28A0092B-C50C-407E-A947-70E740481C1C}">
                          <a14:useLocalDpi xmlns:a14="http://schemas.microsoft.com/office/drawing/2010/main" val="0"/>
                        </a:ext>
                      </a:extLst>
                    </a:blip>
                    <a:stretch>
                      <a:fillRect/>
                    </a:stretch>
                  </pic:blipFill>
                  <pic:spPr>
                    <a:xfrm>
                      <a:off x="0" y="0"/>
                      <a:ext cx="3459350" cy="4997011"/>
                    </a:xfrm>
                    <a:prstGeom prst="rect">
                      <a:avLst/>
                    </a:prstGeom>
                  </pic:spPr>
                </pic:pic>
              </a:graphicData>
            </a:graphic>
          </wp:inline>
        </w:drawing>
      </w:r>
    </w:p>
    <w:p w14:paraId="2F2491E1" w14:textId="77777777" w:rsidR="0017641D" w:rsidRDefault="0017641D" w:rsidP="00B57E11"/>
    <w:p w14:paraId="6F0F22FA" w14:textId="4318F2BA" w:rsidR="00B57E11" w:rsidRDefault="00E84B60" w:rsidP="00B57E11">
      <w:r w:rsidRPr="009C6493">
        <w:rPr>
          <w:rFonts w:ascii="Arial" w:hAnsi="Arial" w:cs="Arial"/>
        </w:rPr>
        <w:t xml:space="preserve">Sage Group is an accounting and payroll software provider with </w:t>
      </w:r>
      <w:r w:rsidR="001B0E3E" w:rsidRPr="009C6493">
        <w:rPr>
          <w:rFonts w:ascii="Arial" w:hAnsi="Arial" w:cs="Arial"/>
        </w:rPr>
        <w:t>revenue of 2.513 billion pounds in fiscal year 2025, representing a 10 per cent growth and 97 per cent</w:t>
      </w:r>
      <w:r w:rsidRPr="009C6493">
        <w:rPr>
          <w:rFonts w:ascii="Arial" w:hAnsi="Arial" w:cs="Arial"/>
        </w:rPr>
        <w:t xml:space="preserve"> recurring revenue. This makes Sage a credible provider of financial technology, with a customer base of more than 6 million clients all over the globe</w:t>
      </w:r>
      <w:r w:rsidR="001B0E3E" w:rsidRPr="009C6493">
        <w:rPr>
          <w:rFonts w:ascii="Arial" w:hAnsi="Arial" w:cs="Arial"/>
        </w:rPr>
        <w:t xml:space="preserve"> (Sage, 2025). </w:t>
      </w:r>
      <w:r w:rsidRPr="009C6493">
        <w:rPr>
          <w:rFonts w:ascii="Arial" w:hAnsi="Arial" w:cs="Arial"/>
        </w:rPr>
        <w:t>Adding a new product</w:t>
      </w:r>
      <w:r w:rsidR="001B0E3E" w:rsidRPr="009C6493">
        <w:rPr>
          <w:rFonts w:ascii="Arial" w:hAnsi="Arial" w:cs="Arial"/>
        </w:rPr>
        <w:t>,</w:t>
      </w:r>
      <w:r w:rsidRPr="009C6493">
        <w:rPr>
          <w:rFonts w:ascii="Arial" w:hAnsi="Arial" w:cs="Arial"/>
        </w:rPr>
        <w:t xml:space="preserve"> Sage </w:t>
      </w:r>
      <w:proofErr w:type="spellStart"/>
      <w:r w:rsidRPr="009C6493">
        <w:rPr>
          <w:rFonts w:ascii="Arial" w:hAnsi="Arial" w:cs="Arial"/>
        </w:rPr>
        <w:t>EcoInsight</w:t>
      </w:r>
      <w:proofErr w:type="spellEnd"/>
      <w:r w:rsidRPr="009C6493">
        <w:rPr>
          <w:rFonts w:ascii="Arial" w:hAnsi="Arial" w:cs="Arial"/>
        </w:rPr>
        <w:t xml:space="preserve">, an extension of AI-driven ESG reporting solutions. The platform automates data </w:t>
      </w:r>
      <w:r w:rsidR="001B0E3E" w:rsidRPr="009C6493">
        <w:rPr>
          <w:rFonts w:ascii="Arial" w:hAnsi="Arial" w:cs="Arial"/>
        </w:rPr>
        <w:t>collection</w:t>
      </w:r>
      <w:r w:rsidRPr="009C6493">
        <w:rPr>
          <w:rFonts w:ascii="Arial" w:hAnsi="Arial" w:cs="Arial"/>
        </w:rPr>
        <w:t xml:space="preserve">, analysis, and reporting of sustainability data to work under any environment with the existing Sage accounting systems and </w:t>
      </w:r>
      <w:r w:rsidR="001B0E3E" w:rsidRPr="009C6493">
        <w:rPr>
          <w:rFonts w:ascii="Arial" w:hAnsi="Arial" w:cs="Arial"/>
        </w:rPr>
        <w:t>offers</w:t>
      </w:r>
      <w:r w:rsidRPr="009C6493">
        <w:rPr>
          <w:rFonts w:ascii="Arial" w:hAnsi="Arial" w:cs="Arial"/>
        </w:rPr>
        <w:t xml:space="preserve"> real-time data on </w:t>
      </w:r>
      <w:r w:rsidRPr="009C6493">
        <w:rPr>
          <w:rFonts w:ascii="Arial" w:hAnsi="Arial" w:cs="Arial"/>
        </w:rPr>
        <w:lastRenderedPageBreak/>
        <w:t>environmental impact, social metrics and</w:t>
      </w:r>
      <w:r>
        <w:t xml:space="preserve"> </w:t>
      </w:r>
      <w:r w:rsidRPr="009C6493">
        <w:rPr>
          <w:rFonts w:ascii="Arial" w:hAnsi="Arial" w:cs="Arial"/>
        </w:rPr>
        <w:t xml:space="preserve">compliance </w:t>
      </w:r>
      <w:r w:rsidR="001B0E3E" w:rsidRPr="009C6493">
        <w:rPr>
          <w:rFonts w:ascii="Arial" w:hAnsi="Arial" w:cs="Arial"/>
        </w:rPr>
        <w:t xml:space="preserve">with governance data. </w:t>
      </w:r>
      <w:r w:rsidRPr="009C6493">
        <w:rPr>
          <w:rFonts w:ascii="Arial" w:hAnsi="Arial" w:cs="Arial"/>
        </w:rPr>
        <w:t xml:space="preserve">Sage </w:t>
      </w:r>
      <w:proofErr w:type="spellStart"/>
      <w:r w:rsidRPr="009C6493">
        <w:rPr>
          <w:rFonts w:ascii="Arial" w:hAnsi="Arial" w:cs="Arial"/>
        </w:rPr>
        <w:t>EcoInsight</w:t>
      </w:r>
      <w:proofErr w:type="spellEnd"/>
      <w:r w:rsidRPr="009C6493">
        <w:rPr>
          <w:rFonts w:ascii="Arial" w:hAnsi="Arial" w:cs="Arial"/>
        </w:rPr>
        <w:t xml:space="preserve"> is a product that suits the present market in the face of new idols such as AI-based finance and compulsory disclosure of the ETF. The global ESG software market is projected to reach USD 1.24 billion in 2025 with a 20.1 </w:t>
      </w:r>
      <w:r w:rsidR="001B0E3E" w:rsidRPr="009C6493">
        <w:rPr>
          <w:rFonts w:ascii="Arial" w:hAnsi="Arial" w:cs="Arial"/>
        </w:rPr>
        <w:t>per cent</w:t>
      </w:r>
      <w:r w:rsidRPr="009C6493">
        <w:rPr>
          <w:rFonts w:ascii="Arial" w:hAnsi="Arial" w:cs="Arial"/>
        </w:rPr>
        <w:t xml:space="preserve"> CAGR to USD 5.19 billion by 2033 due to regulatory impacts as well as increased demand </w:t>
      </w:r>
      <w:r w:rsidR="001B0E3E" w:rsidRPr="009C6493">
        <w:rPr>
          <w:rFonts w:ascii="Arial" w:hAnsi="Arial" w:cs="Arial"/>
        </w:rPr>
        <w:t>for</w:t>
      </w:r>
      <w:r w:rsidRPr="009C6493">
        <w:rPr>
          <w:rFonts w:ascii="Arial" w:hAnsi="Arial" w:cs="Arial"/>
        </w:rPr>
        <w:t xml:space="preserve"> sustainability practices amongst investors seeking a clear understanding of companies they invest in</w:t>
      </w:r>
      <w:r w:rsidR="001B0E3E" w:rsidRPr="009C6493">
        <w:rPr>
          <w:rFonts w:ascii="Arial" w:hAnsi="Arial" w:cs="Arial"/>
        </w:rPr>
        <w:t xml:space="preserve"> (Grand View Research, 2023). </w:t>
      </w:r>
      <w:r w:rsidRPr="009C6493">
        <w:rPr>
          <w:rFonts w:ascii="Arial" w:hAnsi="Arial" w:cs="Arial"/>
        </w:rPr>
        <w:t xml:space="preserve">Sage </w:t>
      </w:r>
      <w:proofErr w:type="spellStart"/>
      <w:r w:rsidRPr="009C6493">
        <w:rPr>
          <w:rFonts w:ascii="Arial" w:hAnsi="Arial" w:cs="Arial"/>
        </w:rPr>
        <w:t>EcoInsight</w:t>
      </w:r>
      <w:proofErr w:type="spellEnd"/>
      <w:r w:rsidRPr="009C6493">
        <w:rPr>
          <w:rFonts w:ascii="Arial" w:hAnsi="Arial" w:cs="Arial"/>
        </w:rPr>
        <w:t xml:space="preserve"> is in line with the idea of sustainability as it lowers carbon footprints with effective data processing, aiding in net-zero intentions. It helps companies to trace engines of Scopes 1-3 emissions in order to grow ethically, impressing environmentally</w:t>
      </w:r>
      <w:r w:rsidR="001B0E3E" w:rsidRPr="009C6493">
        <w:rPr>
          <w:rFonts w:ascii="Arial" w:hAnsi="Arial" w:cs="Arial"/>
        </w:rPr>
        <w:t xml:space="preserve"> friendly investors and buyers.</w:t>
      </w:r>
    </w:p>
    <w:p w14:paraId="32BDC6AF" w14:textId="77777777" w:rsidR="00E42500" w:rsidRDefault="00E42500">
      <w:pPr>
        <w:spacing w:line="259" w:lineRule="auto"/>
        <w:jc w:val="left"/>
      </w:pPr>
      <w:r>
        <w:br w:type="page"/>
      </w:r>
    </w:p>
    <w:p w14:paraId="76BC6822" w14:textId="34F3D876" w:rsidR="009C6493" w:rsidRPr="009C6493" w:rsidRDefault="00B57E11" w:rsidP="009C6493">
      <w:pPr>
        <w:pStyle w:val="Heading1"/>
        <w:rPr>
          <w:rFonts w:ascii="Arial" w:hAnsi="Arial" w:cs="Arial"/>
        </w:rPr>
      </w:pPr>
      <w:bookmarkStart w:id="1" w:name="_Toc223827762"/>
      <w:r w:rsidRPr="009C6493">
        <w:rPr>
          <w:rFonts w:ascii="Arial" w:hAnsi="Arial" w:cs="Arial"/>
        </w:rPr>
        <w:lastRenderedPageBreak/>
        <w:t>Segmentation, Targeting, Differentiation, and Positioning (STDP) Analysis</w:t>
      </w:r>
      <w:r w:rsidR="009C6493">
        <w:rPr>
          <w:rFonts w:ascii="Arial" w:hAnsi="Arial" w:cs="Arial"/>
        </w:rPr>
        <w:t>:</w:t>
      </w:r>
      <w:bookmarkEnd w:id="1"/>
    </w:p>
    <w:p w14:paraId="6FB6E38B" w14:textId="77777777" w:rsidR="00E84B60" w:rsidRPr="009C6493" w:rsidRDefault="00E84B60" w:rsidP="00E84B60">
      <w:pPr>
        <w:rPr>
          <w:rFonts w:ascii="Arial" w:hAnsi="Arial" w:cs="Arial"/>
        </w:rPr>
      </w:pPr>
      <w:r w:rsidRPr="009C6493">
        <w:rPr>
          <w:rFonts w:ascii="Arial" w:hAnsi="Arial" w:cs="Arial"/>
        </w:rPr>
        <w:t xml:space="preserve">Sage </w:t>
      </w:r>
      <w:proofErr w:type="spellStart"/>
      <w:r w:rsidRPr="009C6493">
        <w:rPr>
          <w:rFonts w:ascii="Arial" w:hAnsi="Arial" w:cs="Arial"/>
        </w:rPr>
        <w:t>EcoInsight</w:t>
      </w:r>
      <w:proofErr w:type="spellEnd"/>
      <w:r w:rsidRPr="009C6493">
        <w:rPr>
          <w:rFonts w:ascii="Arial" w:hAnsi="Arial" w:cs="Arial"/>
        </w:rPr>
        <w:t xml:space="preserve"> is a strategic brand development of Sage Group with a view to </w:t>
      </w:r>
      <w:r w:rsidR="001B0E3E" w:rsidRPr="009C6493">
        <w:rPr>
          <w:rFonts w:ascii="Arial" w:hAnsi="Arial" w:cs="Arial"/>
        </w:rPr>
        <w:t>expanding</w:t>
      </w:r>
      <w:r w:rsidRPr="009C6493">
        <w:rPr>
          <w:rFonts w:ascii="Arial" w:hAnsi="Arial" w:cs="Arial"/>
        </w:rPr>
        <w:t xml:space="preserve"> its main business of accounting software into the emerging ESG reporting market. The data collection and compliance under sustainability are </w:t>
      </w:r>
      <w:r w:rsidR="001B0E3E" w:rsidRPr="009C6493">
        <w:rPr>
          <w:rFonts w:ascii="Arial" w:hAnsi="Arial" w:cs="Arial"/>
        </w:rPr>
        <w:t>automatic. This</w:t>
      </w:r>
      <w:r w:rsidRPr="009C6493">
        <w:rPr>
          <w:rFonts w:ascii="Arial" w:hAnsi="Arial" w:cs="Arial"/>
        </w:rPr>
        <w:t xml:space="preserve"> AI software is integrated with the financial systems of Sage.</w:t>
      </w:r>
    </w:p>
    <w:p w14:paraId="56442EA0" w14:textId="260BBDF1" w:rsidR="00E84B60" w:rsidRPr="009C6493" w:rsidRDefault="00E84B60" w:rsidP="00E84B60">
      <w:pPr>
        <w:rPr>
          <w:rFonts w:ascii="Arial" w:hAnsi="Arial" w:cs="Arial"/>
          <w:b/>
          <w:sz w:val="32"/>
          <w:szCs w:val="32"/>
        </w:rPr>
      </w:pPr>
      <w:r w:rsidRPr="009C6493">
        <w:rPr>
          <w:rFonts w:ascii="Arial" w:hAnsi="Arial" w:cs="Arial"/>
          <w:b/>
          <w:sz w:val="32"/>
          <w:szCs w:val="32"/>
        </w:rPr>
        <w:t>Market Segmentation</w:t>
      </w:r>
      <w:r w:rsidR="009C6493">
        <w:rPr>
          <w:rFonts w:ascii="Arial" w:hAnsi="Arial" w:cs="Arial"/>
          <w:b/>
          <w:sz w:val="32"/>
          <w:szCs w:val="32"/>
        </w:rPr>
        <w:t>:</w:t>
      </w:r>
    </w:p>
    <w:p w14:paraId="10BD95F5" w14:textId="73A9FA3B" w:rsidR="00E84B60" w:rsidRPr="009C6493" w:rsidRDefault="00E84B60" w:rsidP="00E84B60">
      <w:pPr>
        <w:rPr>
          <w:rFonts w:ascii="Arial" w:hAnsi="Arial" w:cs="Arial"/>
        </w:rPr>
      </w:pPr>
      <w:r w:rsidRPr="009C6493">
        <w:rPr>
          <w:rFonts w:ascii="Arial" w:hAnsi="Arial" w:cs="Arial"/>
        </w:rPr>
        <w:t xml:space="preserve">The market segmentation breaks down the potential customers into different groups through the geographic, demographic, psychographic and </w:t>
      </w:r>
      <w:proofErr w:type="spellStart"/>
      <w:r w:rsidR="007E5419" w:rsidRPr="009C6493">
        <w:rPr>
          <w:rFonts w:ascii="Arial" w:hAnsi="Arial" w:cs="Arial"/>
        </w:rPr>
        <w:t>behavio</w:t>
      </w:r>
      <w:r w:rsidR="007E5419">
        <w:rPr>
          <w:rFonts w:ascii="Arial" w:hAnsi="Arial" w:cs="Arial"/>
        </w:rPr>
        <w:t>u</w:t>
      </w:r>
      <w:r w:rsidR="007E5419" w:rsidRPr="009C6493">
        <w:rPr>
          <w:rFonts w:ascii="Arial" w:hAnsi="Arial" w:cs="Arial"/>
        </w:rPr>
        <w:t>ral</w:t>
      </w:r>
      <w:proofErr w:type="spellEnd"/>
      <w:r w:rsidRPr="009C6493">
        <w:rPr>
          <w:rFonts w:ascii="Arial" w:hAnsi="Arial" w:cs="Arial"/>
        </w:rPr>
        <w:t xml:space="preserve"> variables to allow the use of different approaches. In the case of Sage </w:t>
      </w:r>
      <w:proofErr w:type="spellStart"/>
      <w:r w:rsidRPr="009C6493">
        <w:rPr>
          <w:rFonts w:ascii="Arial" w:hAnsi="Arial" w:cs="Arial"/>
        </w:rPr>
        <w:t>EcoInsight</w:t>
      </w:r>
      <w:proofErr w:type="spellEnd"/>
      <w:r w:rsidRPr="009C6493">
        <w:rPr>
          <w:rFonts w:ascii="Arial" w:hAnsi="Arial" w:cs="Arial"/>
        </w:rPr>
        <w:t xml:space="preserve">, the business unit that is being segmented is the business </w:t>
      </w:r>
      <w:r w:rsidR="001B0E3E" w:rsidRPr="009C6493">
        <w:rPr>
          <w:rFonts w:ascii="Arial" w:hAnsi="Arial" w:cs="Arial"/>
        </w:rPr>
        <w:t>that has</w:t>
      </w:r>
      <w:r w:rsidRPr="009C6493">
        <w:rPr>
          <w:rFonts w:ascii="Arial" w:hAnsi="Arial" w:cs="Arial"/>
        </w:rPr>
        <w:t xml:space="preserve"> to comply with the regulatory pressures on the ESG front.</w:t>
      </w:r>
    </w:p>
    <w:p w14:paraId="542E85B6" w14:textId="77777777" w:rsidR="00E84B60" w:rsidRPr="009C6493" w:rsidRDefault="00E84B60" w:rsidP="00E84B60">
      <w:pPr>
        <w:rPr>
          <w:rFonts w:ascii="Arial" w:hAnsi="Arial" w:cs="Arial"/>
        </w:rPr>
      </w:pPr>
      <w:r w:rsidRPr="009C6493">
        <w:rPr>
          <w:rFonts w:ascii="Arial" w:hAnsi="Arial" w:cs="Arial"/>
        </w:rPr>
        <w:t xml:space="preserve">Geographic segmentation takes into account the importance of geographical variation in ESG adoption and regulations. The SEC climate requirements and investor requests have made North America have the largest share of </w:t>
      </w:r>
      <w:r w:rsidR="001B0E3E" w:rsidRPr="009C6493">
        <w:rPr>
          <w:rFonts w:ascii="Arial" w:hAnsi="Arial" w:cs="Arial"/>
        </w:rPr>
        <w:t xml:space="preserve">the </w:t>
      </w:r>
      <w:r w:rsidRPr="009C6493">
        <w:rPr>
          <w:rFonts w:ascii="Arial" w:hAnsi="Arial" w:cs="Arial"/>
        </w:rPr>
        <w:t>ESG software market in the world</w:t>
      </w:r>
      <w:r w:rsidR="001B0E3E" w:rsidRPr="009C6493">
        <w:rPr>
          <w:rFonts w:ascii="Arial" w:hAnsi="Arial" w:cs="Arial"/>
        </w:rPr>
        <w:t>,</w:t>
      </w:r>
      <w:r w:rsidRPr="009C6493">
        <w:rPr>
          <w:rFonts w:ascii="Arial" w:hAnsi="Arial" w:cs="Arial"/>
        </w:rPr>
        <w:t xml:space="preserve"> and the area has about 36 </w:t>
      </w:r>
      <w:r w:rsidR="001B0E3E" w:rsidRPr="009C6493">
        <w:rPr>
          <w:rFonts w:ascii="Arial" w:hAnsi="Arial" w:cs="Arial"/>
        </w:rPr>
        <w:t>per cent</w:t>
      </w:r>
      <w:r w:rsidRPr="009C6493">
        <w:rPr>
          <w:rFonts w:ascii="Arial" w:hAnsi="Arial" w:cs="Arial"/>
        </w:rPr>
        <w:t>. Europe is close behind with a market share standing at 34.9 percent propelled by the Corporate Sustainability Reporting Directive</w:t>
      </w:r>
      <w:r w:rsidR="001B0E3E" w:rsidRPr="009C6493">
        <w:rPr>
          <w:rFonts w:ascii="Arial" w:hAnsi="Arial" w:cs="Arial"/>
        </w:rPr>
        <w:t>,</w:t>
      </w:r>
      <w:r w:rsidRPr="009C6493">
        <w:rPr>
          <w:rFonts w:ascii="Arial" w:hAnsi="Arial" w:cs="Arial"/>
        </w:rPr>
        <w:t xml:space="preserve"> which has led to disclosures of more than 50,000 companies</w:t>
      </w:r>
      <w:r w:rsidR="00AC7D20" w:rsidRPr="009C6493">
        <w:rPr>
          <w:rFonts w:ascii="Arial" w:hAnsi="Arial" w:cs="Arial"/>
        </w:rPr>
        <w:t xml:space="preserve"> (Fortune Business Insight, 2025)</w:t>
      </w:r>
      <w:r w:rsidRPr="009C6493">
        <w:rPr>
          <w:rFonts w:ascii="Arial" w:hAnsi="Arial" w:cs="Arial"/>
        </w:rPr>
        <w:t xml:space="preserve">. The Asian-Pacific region is now rising at the highest rate of growth with an estimated slowdown of 21.25 </w:t>
      </w:r>
      <w:r w:rsidR="001B0E3E" w:rsidRPr="009C6493">
        <w:rPr>
          <w:rFonts w:ascii="Arial" w:hAnsi="Arial" w:cs="Arial"/>
        </w:rPr>
        <w:t>per cent</w:t>
      </w:r>
      <w:r w:rsidRPr="009C6493">
        <w:rPr>
          <w:rFonts w:ascii="Arial" w:hAnsi="Arial" w:cs="Arial"/>
        </w:rPr>
        <w:t xml:space="preserve"> CAGR, which is expected to be experienced between 2026 and 2031 when countries such as Japan and Australia enact tougher sustainability measures</w:t>
      </w:r>
      <w:r w:rsidR="00AC7D20" w:rsidRPr="009C6493">
        <w:rPr>
          <w:rFonts w:ascii="Arial" w:hAnsi="Arial" w:cs="Arial"/>
        </w:rPr>
        <w:t xml:space="preserve"> (Asian Development Bank, 2025)</w:t>
      </w:r>
      <w:r w:rsidRPr="009C6493">
        <w:rPr>
          <w:rFonts w:ascii="Arial" w:hAnsi="Arial" w:cs="Arial"/>
        </w:rPr>
        <w:t>. Conversely, South American</w:t>
      </w:r>
      <w:r w:rsidR="001B0E3E" w:rsidRPr="009C6493">
        <w:rPr>
          <w:rFonts w:ascii="Arial" w:hAnsi="Arial" w:cs="Arial"/>
        </w:rPr>
        <w:t>,</w:t>
      </w:r>
      <w:r w:rsidRPr="009C6493">
        <w:rPr>
          <w:rFonts w:ascii="Arial" w:hAnsi="Arial" w:cs="Arial"/>
        </w:rPr>
        <w:t xml:space="preserve"> Middle Eastern</w:t>
      </w:r>
      <w:r w:rsidR="001B0E3E" w:rsidRPr="009C6493">
        <w:rPr>
          <w:rFonts w:ascii="Arial" w:hAnsi="Arial" w:cs="Arial"/>
        </w:rPr>
        <w:t>,</w:t>
      </w:r>
      <w:r w:rsidRPr="009C6493">
        <w:rPr>
          <w:rFonts w:ascii="Arial" w:hAnsi="Arial" w:cs="Arial"/>
        </w:rPr>
        <w:t xml:space="preserve"> and African markets are smaller markets</w:t>
      </w:r>
      <w:r w:rsidR="001B0E3E" w:rsidRPr="009C6493">
        <w:rPr>
          <w:rFonts w:ascii="Arial" w:hAnsi="Arial" w:cs="Arial"/>
        </w:rPr>
        <w:t>,</w:t>
      </w:r>
      <w:r w:rsidRPr="009C6493">
        <w:rPr>
          <w:rFonts w:ascii="Arial" w:hAnsi="Arial" w:cs="Arial"/>
        </w:rPr>
        <w:t xml:space="preserve"> coupled with an estimated 6 </w:t>
      </w:r>
      <w:r w:rsidR="001B0E3E" w:rsidRPr="009C6493">
        <w:rPr>
          <w:rFonts w:ascii="Arial" w:hAnsi="Arial" w:cs="Arial"/>
        </w:rPr>
        <w:t>per cent</w:t>
      </w:r>
      <w:r w:rsidRPr="009C6493">
        <w:rPr>
          <w:rFonts w:ascii="Arial" w:hAnsi="Arial" w:cs="Arial"/>
        </w:rPr>
        <w:t xml:space="preserve"> combined, yet they have the potential to grow because they demand global supply chain transparency.</w:t>
      </w:r>
    </w:p>
    <w:p w14:paraId="17CC6951" w14:textId="3EA2C210" w:rsidR="00E84B60" w:rsidRPr="009C6493" w:rsidRDefault="00E84B60" w:rsidP="00E84B60">
      <w:pPr>
        <w:rPr>
          <w:rFonts w:ascii="Arial" w:hAnsi="Arial" w:cs="Arial"/>
        </w:rPr>
      </w:pPr>
      <w:r w:rsidRPr="009C6493">
        <w:rPr>
          <w:rFonts w:ascii="Arial" w:hAnsi="Arial" w:cs="Arial"/>
        </w:rPr>
        <w:t xml:space="preserve">The demographic segmentation </w:t>
      </w:r>
      <w:r w:rsidR="001B0E3E" w:rsidRPr="009C6493">
        <w:rPr>
          <w:rFonts w:ascii="Arial" w:hAnsi="Arial" w:cs="Arial"/>
        </w:rPr>
        <w:t>analyses</w:t>
      </w:r>
      <w:r w:rsidRPr="009C6493">
        <w:rPr>
          <w:rFonts w:ascii="Arial" w:hAnsi="Arial" w:cs="Arial"/>
        </w:rPr>
        <w:t xml:space="preserve"> the features of </w:t>
      </w:r>
      <w:proofErr w:type="spellStart"/>
      <w:r w:rsidR="001B0E3E" w:rsidRPr="009C6493">
        <w:rPr>
          <w:rFonts w:ascii="Arial" w:hAnsi="Arial" w:cs="Arial"/>
        </w:rPr>
        <w:t>organisation</w:t>
      </w:r>
      <w:r w:rsidR="007E5419">
        <w:rPr>
          <w:rFonts w:ascii="Arial" w:hAnsi="Arial" w:cs="Arial"/>
        </w:rPr>
        <w:t>’</w:t>
      </w:r>
      <w:r w:rsidR="001B0E3E" w:rsidRPr="009C6493">
        <w:rPr>
          <w:rFonts w:ascii="Arial" w:hAnsi="Arial" w:cs="Arial"/>
        </w:rPr>
        <w:t>s</w:t>
      </w:r>
      <w:proofErr w:type="spellEnd"/>
      <w:r w:rsidRPr="009C6493">
        <w:rPr>
          <w:rFonts w:ascii="Arial" w:hAnsi="Arial" w:cs="Arial"/>
        </w:rPr>
        <w:t xml:space="preserve"> that include company size and industry. Large enterprises dominate the market of ESG software</w:t>
      </w:r>
      <w:r w:rsidR="001B0E3E" w:rsidRPr="009C6493">
        <w:rPr>
          <w:rFonts w:ascii="Arial" w:hAnsi="Arial" w:cs="Arial"/>
        </w:rPr>
        <w:t>,</w:t>
      </w:r>
      <w:r w:rsidRPr="009C6493">
        <w:rPr>
          <w:rFonts w:ascii="Arial" w:hAnsi="Arial" w:cs="Arial"/>
        </w:rPr>
        <w:t xml:space="preserve"> with more than 60 </w:t>
      </w:r>
      <w:r w:rsidR="001B0E3E" w:rsidRPr="009C6493">
        <w:rPr>
          <w:rFonts w:ascii="Arial" w:hAnsi="Arial" w:cs="Arial"/>
        </w:rPr>
        <w:t>per cent</w:t>
      </w:r>
      <w:r w:rsidRPr="009C6493">
        <w:rPr>
          <w:rFonts w:ascii="Arial" w:hAnsi="Arial" w:cs="Arial"/>
        </w:rPr>
        <w:t xml:space="preserve"> of the market share in 2025</w:t>
      </w:r>
      <w:r w:rsidR="001B0E3E" w:rsidRPr="009C6493">
        <w:rPr>
          <w:rFonts w:ascii="Arial" w:hAnsi="Arial" w:cs="Arial"/>
        </w:rPr>
        <w:t>,</w:t>
      </w:r>
      <w:r w:rsidRPr="009C6493">
        <w:rPr>
          <w:rFonts w:ascii="Arial" w:hAnsi="Arial" w:cs="Arial"/>
        </w:rPr>
        <w:t xml:space="preserve"> </w:t>
      </w:r>
      <w:r w:rsidR="001B0E3E" w:rsidRPr="009C6493">
        <w:rPr>
          <w:rFonts w:ascii="Arial" w:hAnsi="Arial" w:cs="Arial"/>
        </w:rPr>
        <w:t>as</w:t>
      </w:r>
      <w:r w:rsidRPr="009C6493">
        <w:rPr>
          <w:rFonts w:ascii="Arial" w:hAnsi="Arial" w:cs="Arial"/>
        </w:rPr>
        <w:t xml:space="preserve"> they handle large volumes of data</w:t>
      </w:r>
      <w:r w:rsidR="00AC7D20" w:rsidRPr="009C6493">
        <w:rPr>
          <w:rFonts w:ascii="Arial" w:hAnsi="Arial" w:cs="Arial"/>
        </w:rPr>
        <w:t xml:space="preserve"> (Christine et al., 2025)</w:t>
      </w:r>
      <w:r w:rsidRPr="009C6493">
        <w:rPr>
          <w:rFonts w:ascii="Arial" w:hAnsi="Arial" w:cs="Arial"/>
        </w:rPr>
        <w:t xml:space="preserve">. Nonetheless, it has the </w:t>
      </w:r>
      <w:r w:rsidR="001B0E3E" w:rsidRPr="009C6493">
        <w:rPr>
          <w:rFonts w:ascii="Arial" w:hAnsi="Arial" w:cs="Arial"/>
        </w:rPr>
        <w:t>fastest-growing</w:t>
      </w:r>
      <w:r w:rsidRPr="009C6493">
        <w:rPr>
          <w:rFonts w:ascii="Arial" w:hAnsi="Arial" w:cs="Arial"/>
        </w:rPr>
        <w:t xml:space="preserve"> segment of small and </w:t>
      </w:r>
      <w:r w:rsidRPr="009C6493">
        <w:rPr>
          <w:rFonts w:ascii="Arial" w:hAnsi="Arial" w:cs="Arial"/>
        </w:rPr>
        <w:lastRenderedPageBreak/>
        <w:t>medium-sized enterprises</w:t>
      </w:r>
      <w:r w:rsidR="001B0E3E" w:rsidRPr="009C6493">
        <w:rPr>
          <w:rFonts w:ascii="Arial" w:hAnsi="Arial" w:cs="Arial"/>
        </w:rPr>
        <w:t>,</w:t>
      </w:r>
      <w:r w:rsidRPr="009C6493">
        <w:rPr>
          <w:rFonts w:ascii="Arial" w:hAnsi="Arial" w:cs="Arial"/>
        </w:rPr>
        <w:t xml:space="preserve"> which will capture a greater CAGR of 18 </w:t>
      </w:r>
      <w:r w:rsidR="001B0E3E" w:rsidRPr="009C6493">
        <w:rPr>
          <w:rFonts w:ascii="Arial" w:hAnsi="Arial" w:cs="Arial"/>
        </w:rPr>
        <w:t>per cent</w:t>
      </w:r>
      <w:r w:rsidRPr="009C6493">
        <w:rPr>
          <w:rFonts w:ascii="Arial" w:hAnsi="Arial" w:cs="Arial"/>
        </w:rPr>
        <w:t xml:space="preserve"> by 2033 due to the reduced entry barriers through cloud-based applications</w:t>
      </w:r>
      <w:r w:rsidR="00AC7D20" w:rsidRPr="009C6493">
        <w:rPr>
          <w:rFonts w:ascii="Arial" w:hAnsi="Arial" w:cs="Arial"/>
        </w:rPr>
        <w:t xml:space="preserve"> (Market Research Future, 2025)</w:t>
      </w:r>
      <w:r w:rsidRPr="009C6493">
        <w:rPr>
          <w:rFonts w:ascii="Arial" w:hAnsi="Arial" w:cs="Arial"/>
        </w:rPr>
        <w:t xml:space="preserve">. In this case, </w:t>
      </w:r>
      <w:r w:rsidR="001B0E3E" w:rsidRPr="009C6493">
        <w:rPr>
          <w:rFonts w:ascii="Arial" w:hAnsi="Arial" w:cs="Arial"/>
        </w:rPr>
        <w:t>Sage's</w:t>
      </w:r>
      <w:r w:rsidRPr="009C6493">
        <w:rPr>
          <w:rFonts w:ascii="Arial" w:hAnsi="Arial" w:cs="Arial"/>
        </w:rPr>
        <w:t xml:space="preserve"> customer base should match, with more than 6 million users globally</w:t>
      </w:r>
      <w:r w:rsidR="001B0E3E" w:rsidRPr="009C6493">
        <w:rPr>
          <w:rFonts w:ascii="Arial" w:hAnsi="Arial" w:cs="Arial"/>
        </w:rPr>
        <w:t>,</w:t>
      </w:r>
      <w:r w:rsidRPr="009C6493">
        <w:rPr>
          <w:rFonts w:ascii="Arial" w:hAnsi="Arial" w:cs="Arial"/>
        </w:rPr>
        <w:t xml:space="preserve"> where 45 </w:t>
      </w:r>
      <w:r w:rsidR="001B0E3E" w:rsidRPr="009C6493">
        <w:rPr>
          <w:rFonts w:ascii="Arial" w:hAnsi="Arial" w:cs="Arial"/>
        </w:rPr>
        <w:t>per cent</w:t>
      </w:r>
      <w:r w:rsidRPr="009C6493">
        <w:rPr>
          <w:rFonts w:ascii="Arial" w:hAnsi="Arial" w:cs="Arial"/>
        </w:rPr>
        <w:t xml:space="preserve"> of the revenues are gathered by</w:t>
      </w:r>
      <w:r>
        <w:t xml:space="preserve"> </w:t>
      </w:r>
      <w:r w:rsidRPr="009C6493">
        <w:rPr>
          <w:rFonts w:ascii="Arial" w:hAnsi="Arial" w:cs="Arial"/>
        </w:rPr>
        <w:t>firms offering 10 to 200 staff</w:t>
      </w:r>
      <w:r w:rsidR="00773EA9" w:rsidRPr="009C6493">
        <w:rPr>
          <w:rFonts w:ascii="Arial" w:hAnsi="Arial" w:cs="Arial"/>
        </w:rPr>
        <w:t xml:space="preserve"> (DCF, 2024)</w:t>
      </w:r>
      <w:r w:rsidRPr="009C6493">
        <w:rPr>
          <w:rFonts w:ascii="Arial" w:hAnsi="Arial" w:cs="Arial"/>
        </w:rPr>
        <w:t xml:space="preserve">. At 25 </w:t>
      </w:r>
      <w:r w:rsidR="001B0E3E" w:rsidRPr="009C6493">
        <w:rPr>
          <w:rFonts w:ascii="Arial" w:hAnsi="Arial" w:cs="Arial"/>
        </w:rPr>
        <w:t>per cent</w:t>
      </w:r>
      <w:r w:rsidRPr="009C6493">
        <w:rPr>
          <w:rFonts w:ascii="Arial" w:hAnsi="Arial" w:cs="Arial"/>
        </w:rPr>
        <w:t xml:space="preserve"> market share, the financial services, insurance and banking sectors are the key industries, </w:t>
      </w:r>
      <w:r w:rsidR="001B0E3E" w:rsidRPr="009C6493">
        <w:rPr>
          <w:rFonts w:ascii="Arial" w:hAnsi="Arial" w:cs="Arial"/>
        </w:rPr>
        <w:t>followed by</w:t>
      </w:r>
      <w:r w:rsidRPr="009C6493">
        <w:rPr>
          <w:rFonts w:ascii="Arial" w:hAnsi="Arial" w:cs="Arial"/>
        </w:rPr>
        <w:t xml:space="preserve"> manufacturing and retail</w:t>
      </w:r>
      <w:r w:rsidR="001B0E3E" w:rsidRPr="009C6493">
        <w:rPr>
          <w:rFonts w:ascii="Arial" w:hAnsi="Arial" w:cs="Arial"/>
        </w:rPr>
        <w:t>,</w:t>
      </w:r>
      <w:r w:rsidRPr="009C6493">
        <w:rPr>
          <w:rFonts w:ascii="Arial" w:hAnsi="Arial" w:cs="Arial"/>
        </w:rPr>
        <w:t xml:space="preserve"> with about 15 </w:t>
      </w:r>
      <w:r w:rsidR="001B0E3E" w:rsidRPr="009C6493">
        <w:rPr>
          <w:rFonts w:ascii="Arial" w:hAnsi="Arial" w:cs="Arial"/>
        </w:rPr>
        <w:t>per cent</w:t>
      </w:r>
      <w:r w:rsidRPr="009C6493">
        <w:rPr>
          <w:rFonts w:ascii="Arial" w:hAnsi="Arial" w:cs="Arial"/>
        </w:rPr>
        <w:t xml:space="preserve"> each in the list</w:t>
      </w:r>
      <w:r w:rsidR="001B0E3E" w:rsidRPr="009C6493">
        <w:rPr>
          <w:rFonts w:ascii="Arial" w:hAnsi="Arial" w:cs="Arial"/>
        </w:rPr>
        <w:t>,</w:t>
      </w:r>
      <w:r w:rsidRPr="009C6493">
        <w:rPr>
          <w:rFonts w:ascii="Arial" w:hAnsi="Arial" w:cs="Arial"/>
        </w:rPr>
        <w:t xml:space="preserve"> where ESG tracking is essential in </w:t>
      </w:r>
      <w:r w:rsidR="001B0E3E" w:rsidRPr="009C6493">
        <w:rPr>
          <w:rFonts w:ascii="Arial" w:hAnsi="Arial" w:cs="Arial"/>
        </w:rPr>
        <w:t xml:space="preserve">the </w:t>
      </w:r>
      <w:r w:rsidRPr="009C6493">
        <w:rPr>
          <w:rFonts w:ascii="Arial" w:hAnsi="Arial" w:cs="Arial"/>
        </w:rPr>
        <w:t>management of supply chains</w:t>
      </w:r>
      <w:r w:rsidR="00773EA9" w:rsidRPr="009C6493">
        <w:rPr>
          <w:rFonts w:ascii="Arial" w:hAnsi="Arial" w:cs="Arial"/>
        </w:rPr>
        <w:t xml:space="preserve"> (Yue et al., 2024)</w:t>
      </w:r>
      <w:r w:rsidRPr="009C6493">
        <w:rPr>
          <w:rFonts w:ascii="Arial" w:hAnsi="Arial" w:cs="Arial"/>
        </w:rPr>
        <w:t>.</w:t>
      </w:r>
    </w:p>
    <w:p w14:paraId="17F105DF" w14:textId="14F0498C" w:rsidR="00E84B60" w:rsidRPr="009C6493" w:rsidRDefault="00E84B60" w:rsidP="00E84B60">
      <w:pPr>
        <w:rPr>
          <w:rFonts w:ascii="Arial" w:hAnsi="Arial" w:cs="Arial"/>
        </w:rPr>
      </w:pPr>
      <w:r w:rsidRPr="009C6493">
        <w:rPr>
          <w:rFonts w:ascii="Arial" w:hAnsi="Arial" w:cs="Arial"/>
        </w:rPr>
        <w:t xml:space="preserve">Segmentation Psychographic targets lifestyles, values, and attitudes. The central focus is on businesses that are concerned about the environment and innovative processes, as 72 </w:t>
      </w:r>
      <w:r w:rsidR="001B0E3E" w:rsidRPr="009C6493">
        <w:rPr>
          <w:rFonts w:ascii="Arial" w:hAnsi="Arial" w:cs="Arial"/>
        </w:rPr>
        <w:t>per cent</w:t>
      </w:r>
      <w:r w:rsidRPr="009C6493">
        <w:rPr>
          <w:rFonts w:ascii="Arial" w:hAnsi="Arial" w:cs="Arial"/>
        </w:rPr>
        <w:t xml:space="preserve"> of global leaders perceive ESG as the key to their ability to beco</w:t>
      </w:r>
      <w:r w:rsidR="00773EA9" w:rsidRPr="009C6493">
        <w:rPr>
          <w:rFonts w:ascii="Arial" w:hAnsi="Arial" w:cs="Arial"/>
        </w:rPr>
        <w:t>me successful in the long term (</w:t>
      </w:r>
      <w:proofErr w:type="spellStart"/>
      <w:r w:rsidR="00773EA9" w:rsidRPr="009C6493">
        <w:rPr>
          <w:rFonts w:ascii="Arial" w:hAnsi="Arial" w:cs="Arial"/>
        </w:rPr>
        <w:t>Henisz</w:t>
      </w:r>
      <w:proofErr w:type="spellEnd"/>
      <w:r w:rsidR="00773EA9" w:rsidRPr="009C6493">
        <w:rPr>
          <w:rFonts w:ascii="Arial" w:hAnsi="Arial" w:cs="Arial"/>
        </w:rPr>
        <w:t>, Koller and Nuttall, 2019)</w:t>
      </w:r>
      <w:r w:rsidRPr="009C6493">
        <w:rPr>
          <w:rFonts w:ascii="Arial" w:hAnsi="Arial" w:cs="Arial"/>
        </w:rPr>
        <w:t>. These companies do appreciate ethical governance and environmental responsibility</w:t>
      </w:r>
      <w:r w:rsidR="001B0E3E" w:rsidRPr="009C6493">
        <w:rPr>
          <w:rFonts w:ascii="Arial" w:hAnsi="Arial" w:cs="Arial"/>
        </w:rPr>
        <w:t>,</w:t>
      </w:r>
      <w:r w:rsidRPr="009C6493">
        <w:rPr>
          <w:rFonts w:ascii="Arial" w:hAnsi="Arial" w:cs="Arial"/>
        </w:rPr>
        <w:t xml:space="preserve"> and these usually go hand in hand with net-zero objectives. Sage </w:t>
      </w:r>
      <w:proofErr w:type="spellStart"/>
      <w:r w:rsidRPr="009C6493">
        <w:rPr>
          <w:rFonts w:ascii="Arial" w:hAnsi="Arial" w:cs="Arial"/>
        </w:rPr>
        <w:t>EcoInsight</w:t>
      </w:r>
      <w:proofErr w:type="spellEnd"/>
      <w:r w:rsidRPr="009C6493">
        <w:rPr>
          <w:rFonts w:ascii="Arial" w:hAnsi="Arial" w:cs="Arial"/>
        </w:rPr>
        <w:t xml:space="preserve"> will be of interest to progressive </w:t>
      </w:r>
      <w:proofErr w:type="spellStart"/>
      <w:r w:rsidR="001B0E3E" w:rsidRPr="009C6493">
        <w:rPr>
          <w:rFonts w:ascii="Arial" w:hAnsi="Arial" w:cs="Arial"/>
        </w:rPr>
        <w:t>organisation</w:t>
      </w:r>
      <w:r w:rsidR="007E5419">
        <w:rPr>
          <w:rFonts w:ascii="Arial" w:hAnsi="Arial" w:cs="Arial"/>
        </w:rPr>
        <w:t>’</w:t>
      </w:r>
      <w:r w:rsidR="001B0E3E" w:rsidRPr="009C6493">
        <w:rPr>
          <w:rFonts w:ascii="Arial" w:hAnsi="Arial" w:cs="Arial"/>
        </w:rPr>
        <w:t>s</w:t>
      </w:r>
      <w:proofErr w:type="spellEnd"/>
      <w:r w:rsidRPr="009C6493">
        <w:rPr>
          <w:rFonts w:ascii="Arial" w:hAnsi="Arial" w:cs="Arial"/>
        </w:rPr>
        <w:t xml:space="preserve"> that embrace technology as </w:t>
      </w:r>
      <w:r w:rsidR="001B0E3E" w:rsidRPr="009C6493">
        <w:rPr>
          <w:rFonts w:ascii="Arial" w:hAnsi="Arial" w:cs="Arial"/>
        </w:rPr>
        <w:t>a</w:t>
      </w:r>
      <w:r w:rsidRPr="009C6493">
        <w:rPr>
          <w:rFonts w:ascii="Arial" w:hAnsi="Arial" w:cs="Arial"/>
        </w:rPr>
        <w:t xml:space="preserve"> means of efficiency, especially those with </w:t>
      </w:r>
      <w:r w:rsidR="001B0E3E" w:rsidRPr="009C6493">
        <w:rPr>
          <w:rFonts w:ascii="Arial" w:hAnsi="Arial" w:cs="Arial"/>
        </w:rPr>
        <w:t>a</w:t>
      </w:r>
      <w:r w:rsidRPr="009C6493">
        <w:rPr>
          <w:rFonts w:ascii="Arial" w:hAnsi="Arial" w:cs="Arial"/>
        </w:rPr>
        <w:t xml:space="preserve"> high score in the innovation indices</w:t>
      </w:r>
      <w:r w:rsidR="001B0E3E" w:rsidRPr="009C6493">
        <w:rPr>
          <w:rFonts w:ascii="Arial" w:hAnsi="Arial" w:cs="Arial"/>
        </w:rPr>
        <w:t>,</w:t>
      </w:r>
      <w:r w:rsidRPr="009C6493">
        <w:rPr>
          <w:rFonts w:ascii="Arial" w:hAnsi="Arial" w:cs="Arial"/>
        </w:rPr>
        <w:t xml:space="preserve"> where manual </w:t>
      </w:r>
      <w:proofErr w:type="spellStart"/>
      <w:r w:rsidR="001B0E3E" w:rsidRPr="009C6493">
        <w:rPr>
          <w:rFonts w:ascii="Arial" w:hAnsi="Arial" w:cs="Arial"/>
        </w:rPr>
        <w:t>labour</w:t>
      </w:r>
      <w:proofErr w:type="spellEnd"/>
      <w:r w:rsidRPr="009C6493">
        <w:rPr>
          <w:rFonts w:ascii="Arial" w:hAnsi="Arial" w:cs="Arial"/>
        </w:rPr>
        <w:t xml:space="preserve"> can be reduced by up to 40 </w:t>
      </w:r>
      <w:r w:rsidR="001B0E3E" w:rsidRPr="009C6493">
        <w:rPr>
          <w:rFonts w:ascii="Arial" w:hAnsi="Arial" w:cs="Arial"/>
        </w:rPr>
        <w:t>per cent</w:t>
      </w:r>
      <w:r w:rsidRPr="009C6493">
        <w:rPr>
          <w:rFonts w:ascii="Arial" w:hAnsi="Arial" w:cs="Arial"/>
        </w:rPr>
        <w:t xml:space="preserve"> with the adoption of AI in reporting.</w:t>
      </w:r>
    </w:p>
    <w:p w14:paraId="147AED64" w14:textId="347BF158" w:rsidR="00E84B60" w:rsidRDefault="00E84B60" w:rsidP="00E84B60">
      <w:pPr>
        <w:rPr>
          <w:rFonts w:ascii="Arial" w:hAnsi="Arial" w:cs="Arial"/>
        </w:rPr>
      </w:pPr>
      <w:r w:rsidRPr="009C6493">
        <w:rPr>
          <w:rFonts w:ascii="Arial" w:hAnsi="Arial" w:cs="Arial"/>
        </w:rPr>
        <w:t xml:space="preserve">The </w:t>
      </w:r>
      <w:r w:rsidR="007E5419" w:rsidRPr="009C6493">
        <w:rPr>
          <w:rFonts w:ascii="Arial" w:hAnsi="Arial" w:cs="Arial"/>
        </w:rPr>
        <w:t>behavioral</w:t>
      </w:r>
      <w:r w:rsidRPr="009C6493">
        <w:rPr>
          <w:rFonts w:ascii="Arial" w:hAnsi="Arial" w:cs="Arial"/>
        </w:rPr>
        <w:t xml:space="preserve"> segmentation is based on usage and loyalty. Engagement users are also </w:t>
      </w:r>
      <w:r w:rsidR="001B0E3E" w:rsidRPr="009C6493">
        <w:rPr>
          <w:rFonts w:ascii="Arial" w:hAnsi="Arial" w:cs="Arial"/>
        </w:rPr>
        <w:t>highly compliant</w:t>
      </w:r>
      <w:r w:rsidRPr="009C6493">
        <w:rPr>
          <w:rFonts w:ascii="Arial" w:hAnsi="Arial" w:cs="Arial"/>
        </w:rPr>
        <w:t xml:space="preserve"> </w:t>
      </w:r>
      <w:r w:rsidR="001B0E3E" w:rsidRPr="009C6493">
        <w:rPr>
          <w:rFonts w:ascii="Arial" w:hAnsi="Arial" w:cs="Arial"/>
        </w:rPr>
        <w:t xml:space="preserve">with </w:t>
      </w:r>
      <w:r w:rsidRPr="009C6493">
        <w:rPr>
          <w:rFonts w:ascii="Arial" w:hAnsi="Arial" w:cs="Arial"/>
        </w:rPr>
        <w:t>related firms</w:t>
      </w:r>
      <w:r w:rsidR="001B0E3E" w:rsidRPr="009C6493">
        <w:rPr>
          <w:rFonts w:ascii="Arial" w:hAnsi="Arial" w:cs="Arial"/>
        </w:rPr>
        <w:t>,</w:t>
      </w:r>
      <w:r w:rsidRPr="009C6493">
        <w:rPr>
          <w:rFonts w:ascii="Arial" w:hAnsi="Arial" w:cs="Arial"/>
        </w:rPr>
        <w:t xml:space="preserve"> where regulatory requirements are mentioned by 68 </w:t>
      </w:r>
      <w:r w:rsidR="001B0E3E" w:rsidRPr="009C6493">
        <w:rPr>
          <w:rFonts w:ascii="Arial" w:hAnsi="Arial" w:cs="Arial"/>
        </w:rPr>
        <w:t>per cent</w:t>
      </w:r>
      <w:r w:rsidRPr="009C6493">
        <w:rPr>
          <w:rFonts w:ascii="Arial" w:hAnsi="Arial" w:cs="Arial"/>
        </w:rPr>
        <w:t xml:space="preserve"> of businesses to be the main driver in using ESG software</w:t>
      </w:r>
      <w:r w:rsidR="00D51680" w:rsidRPr="009C6493">
        <w:rPr>
          <w:rFonts w:ascii="Arial" w:hAnsi="Arial" w:cs="Arial"/>
        </w:rPr>
        <w:t xml:space="preserve"> (Celestin, 2024)</w:t>
      </w:r>
      <w:r w:rsidRPr="009C6493">
        <w:rPr>
          <w:rFonts w:ascii="Arial" w:hAnsi="Arial" w:cs="Arial"/>
        </w:rPr>
        <w:t xml:space="preserve">. The segments of benefit users are more interested in tools to offer real-time data, evident in the </w:t>
      </w:r>
      <w:r w:rsidR="001B0E3E" w:rsidRPr="009C6493">
        <w:rPr>
          <w:rFonts w:ascii="Arial" w:hAnsi="Arial" w:cs="Arial"/>
        </w:rPr>
        <w:t>year-over-year</w:t>
      </w:r>
      <w:r w:rsidRPr="009C6493">
        <w:rPr>
          <w:rFonts w:ascii="Arial" w:hAnsi="Arial" w:cs="Arial"/>
        </w:rPr>
        <w:t xml:space="preserve"> 24 </w:t>
      </w:r>
      <w:r w:rsidR="001B0E3E" w:rsidRPr="009C6493">
        <w:rPr>
          <w:rFonts w:ascii="Arial" w:hAnsi="Arial" w:cs="Arial"/>
        </w:rPr>
        <w:t>per cent</w:t>
      </w:r>
      <w:r w:rsidRPr="009C6493">
        <w:rPr>
          <w:rFonts w:ascii="Arial" w:hAnsi="Arial" w:cs="Arial"/>
        </w:rPr>
        <w:t xml:space="preserve"> growth of AI-integrated solutions</w:t>
      </w:r>
      <w:r w:rsidR="00D51680" w:rsidRPr="009C6493">
        <w:rPr>
          <w:rFonts w:ascii="Arial" w:hAnsi="Arial" w:cs="Arial"/>
        </w:rPr>
        <w:t xml:space="preserve"> (</w:t>
      </w:r>
      <w:proofErr w:type="spellStart"/>
      <w:r w:rsidR="00D51680" w:rsidRPr="009C6493">
        <w:rPr>
          <w:rFonts w:ascii="Arial" w:hAnsi="Arial" w:cs="Arial"/>
        </w:rPr>
        <w:t>Hariguna</w:t>
      </w:r>
      <w:proofErr w:type="spellEnd"/>
      <w:r w:rsidR="00D51680" w:rsidRPr="009C6493">
        <w:rPr>
          <w:rFonts w:ascii="Arial" w:hAnsi="Arial" w:cs="Arial"/>
        </w:rPr>
        <w:t xml:space="preserve"> and </w:t>
      </w:r>
      <w:proofErr w:type="spellStart"/>
      <w:r w:rsidR="00D51680" w:rsidRPr="009C6493">
        <w:rPr>
          <w:rFonts w:ascii="Arial" w:hAnsi="Arial" w:cs="Arial"/>
        </w:rPr>
        <w:t>Ruangkanjanases</w:t>
      </w:r>
      <w:proofErr w:type="spellEnd"/>
      <w:r w:rsidR="00D51680" w:rsidRPr="009C6493">
        <w:rPr>
          <w:rFonts w:ascii="Arial" w:hAnsi="Arial" w:cs="Arial"/>
        </w:rPr>
        <w:t>, 2024)</w:t>
      </w:r>
      <w:r w:rsidRPr="009C6493">
        <w:rPr>
          <w:rFonts w:ascii="Arial" w:hAnsi="Arial" w:cs="Arial"/>
        </w:rPr>
        <w:t xml:space="preserve">. Retention rates known to exceed 80 </w:t>
      </w:r>
      <w:r w:rsidR="001B0E3E" w:rsidRPr="009C6493">
        <w:rPr>
          <w:rFonts w:ascii="Arial" w:hAnsi="Arial" w:cs="Arial"/>
        </w:rPr>
        <w:t>per cent</w:t>
      </w:r>
      <w:r w:rsidRPr="009C6493">
        <w:rPr>
          <w:rFonts w:ascii="Arial" w:hAnsi="Arial" w:cs="Arial"/>
        </w:rPr>
        <w:t xml:space="preserve"> with loyal Sage clients in the software sector would be considered a natural fit</w:t>
      </w:r>
      <w:r w:rsidR="001B0E3E" w:rsidRPr="009C6493">
        <w:rPr>
          <w:rFonts w:ascii="Arial" w:hAnsi="Arial" w:cs="Arial"/>
        </w:rPr>
        <w:t>,</w:t>
      </w:r>
      <w:r w:rsidRPr="009C6493">
        <w:rPr>
          <w:rFonts w:ascii="Arial" w:hAnsi="Arial" w:cs="Arial"/>
        </w:rPr>
        <w:t xml:space="preserve"> as </w:t>
      </w:r>
      <w:proofErr w:type="spellStart"/>
      <w:r w:rsidRPr="009C6493">
        <w:rPr>
          <w:rFonts w:ascii="Arial" w:hAnsi="Arial" w:cs="Arial"/>
        </w:rPr>
        <w:t>EcoInsight</w:t>
      </w:r>
      <w:proofErr w:type="spellEnd"/>
      <w:r w:rsidRPr="009C6493">
        <w:rPr>
          <w:rFonts w:ascii="Arial" w:hAnsi="Arial" w:cs="Arial"/>
        </w:rPr>
        <w:t xml:space="preserve"> will </w:t>
      </w:r>
      <w:r w:rsidR="001B0E3E" w:rsidRPr="009C6493">
        <w:rPr>
          <w:rFonts w:ascii="Arial" w:hAnsi="Arial" w:cs="Arial"/>
        </w:rPr>
        <w:t>leverage</w:t>
      </w:r>
      <w:r w:rsidRPr="009C6493">
        <w:rPr>
          <w:rFonts w:ascii="Arial" w:hAnsi="Arial" w:cs="Arial"/>
        </w:rPr>
        <w:t xml:space="preserve"> the existing platforms to promote cross-product consumption.</w:t>
      </w:r>
    </w:p>
    <w:p w14:paraId="03264B64" w14:textId="77777777" w:rsidR="007E5419" w:rsidRPr="009C6493" w:rsidRDefault="007E5419" w:rsidP="00E84B60">
      <w:pPr>
        <w:rPr>
          <w:rFonts w:ascii="Arial" w:hAnsi="Arial" w:cs="Arial"/>
        </w:rPr>
      </w:pPr>
    </w:p>
    <w:p w14:paraId="4AF1E3B4" w14:textId="6F26FB17" w:rsidR="00E84B60" w:rsidRPr="007E5419" w:rsidRDefault="00E84B60" w:rsidP="00E84B60">
      <w:pPr>
        <w:rPr>
          <w:rFonts w:ascii="Arial" w:hAnsi="Arial" w:cs="Arial"/>
          <w:b/>
          <w:sz w:val="32"/>
          <w:szCs w:val="32"/>
        </w:rPr>
      </w:pPr>
      <w:r w:rsidRPr="007E5419">
        <w:rPr>
          <w:rFonts w:ascii="Arial" w:hAnsi="Arial" w:cs="Arial"/>
          <w:b/>
          <w:sz w:val="32"/>
          <w:szCs w:val="32"/>
        </w:rPr>
        <w:t>Targeting</w:t>
      </w:r>
      <w:r w:rsidR="007E5419" w:rsidRPr="007E5419">
        <w:rPr>
          <w:rFonts w:ascii="Arial" w:hAnsi="Arial" w:cs="Arial"/>
          <w:b/>
          <w:sz w:val="32"/>
          <w:szCs w:val="32"/>
        </w:rPr>
        <w:t>:</w:t>
      </w:r>
    </w:p>
    <w:p w14:paraId="3CB94A15" w14:textId="05B385B9" w:rsidR="00E84B60" w:rsidRDefault="00E84B60" w:rsidP="00E84B60">
      <w:pPr>
        <w:rPr>
          <w:rFonts w:ascii="Arial" w:hAnsi="Arial" w:cs="Arial"/>
        </w:rPr>
      </w:pPr>
      <w:r w:rsidRPr="009C6493">
        <w:rPr>
          <w:rFonts w:ascii="Arial" w:hAnsi="Arial" w:cs="Arial"/>
        </w:rPr>
        <w:t xml:space="preserve">Under segmentation, Sage </w:t>
      </w:r>
      <w:proofErr w:type="spellStart"/>
      <w:r w:rsidR="001B0E3E" w:rsidRPr="009C6493">
        <w:rPr>
          <w:rFonts w:ascii="Arial" w:hAnsi="Arial" w:cs="Arial"/>
        </w:rPr>
        <w:t>EcoInsight's</w:t>
      </w:r>
      <w:proofErr w:type="spellEnd"/>
      <w:r w:rsidRPr="009C6493">
        <w:rPr>
          <w:rFonts w:ascii="Arial" w:hAnsi="Arial" w:cs="Arial"/>
        </w:rPr>
        <w:t xml:space="preserve"> major target group is mid-sized businesses with 50 to 500 employees in Europe and North America</w:t>
      </w:r>
      <w:r w:rsidR="001B0E3E" w:rsidRPr="009C6493">
        <w:rPr>
          <w:rFonts w:ascii="Arial" w:hAnsi="Arial" w:cs="Arial"/>
        </w:rPr>
        <w:t>,</w:t>
      </w:r>
      <w:r w:rsidRPr="009C6493">
        <w:rPr>
          <w:rFonts w:ascii="Arial" w:hAnsi="Arial" w:cs="Arial"/>
        </w:rPr>
        <w:t xml:space="preserve"> especially in </w:t>
      </w:r>
      <w:r w:rsidR="001B0E3E" w:rsidRPr="009C6493">
        <w:rPr>
          <w:rFonts w:ascii="Arial" w:hAnsi="Arial" w:cs="Arial"/>
        </w:rPr>
        <w:t xml:space="preserve">the </w:t>
      </w:r>
      <w:r w:rsidRPr="009C6493">
        <w:rPr>
          <w:rFonts w:ascii="Arial" w:hAnsi="Arial" w:cs="Arial"/>
        </w:rPr>
        <w:t xml:space="preserve">manufacturing, </w:t>
      </w:r>
      <w:proofErr w:type="gramStart"/>
      <w:r w:rsidRPr="009C6493">
        <w:rPr>
          <w:rFonts w:ascii="Arial" w:hAnsi="Arial" w:cs="Arial"/>
        </w:rPr>
        <w:t>retail</w:t>
      </w:r>
      <w:proofErr w:type="gramEnd"/>
      <w:r w:rsidR="007E5419">
        <w:rPr>
          <w:rFonts w:ascii="Arial" w:hAnsi="Arial" w:cs="Arial"/>
        </w:rPr>
        <w:t xml:space="preserve"> </w:t>
      </w:r>
      <w:r w:rsidRPr="009C6493">
        <w:rPr>
          <w:rFonts w:ascii="Arial" w:hAnsi="Arial" w:cs="Arial"/>
        </w:rPr>
        <w:lastRenderedPageBreak/>
        <w:t xml:space="preserve">and financial services industries. This customer base entails cross-selling potential, and is the same customers </w:t>
      </w:r>
      <w:r w:rsidR="001B0E3E" w:rsidRPr="009C6493">
        <w:rPr>
          <w:rFonts w:ascii="Arial" w:hAnsi="Arial" w:cs="Arial"/>
        </w:rPr>
        <w:t>that</w:t>
      </w:r>
      <w:r w:rsidRPr="009C6493">
        <w:rPr>
          <w:rFonts w:ascii="Arial" w:hAnsi="Arial" w:cs="Arial"/>
        </w:rPr>
        <w:t xml:space="preserve"> Sage has, which is 40 </w:t>
      </w:r>
      <w:r w:rsidR="001B0E3E" w:rsidRPr="009C6493">
        <w:rPr>
          <w:rFonts w:ascii="Arial" w:hAnsi="Arial" w:cs="Arial"/>
        </w:rPr>
        <w:t>per cent</w:t>
      </w:r>
      <w:r w:rsidRPr="009C6493">
        <w:rPr>
          <w:rFonts w:ascii="Arial" w:hAnsi="Arial" w:cs="Arial"/>
        </w:rPr>
        <w:t xml:space="preserve"> of the current 6 million customers. There is a rise in the regulatory oversight on these companies, as more than 11,000 European companies will be subject to CSRD by 2026, but most have not had integrated tools and therefore are inefficient</w:t>
      </w:r>
      <w:r w:rsidR="00D51680" w:rsidRPr="009C6493">
        <w:rPr>
          <w:rFonts w:ascii="Arial" w:hAnsi="Arial" w:cs="Arial"/>
        </w:rPr>
        <w:t xml:space="preserve"> (Schmidt and </w:t>
      </w:r>
      <w:proofErr w:type="spellStart"/>
      <w:r w:rsidR="00D51680" w:rsidRPr="009C6493">
        <w:rPr>
          <w:rFonts w:ascii="Arial" w:hAnsi="Arial" w:cs="Arial"/>
        </w:rPr>
        <w:t>Farbstein</w:t>
      </w:r>
      <w:proofErr w:type="spellEnd"/>
      <w:r w:rsidR="00D51680" w:rsidRPr="009C6493">
        <w:rPr>
          <w:rFonts w:ascii="Arial" w:hAnsi="Arial" w:cs="Arial"/>
        </w:rPr>
        <w:t>, 2025)</w:t>
      </w:r>
      <w:r w:rsidRPr="009C6493">
        <w:rPr>
          <w:rFonts w:ascii="Arial" w:hAnsi="Arial" w:cs="Arial"/>
        </w:rPr>
        <w:t xml:space="preserve">. </w:t>
      </w:r>
      <w:r w:rsidR="00D51680" w:rsidRPr="009C6493">
        <w:rPr>
          <w:rFonts w:ascii="Arial" w:hAnsi="Arial" w:cs="Arial"/>
        </w:rPr>
        <w:t>T</w:t>
      </w:r>
      <w:r w:rsidRPr="009C6493">
        <w:rPr>
          <w:rFonts w:ascii="Arial" w:hAnsi="Arial" w:cs="Arial"/>
        </w:rPr>
        <w:t xml:space="preserve">he adoption of ESG software in this segment is 55 </w:t>
      </w:r>
      <w:r w:rsidR="001B0E3E" w:rsidRPr="009C6493">
        <w:rPr>
          <w:rFonts w:ascii="Arial" w:hAnsi="Arial" w:cs="Arial"/>
        </w:rPr>
        <w:t>per cent</w:t>
      </w:r>
      <w:r w:rsidRPr="009C6493">
        <w:rPr>
          <w:rFonts w:ascii="Arial" w:hAnsi="Arial" w:cs="Arial"/>
        </w:rPr>
        <w:t xml:space="preserve"> and will increase to 75 </w:t>
      </w:r>
      <w:r w:rsidR="001B0E3E" w:rsidRPr="009C6493">
        <w:rPr>
          <w:rFonts w:ascii="Arial" w:hAnsi="Arial" w:cs="Arial"/>
        </w:rPr>
        <w:t>per cent</w:t>
      </w:r>
      <w:r w:rsidRPr="009C6493">
        <w:rPr>
          <w:rFonts w:ascii="Arial" w:hAnsi="Arial" w:cs="Arial"/>
        </w:rPr>
        <w:t xml:space="preserve"> by 2030 as a result of the necessity to find affordable and scalable solutions</w:t>
      </w:r>
      <w:r w:rsidR="00D51680" w:rsidRPr="009C6493">
        <w:rPr>
          <w:rFonts w:ascii="Arial" w:hAnsi="Arial" w:cs="Arial"/>
        </w:rPr>
        <w:t xml:space="preserve"> (</w:t>
      </w:r>
      <w:proofErr w:type="spellStart"/>
      <w:r w:rsidR="00D51680" w:rsidRPr="009C6493">
        <w:rPr>
          <w:rFonts w:ascii="Arial" w:hAnsi="Arial" w:cs="Arial"/>
        </w:rPr>
        <w:t>Mckinsey</w:t>
      </w:r>
      <w:proofErr w:type="spellEnd"/>
      <w:r w:rsidR="00D51680" w:rsidRPr="009C6493">
        <w:rPr>
          <w:rFonts w:ascii="Arial" w:hAnsi="Arial" w:cs="Arial"/>
        </w:rPr>
        <w:t>, 2024)</w:t>
      </w:r>
      <w:r w:rsidRPr="009C6493">
        <w:rPr>
          <w:rFonts w:ascii="Arial" w:hAnsi="Arial" w:cs="Arial"/>
        </w:rPr>
        <w:t xml:space="preserve">. Targeting the cost-sensitive and yet growth-oriented </w:t>
      </w:r>
      <w:proofErr w:type="spellStart"/>
      <w:r w:rsidR="001B0E3E" w:rsidRPr="009C6493">
        <w:rPr>
          <w:rFonts w:ascii="Arial" w:hAnsi="Arial" w:cs="Arial"/>
        </w:rPr>
        <w:t>organisations</w:t>
      </w:r>
      <w:proofErr w:type="spellEnd"/>
      <w:r w:rsidRPr="009C6493">
        <w:rPr>
          <w:rFonts w:ascii="Arial" w:hAnsi="Arial" w:cs="Arial"/>
        </w:rPr>
        <w:t xml:space="preserve"> that can be interested in the integration of </w:t>
      </w:r>
      <w:proofErr w:type="spellStart"/>
      <w:r w:rsidRPr="009C6493">
        <w:rPr>
          <w:rFonts w:ascii="Arial" w:hAnsi="Arial" w:cs="Arial"/>
        </w:rPr>
        <w:t>EcoInsight</w:t>
      </w:r>
      <w:proofErr w:type="spellEnd"/>
      <w:r w:rsidR="001B0E3E" w:rsidRPr="009C6493">
        <w:rPr>
          <w:rFonts w:ascii="Arial" w:hAnsi="Arial" w:cs="Arial"/>
        </w:rPr>
        <w:t>,</w:t>
      </w:r>
      <w:r w:rsidRPr="009C6493">
        <w:rPr>
          <w:rFonts w:ascii="Arial" w:hAnsi="Arial" w:cs="Arial"/>
        </w:rPr>
        <w:t xml:space="preserve"> as they will save up to 30 </w:t>
      </w:r>
      <w:r w:rsidR="001B0E3E" w:rsidRPr="009C6493">
        <w:rPr>
          <w:rFonts w:ascii="Arial" w:hAnsi="Arial" w:cs="Arial"/>
        </w:rPr>
        <w:t>per cent</w:t>
      </w:r>
      <w:r w:rsidRPr="009C6493">
        <w:rPr>
          <w:rFonts w:ascii="Arial" w:hAnsi="Arial" w:cs="Arial"/>
        </w:rPr>
        <w:t xml:space="preserve"> of time on reporting, which can be more attractive.</w:t>
      </w:r>
    </w:p>
    <w:p w14:paraId="73543DEF" w14:textId="77777777" w:rsidR="007E5419" w:rsidRPr="009C6493" w:rsidRDefault="007E5419" w:rsidP="00E84B60">
      <w:pPr>
        <w:rPr>
          <w:rFonts w:ascii="Arial" w:hAnsi="Arial" w:cs="Arial"/>
        </w:rPr>
      </w:pPr>
    </w:p>
    <w:p w14:paraId="2B5BCB5E" w14:textId="01D8E400" w:rsidR="00E84B60" w:rsidRPr="007E5419" w:rsidRDefault="00E84B60" w:rsidP="00E84B60">
      <w:pPr>
        <w:rPr>
          <w:rFonts w:ascii="Arial" w:hAnsi="Arial" w:cs="Arial"/>
          <w:b/>
          <w:sz w:val="32"/>
          <w:szCs w:val="32"/>
        </w:rPr>
      </w:pPr>
      <w:r w:rsidRPr="007E5419">
        <w:rPr>
          <w:rFonts w:ascii="Arial" w:hAnsi="Arial" w:cs="Arial"/>
          <w:b/>
          <w:sz w:val="32"/>
          <w:szCs w:val="32"/>
        </w:rPr>
        <w:t>Differentiation</w:t>
      </w:r>
      <w:r w:rsidR="007E5419" w:rsidRPr="007E5419">
        <w:rPr>
          <w:rFonts w:ascii="Arial" w:hAnsi="Arial" w:cs="Arial"/>
          <w:b/>
          <w:sz w:val="32"/>
          <w:szCs w:val="32"/>
        </w:rPr>
        <w:t>:</w:t>
      </w:r>
    </w:p>
    <w:p w14:paraId="7B95906A" w14:textId="35AEE2E4" w:rsidR="00E84B60" w:rsidRDefault="00E84B60" w:rsidP="00E84B60">
      <w:pPr>
        <w:rPr>
          <w:rFonts w:ascii="Arial" w:hAnsi="Arial" w:cs="Arial"/>
        </w:rPr>
      </w:pPr>
      <w:r w:rsidRPr="009C6493">
        <w:rPr>
          <w:rFonts w:ascii="Arial" w:hAnsi="Arial" w:cs="Arial"/>
        </w:rPr>
        <w:t xml:space="preserve">Compared to competitors such as Workiva, IBM </w:t>
      </w:r>
      <w:proofErr w:type="spellStart"/>
      <w:r w:rsidRPr="009C6493">
        <w:rPr>
          <w:rFonts w:ascii="Arial" w:hAnsi="Arial" w:cs="Arial"/>
        </w:rPr>
        <w:t>Envizi</w:t>
      </w:r>
      <w:proofErr w:type="spellEnd"/>
      <w:r w:rsidRPr="009C6493">
        <w:rPr>
          <w:rFonts w:ascii="Arial" w:hAnsi="Arial" w:cs="Arial"/>
        </w:rPr>
        <w:t xml:space="preserve">, and Sweep, Sage </w:t>
      </w:r>
      <w:proofErr w:type="spellStart"/>
      <w:r w:rsidRPr="009C6493">
        <w:rPr>
          <w:rFonts w:ascii="Arial" w:hAnsi="Arial" w:cs="Arial"/>
        </w:rPr>
        <w:t>EcoInsight</w:t>
      </w:r>
      <w:proofErr w:type="spellEnd"/>
      <w:r w:rsidRPr="009C6493">
        <w:rPr>
          <w:rFonts w:ascii="Arial" w:hAnsi="Arial" w:cs="Arial"/>
        </w:rPr>
        <w:t xml:space="preserve"> is distinguished by the fact that the tool can be seamlessly integrated with financial systems, its automation is based on AI and is oriented to practical ideas about sustainability</w:t>
      </w:r>
      <w:r w:rsidR="00D51680" w:rsidRPr="009C6493">
        <w:rPr>
          <w:rFonts w:ascii="Arial" w:hAnsi="Arial" w:cs="Arial"/>
        </w:rPr>
        <w:t xml:space="preserve"> (Sage.com, 2025)</w:t>
      </w:r>
      <w:r w:rsidRPr="009C6493">
        <w:rPr>
          <w:rFonts w:ascii="Arial" w:hAnsi="Arial" w:cs="Arial"/>
        </w:rPr>
        <w:t xml:space="preserve">. Although Workiva does well with disclosure of </w:t>
      </w:r>
      <w:r w:rsidR="001B0E3E" w:rsidRPr="009C6493">
        <w:rPr>
          <w:rFonts w:ascii="Arial" w:hAnsi="Arial" w:cs="Arial"/>
        </w:rPr>
        <w:t>enterprises</w:t>
      </w:r>
      <w:r w:rsidRPr="009C6493">
        <w:rPr>
          <w:rFonts w:ascii="Arial" w:hAnsi="Arial" w:cs="Arial"/>
        </w:rPr>
        <w:t xml:space="preserve"> using XBRL tagging, larger companies are its focus</w:t>
      </w:r>
      <w:r w:rsidR="001B0E3E" w:rsidRPr="009C6493">
        <w:rPr>
          <w:rFonts w:ascii="Arial" w:hAnsi="Arial" w:cs="Arial"/>
        </w:rPr>
        <w:t>,</w:t>
      </w:r>
      <w:r w:rsidRPr="009C6493">
        <w:rPr>
          <w:rFonts w:ascii="Arial" w:hAnsi="Arial" w:cs="Arial"/>
        </w:rPr>
        <w:t xml:space="preserve"> leaving SMBs neglected</w:t>
      </w:r>
      <w:r w:rsidR="00D51680" w:rsidRPr="009C6493">
        <w:rPr>
          <w:rFonts w:ascii="Arial" w:hAnsi="Arial" w:cs="Arial"/>
        </w:rPr>
        <w:t xml:space="preserve"> (Workiva, 2026)</w:t>
      </w:r>
      <w:r w:rsidRPr="009C6493">
        <w:rPr>
          <w:rFonts w:ascii="Arial" w:hAnsi="Arial" w:cs="Arial"/>
        </w:rPr>
        <w:t xml:space="preserve">. </w:t>
      </w:r>
      <w:proofErr w:type="spellStart"/>
      <w:r w:rsidRPr="009C6493">
        <w:rPr>
          <w:rFonts w:ascii="Arial" w:hAnsi="Arial" w:cs="Arial"/>
        </w:rPr>
        <w:t>EcoInsight</w:t>
      </w:r>
      <w:proofErr w:type="spellEnd"/>
      <w:r w:rsidRPr="009C6493">
        <w:rPr>
          <w:rFonts w:ascii="Arial" w:hAnsi="Arial" w:cs="Arial"/>
        </w:rPr>
        <w:t xml:space="preserve"> has resolved this gap by cutting set up cost by 25 </w:t>
      </w:r>
      <w:r w:rsidR="001B0E3E" w:rsidRPr="009C6493">
        <w:rPr>
          <w:rFonts w:ascii="Arial" w:hAnsi="Arial" w:cs="Arial"/>
        </w:rPr>
        <w:t>per cent</w:t>
      </w:r>
      <w:r w:rsidRPr="009C6493">
        <w:rPr>
          <w:rFonts w:ascii="Arial" w:hAnsi="Arial" w:cs="Arial"/>
        </w:rPr>
        <w:t xml:space="preserve"> in </w:t>
      </w:r>
      <w:r w:rsidR="001B0E3E" w:rsidRPr="009C6493">
        <w:rPr>
          <w:rFonts w:ascii="Arial" w:hAnsi="Arial" w:cs="Arial"/>
        </w:rPr>
        <w:t xml:space="preserve">the </w:t>
      </w:r>
      <w:r w:rsidRPr="009C6493">
        <w:rPr>
          <w:rFonts w:ascii="Arial" w:hAnsi="Arial" w:cs="Arial"/>
        </w:rPr>
        <w:t xml:space="preserve">case of mid-sized users. IBM </w:t>
      </w:r>
      <w:proofErr w:type="spellStart"/>
      <w:r w:rsidRPr="009C6493">
        <w:rPr>
          <w:rFonts w:ascii="Arial" w:hAnsi="Arial" w:cs="Arial"/>
        </w:rPr>
        <w:t>Envizi</w:t>
      </w:r>
      <w:proofErr w:type="spellEnd"/>
      <w:r w:rsidRPr="009C6493">
        <w:rPr>
          <w:rFonts w:ascii="Arial" w:hAnsi="Arial" w:cs="Arial"/>
        </w:rPr>
        <w:t xml:space="preserve"> has good analytics</w:t>
      </w:r>
      <w:r w:rsidR="001B0E3E" w:rsidRPr="009C6493">
        <w:rPr>
          <w:rFonts w:ascii="Arial" w:hAnsi="Arial" w:cs="Arial"/>
        </w:rPr>
        <w:t>,</w:t>
      </w:r>
      <w:r w:rsidRPr="009C6493">
        <w:rPr>
          <w:rFonts w:ascii="Arial" w:hAnsi="Arial" w:cs="Arial"/>
        </w:rPr>
        <w:t xml:space="preserve"> but no native accounting connection</w:t>
      </w:r>
      <w:r w:rsidR="00AF02FA" w:rsidRPr="009C6493">
        <w:rPr>
          <w:rFonts w:ascii="Arial" w:hAnsi="Arial" w:cs="Arial"/>
        </w:rPr>
        <w:t>.</w:t>
      </w:r>
      <w:r w:rsidRPr="009C6493">
        <w:rPr>
          <w:rFonts w:ascii="Arial" w:hAnsi="Arial" w:cs="Arial"/>
        </w:rPr>
        <w:t xml:space="preserve"> </w:t>
      </w:r>
      <w:proofErr w:type="spellStart"/>
      <w:r w:rsidRPr="009C6493">
        <w:rPr>
          <w:rFonts w:ascii="Arial" w:hAnsi="Arial" w:cs="Arial"/>
        </w:rPr>
        <w:t>EcoInsight</w:t>
      </w:r>
      <w:proofErr w:type="spellEnd"/>
      <w:r w:rsidRPr="009C6493">
        <w:rPr>
          <w:rFonts w:ascii="Arial" w:hAnsi="Arial" w:cs="Arial"/>
        </w:rPr>
        <w:t xml:space="preserve"> builds on the Sage ecosystem to track real-time Scope 1-3 emissions in the company, which is better by 35 </w:t>
      </w:r>
      <w:r w:rsidR="001B0E3E" w:rsidRPr="009C6493">
        <w:rPr>
          <w:rFonts w:ascii="Arial" w:hAnsi="Arial" w:cs="Arial"/>
        </w:rPr>
        <w:t>per cent</w:t>
      </w:r>
      <w:r w:rsidR="00AF02FA" w:rsidRPr="009C6493">
        <w:rPr>
          <w:rFonts w:ascii="Arial" w:hAnsi="Arial" w:cs="Arial"/>
        </w:rPr>
        <w:t xml:space="preserve"> (</w:t>
      </w:r>
      <w:proofErr w:type="spellStart"/>
      <w:r w:rsidR="00AF02FA" w:rsidRPr="009C6493">
        <w:rPr>
          <w:rFonts w:ascii="Arial" w:hAnsi="Arial" w:cs="Arial"/>
        </w:rPr>
        <w:t>Dcycle</w:t>
      </w:r>
      <w:proofErr w:type="spellEnd"/>
      <w:r w:rsidR="00AF02FA" w:rsidRPr="009C6493">
        <w:rPr>
          <w:rFonts w:ascii="Arial" w:hAnsi="Arial" w:cs="Arial"/>
        </w:rPr>
        <w:t>, 2025)</w:t>
      </w:r>
      <w:r w:rsidRPr="009C6493">
        <w:rPr>
          <w:rFonts w:ascii="Arial" w:hAnsi="Arial" w:cs="Arial"/>
        </w:rPr>
        <w:t xml:space="preserve">. Sweep offers </w:t>
      </w:r>
      <w:proofErr w:type="spellStart"/>
      <w:r w:rsidR="001B0E3E" w:rsidRPr="009C6493">
        <w:rPr>
          <w:rFonts w:ascii="Arial" w:hAnsi="Arial" w:cs="Arial"/>
        </w:rPr>
        <w:t>gen</w:t>
      </w:r>
      <w:r w:rsidR="007E5419">
        <w:rPr>
          <w:rFonts w:ascii="Arial" w:hAnsi="Arial" w:cs="Arial"/>
        </w:rPr>
        <w:t>e</w:t>
      </w:r>
      <w:r w:rsidR="001B0E3E" w:rsidRPr="009C6493">
        <w:rPr>
          <w:rFonts w:ascii="Arial" w:hAnsi="Arial" w:cs="Arial"/>
        </w:rPr>
        <w:t>ralised</w:t>
      </w:r>
      <w:proofErr w:type="spellEnd"/>
      <w:r w:rsidRPr="009C6493">
        <w:rPr>
          <w:rFonts w:ascii="Arial" w:hAnsi="Arial" w:cs="Arial"/>
        </w:rPr>
        <w:t xml:space="preserve"> decarbonization solutions, whereas </w:t>
      </w:r>
      <w:proofErr w:type="spellStart"/>
      <w:r w:rsidRPr="009C6493">
        <w:rPr>
          <w:rFonts w:ascii="Arial" w:hAnsi="Arial" w:cs="Arial"/>
        </w:rPr>
        <w:t>EcoInsight</w:t>
      </w:r>
      <w:proofErr w:type="spellEnd"/>
      <w:r w:rsidRPr="009C6493">
        <w:rPr>
          <w:rFonts w:ascii="Arial" w:hAnsi="Arial" w:cs="Arial"/>
        </w:rPr>
        <w:t xml:space="preserve"> has obtained a competitive advantage by offering SMB-focused pricing and compatibility templates and differentiating through cost-effectiveness and ease in a market where 60 </w:t>
      </w:r>
      <w:r w:rsidR="001B0E3E" w:rsidRPr="009C6493">
        <w:rPr>
          <w:rFonts w:ascii="Arial" w:hAnsi="Arial" w:cs="Arial"/>
        </w:rPr>
        <w:t>per cent</w:t>
      </w:r>
      <w:r w:rsidRPr="009C6493">
        <w:rPr>
          <w:rFonts w:ascii="Arial" w:hAnsi="Arial" w:cs="Arial"/>
        </w:rPr>
        <w:t xml:space="preserve"> of </w:t>
      </w:r>
      <w:r w:rsidR="009C6493" w:rsidRPr="009C6493">
        <w:rPr>
          <w:rFonts w:ascii="Arial" w:hAnsi="Arial" w:cs="Arial"/>
        </w:rPr>
        <w:t>user’s</w:t>
      </w:r>
      <w:r w:rsidRPr="009C6493">
        <w:rPr>
          <w:rFonts w:ascii="Arial" w:hAnsi="Arial" w:cs="Arial"/>
        </w:rPr>
        <w:t xml:space="preserve"> reference integration as an obstacle.</w:t>
      </w:r>
    </w:p>
    <w:p w14:paraId="11431920" w14:textId="77777777" w:rsidR="007E5419" w:rsidRPr="009C6493" w:rsidRDefault="007E5419" w:rsidP="00E84B60">
      <w:pPr>
        <w:rPr>
          <w:rFonts w:ascii="Arial" w:hAnsi="Arial" w:cs="Arial"/>
        </w:rPr>
      </w:pPr>
    </w:p>
    <w:p w14:paraId="5C153C90" w14:textId="77777777" w:rsidR="00744667" w:rsidRDefault="00744667" w:rsidP="00E84B60">
      <w:pPr>
        <w:rPr>
          <w:rFonts w:ascii="Arial" w:hAnsi="Arial" w:cs="Arial"/>
          <w:b/>
          <w:sz w:val="32"/>
          <w:szCs w:val="32"/>
        </w:rPr>
      </w:pPr>
    </w:p>
    <w:p w14:paraId="559DC543" w14:textId="77777777" w:rsidR="00744667" w:rsidRDefault="00744667" w:rsidP="00E84B60">
      <w:pPr>
        <w:rPr>
          <w:rFonts w:ascii="Arial" w:hAnsi="Arial" w:cs="Arial"/>
          <w:b/>
          <w:sz w:val="32"/>
          <w:szCs w:val="32"/>
        </w:rPr>
      </w:pPr>
    </w:p>
    <w:p w14:paraId="36CB21AE" w14:textId="35C159C6" w:rsidR="00744667" w:rsidRDefault="00E84B60" w:rsidP="00E84B60">
      <w:pPr>
        <w:rPr>
          <w:rFonts w:ascii="Arial" w:hAnsi="Arial" w:cs="Arial"/>
          <w:b/>
          <w:sz w:val="32"/>
          <w:szCs w:val="32"/>
        </w:rPr>
      </w:pPr>
      <w:r w:rsidRPr="007E5419">
        <w:rPr>
          <w:rFonts w:ascii="Arial" w:hAnsi="Arial" w:cs="Arial"/>
          <w:b/>
          <w:sz w:val="32"/>
          <w:szCs w:val="32"/>
        </w:rPr>
        <w:lastRenderedPageBreak/>
        <w:t>Positioning</w:t>
      </w:r>
      <w:r w:rsidR="007E5419" w:rsidRPr="007E5419">
        <w:rPr>
          <w:rFonts w:ascii="Arial" w:hAnsi="Arial" w:cs="Arial"/>
          <w:b/>
          <w:sz w:val="32"/>
          <w:szCs w:val="32"/>
        </w:rPr>
        <w:t>:</w:t>
      </w:r>
    </w:p>
    <w:p w14:paraId="2015F748" w14:textId="703B8786" w:rsidR="008A6E76" w:rsidRPr="00744667" w:rsidRDefault="00E84B60" w:rsidP="00E84B60">
      <w:pPr>
        <w:rPr>
          <w:rFonts w:ascii="Arial" w:hAnsi="Arial" w:cs="Arial"/>
          <w:b/>
          <w:sz w:val="32"/>
          <w:szCs w:val="32"/>
        </w:rPr>
      </w:pPr>
      <w:r w:rsidRPr="009C6493">
        <w:rPr>
          <w:rFonts w:ascii="Arial" w:hAnsi="Arial" w:cs="Arial"/>
        </w:rPr>
        <w:t xml:space="preserve">Sage </w:t>
      </w:r>
      <w:proofErr w:type="spellStart"/>
      <w:r w:rsidRPr="009C6493">
        <w:rPr>
          <w:rFonts w:ascii="Arial" w:hAnsi="Arial" w:cs="Arial"/>
        </w:rPr>
        <w:t>EcoInsight</w:t>
      </w:r>
      <w:proofErr w:type="spellEnd"/>
      <w:r w:rsidRPr="009C6493">
        <w:rPr>
          <w:rFonts w:ascii="Arial" w:hAnsi="Arial" w:cs="Arial"/>
        </w:rPr>
        <w:t xml:space="preserve"> is placed as </w:t>
      </w:r>
      <w:r w:rsidR="001B0E3E" w:rsidRPr="009C6493">
        <w:rPr>
          <w:rFonts w:ascii="Arial" w:hAnsi="Arial" w:cs="Arial"/>
        </w:rPr>
        <w:t>a</w:t>
      </w:r>
      <w:r w:rsidRPr="009C6493">
        <w:rPr>
          <w:rFonts w:ascii="Arial" w:hAnsi="Arial" w:cs="Arial"/>
        </w:rPr>
        <w:t xml:space="preserve"> reliable embedded ESG solution </w:t>
      </w:r>
      <w:r w:rsidR="001B0E3E" w:rsidRPr="009C6493">
        <w:rPr>
          <w:rFonts w:ascii="Arial" w:hAnsi="Arial" w:cs="Arial"/>
        </w:rPr>
        <w:t>for</w:t>
      </w:r>
      <w:r w:rsidRPr="009C6493">
        <w:rPr>
          <w:rFonts w:ascii="Arial" w:hAnsi="Arial" w:cs="Arial"/>
        </w:rPr>
        <w:t xml:space="preserve"> mid-size companies. In the positioning statement, the focus is on the Smooth AI-driven ESG reporting that co</w:t>
      </w:r>
      <w:r w:rsidR="00AF02FA" w:rsidRPr="009C6493">
        <w:rPr>
          <w:rFonts w:ascii="Arial" w:hAnsi="Arial" w:cs="Arial"/>
        </w:rPr>
        <w:t>mbines with</w:t>
      </w:r>
      <w:r w:rsidRPr="009C6493">
        <w:rPr>
          <w:rFonts w:ascii="Arial" w:hAnsi="Arial" w:cs="Arial"/>
        </w:rPr>
        <w:t xml:space="preserve"> finances to become ethically successful. This leads </w:t>
      </w:r>
      <w:r w:rsidR="001B0E3E" w:rsidRPr="009C6493">
        <w:rPr>
          <w:rFonts w:ascii="Arial" w:hAnsi="Arial" w:cs="Arial"/>
        </w:rPr>
        <w:t xml:space="preserve">to </w:t>
      </w:r>
      <w:r w:rsidRPr="009C6493">
        <w:rPr>
          <w:rFonts w:ascii="Arial" w:hAnsi="Arial" w:cs="Arial"/>
        </w:rPr>
        <w:t>a market worth USD 1.6 billion in 2026 with a CAGR of 21.02 in USD 7.36 billion in 2034</w:t>
      </w:r>
      <w:r w:rsidR="00AF02FA" w:rsidRPr="009C6493">
        <w:rPr>
          <w:rFonts w:ascii="Arial" w:hAnsi="Arial" w:cs="Arial"/>
        </w:rPr>
        <w:t xml:space="preserve"> (Fortune Business Insight, 2025)</w:t>
      </w:r>
      <w:r w:rsidRPr="009C6493">
        <w:rPr>
          <w:rFonts w:ascii="Arial" w:hAnsi="Arial" w:cs="Arial"/>
        </w:rPr>
        <w:t xml:space="preserve">. The marketing will focus on reliability, whereby 97 </w:t>
      </w:r>
      <w:r w:rsidR="001B0E3E" w:rsidRPr="009C6493">
        <w:rPr>
          <w:rFonts w:ascii="Arial" w:hAnsi="Arial" w:cs="Arial"/>
        </w:rPr>
        <w:t>per cent</w:t>
      </w:r>
      <w:r w:rsidRPr="009C6493">
        <w:rPr>
          <w:rFonts w:ascii="Arial" w:hAnsi="Arial" w:cs="Arial"/>
        </w:rPr>
        <w:t xml:space="preserve"> recurrent revenue is used as evidence of stability</w:t>
      </w:r>
      <w:r w:rsidR="00AF02FA" w:rsidRPr="009C6493">
        <w:rPr>
          <w:rFonts w:ascii="Arial" w:hAnsi="Arial" w:cs="Arial"/>
        </w:rPr>
        <w:t>. T</w:t>
      </w:r>
      <w:r w:rsidRPr="009C6493">
        <w:rPr>
          <w:rFonts w:ascii="Arial" w:hAnsi="Arial" w:cs="Arial"/>
        </w:rPr>
        <w:t xml:space="preserve">he channels to be used will be industry webinars and LinkedIn, where 65 </w:t>
      </w:r>
      <w:r w:rsidR="001B0E3E" w:rsidRPr="009C6493">
        <w:rPr>
          <w:rFonts w:ascii="Arial" w:hAnsi="Arial" w:cs="Arial"/>
        </w:rPr>
        <w:t>per cent</w:t>
      </w:r>
      <w:r w:rsidRPr="009C6493">
        <w:rPr>
          <w:rFonts w:ascii="Arial" w:hAnsi="Arial" w:cs="Arial"/>
        </w:rPr>
        <w:t xml:space="preserve"> of B2B decisions are made</w:t>
      </w:r>
      <w:r w:rsidR="00AF02FA" w:rsidRPr="009C6493">
        <w:rPr>
          <w:rFonts w:ascii="Arial" w:hAnsi="Arial" w:cs="Arial"/>
        </w:rPr>
        <w:t xml:space="preserve"> (Wilkinson et al., 2024)</w:t>
      </w:r>
      <w:r w:rsidRPr="009C6493">
        <w:rPr>
          <w:rFonts w:ascii="Arial" w:hAnsi="Arial" w:cs="Arial"/>
        </w:rPr>
        <w:t xml:space="preserve">. Positioning will make </w:t>
      </w:r>
      <w:proofErr w:type="spellStart"/>
      <w:r w:rsidRPr="009C6493">
        <w:rPr>
          <w:rFonts w:ascii="Arial" w:hAnsi="Arial" w:cs="Arial"/>
        </w:rPr>
        <w:t>EcoInsight</w:t>
      </w:r>
      <w:proofErr w:type="spellEnd"/>
      <w:r w:rsidRPr="009C6493">
        <w:rPr>
          <w:rFonts w:ascii="Arial" w:hAnsi="Arial" w:cs="Arial"/>
        </w:rPr>
        <w:t xml:space="preserve"> high-value and easy-to-use compared to difficult enterprise tools to gain 15 </w:t>
      </w:r>
      <w:r w:rsidR="001B0E3E" w:rsidRPr="009C6493">
        <w:rPr>
          <w:rFonts w:ascii="Arial" w:hAnsi="Arial" w:cs="Arial"/>
        </w:rPr>
        <w:t>per cent</w:t>
      </w:r>
      <w:r w:rsidRPr="009C6493">
        <w:rPr>
          <w:rFonts w:ascii="Arial" w:hAnsi="Arial" w:cs="Arial"/>
        </w:rPr>
        <w:t xml:space="preserve"> market share in the SMB segment by 2030.</w:t>
      </w:r>
    </w:p>
    <w:p w14:paraId="7CB7F6D4" w14:textId="77777777" w:rsidR="007E5419" w:rsidRPr="009C6493" w:rsidRDefault="007E5419" w:rsidP="00E84B60">
      <w:pPr>
        <w:rPr>
          <w:rFonts w:ascii="Arial" w:hAnsi="Arial" w:cs="Arial"/>
        </w:rPr>
      </w:pPr>
    </w:p>
    <w:p w14:paraId="2D2A6A2A" w14:textId="4F37A6DF" w:rsidR="007E5419" w:rsidRPr="007E5419" w:rsidRDefault="00B57E11" w:rsidP="007E5419">
      <w:pPr>
        <w:pStyle w:val="Heading1"/>
        <w:rPr>
          <w:rFonts w:ascii="Arial" w:hAnsi="Arial" w:cs="Arial"/>
        </w:rPr>
      </w:pPr>
      <w:bookmarkStart w:id="2" w:name="_Toc223827763"/>
      <w:r w:rsidRPr="009C6493">
        <w:rPr>
          <w:rFonts w:ascii="Arial" w:hAnsi="Arial" w:cs="Arial"/>
        </w:rPr>
        <w:t xml:space="preserve">Sage </w:t>
      </w:r>
      <w:proofErr w:type="spellStart"/>
      <w:r w:rsidR="007E5419">
        <w:rPr>
          <w:rFonts w:ascii="Arial" w:hAnsi="Arial" w:cs="Arial"/>
        </w:rPr>
        <w:t>E</w:t>
      </w:r>
      <w:r w:rsidRPr="009C6493">
        <w:rPr>
          <w:rFonts w:ascii="Arial" w:hAnsi="Arial" w:cs="Arial"/>
        </w:rPr>
        <w:t>co</w:t>
      </w:r>
      <w:r w:rsidR="007E5419">
        <w:rPr>
          <w:rFonts w:ascii="Arial" w:hAnsi="Arial" w:cs="Arial"/>
        </w:rPr>
        <w:t>I</w:t>
      </w:r>
      <w:r w:rsidRPr="009C6493">
        <w:rPr>
          <w:rFonts w:ascii="Arial" w:hAnsi="Arial" w:cs="Arial"/>
        </w:rPr>
        <w:t>nsight</w:t>
      </w:r>
      <w:proofErr w:type="spellEnd"/>
      <w:r w:rsidRPr="009C6493">
        <w:rPr>
          <w:rFonts w:ascii="Arial" w:hAnsi="Arial" w:cs="Arial"/>
        </w:rPr>
        <w:t xml:space="preserve"> marketing mix</w:t>
      </w:r>
      <w:r w:rsidR="007E5419">
        <w:rPr>
          <w:rFonts w:ascii="Arial" w:hAnsi="Arial" w:cs="Arial"/>
        </w:rPr>
        <w:t>:</w:t>
      </w:r>
      <w:bookmarkEnd w:id="2"/>
    </w:p>
    <w:p w14:paraId="21458B7B" w14:textId="6067EB02" w:rsidR="00AF02FA" w:rsidRDefault="00E84B60" w:rsidP="00E84B60">
      <w:pPr>
        <w:rPr>
          <w:rFonts w:ascii="Arial" w:hAnsi="Arial" w:cs="Arial"/>
        </w:rPr>
      </w:pPr>
      <w:r w:rsidRPr="009C6493">
        <w:rPr>
          <w:rFonts w:ascii="Arial" w:hAnsi="Arial" w:cs="Arial"/>
        </w:rPr>
        <w:t xml:space="preserve">The Sage </w:t>
      </w:r>
      <w:proofErr w:type="spellStart"/>
      <w:r w:rsidRPr="009C6493">
        <w:rPr>
          <w:rFonts w:ascii="Arial" w:hAnsi="Arial" w:cs="Arial"/>
        </w:rPr>
        <w:t>EcoInsight</w:t>
      </w:r>
      <w:proofErr w:type="spellEnd"/>
      <w:r w:rsidRPr="009C6493">
        <w:rPr>
          <w:rFonts w:ascii="Arial" w:hAnsi="Arial" w:cs="Arial"/>
        </w:rPr>
        <w:t xml:space="preserve"> is a continuation of Sage </w:t>
      </w:r>
      <w:r w:rsidR="001B0E3E" w:rsidRPr="009C6493">
        <w:rPr>
          <w:rFonts w:ascii="Arial" w:hAnsi="Arial" w:cs="Arial"/>
        </w:rPr>
        <w:t>Group's</w:t>
      </w:r>
      <w:r w:rsidRPr="009C6493">
        <w:rPr>
          <w:rFonts w:ascii="Arial" w:hAnsi="Arial" w:cs="Arial"/>
        </w:rPr>
        <w:t xml:space="preserve"> accounting software applied in the AI-based ESG reporting system</w:t>
      </w:r>
      <w:r w:rsidR="001B0E3E" w:rsidRPr="009C6493">
        <w:rPr>
          <w:rFonts w:ascii="Arial" w:hAnsi="Arial" w:cs="Arial"/>
        </w:rPr>
        <w:t>,</w:t>
      </w:r>
      <w:r w:rsidRPr="009C6493">
        <w:rPr>
          <w:rFonts w:ascii="Arial" w:hAnsi="Arial" w:cs="Arial"/>
        </w:rPr>
        <w:t xml:space="preserve"> in which data gathering regarding environmental impact, social metrics and governance compliance is automated. People, Process, and Physical Evidence is warranted by this </w:t>
      </w:r>
      <w:r w:rsidR="001B0E3E" w:rsidRPr="009C6493">
        <w:rPr>
          <w:rFonts w:ascii="Arial" w:hAnsi="Arial" w:cs="Arial"/>
        </w:rPr>
        <w:t>service-based</w:t>
      </w:r>
      <w:r w:rsidRPr="009C6493">
        <w:rPr>
          <w:rFonts w:ascii="Arial" w:hAnsi="Arial" w:cs="Arial"/>
        </w:rPr>
        <w:t xml:space="preserve"> product that has to be designed using the 7ps framework rather than the conventional 4ps </w:t>
      </w:r>
      <w:r w:rsidR="001B0E3E" w:rsidRPr="009C6493">
        <w:rPr>
          <w:rFonts w:ascii="Arial" w:hAnsi="Arial" w:cs="Arial"/>
        </w:rPr>
        <w:t>framework</w:t>
      </w:r>
      <w:r w:rsidRPr="009C6493">
        <w:rPr>
          <w:rFonts w:ascii="Arial" w:hAnsi="Arial" w:cs="Arial"/>
        </w:rPr>
        <w:t xml:space="preserve"> and works around aspects of the intangibles related to the delivery of the SaaS. This combination corresponds to the brand extension strategy as it is based on the 97 </w:t>
      </w:r>
      <w:r w:rsidR="001B0E3E" w:rsidRPr="009C6493">
        <w:rPr>
          <w:rFonts w:ascii="Arial" w:hAnsi="Arial" w:cs="Arial"/>
        </w:rPr>
        <w:t>per cent</w:t>
      </w:r>
      <w:r w:rsidRPr="009C6493">
        <w:rPr>
          <w:rFonts w:ascii="Arial" w:hAnsi="Arial" w:cs="Arial"/>
        </w:rPr>
        <w:t xml:space="preserve"> recurring revenue model of Sage </w:t>
      </w:r>
      <w:r w:rsidR="00AF02FA" w:rsidRPr="009C6493">
        <w:rPr>
          <w:rFonts w:ascii="Arial" w:hAnsi="Arial" w:cs="Arial"/>
        </w:rPr>
        <w:t>to</w:t>
      </w:r>
      <w:r w:rsidRPr="009C6493">
        <w:rPr>
          <w:rFonts w:ascii="Arial" w:hAnsi="Arial" w:cs="Arial"/>
        </w:rPr>
        <w:t xml:space="preserve"> foster sustainable growth of the ESG software market, estimated at USD 1.24 billion in 2025 and predicted at USD 5.19 billion in 2033 at a rate of 20.1 </w:t>
      </w:r>
      <w:r w:rsidR="001B0E3E" w:rsidRPr="009C6493">
        <w:rPr>
          <w:rFonts w:ascii="Arial" w:hAnsi="Arial" w:cs="Arial"/>
        </w:rPr>
        <w:t>per cent</w:t>
      </w:r>
      <w:r w:rsidRPr="009C6493">
        <w:rPr>
          <w:rFonts w:ascii="Arial" w:hAnsi="Arial" w:cs="Arial"/>
        </w:rPr>
        <w:t xml:space="preserve"> CAGR</w:t>
      </w:r>
      <w:r w:rsidR="00AF02FA" w:rsidRPr="009C6493">
        <w:rPr>
          <w:rFonts w:ascii="Arial" w:hAnsi="Arial" w:cs="Arial"/>
        </w:rPr>
        <w:t xml:space="preserve"> (Fortune Business Insight, 2025)</w:t>
      </w:r>
      <w:r w:rsidRPr="009C6493">
        <w:rPr>
          <w:rFonts w:ascii="Arial" w:hAnsi="Arial" w:cs="Arial"/>
        </w:rPr>
        <w:t>. Each of the elements is highly proven with references to marketing theories</w:t>
      </w:r>
      <w:r w:rsidR="00AF02FA" w:rsidRPr="009C6493">
        <w:rPr>
          <w:rFonts w:ascii="Arial" w:hAnsi="Arial" w:cs="Arial"/>
        </w:rPr>
        <w:t xml:space="preserve">. </w:t>
      </w:r>
    </w:p>
    <w:p w14:paraId="0DAF8E30" w14:textId="77777777" w:rsidR="007E5419" w:rsidRPr="009C6493" w:rsidRDefault="007E5419" w:rsidP="00E84B60">
      <w:pPr>
        <w:rPr>
          <w:rFonts w:ascii="Arial" w:hAnsi="Arial" w:cs="Arial"/>
        </w:rPr>
      </w:pPr>
    </w:p>
    <w:p w14:paraId="0404BFCF" w14:textId="22EE6E7A" w:rsidR="00E84B60" w:rsidRPr="007E5419" w:rsidRDefault="00E84B60" w:rsidP="00E84B60">
      <w:pPr>
        <w:rPr>
          <w:rFonts w:ascii="Arial" w:hAnsi="Arial" w:cs="Arial"/>
          <w:b/>
          <w:sz w:val="32"/>
          <w:szCs w:val="32"/>
        </w:rPr>
      </w:pPr>
      <w:r w:rsidRPr="007E5419">
        <w:rPr>
          <w:rFonts w:ascii="Arial" w:hAnsi="Arial" w:cs="Arial"/>
          <w:b/>
          <w:sz w:val="32"/>
          <w:szCs w:val="32"/>
        </w:rPr>
        <w:t>Product</w:t>
      </w:r>
      <w:r w:rsidR="007E5419" w:rsidRPr="007E5419">
        <w:rPr>
          <w:rFonts w:ascii="Arial" w:hAnsi="Arial" w:cs="Arial"/>
          <w:b/>
          <w:sz w:val="32"/>
          <w:szCs w:val="32"/>
        </w:rPr>
        <w:t>:</w:t>
      </w:r>
    </w:p>
    <w:p w14:paraId="453F1EAC" w14:textId="783E7082" w:rsidR="00E84B60" w:rsidRDefault="00E84B60" w:rsidP="00E84B60">
      <w:pPr>
        <w:rPr>
          <w:rFonts w:ascii="Arial" w:hAnsi="Arial" w:cs="Arial"/>
        </w:rPr>
      </w:pPr>
      <w:r w:rsidRPr="009C6493">
        <w:rPr>
          <w:rFonts w:ascii="Arial" w:hAnsi="Arial" w:cs="Arial"/>
        </w:rPr>
        <w:t xml:space="preserve">This provision is manifested by functions such as Scope 1-3 emissions tracking and analytics, which are achieved through AI on Sage </w:t>
      </w:r>
      <w:proofErr w:type="spellStart"/>
      <w:r w:rsidRPr="009C6493">
        <w:rPr>
          <w:rFonts w:ascii="Arial" w:hAnsi="Arial" w:cs="Arial"/>
        </w:rPr>
        <w:t>EcoInsight</w:t>
      </w:r>
      <w:proofErr w:type="spellEnd"/>
      <w:r w:rsidRPr="009C6493">
        <w:rPr>
          <w:rFonts w:ascii="Arial" w:hAnsi="Arial" w:cs="Arial"/>
        </w:rPr>
        <w:t xml:space="preserve">, and demonstrates a reduction in reporting time by 35 </w:t>
      </w:r>
      <w:r w:rsidR="001B0E3E" w:rsidRPr="009C6493">
        <w:rPr>
          <w:rFonts w:ascii="Arial" w:hAnsi="Arial" w:cs="Arial"/>
        </w:rPr>
        <w:t>per cent</w:t>
      </w:r>
      <w:r w:rsidRPr="009C6493">
        <w:rPr>
          <w:rFonts w:ascii="Arial" w:hAnsi="Arial" w:cs="Arial"/>
        </w:rPr>
        <w:t xml:space="preserve"> using the current Sage platforms</w:t>
      </w:r>
      <w:r w:rsidR="00AF02FA" w:rsidRPr="009C6493">
        <w:rPr>
          <w:rFonts w:ascii="Arial" w:hAnsi="Arial" w:cs="Arial"/>
        </w:rPr>
        <w:t xml:space="preserve"> (Sage.com, </w:t>
      </w:r>
      <w:r w:rsidR="00AF02FA" w:rsidRPr="009C6493">
        <w:rPr>
          <w:rFonts w:ascii="Arial" w:hAnsi="Arial" w:cs="Arial"/>
        </w:rPr>
        <w:lastRenderedPageBreak/>
        <w:t>2018)</w:t>
      </w:r>
      <w:r w:rsidRPr="009C6493">
        <w:rPr>
          <w:rFonts w:ascii="Arial" w:hAnsi="Arial" w:cs="Arial"/>
        </w:rPr>
        <w:t xml:space="preserve">. This is in line with the brand extension, leveraging </w:t>
      </w:r>
      <w:r w:rsidR="001B0E3E" w:rsidRPr="009C6493">
        <w:rPr>
          <w:rFonts w:ascii="Arial" w:hAnsi="Arial" w:cs="Arial"/>
        </w:rPr>
        <w:t>Sage's</w:t>
      </w:r>
      <w:r w:rsidRPr="009C6493">
        <w:rPr>
          <w:rFonts w:ascii="Arial" w:hAnsi="Arial" w:cs="Arial"/>
        </w:rPr>
        <w:t xml:space="preserve"> financial data ecosystem, with a presence of more than 6 million customers, and meeting the new sustainability needs. More importantly, </w:t>
      </w:r>
      <w:r w:rsidR="001B0E3E" w:rsidRPr="009C6493">
        <w:rPr>
          <w:rFonts w:ascii="Arial" w:hAnsi="Arial" w:cs="Arial"/>
        </w:rPr>
        <w:t>Kotler's</w:t>
      </w:r>
      <w:r w:rsidRPr="009C6493">
        <w:rPr>
          <w:rFonts w:ascii="Arial" w:hAnsi="Arial" w:cs="Arial"/>
        </w:rPr>
        <w:t xml:space="preserve"> product strategy highlights the necessity to be innovative i</w:t>
      </w:r>
      <w:r w:rsidR="00AF02FA" w:rsidRPr="009C6493">
        <w:rPr>
          <w:rFonts w:ascii="Arial" w:hAnsi="Arial" w:cs="Arial"/>
        </w:rPr>
        <w:t>n the already developed markets (Kotler, 1999). I</w:t>
      </w:r>
      <w:r w:rsidRPr="009C6493">
        <w:rPr>
          <w:rFonts w:ascii="Arial" w:hAnsi="Arial" w:cs="Arial"/>
        </w:rPr>
        <w:t xml:space="preserve">n this case, the division of AI tools will position </w:t>
      </w:r>
      <w:proofErr w:type="spellStart"/>
      <w:r w:rsidRPr="009C6493">
        <w:rPr>
          <w:rFonts w:ascii="Arial" w:hAnsi="Arial" w:cs="Arial"/>
        </w:rPr>
        <w:t>EcoInsight</w:t>
      </w:r>
      <w:proofErr w:type="spellEnd"/>
      <w:r w:rsidRPr="009C6493">
        <w:rPr>
          <w:rFonts w:ascii="Arial" w:hAnsi="Arial" w:cs="Arial"/>
        </w:rPr>
        <w:t xml:space="preserve"> among other simplistic tools, </w:t>
      </w:r>
      <w:r w:rsidR="001B0E3E" w:rsidRPr="009C6493">
        <w:rPr>
          <w:rFonts w:ascii="Arial" w:hAnsi="Arial" w:cs="Arial"/>
        </w:rPr>
        <w:t xml:space="preserve">and </w:t>
      </w:r>
      <w:r w:rsidRPr="009C6493">
        <w:rPr>
          <w:rFonts w:ascii="Arial" w:hAnsi="Arial" w:cs="Arial"/>
        </w:rPr>
        <w:t>approval will promote customer loyalty in the industry</w:t>
      </w:r>
      <w:r w:rsidR="00AF02FA" w:rsidRPr="009C6493">
        <w:rPr>
          <w:rFonts w:ascii="Arial" w:hAnsi="Arial" w:cs="Arial"/>
        </w:rPr>
        <w:t>,</w:t>
      </w:r>
      <w:r w:rsidRPr="009C6493">
        <w:rPr>
          <w:rFonts w:ascii="Arial" w:hAnsi="Arial" w:cs="Arial"/>
        </w:rPr>
        <w:t xml:space="preserve"> where 72 </w:t>
      </w:r>
      <w:r w:rsidR="001B0E3E" w:rsidRPr="009C6493">
        <w:rPr>
          <w:rFonts w:ascii="Arial" w:hAnsi="Arial" w:cs="Arial"/>
        </w:rPr>
        <w:t>per cent</w:t>
      </w:r>
      <w:r w:rsidRPr="009C6493">
        <w:rPr>
          <w:rFonts w:ascii="Arial" w:hAnsi="Arial" w:cs="Arial"/>
        </w:rPr>
        <w:t xml:space="preserve"> of the </w:t>
      </w:r>
      <w:r w:rsidR="007E5419" w:rsidRPr="009C6493">
        <w:rPr>
          <w:rFonts w:ascii="Arial" w:hAnsi="Arial" w:cs="Arial"/>
        </w:rPr>
        <w:t>executives’</w:t>
      </w:r>
      <w:r w:rsidRPr="009C6493">
        <w:rPr>
          <w:rFonts w:ascii="Arial" w:hAnsi="Arial" w:cs="Arial"/>
        </w:rPr>
        <w:t xml:space="preserve"> pay attention to the ESG</w:t>
      </w:r>
      <w:r w:rsidR="00AF02FA" w:rsidRPr="009C6493">
        <w:rPr>
          <w:rFonts w:ascii="Arial" w:hAnsi="Arial" w:cs="Arial"/>
        </w:rPr>
        <w:t xml:space="preserve"> (KPMG, 2025)</w:t>
      </w:r>
      <w:r w:rsidRPr="009C6493">
        <w:rPr>
          <w:rFonts w:ascii="Arial" w:hAnsi="Arial" w:cs="Arial"/>
        </w:rPr>
        <w:t>. In comparison to its competitors</w:t>
      </w:r>
      <w:r w:rsidR="001B0E3E" w:rsidRPr="009C6493">
        <w:rPr>
          <w:rFonts w:ascii="Arial" w:hAnsi="Arial" w:cs="Arial"/>
        </w:rPr>
        <w:t>,</w:t>
      </w:r>
      <w:r w:rsidRPr="009C6493">
        <w:rPr>
          <w:rFonts w:ascii="Arial" w:hAnsi="Arial" w:cs="Arial"/>
        </w:rPr>
        <w:t xml:space="preserve"> such as Workiva, </w:t>
      </w:r>
      <w:proofErr w:type="spellStart"/>
      <w:r w:rsidRPr="009C6493">
        <w:rPr>
          <w:rFonts w:ascii="Arial" w:hAnsi="Arial" w:cs="Arial"/>
        </w:rPr>
        <w:t>EcoInsight</w:t>
      </w:r>
      <w:proofErr w:type="spellEnd"/>
      <w:r w:rsidRPr="009C6493">
        <w:rPr>
          <w:rFonts w:ascii="Arial" w:hAnsi="Arial" w:cs="Arial"/>
        </w:rPr>
        <w:t xml:space="preserve"> concentrates on </w:t>
      </w:r>
      <w:r w:rsidR="001B0E3E" w:rsidRPr="009C6493">
        <w:rPr>
          <w:rFonts w:ascii="Arial" w:hAnsi="Arial" w:cs="Arial"/>
        </w:rPr>
        <w:t>medium-sized</w:t>
      </w:r>
      <w:r w:rsidRPr="009C6493">
        <w:rPr>
          <w:rFonts w:ascii="Arial" w:hAnsi="Arial" w:cs="Arial"/>
        </w:rPr>
        <w:t xml:space="preserve"> firms in terms of </w:t>
      </w:r>
      <w:r w:rsidR="001B0E3E" w:rsidRPr="009C6493">
        <w:rPr>
          <w:rFonts w:ascii="Arial" w:hAnsi="Arial" w:cs="Arial"/>
        </w:rPr>
        <w:t>user-friendly</w:t>
      </w:r>
      <w:r w:rsidRPr="009C6493">
        <w:rPr>
          <w:rFonts w:ascii="Arial" w:hAnsi="Arial" w:cs="Arial"/>
        </w:rPr>
        <w:t xml:space="preserve"> templates to improve the perceived value</w:t>
      </w:r>
      <w:r w:rsidR="001B0E3E" w:rsidRPr="009C6493">
        <w:rPr>
          <w:rFonts w:ascii="Arial" w:hAnsi="Arial" w:cs="Arial"/>
        </w:rPr>
        <w:t>,</w:t>
      </w:r>
      <w:r w:rsidRPr="009C6493">
        <w:rPr>
          <w:rFonts w:ascii="Arial" w:hAnsi="Arial" w:cs="Arial"/>
        </w:rPr>
        <w:t xml:space="preserve"> as opposed to enterprise disclosure that is aimed towards a small group of companies. Quantitative evidence indicates that IBM </w:t>
      </w:r>
      <w:proofErr w:type="spellStart"/>
      <w:r w:rsidRPr="009C6493">
        <w:rPr>
          <w:rFonts w:ascii="Arial" w:hAnsi="Arial" w:cs="Arial"/>
        </w:rPr>
        <w:t>Envizi</w:t>
      </w:r>
      <w:proofErr w:type="spellEnd"/>
      <w:r w:rsidRPr="009C6493">
        <w:rPr>
          <w:rFonts w:ascii="Arial" w:hAnsi="Arial" w:cs="Arial"/>
        </w:rPr>
        <w:t xml:space="preserve"> is strong in data management</w:t>
      </w:r>
      <w:r w:rsidR="001B0E3E" w:rsidRPr="009C6493">
        <w:rPr>
          <w:rFonts w:ascii="Arial" w:hAnsi="Arial" w:cs="Arial"/>
        </w:rPr>
        <w:t>,</w:t>
      </w:r>
      <w:r w:rsidRPr="009C6493">
        <w:rPr>
          <w:rFonts w:ascii="Arial" w:hAnsi="Arial" w:cs="Arial"/>
        </w:rPr>
        <w:t xml:space="preserve"> but it does not have innate accounting relationships</w:t>
      </w:r>
      <w:r w:rsidR="001B0E3E" w:rsidRPr="009C6493">
        <w:rPr>
          <w:rFonts w:ascii="Arial" w:hAnsi="Arial" w:cs="Arial"/>
        </w:rPr>
        <w:t>,</w:t>
      </w:r>
      <w:r w:rsidRPr="009C6493">
        <w:rPr>
          <w:rFonts w:ascii="Arial" w:hAnsi="Arial" w:cs="Arial"/>
        </w:rPr>
        <w:t xml:space="preserve"> which means that </w:t>
      </w:r>
      <w:proofErr w:type="spellStart"/>
      <w:r w:rsidRPr="009C6493">
        <w:rPr>
          <w:rFonts w:ascii="Arial" w:hAnsi="Arial" w:cs="Arial"/>
        </w:rPr>
        <w:t>EcoInsight</w:t>
      </w:r>
      <w:proofErr w:type="spellEnd"/>
      <w:r w:rsidRPr="009C6493">
        <w:rPr>
          <w:rFonts w:ascii="Arial" w:hAnsi="Arial" w:cs="Arial"/>
        </w:rPr>
        <w:t xml:space="preserve"> could claim 15 per cent SMB market share by 2030 by providing superior accessibility.</w:t>
      </w:r>
    </w:p>
    <w:p w14:paraId="6DB817D6" w14:textId="77777777" w:rsidR="007E5419" w:rsidRPr="009C6493" w:rsidRDefault="007E5419" w:rsidP="00E84B60">
      <w:pPr>
        <w:rPr>
          <w:rFonts w:ascii="Arial" w:hAnsi="Arial" w:cs="Arial"/>
        </w:rPr>
      </w:pPr>
    </w:p>
    <w:p w14:paraId="21888859" w14:textId="4A775E42" w:rsidR="00E84B60" w:rsidRPr="007E5419" w:rsidRDefault="00E84B60" w:rsidP="00E84B60">
      <w:pPr>
        <w:rPr>
          <w:rFonts w:ascii="Arial" w:hAnsi="Arial" w:cs="Arial"/>
          <w:b/>
          <w:sz w:val="32"/>
          <w:szCs w:val="32"/>
        </w:rPr>
      </w:pPr>
      <w:r w:rsidRPr="007E5419">
        <w:rPr>
          <w:rFonts w:ascii="Arial" w:hAnsi="Arial" w:cs="Arial"/>
          <w:b/>
          <w:sz w:val="32"/>
          <w:szCs w:val="32"/>
        </w:rPr>
        <w:t>Price</w:t>
      </w:r>
      <w:r w:rsidR="007E5419" w:rsidRPr="007E5419">
        <w:rPr>
          <w:rFonts w:ascii="Arial" w:hAnsi="Arial" w:cs="Arial"/>
          <w:b/>
          <w:sz w:val="32"/>
          <w:szCs w:val="32"/>
        </w:rPr>
        <w:t>:</w:t>
      </w:r>
    </w:p>
    <w:p w14:paraId="0DE38C56" w14:textId="12DD09C6" w:rsidR="00E84B60" w:rsidRDefault="00E84B60" w:rsidP="00E84B60">
      <w:pPr>
        <w:rPr>
          <w:rFonts w:ascii="Arial" w:hAnsi="Arial" w:cs="Arial"/>
        </w:rPr>
      </w:pPr>
      <w:r w:rsidRPr="009C6493">
        <w:rPr>
          <w:rFonts w:ascii="Arial" w:hAnsi="Arial" w:cs="Arial"/>
        </w:rPr>
        <w:t>Tiered subscription is suggested with the initial level of USD 5,000 per year with basic access and 30,000 maximum</w:t>
      </w:r>
      <w:r w:rsidR="009C6493" w:rsidRPr="009C6493">
        <w:rPr>
          <w:rFonts w:ascii="Arial" w:hAnsi="Arial" w:cs="Arial"/>
        </w:rPr>
        <w:t xml:space="preserve"> and</w:t>
      </w:r>
      <w:r w:rsidRPr="009C6493">
        <w:rPr>
          <w:rFonts w:ascii="Arial" w:hAnsi="Arial" w:cs="Arial"/>
        </w:rPr>
        <w:t xml:space="preserve"> advanced functions</w:t>
      </w:r>
      <w:r w:rsidR="001B0E3E" w:rsidRPr="009C6493">
        <w:rPr>
          <w:rFonts w:ascii="Arial" w:hAnsi="Arial" w:cs="Arial"/>
        </w:rPr>
        <w:t>,</w:t>
      </w:r>
      <w:r w:rsidRPr="009C6493">
        <w:rPr>
          <w:rFonts w:ascii="Arial" w:hAnsi="Arial" w:cs="Arial"/>
        </w:rPr>
        <w:t xml:space="preserve"> such as custom dashboards</w:t>
      </w:r>
      <w:r w:rsidR="001B0E3E" w:rsidRPr="009C6493">
        <w:rPr>
          <w:rFonts w:ascii="Arial" w:hAnsi="Arial" w:cs="Arial"/>
        </w:rPr>
        <w:t>,</w:t>
      </w:r>
      <w:r w:rsidRPr="009C6493">
        <w:rPr>
          <w:rFonts w:ascii="Arial" w:hAnsi="Arial" w:cs="Arial"/>
        </w:rPr>
        <w:t xml:space="preserve"> in the case of SMEs, increasing by 50-500 employees</w:t>
      </w:r>
      <w:r w:rsidR="00AF02FA" w:rsidRPr="009C6493">
        <w:rPr>
          <w:rFonts w:ascii="Arial" w:hAnsi="Arial" w:cs="Arial"/>
        </w:rPr>
        <w:t xml:space="preserve"> (Claude.com, 2026)</w:t>
      </w:r>
      <w:r w:rsidRPr="009C6493">
        <w:rPr>
          <w:rFonts w:ascii="Arial" w:hAnsi="Arial" w:cs="Arial"/>
        </w:rPr>
        <w:t xml:space="preserve">. This value-based offer is consistent with the strategy as it guarantees affordability within the middle market core segment of Sage, as 45 </w:t>
      </w:r>
      <w:r w:rsidR="001B0E3E" w:rsidRPr="009C6493">
        <w:rPr>
          <w:rFonts w:ascii="Arial" w:hAnsi="Arial" w:cs="Arial"/>
        </w:rPr>
        <w:t>per cent</w:t>
      </w:r>
      <w:r w:rsidRPr="009C6493">
        <w:rPr>
          <w:rFonts w:ascii="Arial" w:hAnsi="Arial" w:cs="Arial"/>
        </w:rPr>
        <w:t xml:space="preserve"> of sales are made </w:t>
      </w:r>
      <w:r w:rsidR="001B0E3E" w:rsidRPr="009C6493">
        <w:rPr>
          <w:rFonts w:ascii="Arial" w:hAnsi="Arial" w:cs="Arial"/>
        </w:rPr>
        <w:t>to</w:t>
      </w:r>
      <w:r w:rsidRPr="009C6493">
        <w:rPr>
          <w:rFonts w:ascii="Arial" w:hAnsi="Arial" w:cs="Arial"/>
        </w:rPr>
        <w:t xml:space="preserve"> firms with less than 200 employees, and higher pricings facilitate upselling. More importantly, the pricing theory presented by Armstrong and Kotler suggests the use of dynamic models as a measure of perceived benefits</w:t>
      </w:r>
      <w:r w:rsidR="001B0E3E" w:rsidRPr="009C6493">
        <w:rPr>
          <w:rFonts w:ascii="Arial" w:hAnsi="Arial" w:cs="Arial"/>
        </w:rPr>
        <w:t>,</w:t>
      </w:r>
      <w:r w:rsidRPr="009C6493">
        <w:rPr>
          <w:rFonts w:ascii="Arial" w:hAnsi="Arial" w:cs="Arial"/>
        </w:rPr>
        <w:t xml:space="preserve"> and the structure of the </w:t>
      </w:r>
      <w:proofErr w:type="spellStart"/>
      <w:r w:rsidRPr="009C6493">
        <w:rPr>
          <w:rFonts w:ascii="Arial" w:hAnsi="Arial" w:cs="Arial"/>
        </w:rPr>
        <w:t>EcoInsight</w:t>
      </w:r>
      <w:proofErr w:type="spellEnd"/>
      <w:r w:rsidRPr="009C6493">
        <w:rPr>
          <w:rFonts w:ascii="Arial" w:hAnsi="Arial" w:cs="Arial"/>
        </w:rPr>
        <w:t xml:space="preserve"> integrates barriers to entry in a market where SMEs have </w:t>
      </w:r>
      <w:r w:rsidR="001B0E3E" w:rsidRPr="009C6493">
        <w:rPr>
          <w:rFonts w:ascii="Arial" w:hAnsi="Arial" w:cs="Arial"/>
        </w:rPr>
        <w:t xml:space="preserve">an </w:t>
      </w:r>
      <w:r w:rsidRPr="009C6493">
        <w:rPr>
          <w:rFonts w:ascii="Arial" w:hAnsi="Arial" w:cs="Arial"/>
        </w:rPr>
        <w:t xml:space="preserve">adoption growth of 18 </w:t>
      </w:r>
      <w:r w:rsidR="001B0E3E" w:rsidRPr="009C6493">
        <w:rPr>
          <w:rFonts w:ascii="Arial" w:hAnsi="Arial" w:cs="Arial"/>
        </w:rPr>
        <w:t>per cent</w:t>
      </w:r>
      <w:r w:rsidRPr="009C6493">
        <w:rPr>
          <w:rFonts w:ascii="Arial" w:hAnsi="Arial" w:cs="Arial"/>
        </w:rPr>
        <w:t xml:space="preserve"> CAGR</w:t>
      </w:r>
      <w:r w:rsidR="001B0E3E" w:rsidRPr="009C6493">
        <w:rPr>
          <w:rFonts w:ascii="Arial" w:hAnsi="Arial" w:cs="Arial"/>
        </w:rPr>
        <w:t>,</w:t>
      </w:r>
      <w:r w:rsidRPr="009C6493">
        <w:rPr>
          <w:rFonts w:ascii="Arial" w:hAnsi="Arial" w:cs="Arial"/>
        </w:rPr>
        <w:t xml:space="preserve"> which would warrant a premium in the form of ROI</w:t>
      </w:r>
      <w:r w:rsidR="001B0E3E" w:rsidRPr="009C6493">
        <w:rPr>
          <w:rFonts w:ascii="Arial" w:hAnsi="Arial" w:cs="Arial"/>
        </w:rPr>
        <w:t>,</w:t>
      </w:r>
      <w:r w:rsidRPr="009C6493">
        <w:rPr>
          <w:rFonts w:ascii="Arial" w:hAnsi="Arial" w:cs="Arial"/>
        </w:rPr>
        <w:t xml:space="preserve"> such as 30 </w:t>
      </w:r>
      <w:r w:rsidR="001B0E3E" w:rsidRPr="009C6493">
        <w:rPr>
          <w:rFonts w:ascii="Arial" w:hAnsi="Arial" w:cs="Arial"/>
        </w:rPr>
        <w:t>per cent</w:t>
      </w:r>
      <w:r w:rsidRPr="009C6493">
        <w:rPr>
          <w:rFonts w:ascii="Arial" w:hAnsi="Arial" w:cs="Arial"/>
        </w:rPr>
        <w:t xml:space="preserve"> productivity boosts. In contrast to Sweep having </w:t>
      </w:r>
      <w:r w:rsidR="001B0E3E" w:rsidRPr="009C6493">
        <w:rPr>
          <w:rFonts w:ascii="Arial" w:hAnsi="Arial" w:cs="Arial"/>
        </w:rPr>
        <w:t>carbon-complicated</w:t>
      </w:r>
      <w:r w:rsidRPr="009C6493">
        <w:rPr>
          <w:rFonts w:ascii="Arial" w:hAnsi="Arial" w:cs="Arial"/>
        </w:rPr>
        <w:t xml:space="preserve"> plans at the higher entry points, </w:t>
      </w:r>
      <w:proofErr w:type="spellStart"/>
      <w:r w:rsidRPr="009C6493">
        <w:rPr>
          <w:rFonts w:ascii="Arial" w:hAnsi="Arial" w:cs="Arial"/>
        </w:rPr>
        <w:t>EcoInsight</w:t>
      </w:r>
      <w:proofErr w:type="spellEnd"/>
      <w:r w:rsidRPr="009C6493">
        <w:rPr>
          <w:rFonts w:ascii="Arial" w:hAnsi="Arial" w:cs="Arial"/>
        </w:rPr>
        <w:t xml:space="preserve"> has free trials to alleviate perceived risk, and has an average SME ESG software cost of USD 5,000-30,000 per annum</w:t>
      </w:r>
      <w:r w:rsidR="001B0E3E" w:rsidRPr="009C6493">
        <w:rPr>
          <w:rFonts w:ascii="Arial" w:hAnsi="Arial" w:cs="Arial"/>
        </w:rPr>
        <w:t>,</w:t>
      </w:r>
      <w:r w:rsidRPr="009C6493">
        <w:rPr>
          <w:rFonts w:ascii="Arial" w:hAnsi="Arial" w:cs="Arial"/>
        </w:rPr>
        <w:t xml:space="preserve"> allowing it to easily enter the competitive market and experience </w:t>
      </w:r>
      <w:r w:rsidR="001B0E3E" w:rsidRPr="009C6493">
        <w:rPr>
          <w:rFonts w:ascii="Arial" w:hAnsi="Arial" w:cs="Arial"/>
        </w:rPr>
        <w:t xml:space="preserve">an </w:t>
      </w:r>
      <w:r w:rsidRPr="009C6493">
        <w:rPr>
          <w:rFonts w:ascii="Arial" w:hAnsi="Arial" w:cs="Arial"/>
        </w:rPr>
        <w:t xml:space="preserve">average annual 11 </w:t>
      </w:r>
      <w:r w:rsidR="001B0E3E" w:rsidRPr="009C6493">
        <w:rPr>
          <w:rFonts w:ascii="Arial" w:hAnsi="Arial" w:cs="Arial"/>
        </w:rPr>
        <w:t>per cent</w:t>
      </w:r>
      <w:r w:rsidRPr="009C6493">
        <w:rPr>
          <w:rFonts w:ascii="Arial" w:hAnsi="Arial" w:cs="Arial"/>
        </w:rPr>
        <w:t xml:space="preserve"> ARR increase like Sage</w:t>
      </w:r>
      <w:r w:rsidR="00A511DA" w:rsidRPr="009C6493">
        <w:rPr>
          <w:rFonts w:ascii="Arial" w:hAnsi="Arial" w:cs="Arial"/>
        </w:rPr>
        <w:t xml:space="preserve"> (Behnke, 2025)</w:t>
      </w:r>
      <w:r w:rsidRPr="009C6493">
        <w:rPr>
          <w:rFonts w:ascii="Arial" w:hAnsi="Arial" w:cs="Arial"/>
        </w:rPr>
        <w:t>.</w:t>
      </w:r>
    </w:p>
    <w:p w14:paraId="44CCBACF" w14:textId="77777777" w:rsidR="007E5419" w:rsidRPr="009C6493" w:rsidRDefault="007E5419" w:rsidP="00E84B60">
      <w:pPr>
        <w:rPr>
          <w:rFonts w:ascii="Arial" w:hAnsi="Arial" w:cs="Arial"/>
        </w:rPr>
      </w:pPr>
    </w:p>
    <w:p w14:paraId="6D8B7616" w14:textId="38A451A5" w:rsidR="00E84B60" w:rsidRPr="007E5419" w:rsidRDefault="00E84B60" w:rsidP="00E84B60">
      <w:pPr>
        <w:rPr>
          <w:rFonts w:ascii="Arial" w:hAnsi="Arial" w:cs="Arial"/>
          <w:b/>
          <w:sz w:val="32"/>
          <w:szCs w:val="32"/>
        </w:rPr>
      </w:pPr>
      <w:r w:rsidRPr="007E5419">
        <w:rPr>
          <w:rFonts w:ascii="Arial" w:hAnsi="Arial" w:cs="Arial"/>
          <w:b/>
          <w:sz w:val="32"/>
          <w:szCs w:val="32"/>
        </w:rPr>
        <w:t>Place</w:t>
      </w:r>
      <w:r w:rsidR="007E5419" w:rsidRPr="007E5419">
        <w:rPr>
          <w:rFonts w:ascii="Arial" w:hAnsi="Arial" w:cs="Arial"/>
          <w:b/>
          <w:sz w:val="32"/>
          <w:szCs w:val="32"/>
        </w:rPr>
        <w:t>:</w:t>
      </w:r>
    </w:p>
    <w:p w14:paraId="1A3E28B3" w14:textId="38372FC0" w:rsidR="00E84B60" w:rsidRDefault="00E84B60" w:rsidP="00E84B60">
      <w:pPr>
        <w:rPr>
          <w:rFonts w:ascii="Arial" w:hAnsi="Arial" w:cs="Arial"/>
        </w:rPr>
      </w:pPr>
      <w:r w:rsidRPr="009C6493">
        <w:rPr>
          <w:rFonts w:ascii="Arial" w:hAnsi="Arial" w:cs="Arial"/>
        </w:rPr>
        <w:t>Distribution is placed on direct and indirect channels of wide access. One-to-one sales with Sage through the web allow self-service subscriptions</w:t>
      </w:r>
      <w:r w:rsidR="001B0E3E" w:rsidRPr="009C6493">
        <w:rPr>
          <w:rFonts w:ascii="Arial" w:hAnsi="Arial" w:cs="Arial"/>
        </w:rPr>
        <w:t>,</w:t>
      </w:r>
      <w:r w:rsidRPr="009C6493">
        <w:rPr>
          <w:rFonts w:ascii="Arial" w:hAnsi="Arial" w:cs="Arial"/>
        </w:rPr>
        <w:t xml:space="preserve"> and inside salespeople are available to give demos to the mid-sized prospects. The</w:t>
      </w:r>
      <w:r w:rsidR="00A511DA" w:rsidRPr="009C6493">
        <w:rPr>
          <w:rFonts w:ascii="Arial" w:hAnsi="Arial" w:cs="Arial"/>
        </w:rPr>
        <w:t xml:space="preserve"> collaborations with resellers </w:t>
      </w:r>
      <w:r w:rsidRPr="009C6493">
        <w:rPr>
          <w:rFonts w:ascii="Arial" w:hAnsi="Arial" w:cs="Arial"/>
        </w:rPr>
        <w:t xml:space="preserve">and app stores increase reach indirectly. The extension will be facilitated through this multichannel strategy because of the presence of Sage in North America and Europe, where ESG software commands a market share of 36 </w:t>
      </w:r>
      <w:r w:rsidR="001B0E3E" w:rsidRPr="009C6493">
        <w:rPr>
          <w:rFonts w:ascii="Arial" w:hAnsi="Arial" w:cs="Arial"/>
        </w:rPr>
        <w:t>per cent</w:t>
      </w:r>
      <w:r w:rsidRPr="009C6493">
        <w:rPr>
          <w:rFonts w:ascii="Arial" w:hAnsi="Arial" w:cs="Arial"/>
        </w:rPr>
        <w:t xml:space="preserve"> and 34.9 percent respectively</w:t>
      </w:r>
      <w:r w:rsidR="00A511DA" w:rsidRPr="009C6493">
        <w:rPr>
          <w:rFonts w:ascii="Arial" w:hAnsi="Arial" w:cs="Arial"/>
        </w:rPr>
        <w:t xml:space="preserve"> (Grand View Research, 2023)</w:t>
      </w:r>
      <w:r w:rsidRPr="009C6493">
        <w:rPr>
          <w:rFonts w:ascii="Arial" w:hAnsi="Arial" w:cs="Arial"/>
        </w:rPr>
        <w:t xml:space="preserve">. The Kotler place approach illustrates </w:t>
      </w:r>
      <w:r w:rsidR="00A511DA" w:rsidRPr="009C6493">
        <w:rPr>
          <w:rFonts w:ascii="Arial" w:hAnsi="Arial" w:cs="Arial"/>
        </w:rPr>
        <w:t xml:space="preserve">efficiency in B2B technology (Kotler and </w:t>
      </w:r>
      <w:proofErr w:type="spellStart"/>
      <w:r w:rsidR="00A511DA" w:rsidRPr="009C6493">
        <w:rPr>
          <w:rFonts w:ascii="Arial" w:hAnsi="Arial" w:cs="Arial"/>
        </w:rPr>
        <w:t>Pfoertsch</w:t>
      </w:r>
      <w:proofErr w:type="spellEnd"/>
      <w:r w:rsidR="00A511DA" w:rsidRPr="009C6493">
        <w:rPr>
          <w:rFonts w:ascii="Arial" w:hAnsi="Arial" w:cs="Arial"/>
        </w:rPr>
        <w:t xml:space="preserve">, 2007). The </w:t>
      </w:r>
      <w:r w:rsidRPr="009C6493">
        <w:rPr>
          <w:rFonts w:ascii="Arial" w:hAnsi="Arial" w:cs="Arial"/>
        </w:rPr>
        <w:t xml:space="preserve">hybrid approaches would save 25 </w:t>
      </w:r>
      <w:r w:rsidR="001B0E3E" w:rsidRPr="009C6493">
        <w:rPr>
          <w:rFonts w:ascii="Arial" w:hAnsi="Arial" w:cs="Arial"/>
        </w:rPr>
        <w:t>per cent</w:t>
      </w:r>
      <w:r w:rsidRPr="009C6493">
        <w:rPr>
          <w:rFonts w:ascii="Arial" w:hAnsi="Arial" w:cs="Arial"/>
        </w:rPr>
        <w:t xml:space="preserve"> of the costs with SMEs, which is in line with SaaS trends</w:t>
      </w:r>
      <w:r w:rsidR="001B0E3E" w:rsidRPr="009C6493">
        <w:rPr>
          <w:rFonts w:ascii="Arial" w:hAnsi="Arial" w:cs="Arial"/>
        </w:rPr>
        <w:t>,</w:t>
      </w:r>
      <w:r w:rsidRPr="009C6493">
        <w:rPr>
          <w:rFonts w:ascii="Arial" w:hAnsi="Arial" w:cs="Arial"/>
        </w:rPr>
        <w:t xml:space="preserve"> where 68 </w:t>
      </w:r>
      <w:r w:rsidR="001B0E3E" w:rsidRPr="009C6493">
        <w:rPr>
          <w:rFonts w:ascii="Arial" w:hAnsi="Arial" w:cs="Arial"/>
        </w:rPr>
        <w:t>per cent</w:t>
      </w:r>
      <w:r w:rsidRPr="009C6493">
        <w:rPr>
          <w:rFonts w:ascii="Arial" w:hAnsi="Arial" w:cs="Arial"/>
        </w:rPr>
        <w:t xml:space="preserve"> of the adoption is </w:t>
      </w:r>
      <w:r w:rsidR="001B0E3E" w:rsidRPr="009C6493">
        <w:rPr>
          <w:rFonts w:ascii="Arial" w:hAnsi="Arial" w:cs="Arial"/>
        </w:rPr>
        <w:t>enforcement-based</w:t>
      </w:r>
      <w:r w:rsidR="00A511DA" w:rsidRPr="009C6493">
        <w:rPr>
          <w:rFonts w:ascii="Arial" w:hAnsi="Arial" w:cs="Arial"/>
        </w:rPr>
        <w:t xml:space="preserve"> (Mkhize et al., 2024)</w:t>
      </w:r>
      <w:r w:rsidRPr="009C6493">
        <w:rPr>
          <w:rFonts w:ascii="Arial" w:hAnsi="Arial" w:cs="Arial"/>
        </w:rPr>
        <w:t xml:space="preserve">. In contrast to IBM </w:t>
      </w:r>
      <w:proofErr w:type="spellStart"/>
      <w:r w:rsidRPr="009C6493">
        <w:rPr>
          <w:rFonts w:ascii="Arial" w:hAnsi="Arial" w:cs="Arial"/>
        </w:rPr>
        <w:t>Envizi</w:t>
      </w:r>
      <w:proofErr w:type="spellEnd"/>
      <w:r w:rsidRPr="009C6493">
        <w:rPr>
          <w:rFonts w:ascii="Arial" w:hAnsi="Arial" w:cs="Arial"/>
        </w:rPr>
        <w:t xml:space="preserve">, which is a global corporation with an enterprise-oriented strategy, </w:t>
      </w:r>
      <w:proofErr w:type="spellStart"/>
      <w:r w:rsidRPr="009C6493">
        <w:rPr>
          <w:rFonts w:ascii="Arial" w:hAnsi="Arial" w:cs="Arial"/>
        </w:rPr>
        <w:t>EcoInsight</w:t>
      </w:r>
      <w:proofErr w:type="spellEnd"/>
      <w:r w:rsidRPr="009C6493">
        <w:rPr>
          <w:rFonts w:ascii="Arial" w:hAnsi="Arial" w:cs="Arial"/>
        </w:rPr>
        <w:t xml:space="preserve"> has affiliate programs oriented on 21.25 </w:t>
      </w:r>
      <w:r w:rsidR="001B0E3E" w:rsidRPr="009C6493">
        <w:rPr>
          <w:rFonts w:ascii="Arial" w:hAnsi="Arial" w:cs="Arial"/>
        </w:rPr>
        <w:t>per cent</w:t>
      </w:r>
      <w:r w:rsidRPr="009C6493">
        <w:rPr>
          <w:rFonts w:ascii="Arial" w:hAnsi="Arial" w:cs="Arial"/>
        </w:rPr>
        <w:t xml:space="preserve"> growth of Asia-Pacific, </w:t>
      </w:r>
      <w:r w:rsidR="001B0E3E" w:rsidRPr="009C6493">
        <w:rPr>
          <w:rFonts w:ascii="Arial" w:hAnsi="Arial" w:cs="Arial"/>
        </w:rPr>
        <w:t>to increase</w:t>
      </w:r>
      <w:r w:rsidRPr="009C6493">
        <w:rPr>
          <w:rFonts w:ascii="Arial" w:hAnsi="Arial" w:cs="Arial"/>
        </w:rPr>
        <w:t xml:space="preserve"> its revenues by 10 </w:t>
      </w:r>
      <w:r w:rsidR="001B0E3E" w:rsidRPr="009C6493">
        <w:rPr>
          <w:rFonts w:ascii="Arial" w:hAnsi="Arial" w:cs="Arial"/>
        </w:rPr>
        <w:t>per cent</w:t>
      </w:r>
      <w:r w:rsidRPr="009C6493">
        <w:rPr>
          <w:rFonts w:ascii="Arial" w:hAnsi="Arial" w:cs="Arial"/>
        </w:rPr>
        <w:t xml:space="preserve"> internally via partners.</w:t>
      </w:r>
    </w:p>
    <w:p w14:paraId="382F9C30" w14:textId="77777777" w:rsidR="007E5419" w:rsidRPr="009C6493" w:rsidRDefault="007E5419" w:rsidP="00E84B60">
      <w:pPr>
        <w:rPr>
          <w:rFonts w:ascii="Arial" w:hAnsi="Arial" w:cs="Arial"/>
        </w:rPr>
      </w:pPr>
    </w:p>
    <w:p w14:paraId="5DAC147F" w14:textId="1587A333" w:rsidR="00E84B60" w:rsidRPr="007E5419" w:rsidRDefault="00E84B60" w:rsidP="00E84B60">
      <w:pPr>
        <w:rPr>
          <w:rFonts w:ascii="Arial" w:hAnsi="Arial" w:cs="Arial"/>
          <w:b/>
          <w:sz w:val="32"/>
          <w:szCs w:val="32"/>
        </w:rPr>
      </w:pPr>
      <w:r w:rsidRPr="007E5419">
        <w:rPr>
          <w:rFonts w:ascii="Arial" w:hAnsi="Arial" w:cs="Arial"/>
          <w:b/>
          <w:sz w:val="32"/>
          <w:szCs w:val="32"/>
        </w:rPr>
        <w:t>Promotion</w:t>
      </w:r>
      <w:r w:rsidR="007E5419">
        <w:rPr>
          <w:rFonts w:ascii="Arial" w:hAnsi="Arial" w:cs="Arial"/>
          <w:b/>
          <w:sz w:val="32"/>
          <w:szCs w:val="32"/>
        </w:rPr>
        <w:t>:</w:t>
      </w:r>
    </w:p>
    <w:p w14:paraId="2D9B3231" w14:textId="69568B9F" w:rsidR="00E84B60" w:rsidRDefault="00E84B60" w:rsidP="00E84B60">
      <w:pPr>
        <w:rPr>
          <w:rFonts w:ascii="Arial" w:hAnsi="Arial" w:cs="Arial"/>
        </w:rPr>
      </w:pPr>
      <w:r w:rsidRPr="009C6493">
        <w:rPr>
          <w:rFonts w:ascii="Arial" w:hAnsi="Arial" w:cs="Arial"/>
        </w:rPr>
        <w:t xml:space="preserve">The promotion incorporates digital campaigns and intent-based campaigns such as organic content with LinkedIn, webinars, and AI-based email targeted at 65 </w:t>
      </w:r>
      <w:r w:rsidR="001B0E3E" w:rsidRPr="009C6493">
        <w:rPr>
          <w:rFonts w:ascii="Arial" w:hAnsi="Arial" w:cs="Arial"/>
        </w:rPr>
        <w:t>per cent</w:t>
      </w:r>
      <w:r w:rsidRPr="009C6493">
        <w:rPr>
          <w:rFonts w:ascii="Arial" w:hAnsi="Arial" w:cs="Arial"/>
        </w:rPr>
        <w:t xml:space="preserve"> of B2B decision makers. Employee advocacy increases reach</w:t>
      </w:r>
      <w:r w:rsidR="001B0E3E" w:rsidRPr="009C6493">
        <w:rPr>
          <w:rFonts w:ascii="Arial" w:hAnsi="Arial" w:cs="Arial"/>
        </w:rPr>
        <w:t>,</w:t>
      </w:r>
      <w:r w:rsidRPr="009C6493">
        <w:rPr>
          <w:rFonts w:ascii="Arial" w:hAnsi="Arial" w:cs="Arial"/>
        </w:rPr>
        <w:t xml:space="preserve"> and Video case studies demonstrate </w:t>
      </w:r>
      <w:r w:rsidR="001B0E3E" w:rsidRPr="009C6493">
        <w:rPr>
          <w:rFonts w:ascii="Arial" w:hAnsi="Arial" w:cs="Arial"/>
        </w:rPr>
        <w:t xml:space="preserve">a </w:t>
      </w:r>
      <w:r w:rsidRPr="009C6493">
        <w:rPr>
          <w:rFonts w:ascii="Arial" w:hAnsi="Arial" w:cs="Arial"/>
        </w:rPr>
        <w:t xml:space="preserve">40 </w:t>
      </w:r>
      <w:r w:rsidR="001B0E3E" w:rsidRPr="009C6493">
        <w:rPr>
          <w:rFonts w:ascii="Arial" w:hAnsi="Arial" w:cs="Arial"/>
        </w:rPr>
        <w:t>per cent</w:t>
      </w:r>
      <w:r w:rsidRPr="009C6493">
        <w:rPr>
          <w:rFonts w:ascii="Arial" w:hAnsi="Arial" w:cs="Arial"/>
        </w:rPr>
        <w:t xml:space="preserve"> reduction in manual effort</w:t>
      </w:r>
      <w:r w:rsidR="00A511DA" w:rsidRPr="009C6493">
        <w:rPr>
          <w:rFonts w:ascii="Arial" w:hAnsi="Arial" w:cs="Arial"/>
        </w:rPr>
        <w:t xml:space="preserve"> (Thomas, 2020)</w:t>
      </w:r>
      <w:r w:rsidRPr="009C6493">
        <w:rPr>
          <w:rFonts w:ascii="Arial" w:hAnsi="Arial" w:cs="Arial"/>
        </w:rPr>
        <w:t xml:space="preserve">. This enables the strategy to create a feeling of trust in sustainability with </w:t>
      </w:r>
      <w:r w:rsidR="001B0E3E" w:rsidRPr="009C6493">
        <w:rPr>
          <w:rFonts w:ascii="Arial" w:hAnsi="Arial" w:cs="Arial"/>
        </w:rPr>
        <w:t xml:space="preserve">a </w:t>
      </w:r>
      <w:r w:rsidRPr="009C6493">
        <w:rPr>
          <w:rFonts w:ascii="Arial" w:hAnsi="Arial" w:cs="Arial"/>
        </w:rPr>
        <w:t xml:space="preserve">market at 21.02 </w:t>
      </w:r>
      <w:r w:rsidR="001B0E3E" w:rsidRPr="009C6493">
        <w:rPr>
          <w:rFonts w:ascii="Arial" w:hAnsi="Arial" w:cs="Arial"/>
        </w:rPr>
        <w:t>per cent</w:t>
      </w:r>
      <w:r w:rsidRPr="009C6493">
        <w:rPr>
          <w:rFonts w:ascii="Arial" w:hAnsi="Arial" w:cs="Arial"/>
        </w:rPr>
        <w:t xml:space="preserve"> CAGR till 2034. More importantly, the digital marketing model by Chaffey e</w:t>
      </w:r>
      <w:r w:rsidR="00A511DA" w:rsidRPr="009C6493">
        <w:rPr>
          <w:rFonts w:ascii="Arial" w:hAnsi="Arial" w:cs="Arial"/>
        </w:rPr>
        <w:t>mphasizes hyper-personalization (</w:t>
      </w:r>
      <w:proofErr w:type="spellStart"/>
      <w:r w:rsidR="00A511DA" w:rsidRPr="009C6493">
        <w:rPr>
          <w:rFonts w:ascii="Arial" w:hAnsi="Arial" w:cs="Arial"/>
        </w:rPr>
        <w:t>Korongo</w:t>
      </w:r>
      <w:proofErr w:type="spellEnd"/>
      <w:r w:rsidR="00A511DA" w:rsidRPr="009C6493">
        <w:rPr>
          <w:rFonts w:ascii="Arial" w:hAnsi="Arial" w:cs="Arial"/>
        </w:rPr>
        <w:t xml:space="preserve">, </w:t>
      </w:r>
      <w:proofErr w:type="spellStart"/>
      <w:r w:rsidR="00A511DA" w:rsidRPr="009C6493">
        <w:rPr>
          <w:rFonts w:ascii="Arial" w:hAnsi="Arial" w:cs="Arial"/>
        </w:rPr>
        <w:t>Ikoha</w:t>
      </w:r>
      <w:proofErr w:type="spellEnd"/>
      <w:r w:rsidR="00A511DA" w:rsidRPr="009C6493">
        <w:rPr>
          <w:rFonts w:ascii="Arial" w:hAnsi="Arial" w:cs="Arial"/>
        </w:rPr>
        <w:t xml:space="preserve"> and </w:t>
      </w:r>
      <w:proofErr w:type="spellStart"/>
      <w:r w:rsidR="00A511DA" w:rsidRPr="009C6493">
        <w:rPr>
          <w:rFonts w:ascii="Arial" w:hAnsi="Arial" w:cs="Arial"/>
        </w:rPr>
        <w:t>Nambiro</w:t>
      </w:r>
      <w:proofErr w:type="spellEnd"/>
      <w:r w:rsidR="00A511DA" w:rsidRPr="009C6493">
        <w:rPr>
          <w:rFonts w:ascii="Arial" w:hAnsi="Arial" w:cs="Arial"/>
        </w:rPr>
        <w:t>, 2024). I</w:t>
      </w:r>
      <w:r w:rsidRPr="009C6493">
        <w:rPr>
          <w:rFonts w:ascii="Arial" w:hAnsi="Arial" w:cs="Arial"/>
        </w:rPr>
        <w:t xml:space="preserve">n 2026, intent signals will be improved by 15-20 </w:t>
      </w:r>
      <w:r w:rsidR="001B0E3E" w:rsidRPr="009C6493">
        <w:rPr>
          <w:rFonts w:ascii="Arial" w:hAnsi="Arial" w:cs="Arial"/>
        </w:rPr>
        <w:t>per cent</w:t>
      </w:r>
      <w:r w:rsidRPr="009C6493">
        <w:rPr>
          <w:rFonts w:ascii="Arial" w:hAnsi="Arial" w:cs="Arial"/>
        </w:rPr>
        <w:t xml:space="preserve"> </w:t>
      </w:r>
      <w:r w:rsidR="00A511DA" w:rsidRPr="009C6493">
        <w:rPr>
          <w:rFonts w:ascii="Arial" w:hAnsi="Arial" w:cs="Arial"/>
        </w:rPr>
        <w:t>due</w:t>
      </w:r>
      <w:r w:rsidRPr="009C6493">
        <w:rPr>
          <w:rFonts w:ascii="Arial" w:hAnsi="Arial" w:cs="Arial"/>
        </w:rPr>
        <w:t xml:space="preserve"> to AI, unlike in the case of campaigns in Workiva</w:t>
      </w:r>
      <w:r w:rsidR="00A511DA" w:rsidRPr="009C6493">
        <w:rPr>
          <w:rFonts w:ascii="Arial" w:hAnsi="Arial" w:cs="Arial"/>
        </w:rPr>
        <w:t xml:space="preserve"> (Kelly, Harkness and Reis, 2025)</w:t>
      </w:r>
      <w:r w:rsidRPr="009C6493">
        <w:rPr>
          <w:rFonts w:ascii="Arial" w:hAnsi="Arial" w:cs="Arial"/>
        </w:rPr>
        <w:t xml:space="preserve">. The budget allocation focuses on content, which gives 2.5 times more pipeline to mature strategies in the hope of achieving 18 </w:t>
      </w:r>
      <w:r w:rsidR="001B0E3E" w:rsidRPr="009C6493">
        <w:rPr>
          <w:rFonts w:ascii="Arial" w:hAnsi="Arial" w:cs="Arial"/>
        </w:rPr>
        <w:t>per cent</w:t>
      </w:r>
      <w:r w:rsidRPr="009C6493">
        <w:rPr>
          <w:rFonts w:ascii="Arial" w:hAnsi="Arial" w:cs="Arial"/>
        </w:rPr>
        <w:t xml:space="preserve"> EPS growth </w:t>
      </w:r>
      <w:r w:rsidR="007E5419" w:rsidRPr="009C6493">
        <w:rPr>
          <w:rFonts w:ascii="Arial" w:hAnsi="Arial" w:cs="Arial"/>
        </w:rPr>
        <w:t>simil</w:t>
      </w:r>
      <w:r w:rsidR="007E5419">
        <w:rPr>
          <w:rFonts w:ascii="Arial" w:hAnsi="Arial" w:cs="Arial"/>
        </w:rPr>
        <w:t>a</w:t>
      </w:r>
      <w:r w:rsidR="007E5419" w:rsidRPr="009C6493">
        <w:rPr>
          <w:rFonts w:ascii="Arial" w:hAnsi="Arial" w:cs="Arial"/>
        </w:rPr>
        <w:t>r</w:t>
      </w:r>
      <w:r w:rsidR="007E5419">
        <w:rPr>
          <w:rFonts w:ascii="Arial" w:hAnsi="Arial" w:cs="Arial"/>
        </w:rPr>
        <w:t>-</w:t>
      </w:r>
      <w:r w:rsidRPr="009C6493">
        <w:rPr>
          <w:rFonts w:ascii="Arial" w:hAnsi="Arial" w:cs="Arial"/>
        </w:rPr>
        <w:t>to Sage in the year 2025.</w:t>
      </w:r>
    </w:p>
    <w:p w14:paraId="643B122D" w14:textId="77777777" w:rsidR="007E5419" w:rsidRPr="009C6493" w:rsidRDefault="007E5419" w:rsidP="00E84B60">
      <w:pPr>
        <w:rPr>
          <w:rFonts w:ascii="Arial" w:hAnsi="Arial" w:cs="Arial"/>
        </w:rPr>
      </w:pPr>
    </w:p>
    <w:p w14:paraId="35E1446A" w14:textId="339A7162" w:rsidR="00E84B60" w:rsidRPr="007E5419" w:rsidRDefault="00E84B60" w:rsidP="00E84B60">
      <w:pPr>
        <w:rPr>
          <w:rFonts w:ascii="Arial" w:hAnsi="Arial" w:cs="Arial"/>
          <w:b/>
          <w:sz w:val="32"/>
          <w:szCs w:val="32"/>
        </w:rPr>
      </w:pPr>
      <w:r w:rsidRPr="007E5419">
        <w:rPr>
          <w:rFonts w:ascii="Arial" w:hAnsi="Arial" w:cs="Arial"/>
          <w:b/>
          <w:sz w:val="32"/>
          <w:szCs w:val="32"/>
        </w:rPr>
        <w:t>People</w:t>
      </w:r>
      <w:r w:rsidR="007E5419">
        <w:rPr>
          <w:rFonts w:ascii="Arial" w:hAnsi="Arial" w:cs="Arial"/>
          <w:b/>
          <w:sz w:val="32"/>
          <w:szCs w:val="32"/>
        </w:rPr>
        <w:t>:</w:t>
      </w:r>
    </w:p>
    <w:p w14:paraId="1E0A5C58" w14:textId="066419D6" w:rsidR="00E84B60" w:rsidRDefault="00E84B60" w:rsidP="00E84B60">
      <w:pPr>
        <w:rPr>
          <w:rFonts w:ascii="Arial" w:hAnsi="Arial" w:cs="Arial"/>
        </w:rPr>
      </w:pPr>
      <w:r w:rsidRPr="009C6493">
        <w:rPr>
          <w:rFonts w:ascii="Arial" w:hAnsi="Arial" w:cs="Arial"/>
        </w:rPr>
        <w:t>Customer succession teams at Sage are ESG trai</w:t>
      </w:r>
      <w:r w:rsidR="00A511DA" w:rsidRPr="009C6493">
        <w:rPr>
          <w:rFonts w:ascii="Arial" w:hAnsi="Arial" w:cs="Arial"/>
        </w:rPr>
        <w:t>ned and offer specific support</w:t>
      </w:r>
      <w:r w:rsidRPr="009C6493">
        <w:rPr>
          <w:rFonts w:ascii="Arial" w:hAnsi="Arial" w:cs="Arial"/>
        </w:rPr>
        <w:t xml:space="preserve">. This aspect of human </w:t>
      </w:r>
      <w:r w:rsidR="00A511DA" w:rsidRPr="009C6493">
        <w:rPr>
          <w:rFonts w:ascii="Arial" w:hAnsi="Arial" w:cs="Arial"/>
        </w:rPr>
        <w:t>beings’</w:t>
      </w:r>
      <w:r w:rsidRPr="009C6493">
        <w:rPr>
          <w:rFonts w:ascii="Arial" w:hAnsi="Arial" w:cs="Arial"/>
        </w:rPr>
        <w:t xml:space="preserve"> fits as it makes it adopted in an industry where 60 </w:t>
      </w:r>
      <w:r w:rsidR="001B0E3E" w:rsidRPr="009C6493">
        <w:rPr>
          <w:rFonts w:ascii="Arial" w:hAnsi="Arial" w:cs="Arial"/>
        </w:rPr>
        <w:t>per cent</w:t>
      </w:r>
      <w:r w:rsidRPr="009C6493">
        <w:rPr>
          <w:rFonts w:ascii="Arial" w:hAnsi="Arial" w:cs="Arial"/>
        </w:rPr>
        <w:t xml:space="preserve"> raises integration issues</w:t>
      </w:r>
      <w:r w:rsidR="00A511DA" w:rsidRPr="009C6493">
        <w:rPr>
          <w:rFonts w:ascii="Arial" w:hAnsi="Arial" w:cs="Arial"/>
        </w:rPr>
        <w:t xml:space="preserve"> (Bhaskar and </w:t>
      </w:r>
      <w:proofErr w:type="spellStart"/>
      <w:r w:rsidR="00A511DA" w:rsidRPr="009C6493">
        <w:rPr>
          <w:rFonts w:ascii="Arial" w:hAnsi="Arial" w:cs="Arial"/>
        </w:rPr>
        <w:t>Reeta</w:t>
      </w:r>
      <w:proofErr w:type="spellEnd"/>
      <w:r w:rsidR="00A511DA" w:rsidRPr="009C6493">
        <w:rPr>
          <w:rFonts w:ascii="Arial" w:hAnsi="Arial" w:cs="Arial"/>
        </w:rPr>
        <w:t>, 2025)</w:t>
      </w:r>
      <w:r w:rsidRPr="009C6493">
        <w:rPr>
          <w:rFonts w:ascii="Arial" w:hAnsi="Arial" w:cs="Arial"/>
        </w:rPr>
        <w:t xml:space="preserve">. The service marketing by Kotler focuses on </w:t>
      </w:r>
      <w:r w:rsidR="001B0E3E" w:rsidRPr="009C6493">
        <w:rPr>
          <w:rFonts w:ascii="Arial" w:hAnsi="Arial" w:cs="Arial"/>
        </w:rPr>
        <w:t>well-trained</w:t>
      </w:r>
      <w:r w:rsidR="00A511DA" w:rsidRPr="009C6493">
        <w:rPr>
          <w:rFonts w:ascii="Arial" w:hAnsi="Arial" w:cs="Arial"/>
        </w:rPr>
        <w:t xml:space="preserve"> staff (Altera, 2025).</w:t>
      </w:r>
      <w:r w:rsidRPr="009C6493">
        <w:rPr>
          <w:rFonts w:ascii="Arial" w:hAnsi="Arial" w:cs="Arial"/>
        </w:rPr>
        <w:t xml:space="preserve"> </w:t>
      </w:r>
      <w:r w:rsidR="00A511DA" w:rsidRPr="009C6493">
        <w:rPr>
          <w:rFonts w:ascii="Arial" w:hAnsi="Arial" w:cs="Arial"/>
        </w:rPr>
        <w:t>The</w:t>
      </w:r>
      <w:r w:rsidRPr="009C6493">
        <w:rPr>
          <w:rFonts w:ascii="Arial" w:hAnsi="Arial" w:cs="Arial"/>
        </w:rPr>
        <w:t xml:space="preserve"> team of experts at </w:t>
      </w:r>
      <w:proofErr w:type="spellStart"/>
      <w:r w:rsidRPr="009C6493">
        <w:rPr>
          <w:rFonts w:ascii="Arial" w:hAnsi="Arial" w:cs="Arial"/>
        </w:rPr>
        <w:t>EcoInsight</w:t>
      </w:r>
      <w:proofErr w:type="spellEnd"/>
      <w:r w:rsidRPr="009C6493">
        <w:rPr>
          <w:rFonts w:ascii="Arial" w:hAnsi="Arial" w:cs="Arial"/>
        </w:rPr>
        <w:t xml:space="preserve"> retention is more than 80 per cent, as opposed to the self-service offered by Sweep. 17 </w:t>
      </w:r>
      <w:r w:rsidR="001B0E3E" w:rsidRPr="009C6493">
        <w:rPr>
          <w:rFonts w:ascii="Arial" w:hAnsi="Arial" w:cs="Arial"/>
        </w:rPr>
        <w:t>per cent</w:t>
      </w:r>
      <w:r w:rsidRPr="009C6493">
        <w:rPr>
          <w:rFonts w:ascii="Arial" w:hAnsi="Arial" w:cs="Arial"/>
        </w:rPr>
        <w:t xml:space="preserve"> increase in operating profits of Sage by demonstrating that </w:t>
      </w:r>
      <w:proofErr w:type="spellStart"/>
      <w:r w:rsidR="001B0E3E" w:rsidRPr="009C6493">
        <w:rPr>
          <w:rFonts w:ascii="Arial" w:hAnsi="Arial" w:cs="Arial"/>
        </w:rPr>
        <w:t>personalised</w:t>
      </w:r>
      <w:proofErr w:type="spellEnd"/>
      <w:r w:rsidRPr="009C6493">
        <w:rPr>
          <w:rFonts w:ascii="Arial" w:hAnsi="Arial" w:cs="Arial"/>
        </w:rPr>
        <w:t xml:space="preserve"> support reduces the acquisition expenses by half.</w:t>
      </w:r>
    </w:p>
    <w:p w14:paraId="493FE755" w14:textId="77777777" w:rsidR="007E5419" w:rsidRPr="009C6493" w:rsidRDefault="007E5419" w:rsidP="00E84B60">
      <w:pPr>
        <w:rPr>
          <w:rFonts w:ascii="Arial" w:hAnsi="Arial" w:cs="Arial"/>
        </w:rPr>
      </w:pPr>
    </w:p>
    <w:p w14:paraId="1EF503ED" w14:textId="77777777" w:rsidR="007E5419" w:rsidRDefault="007E5419" w:rsidP="00E84B60">
      <w:pPr>
        <w:rPr>
          <w:rFonts w:ascii="Arial" w:hAnsi="Arial" w:cs="Arial"/>
          <w:b/>
          <w:sz w:val="32"/>
          <w:szCs w:val="32"/>
        </w:rPr>
      </w:pPr>
    </w:p>
    <w:p w14:paraId="0E855A8A" w14:textId="0F8C9321" w:rsidR="00E84B60" w:rsidRPr="007E5419" w:rsidRDefault="00E84B60" w:rsidP="00E84B60">
      <w:pPr>
        <w:rPr>
          <w:rFonts w:ascii="Arial" w:hAnsi="Arial" w:cs="Arial"/>
          <w:b/>
          <w:sz w:val="32"/>
          <w:szCs w:val="32"/>
        </w:rPr>
      </w:pPr>
      <w:r w:rsidRPr="007E5419">
        <w:rPr>
          <w:rFonts w:ascii="Arial" w:hAnsi="Arial" w:cs="Arial"/>
          <w:b/>
          <w:sz w:val="32"/>
          <w:szCs w:val="32"/>
        </w:rPr>
        <w:t>Process</w:t>
      </w:r>
      <w:r w:rsidR="007E5419">
        <w:rPr>
          <w:rFonts w:ascii="Arial" w:hAnsi="Arial" w:cs="Arial"/>
          <w:b/>
          <w:sz w:val="32"/>
          <w:szCs w:val="32"/>
        </w:rPr>
        <w:t>:</w:t>
      </w:r>
    </w:p>
    <w:p w14:paraId="2CEF06F2" w14:textId="161A95B7" w:rsidR="00E84B60" w:rsidRDefault="001B0E3E" w:rsidP="00E84B60">
      <w:pPr>
        <w:rPr>
          <w:rFonts w:ascii="Arial" w:hAnsi="Arial" w:cs="Arial"/>
        </w:rPr>
      </w:pPr>
      <w:r w:rsidRPr="009C6493">
        <w:rPr>
          <w:rFonts w:ascii="Arial" w:hAnsi="Arial" w:cs="Arial"/>
        </w:rPr>
        <w:t>AI-assisted</w:t>
      </w:r>
      <w:r w:rsidR="00E84B60" w:rsidRPr="009C6493">
        <w:rPr>
          <w:rFonts w:ascii="Arial" w:hAnsi="Arial" w:cs="Arial"/>
        </w:rPr>
        <w:t xml:space="preserve"> onboarding facilitates fast implementation with an average of two weeks. This is a streamlined process which allows scaling</w:t>
      </w:r>
      <w:r w:rsidRPr="009C6493">
        <w:rPr>
          <w:rFonts w:ascii="Arial" w:hAnsi="Arial" w:cs="Arial"/>
        </w:rPr>
        <w:t>,</w:t>
      </w:r>
      <w:r w:rsidR="00E84B60" w:rsidRPr="009C6493">
        <w:rPr>
          <w:rFonts w:ascii="Arial" w:hAnsi="Arial" w:cs="Arial"/>
        </w:rPr>
        <w:t xml:space="preserve"> which is in line with the strategy</w:t>
      </w:r>
      <w:r w:rsidRPr="009C6493">
        <w:rPr>
          <w:rFonts w:ascii="Arial" w:hAnsi="Arial" w:cs="Arial"/>
        </w:rPr>
        <w:t>,</w:t>
      </w:r>
      <w:r w:rsidR="00E84B60" w:rsidRPr="009C6493">
        <w:rPr>
          <w:rFonts w:ascii="Arial" w:hAnsi="Arial" w:cs="Arial"/>
        </w:rPr>
        <w:t xml:space="preserve"> through efficient service delivery. More importantly, the extended mix as presented by Booms and Bitner puts emphasis on</w:t>
      </w:r>
      <w:r w:rsidR="00B57E11" w:rsidRPr="009C6493">
        <w:rPr>
          <w:rFonts w:ascii="Arial" w:hAnsi="Arial" w:cs="Arial"/>
        </w:rPr>
        <w:t xml:space="preserve"> the infallibility of processes. T</w:t>
      </w:r>
      <w:r w:rsidR="00E84B60" w:rsidRPr="009C6493">
        <w:rPr>
          <w:rFonts w:ascii="Arial" w:hAnsi="Arial" w:cs="Arial"/>
        </w:rPr>
        <w:t xml:space="preserve">he API integrations at </w:t>
      </w:r>
      <w:proofErr w:type="spellStart"/>
      <w:r w:rsidR="00E84B60" w:rsidRPr="009C6493">
        <w:rPr>
          <w:rFonts w:ascii="Arial" w:hAnsi="Arial" w:cs="Arial"/>
        </w:rPr>
        <w:t>EcoInsight</w:t>
      </w:r>
      <w:proofErr w:type="spellEnd"/>
      <w:r w:rsidR="00E84B60" w:rsidRPr="009C6493">
        <w:rPr>
          <w:rFonts w:ascii="Arial" w:hAnsi="Arial" w:cs="Arial"/>
        </w:rPr>
        <w:t xml:space="preserve"> decrease the number of errors committed by 35 </w:t>
      </w:r>
      <w:r w:rsidRPr="009C6493">
        <w:rPr>
          <w:rFonts w:ascii="Arial" w:hAnsi="Arial" w:cs="Arial"/>
        </w:rPr>
        <w:t>per cent</w:t>
      </w:r>
      <w:r w:rsidR="00E84B60" w:rsidRPr="009C6493">
        <w:rPr>
          <w:rFonts w:ascii="Arial" w:hAnsi="Arial" w:cs="Arial"/>
        </w:rPr>
        <w:t>, which helps to comply with 11,000 companies impacted by CSRD. This creates loyalty within a high churn environment.</w:t>
      </w:r>
    </w:p>
    <w:p w14:paraId="44CEE987" w14:textId="77777777" w:rsidR="009C6493" w:rsidRPr="009C6493" w:rsidRDefault="009C6493" w:rsidP="00E84B60">
      <w:pPr>
        <w:rPr>
          <w:rFonts w:ascii="Arial" w:hAnsi="Arial" w:cs="Arial"/>
        </w:rPr>
      </w:pPr>
    </w:p>
    <w:p w14:paraId="42646448" w14:textId="77777777" w:rsidR="007E5419" w:rsidRDefault="00E84B60" w:rsidP="00E84B60">
      <w:pPr>
        <w:rPr>
          <w:rFonts w:ascii="Arial" w:hAnsi="Arial" w:cs="Arial"/>
          <w:b/>
          <w:sz w:val="32"/>
          <w:szCs w:val="32"/>
        </w:rPr>
      </w:pPr>
      <w:r w:rsidRPr="007E5419">
        <w:rPr>
          <w:rFonts w:ascii="Arial" w:hAnsi="Arial" w:cs="Arial"/>
          <w:b/>
          <w:sz w:val="32"/>
          <w:szCs w:val="32"/>
        </w:rPr>
        <w:t>Physical Evidence</w:t>
      </w:r>
      <w:r w:rsidR="007E5419">
        <w:rPr>
          <w:rFonts w:ascii="Arial" w:hAnsi="Arial" w:cs="Arial"/>
          <w:b/>
          <w:sz w:val="32"/>
          <w:szCs w:val="32"/>
        </w:rPr>
        <w:t>:</w:t>
      </w:r>
    </w:p>
    <w:p w14:paraId="7FED36D5" w14:textId="789D376E" w:rsidR="00E84B60" w:rsidRPr="007E5419" w:rsidRDefault="00E84B60" w:rsidP="00E84B60">
      <w:pPr>
        <w:rPr>
          <w:rFonts w:ascii="Arial" w:hAnsi="Arial" w:cs="Arial"/>
          <w:b/>
          <w:sz w:val="32"/>
          <w:szCs w:val="32"/>
        </w:rPr>
      </w:pPr>
      <w:proofErr w:type="spellStart"/>
      <w:r w:rsidRPr="009C6493">
        <w:rPr>
          <w:rFonts w:ascii="Arial" w:hAnsi="Arial" w:cs="Arial"/>
        </w:rPr>
        <w:t>Customisable</w:t>
      </w:r>
      <w:proofErr w:type="spellEnd"/>
      <w:r w:rsidRPr="009C6493">
        <w:rPr>
          <w:rFonts w:ascii="Arial" w:hAnsi="Arial" w:cs="Arial"/>
        </w:rPr>
        <w:t xml:space="preserve"> interfaces and branded reports are all tangible evidence, as digital dashboards are used as tangible demonstrations of trust. This fits as it imagines ESG development, which is essential in B2B</w:t>
      </w:r>
      <w:r w:rsidR="001B0E3E" w:rsidRPr="009C6493">
        <w:rPr>
          <w:rFonts w:ascii="Arial" w:hAnsi="Arial" w:cs="Arial"/>
        </w:rPr>
        <w:t>,</w:t>
      </w:r>
      <w:r w:rsidRPr="009C6493">
        <w:rPr>
          <w:rFonts w:ascii="Arial" w:hAnsi="Arial" w:cs="Arial"/>
        </w:rPr>
        <w:t xml:space="preserve"> where 55 </w:t>
      </w:r>
      <w:r w:rsidR="001B0E3E" w:rsidRPr="009C6493">
        <w:rPr>
          <w:rFonts w:ascii="Arial" w:hAnsi="Arial" w:cs="Arial"/>
        </w:rPr>
        <w:t>per cent</w:t>
      </w:r>
      <w:r w:rsidRPr="009C6493">
        <w:rPr>
          <w:rFonts w:ascii="Arial" w:hAnsi="Arial" w:cs="Arial"/>
        </w:rPr>
        <w:t xml:space="preserve"> adoption grows to 75 </w:t>
      </w:r>
      <w:r w:rsidR="001B0E3E" w:rsidRPr="009C6493">
        <w:rPr>
          <w:rFonts w:ascii="Arial" w:hAnsi="Arial" w:cs="Arial"/>
        </w:rPr>
        <w:t>per cent</w:t>
      </w:r>
      <w:r w:rsidRPr="009C6493">
        <w:rPr>
          <w:rFonts w:ascii="Arial" w:hAnsi="Arial" w:cs="Arial"/>
        </w:rPr>
        <w:t xml:space="preserve"> in 2030. KPN </w:t>
      </w:r>
      <w:r w:rsidR="001B0E3E" w:rsidRPr="009C6493">
        <w:rPr>
          <w:rFonts w:ascii="Arial" w:hAnsi="Arial" w:cs="Arial"/>
        </w:rPr>
        <w:t>cloud-based</w:t>
      </w:r>
      <w:r w:rsidRPr="009C6493">
        <w:rPr>
          <w:rFonts w:ascii="Arial" w:hAnsi="Arial" w:cs="Arial"/>
        </w:rPr>
        <w:t xml:space="preserve"> portals, as opposed to the </w:t>
      </w:r>
      <w:r w:rsidR="001B0E3E" w:rsidRPr="009C6493">
        <w:rPr>
          <w:rFonts w:ascii="Arial" w:hAnsi="Arial" w:cs="Arial"/>
        </w:rPr>
        <w:t>multi-suite</w:t>
      </w:r>
      <w:r w:rsidRPr="009C6493">
        <w:rPr>
          <w:rFonts w:ascii="Arial" w:hAnsi="Arial" w:cs="Arial"/>
        </w:rPr>
        <w:t xml:space="preserve"> </w:t>
      </w:r>
      <w:proofErr w:type="spellStart"/>
      <w:r w:rsidRPr="009C6493">
        <w:rPr>
          <w:rFonts w:ascii="Arial" w:hAnsi="Arial" w:cs="Arial"/>
        </w:rPr>
        <w:t>Envizi</w:t>
      </w:r>
      <w:proofErr w:type="spellEnd"/>
      <w:r w:rsidRPr="009C6493">
        <w:rPr>
          <w:rFonts w:ascii="Arial" w:hAnsi="Arial" w:cs="Arial"/>
        </w:rPr>
        <w:t xml:space="preserve">, create more satisfaction among users, </w:t>
      </w:r>
      <w:r w:rsidR="001B0E3E" w:rsidRPr="009C6493">
        <w:rPr>
          <w:rFonts w:ascii="Arial" w:hAnsi="Arial" w:cs="Arial"/>
        </w:rPr>
        <w:t xml:space="preserve">resulting in </w:t>
      </w:r>
      <w:r w:rsidRPr="009C6493">
        <w:rPr>
          <w:rFonts w:ascii="Arial" w:hAnsi="Arial" w:cs="Arial"/>
        </w:rPr>
        <w:t>three times revenue growth.</w:t>
      </w:r>
    </w:p>
    <w:p w14:paraId="4A5D8B61" w14:textId="77777777" w:rsidR="00B57E11" w:rsidRDefault="00B57E11">
      <w:pPr>
        <w:spacing w:line="259" w:lineRule="auto"/>
        <w:jc w:val="left"/>
      </w:pPr>
      <w:r>
        <w:lastRenderedPageBreak/>
        <w:br w:type="page"/>
      </w:r>
    </w:p>
    <w:p w14:paraId="4FB8C246" w14:textId="7E01D636" w:rsidR="007E5419" w:rsidRPr="007E5419" w:rsidRDefault="001B0E3E" w:rsidP="007E5419">
      <w:pPr>
        <w:pStyle w:val="Heading1"/>
        <w:rPr>
          <w:rFonts w:ascii="Arial" w:hAnsi="Arial" w:cs="Arial"/>
        </w:rPr>
      </w:pPr>
      <w:bookmarkStart w:id="3" w:name="_Toc223827764"/>
      <w:r w:rsidRPr="009C6493">
        <w:rPr>
          <w:rFonts w:ascii="Arial" w:hAnsi="Arial" w:cs="Arial"/>
        </w:rPr>
        <w:lastRenderedPageBreak/>
        <w:t>Reflection</w:t>
      </w:r>
      <w:r w:rsidR="009C6493">
        <w:rPr>
          <w:rFonts w:ascii="Arial" w:hAnsi="Arial" w:cs="Arial"/>
        </w:rPr>
        <w:t>:</w:t>
      </w:r>
      <w:bookmarkEnd w:id="3"/>
    </w:p>
    <w:p w14:paraId="2DA0611C" w14:textId="77777777" w:rsidR="001B0E3E" w:rsidRPr="009C6493" w:rsidRDefault="001B0E3E" w:rsidP="001B0E3E">
      <w:pPr>
        <w:rPr>
          <w:rFonts w:ascii="Arial" w:hAnsi="Arial" w:cs="Arial"/>
        </w:rPr>
      </w:pPr>
      <w:r w:rsidRPr="009C6493">
        <w:rPr>
          <w:rFonts w:ascii="Arial" w:hAnsi="Arial" w:cs="Arial"/>
        </w:rPr>
        <w:t xml:space="preserve">The process of coming up with the Sage </w:t>
      </w:r>
      <w:proofErr w:type="spellStart"/>
      <w:r w:rsidRPr="009C6493">
        <w:rPr>
          <w:rFonts w:ascii="Arial" w:hAnsi="Arial" w:cs="Arial"/>
        </w:rPr>
        <w:t>EcoInsight</w:t>
      </w:r>
      <w:proofErr w:type="spellEnd"/>
      <w:r w:rsidRPr="009C6493">
        <w:rPr>
          <w:rFonts w:ascii="Arial" w:hAnsi="Arial" w:cs="Arial"/>
        </w:rPr>
        <w:t xml:space="preserve"> brand extension has been a very enriching one that has enhanced my knowledge concerning strategic marketing in technology industries. Being a marketing manager, I chose Sage Group because of its financial software strength, as 2025 revenues are likely to reach £2.513 billion, and an increase of 10 per cent makes it easy to integrate into ESG reporting. Investigations into trends on the market showed that the ESG software market had a 20.1 percent growth rate to USD 5.19 billion by 2033, and this potential challenged me to align the extension to the requirements of sustainability such as the Scope 1-3 emissions tracking. This has sharpened my analytical ability of STDP and 7Ps frameworks, which shows how AI can cut a third of the reporting time, promoting innovative thinking.</w:t>
      </w:r>
    </w:p>
    <w:p w14:paraId="7CBA4244" w14:textId="77777777" w:rsidR="001B0E3E" w:rsidRPr="009C6493" w:rsidRDefault="001B0E3E" w:rsidP="001B0E3E">
      <w:pPr>
        <w:rPr>
          <w:rFonts w:ascii="Arial" w:hAnsi="Arial" w:cs="Arial"/>
        </w:rPr>
      </w:pPr>
      <w:r w:rsidRPr="009C6493">
        <w:rPr>
          <w:rFonts w:ascii="Arial" w:hAnsi="Arial" w:cs="Arial"/>
        </w:rPr>
        <w:t>The preparation and presentation of the poster developed my communication skills. On Canva, I managed to create a gimmick visual story within 5 minutes, focusing on the marketability and sustainability compatibility. The in-class delivery was beneficial in terms of confidence because the feedback provided was clear about the delivery of investor benefit, but nerves interfered with timing.</w:t>
      </w:r>
    </w:p>
    <w:p w14:paraId="108D2C68" w14:textId="77777777" w:rsidR="001B0E3E" w:rsidRPr="009C6493" w:rsidRDefault="001B0E3E" w:rsidP="001B0E3E">
      <w:pPr>
        <w:rPr>
          <w:rFonts w:ascii="Arial" w:hAnsi="Arial" w:cs="Arial"/>
        </w:rPr>
      </w:pPr>
      <w:r w:rsidRPr="009C6493">
        <w:rPr>
          <w:rFonts w:ascii="Arial" w:hAnsi="Arial" w:cs="Arial"/>
        </w:rPr>
        <w:t>Among the notable lessons learned, there is the interaction between technology and ethics in marketing, which will be useful in my professional growth, as it increased my skills in strategic planning and digital tools skills. At an individual level, it pushed me towards reflective practice to enhance self-awareness in project management.</w:t>
      </w:r>
    </w:p>
    <w:p w14:paraId="12ED5572" w14:textId="77777777" w:rsidR="00B57E11" w:rsidRPr="009C6493" w:rsidRDefault="001B0E3E" w:rsidP="001B0E3E">
      <w:pPr>
        <w:rPr>
          <w:rFonts w:ascii="Arial" w:hAnsi="Arial" w:cs="Arial"/>
        </w:rPr>
      </w:pPr>
      <w:r w:rsidRPr="009C6493">
        <w:rPr>
          <w:rFonts w:ascii="Arial" w:hAnsi="Arial" w:cs="Arial"/>
        </w:rPr>
        <w:t>To enhance my prospects of future work, I would include more peer reviews in the initial stages of work to polish the ideologies and practice presentations several times to deliver them more smoothly, thus guaranteeing even better results.</w:t>
      </w:r>
    </w:p>
    <w:p w14:paraId="35F3AAB7" w14:textId="77777777" w:rsidR="00B57E11" w:rsidRPr="009C6493" w:rsidRDefault="00B57E11">
      <w:pPr>
        <w:spacing w:line="259" w:lineRule="auto"/>
        <w:jc w:val="left"/>
        <w:rPr>
          <w:rFonts w:ascii="Arial" w:hAnsi="Arial" w:cs="Arial"/>
        </w:rPr>
      </w:pPr>
      <w:r w:rsidRPr="009C6493">
        <w:rPr>
          <w:rFonts w:ascii="Arial" w:hAnsi="Arial" w:cs="Arial"/>
        </w:rPr>
        <w:br w:type="page"/>
      </w:r>
    </w:p>
    <w:p w14:paraId="65443297" w14:textId="64C170A7" w:rsidR="009C6493" w:rsidRPr="009C6493" w:rsidRDefault="00B57E11" w:rsidP="009C6493">
      <w:pPr>
        <w:pStyle w:val="Heading1"/>
        <w:rPr>
          <w:rFonts w:ascii="Arial" w:hAnsi="Arial" w:cs="Arial"/>
        </w:rPr>
      </w:pPr>
      <w:bookmarkStart w:id="4" w:name="_Toc223827765"/>
      <w:r w:rsidRPr="009C6493">
        <w:rPr>
          <w:rFonts w:ascii="Arial" w:hAnsi="Arial" w:cs="Arial"/>
        </w:rPr>
        <w:lastRenderedPageBreak/>
        <w:t>References</w:t>
      </w:r>
      <w:r w:rsidR="009C6493">
        <w:rPr>
          <w:rFonts w:ascii="Arial" w:hAnsi="Arial" w:cs="Arial"/>
        </w:rPr>
        <w:t>:</w:t>
      </w:r>
      <w:bookmarkEnd w:id="4"/>
    </w:p>
    <w:p w14:paraId="08B4D1B1" w14:textId="77777777" w:rsidR="00B57E11" w:rsidRPr="009C6493" w:rsidRDefault="00B57E11" w:rsidP="00B57E11">
      <w:pPr>
        <w:rPr>
          <w:rFonts w:ascii="Arial" w:hAnsi="Arial" w:cs="Arial"/>
        </w:rPr>
      </w:pPr>
      <w:r w:rsidRPr="009C6493">
        <w:rPr>
          <w:rFonts w:ascii="Arial" w:hAnsi="Arial" w:cs="Arial"/>
        </w:rPr>
        <w:t xml:space="preserve">Altera (2025) What is service marketing? Available at: </w:t>
      </w:r>
      <w:hyperlink r:id="rId11" w:history="1">
        <w:r w:rsidRPr="009C6493">
          <w:rPr>
            <w:rStyle w:val="Hyperlink"/>
            <w:rFonts w:ascii="Arial" w:hAnsi="Arial" w:cs="Arial"/>
          </w:rPr>
          <w:t>https://alterainstitute.com/blog/service-marketing/</w:t>
        </w:r>
      </w:hyperlink>
      <w:r w:rsidRPr="009C6493">
        <w:rPr>
          <w:rFonts w:ascii="Arial" w:hAnsi="Arial" w:cs="Arial"/>
        </w:rPr>
        <w:t xml:space="preserve"> (Accessed: 6 March 2026).</w:t>
      </w:r>
    </w:p>
    <w:p w14:paraId="1BDD1F49" w14:textId="77777777" w:rsidR="00B57E11" w:rsidRPr="009C6493" w:rsidRDefault="00B57E11" w:rsidP="00B57E11">
      <w:pPr>
        <w:rPr>
          <w:rFonts w:ascii="Arial" w:hAnsi="Arial" w:cs="Arial"/>
        </w:rPr>
      </w:pPr>
      <w:r w:rsidRPr="009C6493">
        <w:rPr>
          <w:rFonts w:ascii="Arial" w:hAnsi="Arial" w:cs="Arial"/>
        </w:rPr>
        <w:t xml:space="preserve">Asian Development Bank (2025) Growth in the Pacific to accelerate to 4.1% in 2025, moderate to 3.4% in 2026 — ADB. Available at: </w:t>
      </w:r>
      <w:hyperlink r:id="rId12" w:history="1">
        <w:r w:rsidRPr="009C6493">
          <w:rPr>
            <w:rStyle w:val="Hyperlink"/>
            <w:rFonts w:ascii="Arial" w:hAnsi="Arial" w:cs="Arial"/>
          </w:rPr>
          <w:t>https://www.adb.org/news/growth-pacific-accelerate-4-1-percent-2025-moderate-3-4-percent-2026-adb</w:t>
        </w:r>
      </w:hyperlink>
      <w:r w:rsidRPr="009C6493">
        <w:rPr>
          <w:rFonts w:ascii="Arial" w:hAnsi="Arial" w:cs="Arial"/>
        </w:rPr>
        <w:t xml:space="preserve"> (Accessed: 6 March 2026).</w:t>
      </w:r>
    </w:p>
    <w:p w14:paraId="0D05FEE7" w14:textId="77777777" w:rsidR="00B57E11" w:rsidRPr="009C6493" w:rsidRDefault="00B57E11" w:rsidP="00B57E11">
      <w:pPr>
        <w:rPr>
          <w:rFonts w:ascii="Arial" w:hAnsi="Arial" w:cs="Arial"/>
        </w:rPr>
      </w:pPr>
      <w:r w:rsidRPr="009C6493">
        <w:rPr>
          <w:rFonts w:ascii="Arial" w:hAnsi="Arial" w:cs="Arial"/>
        </w:rPr>
        <w:t xml:space="preserve">Behnke, K. (2025) How much does ESG software cost? Available at: </w:t>
      </w:r>
      <w:hyperlink r:id="rId13" w:history="1">
        <w:r w:rsidRPr="009C6493">
          <w:rPr>
            <w:rStyle w:val="Hyperlink"/>
            <w:rFonts w:ascii="Arial" w:hAnsi="Arial" w:cs="Arial"/>
          </w:rPr>
          <w:t>https://peoplemanagingpeople.com/hr-operations/esg-software-pricing/</w:t>
        </w:r>
      </w:hyperlink>
      <w:r w:rsidRPr="009C6493">
        <w:rPr>
          <w:rFonts w:ascii="Arial" w:hAnsi="Arial" w:cs="Arial"/>
        </w:rPr>
        <w:t xml:space="preserve"> (Accessed: 6 March 2026).</w:t>
      </w:r>
    </w:p>
    <w:p w14:paraId="3A108D0E" w14:textId="77777777" w:rsidR="00B57E11" w:rsidRPr="009C6493" w:rsidRDefault="00B57E11" w:rsidP="00B57E11">
      <w:pPr>
        <w:rPr>
          <w:rFonts w:ascii="Arial" w:hAnsi="Arial" w:cs="Arial"/>
        </w:rPr>
      </w:pPr>
      <w:r w:rsidRPr="009C6493">
        <w:rPr>
          <w:rFonts w:ascii="Arial" w:hAnsi="Arial" w:cs="Arial"/>
        </w:rPr>
        <w:t xml:space="preserve">Bhaskar, H.L. and </w:t>
      </w:r>
      <w:proofErr w:type="spellStart"/>
      <w:r w:rsidRPr="009C6493">
        <w:rPr>
          <w:rFonts w:ascii="Arial" w:hAnsi="Arial" w:cs="Arial"/>
        </w:rPr>
        <w:t>Reeta</w:t>
      </w:r>
      <w:proofErr w:type="spellEnd"/>
      <w:r w:rsidRPr="009C6493">
        <w:rPr>
          <w:rFonts w:ascii="Arial" w:hAnsi="Arial" w:cs="Arial"/>
        </w:rPr>
        <w:t xml:space="preserve">, E. (2025) 'Human-centric integration of 6G-enabled technologies for modern society fundamentals, applications, analysis and challenges'. Available at: </w:t>
      </w:r>
      <w:hyperlink r:id="rId14" w:history="1">
        <w:r w:rsidRPr="009C6493">
          <w:rPr>
            <w:rStyle w:val="Hyperlink"/>
            <w:rFonts w:ascii="Arial" w:hAnsi="Arial" w:cs="Arial"/>
          </w:rPr>
          <w:t>https://www.researchgate.net/publication/391572735_Human-Centric_Integration_of_6G-Enabled_Technologies_for_Modern_Society_Fundamentals_Applications_Analysis_and_Challenges</w:t>
        </w:r>
      </w:hyperlink>
      <w:r w:rsidRPr="009C6493">
        <w:rPr>
          <w:rFonts w:ascii="Arial" w:hAnsi="Arial" w:cs="Arial"/>
        </w:rPr>
        <w:t xml:space="preserve"> (Accessed: 6 March 2026).</w:t>
      </w:r>
    </w:p>
    <w:p w14:paraId="28002136" w14:textId="77777777" w:rsidR="00B57E11" w:rsidRPr="009C6493" w:rsidRDefault="00B57E11" w:rsidP="00B57E11">
      <w:pPr>
        <w:rPr>
          <w:rFonts w:ascii="Arial" w:hAnsi="Arial" w:cs="Arial"/>
        </w:rPr>
      </w:pPr>
      <w:r w:rsidRPr="009C6493">
        <w:rPr>
          <w:rFonts w:ascii="Arial" w:hAnsi="Arial" w:cs="Arial"/>
        </w:rPr>
        <w:t xml:space="preserve">Celestin, M. (2024) 'Integrating ESG factors into core operations: long-term benefits for business growth and reputation'. </w:t>
      </w:r>
      <w:proofErr w:type="spellStart"/>
      <w:r w:rsidRPr="009C6493">
        <w:rPr>
          <w:rFonts w:ascii="Arial" w:hAnsi="Arial" w:cs="Arial"/>
        </w:rPr>
        <w:t>doi</w:t>
      </w:r>
      <w:proofErr w:type="spellEnd"/>
      <w:r w:rsidRPr="009C6493">
        <w:rPr>
          <w:rFonts w:ascii="Arial" w:hAnsi="Arial" w:cs="Arial"/>
        </w:rPr>
        <w:t xml:space="preserve">: </w:t>
      </w:r>
      <w:hyperlink r:id="rId15" w:history="1">
        <w:r w:rsidRPr="009C6493">
          <w:rPr>
            <w:rStyle w:val="Hyperlink"/>
            <w:rFonts w:ascii="Arial" w:hAnsi="Arial" w:cs="Arial"/>
          </w:rPr>
          <w:t>https://doi.org/10.5281/zenodo.13887180</w:t>
        </w:r>
      </w:hyperlink>
      <w:r w:rsidRPr="009C6493">
        <w:rPr>
          <w:rFonts w:ascii="Arial" w:hAnsi="Arial" w:cs="Arial"/>
        </w:rPr>
        <w:t xml:space="preserve">. </w:t>
      </w:r>
    </w:p>
    <w:p w14:paraId="2806E744" w14:textId="77777777" w:rsidR="00B57E11" w:rsidRPr="009C6493" w:rsidRDefault="00B57E11" w:rsidP="00B57E11">
      <w:pPr>
        <w:rPr>
          <w:rFonts w:ascii="Arial" w:hAnsi="Arial" w:cs="Arial"/>
        </w:rPr>
      </w:pPr>
      <w:r w:rsidRPr="009C6493">
        <w:rPr>
          <w:rFonts w:ascii="Arial" w:hAnsi="Arial" w:cs="Arial"/>
        </w:rPr>
        <w:t xml:space="preserve">Christine, A.F., Hakam, D.F., Nainggolan, Y.A., </w:t>
      </w:r>
      <w:proofErr w:type="spellStart"/>
      <w:r w:rsidRPr="009C6493">
        <w:rPr>
          <w:rFonts w:ascii="Arial" w:hAnsi="Arial" w:cs="Arial"/>
        </w:rPr>
        <w:t>Wiryono</w:t>
      </w:r>
      <w:proofErr w:type="spellEnd"/>
      <w:r w:rsidRPr="009C6493">
        <w:rPr>
          <w:rFonts w:ascii="Arial" w:hAnsi="Arial" w:cs="Arial"/>
        </w:rPr>
        <w:t xml:space="preserve">, S.K. and Hakam, L.I. (2025) 'Environmental, social, and governance (ESG) impact on corporate financial strategy of energy and utilities companies worldwide', Energy Strategy Reviews, 62, p. 101916. </w:t>
      </w:r>
      <w:proofErr w:type="spellStart"/>
      <w:r w:rsidRPr="009C6493">
        <w:rPr>
          <w:rFonts w:ascii="Arial" w:hAnsi="Arial" w:cs="Arial"/>
        </w:rPr>
        <w:t>doi</w:t>
      </w:r>
      <w:proofErr w:type="spellEnd"/>
      <w:r w:rsidRPr="009C6493">
        <w:rPr>
          <w:rFonts w:ascii="Arial" w:hAnsi="Arial" w:cs="Arial"/>
        </w:rPr>
        <w:t xml:space="preserve">: </w:t>
      </w:r>
      <w:hyperlink r:id="rId16" w:history="1">
        <w:r w:rsidRPr="009C6493">
          <w:rPr>
            <w:rStyle w:val="Hyperlink"/>
            <w:rFonts w:ascii="Arial" w:hAnsi="Arial" w:cs="Arial"/>
          </w:rPr>
          <w:t>https://doi.org/10.1016/j.esr.2025.101916</w:t>
        </w:r>
      </w:hyperlink>
      <w:r w:rsidRPr="009C6493">
        <w:rPr>
          <w:rFonts w:ascii="Arial" w:hAnsi="Arial" w:cs="Arial"/>
        </w:rPr>
        <w:t xml:space="preserve">. </w:t>
      </w:r>
    </w:p>
    <w:p w14:paraId="2BE2DC98" w14:textId="77777777" w:rsidR="00B57E11" w:rsidRPr="009C6493" w:rsidRDefault="00B57E11" w:rsidP="00B57E11">
      <w:pPr>
        <w:rPr>
          <w:rFonts w:ascii="Arial" w:hAnsi="Arial" w:cs="Arial"/>
        </w:rPr>
      </w:pPr>
      <w:r w:rsidRPr="009C6493">
        <w:rPr>
          <w:rFonts w:ascii="Arial" w:hAnsi="Arial" w:cs="Arial"/>
        </w:rPr>
        <w:t xml:space="preserve">Claude.com (2026) Enterprise plan | Claude. Available at: </w:t>
      </w:r>
      <w:hyperlink r:id="rId17" w:history="1">
        <w:r w:rsidRPr="009C6493">
          <w:rPr>
            <w:rStyle w:val="Hyperlink"/>
            <w:rFonts w:ascii="Arial" w:hAnsi="Arial" w:cs="Arial"/>
          </w:rPr>
          <w:t>https://claude.com/pricing/enterprise</w:t>
        </w:r>
      </w:hyperlink>
      <w:r w:rsidRPr="009C6493">
        <w:rPr>
          <w:rFonts w:ascii="Arial" w:hAnsi="Arial" w:cs="Arial"/>
        </w:rPr>
        <w:t xml:space="preserve"> (Accessed: 6 March 2026).</w:t>
      </w:r>
    </w:p>
    <w:p w14:paraId="3935723C" w14:textId="77777777" w:rsidR="00B57E11" w:rsidRPr="009C6493" w:rsidRDefault="00B57E11" w:rsidP="00B57E11">
      <w:pPr>
        <w:rPr>
          <w:rFonts w:ascii="Arial" w:hAnsi="Arial" w:cs="Arial"/>
        </w:rPr>
      </w:pPr>
      <w:r w:rsidRPr="009C6493">
        <w:rPr>
          <w:rFonts w:ascii="Arial" w:hAnsi="Arial" w:cs="Arial"/>
        </w:rPr>
        <w:t xml:space="preserve">DCF (2024) Breaking down the Sage Group plc financial health: key insights for investors. Available at: </w:t>
      </w:r>
      <w:hyperlink r:id="rId18" w:history="1">
        <w:r w:rsidRPr="009C6493">
          <w:rPr>
            <w:rStyle w:val="Hyperlink"/>
            <w:rFonts w:ascii="Arial" w:hAnsi="Arial" w:cs="Arial"/>
          </w:rPr>
          <w:t>https://www.dcfmodeling.com/blogs/health/sgel-financial-health</w:t>
        </w:r>
      </w:hyperlink>
      <w:r w:rsidRPr="009C6493">
        <w:rPr>
          <w:rFonts w:ascii="Arial" w:hAnsi="Arial" w:cs="Arial"/>
        </w:rPr>
        <w:t xml:space="preserve"> (Accessed: 6 March 2026).</w:t>
      </w:r>
    </w:p>
    <w:p w14:paraId="526C386B" w14:textId="77777777" w:rsidR="00B57E11" w:rsidRPr="009C6493" w:rsidRDefault="00B57E11" w:rsidP="00B57E11">
      <w:pPr>
        <w:rPr>
          <w:rFonts w:ascii="Arial" w:hAnsi="Arial" w:cs="Arial"/>
        </w:rPr>
      </w:pPr>
      <w:proofErr w:type="spellStart"/>
      <w:r w:rsidRPr="009C6493">
        <w:rPr>
          <w:rFonts w:ascii="Arial" w:hAnsi="Arial" w:cs="Arial"/>
        </w:rPr>
        <w:lastRenderedPageBreak/>
        <w:t>Dcycle</w:t>
      </w:r>
      <w:proofErr w:type="spellEnd"/>
      <w:r w:rsidRPr="009C6493">
        <w:rPr>
          <w:rFonts w:ascii="Arial" w:hAnsi="Arial" w:cs="Arial"/>
        </w:rPr>
        <w:t xml:space="preserve"> (2025) 10 best carbon accounting software in 2025. Available at: </w:t>
      </w:r>
      <w:hyperlink r:id="rId19" w:history="1">
        <w:r w:rsidRPr="009C6493">
          <w:rPr>
            <w:rStyle w:val="Hyperlink"/>
            <w:rFonts w:ascii="Arial" w:hAnsi="Arial" w:cs="Arial"/>
          </w:rPr>
          <w:t>https://www.dcycle.io/post/carbon-accounting-software</w:t>
        </w:r>
      </w:hyperlink>
      <w:r w:rsidRPr="009C6493">
        <w:rPr>
          <w:rFonts w:ascii="Arial" w:hAnsi="Arial" w:cs="Arial"/>
        </w:rPr>
        <w:t xml:space="preserve"> (Accessed: 6 March 2026).</w:t>
      </w:r>
    </w:p>
    <w:p w14:paraId="1CBD4BCC" w14:textId="77777777" w:rsidR="00B57E11" w:rsidRPr="009C6493" w:rsidRDefault="00B57E11" w:rsidP="00B57E11">
      <w:pPr>
        <w:rPr>
          <w:rFonts w:ascii="Arial" w:hAnsi="Arial" w:cs="Arial"/>
        </w:rPr>
      </w:pPr>
      <w:r w:rsidRPr="009C6493">
        <w:rPr>
          <w:rFonts w:ascii="Arial" w:hAnsi="Arial" w:cs="Arial"/>
        </w:rPr>
        <w:t xml:space="preserve">Fortune Business Insight (2025) ESG reporting software market size, share report, 2034. Available at: </w:t>
      </w:r>
      <w:hyperlink r:id="rId20" w:history="1">
        <w:r w:rsidRPr="009C6493">
          <w:rPr>
            <w:rStyle w:val="Hyperlink"/>
            <w:rFonts w:ascii="Arial" w:hAnsi="Arial" w:cs="Arial"/>
          </w:rPr>
          <w:t>https://www.fortunebusinessinsights.com/esg-reporting-software-market-109329</w:t>
        </w:r>
      </w:hyperlink>
      <w:r w:rsidRPr="009C6493">
        <w:rPr>
          <w:rFonts w:ascii="Arial" w:hAnsi="Arial" w:cs="Arial"/>
        </w:rPr>
        <w:t xml:space="preserve"> (Accessed: 6 March 2026).</w:t>
      </w:r>
    </w:p>
    <w:p w14:paraId="25118C4E" w14:textId="77777777" w:rsidR="00B57E11" w:rsidRPr="009C6493" w:rsidRDefault="00B57E11" w:rsidP="00B57E11">
      <w:pPr>
        <w:rPr>
          <w:rFonts w:ascii="Arial" w:hAnsi="Arial" w:cs="Arial"/>
        </w:rPr>
      </w:pPr>
      <w:r w:rsidRPr="009C6493">
        <w:rPr>
          <w:rFonts w:ascii="Arial" w:hAnsi="Arial" w:cs="Arial"/>
        </w:rPr>
        <w:t xml:space="preserve">Grand View Research (2023) ESG software market size, share &amp; growth report, 2030. Available at: </w:t>
      </w:r>
      <w:hyperlink r:id="rId21" w:history="1">
        <w:r w:rsidRPr="009C6493">
          <w:rPr>
            <w:rStyle w:val="Hyperlink"/>
            <w:rFonts w:ascii="Arial" w:hAnsi="Arial" w:cs="Arial"/>
          </w:rPr>
          <w:t>https://www.grandviewresearch.com/industry-analysis/esg-software-market-report</w:t>
        </w:r>
      </w:hyperlink>
      <w:r w:rsidRPr="009C6493">
        <w:rPr>
          <w:rFonts w:ascii="Arial" w:hAnsi="Arial" w:cs="Arial"/>
        </w:rPr>
        <w:t xml:space="preserve"> (Accessed: 6 March 2026).</w:t>
      </w:r>
    </w:p>
    <w:p w14:paraId="2D4052D8" w14:textId="77777777" w:rsidR="00B57E11" w:rsidRPr="009C6493" w:rsidRDefault="00B57E11" w:rsidP="00B57E11">
      <w:pPr>
        <w:rPr>
          <w:rFonts w:ascii="Arial" w:hAnsi="Arial" w:cs="Arial"/>
        </w:rPr>
      </w:pPr>
      <w:proofErr w:type="spellStart"/>
      <w:r w:rsidRPr="009C6493">
        <w:rPr>
          <w:rFonts w:ascii="Arial" w:hAnsi="Arial" w:cs="Arial"/>
        </w:rPr>
        <w:t>Hariguna</w:t>
      </w:r>
      <w:proofErr w:type="spellEnd"/>
      <w:r w:rsidRPr="009C6493">
        <w:rPr>
          <w:rFonts w:ascii="Arial" w:hAnsi="Arial" w:cs="Arial"/>
        </w:rPr>
        <w:t xml:space="preserve">, T. and </w:t>
      </w:r>
      <w:proofErr w:type="spellStart"/>
      <w:r w:rsidRPr="009C6493">
        <w:rPr>
          <w:rFonts w:ascii="Arial" w:hAnsi="Arial" w:cs="Arial"/>
        </w:rPr>
        <w:t>Ruangkanjanases</w:t>
      </w:r>
      <w:proofErr w:type="spellEnd"/>
      <w:r w:rsidRPr="009C6493">
        <w:rPr>
          <w:rFonts w:ascii="Arial" w:hAnsi="Arial" w:cs="Arial"/>
        </w:rPr>
        <w:t xml:space="preserve">, A. (2024) 'Assessing the impact of artificial intelligence on customer performance: a quantitative study using partial least squares methodology', Data Science and Management, 7(3). </w:t>
      </w:r>
      <w:proofErr w:type="spellStart"/>
      <w:r w:rsidRPr="009C6493">
        <w:rPr>
          <w:rFonts w:ascii="Arial" w:hAnsi="Arial" w:cs="Arial"/>
        </w:rPr>
        <w:t>doi</w:t>
      </w:r>
      <w:proofErr w:type="spellEnd"/>
      <w:r w:rsidRPr="009C6493">
        <w:rPr>
          <w:rFonts w:ascii="Arial" w:hAnsi="Arial" w:cs="Arial"/>
        </w:rPr>
        <w:t xml:space="preserve">: </w:t>
      </w:r>
      <w:hyperlink r:id="rId22" w:history="1">
        <w:r w:rsidRPr="009C6493">
          <w:rPr>
            <w:rStyle w:val="Hyperlink"/>
            <w:rFonts w:ascii="Arial" w:hAnsi="Arial" w:cs="Arial"/>
          </w:rPr>
          <w:t>https://doi.org/10.1016/j.dsm.2024.01.001</w:t>
        </w:r>
      </w:hyperlink>
      <w:r w:rsidRPr="009C6493">
        <w:rPr>
          <w:rFonts w:ascii="Arial" w:hAnsi="Arial" w:cs="Arial"/>
        </w:rPr>
        <w:t xml:space="preserve">. </w:t>
      </w:r>
    </w:p>
    <w:p w14:paraId="17B6FF63" w14:textId="77777777" w:rsidR="00B57E11" w:rsidRPr="009C6493" w:rsidRDefault="00B57E11" w:rsidP="00B57E11">
      <w:pPr>
        <w:rPr>
          <w:rFonts w:ascii="Arial" w:hAnsi="Arial" w:cs="Arial"/>
        </w:rPr>
      </w:pPr>
      <w:proofErr w:type="spellStart"/>
      <w:r w:rsidRPr="009C6493">
        <w:rPr>
          <w:rFonts w:ascii="Arial" w:hAnsi="Arial" w:cs="Arial"/>
        </w:rPr>
        <w:t>Henisz</w:t>
      </w:r>
      <w:proofErr w:type="spellEnd"/>
      <w:r w:rsidRPr="009C6493">
        <w:rPr>
          <w:rFonts w:ascii="Arial" w:hAnsi="Arial" w:cs="Arial"/>
        </w:rPr>
        <w:t xml:space="preserve">, W., Koller, T. and Nuttall, R. (2019) Five ways that ESG creates value. Available at: </w:t>
      </w:r>
      <w:hyperlink r:id="rId23" w:history="1">
        <w:r w:rsidRPr="009C6493">
          <w:rPr>
            <w:rStyle w:val="Hyperlink"/>
            <w:rFonts w:ascii="Arial" w:hAnsi="Arial" w:cs="Arial"/>
          </w:rPr>
          <w:t>https://www.mckinsey.com/~/media/McKinsey/Business%20Functions/Strategy%20and%20Corporate%20Finance/Our%20Insights/Five%20ways%20that%20ESG%20creates%20value/Five-ways-that-ESG-creates-value.ashx</w:t>
        </w:r>
      </w:hyperlink>
      <w:r w:rsidRPr="009C6493">
        <w:rPr>
          <w:rFonts w:ascii="Arial" w:hAnsi="Arial" w:cs="Arial"/>
        </w:rPr>
        <w:t xml:space="preserve"> (Accessed: 6 March 2026).</w:t>
      </w:r>
    </w:p>
    <w:p w14:paraId="6270476A" w14:textId="77777777" w:rsidR="00B57E11" w:rsidRPr="009C6493" w:rsidRDefault="00B57E11" w:rsidP="00B57E11">
      <w:pPr>
        <w:rPr>
          <w:rFonts w:ascii="Arial" w:hAnsi="Arial" w:cs="Arial"/>
        </w:rPr>
      </w:pPr>
      <w:r w:rsidRPr="009C6493">
        <w:rPr>
          <w:rFonts w:ascii="Arial" w:hAnsi="Arial" w:cs="Arial"/>
        </w:rPr>
        <w:t xml:space="preserve">Kelly, G., Harkness, L. and Reis, S. (2025) Agents for growth: turning AI promise into impact. Available at: </w:t>
      </w:r>
      <w:hyperlink r:id="rId24" w:history="1">
        <w:r w:rsidRPr="009C6493">
          <w:rPr>
            <w:rStyle w:val="Hyperlink"/>
            <w:rFonts w:ascii="Arial" w:hAnsi="Arial" w:cs="Arial"/>
          </w:rPr>
          <w:t>https://www.mckinsey.com/capabilities/growth-marketing-and-sales/our-insights/agents-for-growth-turning-ai-promise-into-impact</w:t>
        </w:r>
      </w:hyperlink>
      <w:r w:rsidRPr="009C6493">
        <w:rPr>
          <w:rFonts w:ascii="Arial" w:hAnsi="Arial" w:cs="Arial"/>
        </w:rPr>
        <w:t xml:space="preserve"> (Accessed: 6 March 2026).</w:t>
      </w:r>
    </w:p>
    <w:p w14:paraId="08708E2B" w14:textId="77777777" w:rsidR="00B57E11" w:rsidRPr="009C6493" w:rsidRDefault="00B57E11" w:rsidP="00B57E11">
      <w:pPr>
        <w:rPr>
          <w:rFonts w:ascii="Arial" w:hAnsi="Arial" w:cs="Arial"/>
        </w:rPr>
      </w:pPr>
      <w:proofErr w:type="spellStart"/>
      <w:r w:rsidRPr="009C6493">
        <w:rPr>
          <w:rFonts w:ascii="Arial" w:hAnsi="Arial" w:cs="Arial"/>
        </w:rPr>
        <w:t>Korongo</w:t>
      </w:r>
      <w:proofErr w:type="spellEnd"/>
      <w:r w:rsidRPr="009C6493">
        <w:rPr>
          <w:rFonts w:ascii="Arial" w:hAnsi="Arial" w:cs="Arial"/>
        </w:rPr>
        <w:t xml:space="preserve">, J.N., </w:t>
      </w:r>
      <w:proofErr w:type="spellStart"/>
      <w:r w:rsidRPr="009C6493">
        <w:rPr>
          <w:rFonts w:ascii="Arial" w:hAnsi="Arial" w:cs="Arial"/>
        </w:rPr>
        <w:t>Ikoha</w:t>
      </w:r>
      <w:proofErr w:type="spellEnd"/>
      <w:r w:rsidRPr="009C6493">
        <w:rPr>
          <w:rFonts w:ascii="Arial" w:hAnsi="Arial" w:cs="Arial"/>
        </w:rPr>
        <w:t xml:space="preserve">, A.P. and </w:t>
      </w:r>
      <w:proofErr w:type="spellStart"/>
      <w:r w:rsidRPr="009C6493">
        <w:rPr>
          <w:rFonts w:ascii="Arial" w:hAnsi="Arial" w:cs="Arial"/>
        </w:rPr>
        <w:t>Nambiro</w:t>
      </w:r>
      <w:proofErr w:type="spellEnd"/>
      <w:r w:rsidRPr="009C6493">
        <w:rPr>
          <w:rFonts w:ascii="Arial" w:hAnsi="Arial" w:cs="Arial"/>
        </w:rPr>
        <w:t xml:space="preserve">, A.W. (2024) 'Leveraging digital marketing strategies for hyper-personalized small and medium enterprises websites', 12(5), pp. 7-15. </w:t>
      </w:r>
      <w:proofErr w:type="spellStart"/>
      <w:r w:rsidRPr="009C6493">
        <w:rPr>
          <w:rFonts w:ascii="Arial" w:hAnsi="Arial" w:cs="Arial"/>
        </w:rPr>
        <w:t>doi</w:t>
      </w:r>
      <w:proofErr w:type="spellEnd"/>
      <w:r w:rsidRPr="009C6493">
        <w:rPr>
          <w:rFonts w:ascii="Arial" w:hAnsi="Arial" w:cs="Arial"/>
        </w:rPr>
        <w:t xml:space="preserve">: </w:t>
      </w:r>
      <w:hyperlink r:id="rId25" w:history="1">
        <w:r w:rsidRPr="009C6493">
          <w:rPr>
            <w:rStyle w:val="Hyperlink"/>
            <w:rFonts w:ascii="Arial" w:hAnsi="Arial" w:cs="Arial"/>
          </w:rPr>
          <w:t>https://doi.org/10.33144/23478578/IJCST-V12I5P2</w:t>
        </w:r>
      </w:hyperlink>
      <w:r w:rsidRPr="009C6493">
        <w:rPr>
          <w:rFonts w:ascii="Arial" w:hAnsi="Arial" w:cs="Arial"/>
        </w:rPr>
        <w:t xml:space="preserve">. </w:t>
      </w:r>
    </w:p>
    <w:p w14:paraId="610AC73C" w14:textId="77777777" w:rsidR="00B57E11" w:rsidRPr="009C6493" w:rsidRDefault="00B57E11" w:rsidP="00B57E11">
      <w:pPr>
        <w:rPr>
          <w:rFonts w:ascii="Arial" w:hAnsi="Arial" w:cs="Arial"/>
        </w:rPr>
      </w:pPr>
      <w:r w:rsidRPr="009C6493">
        <w:rPr>
          <w:rFonts w:ascii="Arial" w:hAnsi="Arial" w:cs="Arial"/>
        </w:rPr>
        <w:t xml:space="preserve">Kotler, P. (1999) Kotler on marketing: how to create, win and dominate markets. Available at: </w:t>
      </w:r>
      <w:hyperlink r:id="rId26" w:history="1">
        <w:r w:rsidRPr="009C6493">
          <w:rPr>
            <w:rStyle w:val="Hyperlink"/>
            <w:rFonts w:ascii="Arial" w:hAnsi="Arial" w:cs="Arial"/>
          </w:rPr>
          <w:t>https://www.researchgate.net/publication/265069529_Kotler_on_Marketing_How_to_Create_Win_and_Dominate_Markets</w:t>
        </w:r>
      </w:hyperlink>
      <w:r w:rsidRPr="009C6493">
        <w:rPr>
          <w:rFonts w:ascii="Arial" w:hAnsi="Arial" w:cs="Arial"/>
        </w:rPr>
        <w:t xml:space="preserve"> (Accessed: 6 March 2026).</w:t>
      </w:r>
    </w:p>
    <w:p w14:paraId="758A2ACD" w14:textId="77777777" w:rsidR="00B57E11" w:rsidRPr="009C6493" w:rsidRDefault="00B57E11" w:rsidP="00B57E11">
      <w:pPr>
        <w:rPr>
          <w:rFonts w:ascii="Arial" w:hAnsi="Arial" w:cs="Arial"/>
        </w:rPr>
      </w:pPr>
      <w:r w:rsidRPr="009C6493">
        <w:rPr>
          <w:rFonts w:ascii="Arial" w:hAnsi="Arial" w:cs="Arial"/>
        </w:rPr>
        <w:lastRenderedPageBreak/>
        <w:t xml:space="preserve">Kotler, P. and </w:t>
      </w:r>
      <w:proofErr w:type="spellStart"/>
      <w:r w:rsidRPr="009C6493">
        <w:rPr>
          <w:rFonts w:ascii="Arial" w:hAnsi="Arial" w:cs="Arial"/>
        </w:rPr>
        <w:t>Pfoertsch</w:t>
      </w:r>
      <w:proofErr w:type="spellEnd"/>
      <w:r w:rsidRPr="009C6493">
        <w:rPr>
          <w:rFonts w:ascii="Arial" w:hAnsi="Arial" w:cs="Arial"/>
        </w:rPr>
        <w:t xml:space="preserve">, W. (2007) 'B2B brand management', The Marketing Review, 7(2), pp. 201-203. </w:t>
      </w:r>
      <w:proofErr w:type="spellStart"/>
      <w:r w:rsidRPr="009C6493">
        <w:rPr>
          <w:rFonts w:ascii="Arial" w:hAnsi="Arial" w:cs="Arial"/>
        </w:rPr>
        <w:t>doi</w:t>
      </w:r>
      <w:proofErr w:type="spellEnd"/>
      <w:r w:rsidRPr="009C6493">
        <w:rPr>
          <w:rFonts w:ascii="Arial" w:hAnsi="Arial" w:cs="Arial"/>
        </w:rPr>
        <w:t xml:space="preserve">: </w:t>
      </w:r>
      <w:hyperlink r:id="rId27" w:history="1">
        <w:r w:rsidRPr="009C6493">
          <w:rPr>
            <w:rStyle w:val="Hyperlink"/>
            <w:rFonts w:ascii="Arial" w:hAnsi="Arial" w:cs="Arial"/>
          </w:rPr>
          <w:t>https://doi.org/10.1362/146934707x205877</w:t>
        </w:r>
      </w:hyperlink>
      <w:r w:rsidRPr="009C6493">
        <w:rPr>
          <w:rFonts w:ascii="Arial" w:hAnsi="Arial" w:cs="Arial"/>
        </w:rPr>
        <w:t xml:space="preserve">. </w:t>
      </w:r>
    </w:p>
    <w:p w14:paraId="5098EACA" w14:textId="77777777" w:rsidR="00B57E11" w:rsidRPr="009C6493" w:rsidRDefault="00B57E11" w:rsidP="00B57E11">
      <w:pPr>
        <w:rPr>
          <w:rFonts w:ascii="Arial" w:hAnsi="Arial" w:cs="Arial"/>
        </w:rPr>
      </w:pPr>
      <w:r w:rsidRPr="009C6493">
        <w:rPr>
          <w:rFonts w:ascii="Arial" w:hAnsi="Arial" w:cs="Arial"/>
        </w:rPr>
        <w:t xml:space="preserve">KPMG (2025) KPMG international report finds growing link between sustainability and executive pay. Available at: </w:t>
      </w:r>
      <w:hyperlink r:id="rId28" w:history="1">
        <w:r w:rsidRPr="009C6493">
          <w:rPr>
            <w:rStyle w:val="Hyperlink"/>
            <w:rFonts w:ascii="Arial" w:hAnsi="Arial" w:cs="Arial"/>
          </w:rPr>
          <w:t>https://kpmg.com/xx/en/media/press-releases/2025/03/kpmg-international-report-finds-growing-link-between-sustainability-and-executive-pay.html</w:t>
        </w:r>
      </w:hyperlink>
      <w:r w:rsidRPr="009C6493">
        <w:rPr>
          <w:rFonts w:ascii="Arial" w:hAnsi="Arial" w:cs="Arial"/>
        </w:rPr>
        <w:t xml:space="preserve"> (Accessed: 6 March 2026).</w:t>
      </w:r>
    </w:p>
    <w:p w14:paraId="15742C04" w14:textId="77777777" w:rsidR="00B57E11" w:rsidRPr="009C6493" w:rsidRDefault="00B57E11" w:rsidP="00B57E11">
      <w:pPr>
        <w:rPr>
          <w:rFonts w:ascii="Arial" w:hAnsi="Arial" w:cs="Arial"/>
        </w:rPr>
      </w:pPr>
      <w:r w:rsidRPr="009C6493">
        <w:rPr>
          <w:rFonts w:ascii="Arial" w:hAnsi="Arial" w:cs="Arial"/>
        </w:rPr>
        <w:t xml:space="preserve">Market Research Future (2025) Cloud-based app market research report - global forecast to 2035. Available at: </w:t>
      </w:r>
      <w:hyperlink r:id="rId29" w:history="1">
        <w:r w:rsidRPr="009C6493">
          <w:rPr>
            <w:rStyle w:val="Hyperlink"/>
            <w:rFonts w:ascii="Arial" w:hAnsi="Arial" w:cs="Arial"/>
          </w:rPr>
          <w:t>https://www.marketresearchfuture.com/reports/cloud-based-app-market-28359</w:t>
        </w:r>
      </w:hyperlink>
      <w:r w:rsidRPr="009C6493">
        <w:rPr>
          <w:rFonts w:ascii="Arial" w:hAnsi="Arial" w:cs="Arial"/>
        </w:rPr>
        <w:t xml:space="preserve"> (Accessed: 6 March 2026).</w:t>
      </w:r>
    </w:p>
    <w:p w14:paraId="24C946C2" w14:textId="77777777" w:rsidR="00B57E11" w:rsidRPr="009C6493" w:rsidRDefault="00B57E11" w:rsidP="00B57E11">
      <w:pPr>
        <w:rPr>
          <w:rFonts w:ascii="Arial" w:hAnsi="Arial" w:cs="Arial"/>
        </w:rPr>
      </w:pPr>
      <w:proofErr w:type="spellStart"/>
      <w:r w:rsidRPr="009C6493">
        <w:rPr>
          <w:rFonts w:ascii="Arial" w:hAnsi="Arial" w:cs="Arial"/>
        </w:rPr>
        <w:t>Mckinsey</w:t>
      </w:r>
      <w:proofErr w:type="spellEnd"/>
      <w:r w:rsidRPr="009C6493">
        <w:rPr>
          <w:rFonts w:ascii="Arial" w:hAnsi="Arial" w:cs="Arial"/>
        </w:rPr>
        <w:t xml:space="preserve"> (2024) Accelerating sustainable and inclusive growth for all. Available at: </w:t>
      </w:r>
      <w:hyperlink r:id="rId30" w:history="1">
        <w:r w:rsidRPr="009C6493">
          <w:rPr>
            <w:rStyle w:val="Hyperlink"/>
            <w:rFonts w:ascii="Arial" w:hAnsi="Arial" w:cs="Arial"/>
          </w:rPr>
          <w:t>https://www.mckinsey.com/~/media/mckinsey/about%20us/social%20responsibility/sustainable%20inclusive%20growth%20report/sustainable-and-inclusive-growth-report-2024.pdf</w:t>
        </w:r>
      </w:hyperlink>
      <w:r w:rsidRPr="009C6493">
        <w:rPr>
          <w:rFonts w:ascii="Arial" w:hAnsi="Arial" w:cs="Arial"/>
        </w:rPr>
        <w:t xml:space="preserve"> (Accessed: 6 March 2026).</w:t>
      </w:r>
    </w:p>
    <w:p w14:paraId="58AC47E2" w14:textId="77777777" w:rsidR="00B57E11" w:rsidRPr="009C6493" w:rsidRDefault="00B57E11" w:rsidP="00B57E11">
      <w:pPr>
        <w:rPr>
          <w:rFonts w:ascii="Arial" w:hAnsi="Arial" w:cs="Arial"/>
        </w:rPr>
      </w:pPr>
      <w:r w:rsidRPr="009C6493">
        <w:rPr>
          <w:rFonts w:ascii="Arial" w:hAnsi="Arial" w:cs="Arial"/>
        </w:rPr>
        <w:t xml:space="preserve">Mkhize, A., </w:t>
      </w:r>
      <w:proofErr w:type="spellStart"/>
      <w:r w:rsidRPr="009C6493">
        <w:rPr>
          <w:rFonts w:ascii="Arial" w:hAnsi="Arial" w:cs="Arial"/>
        </w:rPr>
        <w:t>Mokhothu</w:t>
      </w:r>
      <w:proofErr w:type="spellEnd"/>
      <w:r w:rsidRPr="009C6493">
        <w:rPr>
          <w:rFonts w:ascii="Arial" w:hAnsi="Arial" w:cs="Arial"/>
        </w:rPr>
        <w:t xml:space="preserve">, K., </w:t>
      </w:r>
      <w:proofErr w:type="spellStart"/>
      <w:r w:rsidRPr="009C6493">
        <w:rPr>
          <w:rFonts w:ascii="Arial" w:hAnsi="Arial" w:cs="Arial"/>
        </w:rPr>
        <w:t>Tshikhotho</w:t>
      </w:r>
      <w:proofErr w:type="spellEnd"/>
      <w:r w:rsidRPr="009C6493">
        <w:rPr>
          <w:rFonts w:ascii="Arial" w:hAnsi="Arial" w:cs="Arial"/>
        </w:rPr>
        <w:t xml:space="preserve">, M. and </w:t>
      </w:r>
      <w:proofErr w:type="spellStart"/>
      <w:r w:rsidRPr="009C6493">
        <w:rPr>
          <w:rFonts w:ascii="Arial" w:hAnsi="Arial" w:cs="Arial"/>
        </w:rPr>
        <w:t>Thango</w:t>
      </w:r>
      <w:proofErr w:type="spellEnd"/>
      <w:r w:rsidRPr="009C6493">
        <w:rPr>
          <w:rFonts w:ascii="Arial" w:hAnsi="Arial" w:cs="Arial"/>
        </w:rPr>
        <w:t xml:space="preserve">, B. (2024) 'Evaluating the impact of cloud computing on SMEs performance: a systematic review'. </w:t>
      </w:r>
      <w:proofErr w:type="spellStart"/>
      <w:r w:rsidRPr="009C6493">
        <w:rPr>
          <w:rFonts w:ascii="Arial" w:hAnsi="Arial" w:cs="Arial"/>
        </w:rPr>
        <w:t>doi</w:t>
      </w:r>
      <w:proofErr w:type="spellEnd"/>
      <w:r w:rsidRPr="009C6493">
        <w:rPr>
          <w:rFonts w:ascii="Arial" w:hAnsi="Arial" w:cs="Arial"/>
        </w:rPr>
        <w:t xml:space="preserve">: </w:t>
      </w:r>
      <w:hyperlink r:id="rId31" w:history="1">
        <w:r w:rsidRPr="009C6493">
          <w:rPr>
            <w:rStyle w:val="Hyperlink"/>
            <w:rFonts w:ascii="Arial" w:hAnsi="Arial" w:cs="Arial"/>
          </w:rPr>
          <w:t>https://doi.org/10.20944/preprints202409.0882.v1</w:t>
        </w:r>
      </w:hyperlink>
      <w:r w:rsidRPr="009C6493">
        <w:rPr>
          <w:rFonts w:ascii="Arial" w:hAnsi="Arial" w:cs="Arial"/>
        </w:rPr>
        <w:t xml:space="preserve">. </w:t>
      </w:r>
    </w:p>
    <w:p w14:paraId="644E86E9" w14:textId="77777777" w:rsidR="00B57E11" w:rsidRPr="009C6493" w:rsidRDefault="00B57E11" w:rsidP="00B57E11">
      <w:pPr>
        <w:rPr>
          <w:rFonts w:ascii="Arial" w:hAnsi="Arial" w:cs="Arial"/>
        </w:rPr>
      </w:pPr>
      <w:r w:rsidRPr="009C6493">
        <w:rPr>
          <w:rFonts w:ascii="Arial" w:hAnsi="Arial" w:cs="Arial"/>
        </w:rPr>
        <w:t xml:space="preserve">Sage (2025) Full year 2025 results | Sage investor relations. Available at: </w:t>
      </w:r>
      <w:hyperlink r:id="rId32" w:history="1">
        <w:r w:rsidRPr="009C6493">
          <w:rPr>
            <w:rStyle w:val="Hyperlink"/>
            <w:rFonts w:ascii="Arial" w:hAnsi="Arial" w:cs="Arial"/>
          </w:rPr>
          <w:t>https://www.sage.com/investors/investor-downloads/press-releases/2025/11/full-year-2025-results-19-november-2025/</w:t>
        </w:r>
      </w:hyperlink>
      <w:r w:rsidRPr="009C6493">
        <w:rPr>
          <w:rFonts w:ascii="Arial" w:hAnsi="Arial" w:cs="Arial"/>
        </w:rPr>
        <w:t xml:space="preserve"> (Accessed: 6 March 2026).</w:t>
      </w:r>
    </w:p>
    <w:p w14:paraId="339A825F" w14:textId="77777777" w:rsidR="00B57E11" w:rsidRPr="009C6493" w:rsidRDefault="00B57E11" w:rsidP="00B57E11">
      <w:pPr>
        <w:rPr>
          <w:rFonts w:ascii="Arial" w:hAnsi="Arial" w:cs="Arial"/>
        </w:rPr>
      </w:pPr>
      <w:r w:rsidRPr="009C6493">
        <w:rPr>
          <w:rFonts w:ascii="Arial" w:hAnsi="Arial" w:cs="Arial"/>
        </w:rPr>
        <w:t xml:space="preserve">Sage.com (2018) Overview · carbon accounting · developer portal. Available at: </w:t>
      </w:r>
      <w:hyperlink r:id="rId33" w:history="1">
        <w:r w:rsidRPr="009C6493">
          <w:rPr>
            <w:rStyle w:val="Hyperlink"/>
            <w:rFonts w:ascii="Arial" w:hAnsi="Arial" w:cs="Arial"/>
          </w:rPr>
          <w:t>https://developer.sage.com/carbon-accounting</w:t>
        </w:r>
      </w:hyperlink>
      <w:r w:rsidRPr="009C6493">
        <w:rPr>
          <w:rFonts w:ascii="Arial" w:hAnsi="Arial" w:cs="Arial"/>
        </w:rPr>
        <w:t xml:space="preserve"> (Accessed: 6 March 2026).</w:t>
      </w:r>
    </w:p>
    <w:p w14:paraId="4988354D" w14:textId="77777777" w:rsidR="00B57E11" w:rsidRPr="009C6493" w:rsidRDefault="00B57E11" w:rsidP="00B57E11">
      <w:pPr>
        <w:rPr>
          <w:rFonts w:ascii="Arial" w:hAnsi="Arial" w:cs="Arial"/>
        </w:rPr>
      </w:pPr>
      <w:r w:rsidRPr="009C6493">
        <w:rPr>
          <w:rFonts w:ascii="Arial" w:hAnsi="Arial" w:cs="Arial"/>
        </w:rPr>
        <w:t xml:space="preserve">Sage.com (2025) Sage delivers next wave of AI-powered finance tools to help businesses close faster, automate more, and operate sustainably. Available at: </w:t>
      </w:r>
      <w:hyperlink r:id="rId34" w:history="1">
        <w:r w:rsidRPr="009C6493">
          <w:rPr>
            <w:rStyle w:val="Hyperlink"/>
            <w:rFonts w:ascii="Arial" w:hAnsi="Arial" w:cs="Arial"/>
          </w:rPr>
          <w:t>https://www.sage.com/en-gb/company/digital-newsroom/2025/08/sage-delivers-next-wave-of-ai-powered-finance-tools/</w:t>
        </w:r>
      </w:hyperlink>
      <w:r w:rsidRPr="009C6493">
        <w:rPr>
          <w:rFonts w:ascii="Arial" w:hAnsi="Arial" w:cs="Arial"/>
        </w:rPr>
        <w:t xml:space="preserve"> (Accessed: 6 March 2026).</w:t>
      </w:r>
    </w:p>
    <w:p w14:paraId="0971AD0F" w14:textId="77777777" w:rsidR="00B57E11" w:rsidRPr="009C6493" w:rsidRDefault="00B57E11" w:rsidP="00B57E11">
      <w:pPr>
        <w:rPr>
          <w:rFonts w:ascii="Arial" w:hAnsi="Arial" w:cs="Arial"/>
        </w:rPr>
      </w:pPr>
      <w:r w:rsidRPr="009C6493">
        <w:rPr>
          <w:rFonts w:ascii="Arial" w:hAnsi="Arial" w:cs="Arial"/>
        </w:rPr>
        <w:t xml:space="preserve">Schmidt, A. and </w:t>
      </w:r>
      <w:proofErr w:type="spellStart"/>
      <w:r w:rsidRPr="009C6493">
        <w:rPr>
          <w:rFonts w:ascii="Arial" w:hAnsi="Arial" w:cs="Arial"/>
        </w:rPr>
        <w:t>Farbstein</w:t>
      </w:r>
      <w:proofErr w:type="spellEnd"/>
      <w:r w:rsidRPr="009C6493">
        <w:rPr>
          <w:rFonts w:ascii="Arial" w:hAnsi="Arial" w:cs="Arial"/>
        </w:rPr>
        <w:t xml:space="preserve">, E. (2025) Will your company have to comply with CSRD? Available at: </w:t>
      </w:r>
      <w:hyperlink r:id="rId35" w:history="1">
        <w:r w:rsidRPr="009C6493">
          <w:rPr>
            <w:rStyle w:val="Hyperlink"/>
            <w:rFonts w:ascii="Arial" w:hAnsi="Arial" w:cs="Arial"/>
          </w:rPr>
          <w:t>https://normative.io/insight/csrd-explained/</w:t>
        </w:r>
      </w:hyperlink>
      <w:r w:rsidRPr="009C6493">
        <w:rPr>
          <w:rFonts w:ascii="Arial" w:hAnsi="Arial" w:cs="Arial"/>
        </w:rPr>
        <w:t xml:space="preserve"> (Accessed: 6 March 2026).</w:t>
      </w:r>
    </w:p>
    <w:p w14:paraId="6908C302" w14:textId="77777777" w:rsidR="00B57E11" w:rsidRPr="009C6493" w:rsidRDefault="00B57E11" w:rsidP="00B57E11">
      <w:pPr>
        <w:rPr>
          <w:rFonts w:ascii="Arial" w:hAnsi="Arial" w:cs="Arial"/>
        </w:rPr>
      </w:pPr>
      <w:r w:rsidRPr="009C6493">
        <w:rPr>
          <w:rFonts w:ascii="Arial" w:hAnsi="Arial" w:cs="Arial"/>
        </w:rPr>
        <w:lastRenderedPageBreak/>
        <w:t xml:space="preserve">Thomas, T. (2020) 'Employee advocacy as a marketing strategy to power brand promotion: an employee perspective', Marketing and Management of Innovations, (2), pp. 167-181. </w:t>
      </w:r>
      <w:proofErr w:type="spellStart"/>
      <w:r w:rsidRPr="009C6493">
        <w:rPr>
          <w:rFonts w:ascii="Arial" w:hAnsi="Arial" w:cs="Arial"/>
        </w:rPr>
        <w:t>doi</w:t>
      </w:r>
      <w:proofErr w:type="spellEnd"/>
      <w:r w:rsidRPr="009C6493">
        <w:rPr>
          <w:rFonts w:ascii="Arial" w:hAnsi="Arial" w:cs="Arial"/>
        </w:rPr>
        <w:t xml:space="preserve">: </w:t>
      </w:r>
      <w:hyperlink r:id="rId36" w:history="1">
        <w:r w:rsidRPr="009C6493">
          <w:rPr>
            <w:rStyle w:val="Hyperlink"/>
            <w:rFonts w:ascii="Arial" w:hAnsi="Arial" w:cs="Arial"/>
          </w:rPr>
          <w:t>https://doi.org/10.21272/mmi.2020.2-12</w:t>
        </w:r>
      </w:hyperlink>
      <w:r w:rsidRPr="009C6493">
        <w:rPr>
          <w:rFonts w:ascii="Arial" w:hAnsi="Arial" w:cs="Arial"/>
        </w:rPr>
        <w:t xml:space="preserve">. </w:t>
      </w:r>
    </w:p>
    <w:p w14:paraId="102E042A" w14:textId="77777777" w:rsidR="00B57E11" w:rsidRPr="009C6493" w:rsidRDefault="00B57E11" w:rsidP="00B57E11">
      <w:pPr>
        <w:rPr>
          <w:rFonts w:ascii="Arial" w:hAnsi="Arial" w:cs="Arial"/>
        </w:rPr>
      </w:pPr>
      <w:r w:rsidRPr="009C6493">
        <w:rPr>
          <w:rFonts w:ascii="Arial" w:hAnsi="Arial" w:cs="Arial"/>
        </w:rPr>
        <w:t xml:space="preserve">Wilkinson, M., Fogg, S., Go, S. and </w:t>
      </w:r>
      <w:proofErr w:type="spellStart"/>
      <w:r w:rsidRPr="009C6493">
        <w:rPr>
          <w:rFonts w:ascii="Arial" w:hAnsi="Arial" w:cs="Arial"/>
        </w:rPr>
        <w:t>Scheumann</w:t>
      </w:r>
      <w:proofErr w:type="spellEnd"/>
      <w:r w:rsidRPr="009C6493">
        <w:rPr>
          <w:rFonts w:ascii="Arial" w:hAnsi="Arial" w:cs="Arial"/>
        </w:rPr>
        <w:t xml:space="preserve">, S. (2024) 89 B2B marketing statistics you need to know in 2024. Available at: </w:t>
      </w:r>
      <w:hyperlink r:id="rId37" w:history="1">
        <w:r w:rsidRPr="009C6493">
          <w:rPr>
            <w:rStyle w:val="Hyperlink"/>
            <w:rFonts w:ascii="Arial" w:hAnsi="Arial" w:cs="Arial"/>
          </w:rPr>
          <w:t>https://www.semrush.com/blog/b2b-marketing-statistics/</w:t>
        </w:r>
      </w:hyperlink>
      <w:r w:rsidRPr="009C6493">
        <w:rPr>
          <w:rFonts w:ascii="Arial" w:hAnsi="Arial" w:cs="Arial"/>
        </w:rPr>
        <w:t xml:space="preserve"> (Accessed: 6 March 2026).</w:t>
      </w:r>
    </w:p>
    <w:p w14:paraId="506269F7" w14:textId="77777777" w:rsidR="00B57E11" w:rsidRPr="009C6493" w:rsidRDefault="00B57E11" w:rsidP="00B57E11">
      <w:pPr>
        <w:rPr>
          <w:rFonts w:ascii="Arial" w:hAnsi="Arial" w:cs="Arial"/>
        </w:rPr>
      </w:pPr>
      <w:r w:rsidRPr="009C6493">
        <w:rPr>
          <w:rFonts w:ascii="Arial" w:hAnsi="Arial" w:cs="Arial"/>
        </w:rPr>
        <w:t xml:space="preserve">Workiva (2026) Tips to improve XBRL quality in SEC disclosures. Available at: </w:t>
      </w:r>
      <w:hyperlink r:id="rId38" w:history="1">
        <w:r w:rsidRPr="009C6493">
          <w:rPr>
            <w:rStyle w:val="Hyperlink"/>
            <w:rFonts w:ascii="Arial" w:hAnsi="Arial" w:cs="Arial"/>
          </w:rPr>
          <w:t>https://www.workiva.com/resources/tips-improve-xbrl-quality-sec-disclosures</w:t>
        </w:r>
      </w:hyperlink>
      <w:r w:rsidRPr="009C6493">
        <w:rPr>
          <w:rFonts w:ascii="Arial" w:hAnsi="Arial" w:cs="Arial"/>
        </w:rPr>
        <w:t xml:space="preserve"> (Accessed: 6 March 2026).</w:t>
      </w:r>
    </w:p>
    <w:p w14:paraId="6A881719" w14:textId="77777777" w:rsidR="00B57E11" w:rsidRPr="00B57E11" w:rsidRDefault="00B57E11" w:rsidP="00B57E11">
      <w:r w:rsidRPr="009C6493">
        <w:rPr>
          <w:rFonts w:ascii="Arial" w:hAnsi="Arial" w:cs="Arial"/>
        </w:rPr>
        <w:t xml:space="preserve">Yue, G., </w:t>
      </w:r>
      <w:proofErr w:type="spellStart"/>
      <w:r w:rsidRPr="009C6493">
        <w:rPr>
          <w:rFonts w:ascii="Arial" w:hAnsi="Arial" w:cs="Arial"/>
        </w:rPr>
        <w:t>Tailai</w:t>
      </w:r>
      <w:proofErr w:type="spellEnd"/>
      <w:r w:rsidRPr="009C6493">
        <w:rPr>
          <w:rFonts w:ascii="Arial" w:hAnsi="Arial" w:cs="Arial"/>
        </w:rPr>
        <w:t xml:space="preserve">, G., Guo, H. and </w:t>
      </w:r>
      <w:proofErr w:type="spellStart"/>
      <w:r w:rsidRPr="009C6493">
        <w:rPr>
          <w:rFonts w:ascii="Arial" w:hAnsi="Arial" w:cs="Arial"/>
        </w:rPr>
        <w:t>Yongxin</w:t>
      </w:r>
      <w:proofErr w:type="spellEnd"/>
      <w:r w:rsidRPr="009C6493">
        <w:rPr>
          <w:rFonts w:ascii="Arial" w:hAnsi="Arial" w:cs="Arial"/>
        </w:rPr>
        <w:t>, Z. (2024) 'ESG into supply chain management in SMEs: effect factors and implementation path</w:t>
      </w:r>
      <w:r>
        <w:t xml:space="preserve">'. </w:t>
      </w:r>
      <w:proofErr w:type="spellStart"/>
      <w:r>
        <w:t>doi</w:t>
      </w:r>
      <w:proofErr w:type="spellEnd"/>
      <w:r>
        <w:t xml:space="preserve">: </w:t>
      </w:r>
      <w:hyperlink r:id="rId39" w:history="1">
        <w:r w:rsidRPr="005128F1">
          <w:rPr>
            <w:rStyle w:val="Hyperlink"/>
          </w:rPr>
          <w:t>https://doi.org/10.20944/preprints202409.0830.v1</w:t>
        </w:r>
      </w:hyperlink>
      <w:r w:rsidRPr="00B57E11">
        <w:t>.</w:t>
      </w:r>
      <w:r>
        <w:t xml:space="preserve"> </w:t>
      </w:r>
    </w:p>
    <w:sectPr w:rsidR="00B57E11" w:rsidRPr="00B57E11" w:rsidSect="00F96ECC">
      <w:footerReference w:type="default" r:id="rId4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C26F9" w14:textId="77777777" w:rsidR="00687212" w:rsidRDefault="00687212" w:rsidP="00F96ECC">
      <w:pPr>
        <w:spacing w:after="0" w:line="240" w:lineRule="auto"/>
      </w:pPr>
      <w:r>
        <w:separator/>
      </w:r>
    </w:p>
  </w:endnote>
  <w:endnote w:type="continuationSeparator" w:id="0">
    <w:p w14:paraId="4A89B8FE" w14:textId="77777777" w:rsidR="00687212" w:rsidRDefault="00687212" w:rsidP="00F96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EA461" w14:textId="77777777" w:rsidR="00F96ECC" w:rsidRDefault="00F96ECC">
    <w:pPr>
      <w:pStyle w:val="Footer"/>
      <w:jc w:val="right"/>
    </w:pPr>
  </w:p>
  <w:p w14:paraId="4EE4F3B4" w14:textId="77777777" w:rsidR="00F96ECC" w:rsidRDefault="00F96E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792234"/>
      <w:docPartObj>
        <w:docPartGallery w:val="Page Numbers (Bottom of Page)"/>
        <w:docPartUnique/>
      </w:docPartObj>
    </w:sdtPr>
    <w:sdtEndPr>
      <w:rPr>
        <w:noProof/>
      </w:rPr>
    </w:sdtEndPr>
    <w:sdtContent>
      <w:p w14:paraId="2B8FB280" w14:textId="77777777" w:rsidR="00F96ECC" w:rsidRDefault="00F96ECC">
        <w:pPr>
          <w:pStyle w:val="Footer"/>
          <w:jc w:val="right"/>
        </w:pPr>
        <w:r>
          <w:fldChar w:fldCharType="begin"/>
        </w:r>
        <w:r>
          <w:instrText xml:space="preserve"> PAGE   \* MERGEFORMAT </w:instrText>
        </w:r>
        <w:r>
          <w:fldChar w:fldCharType="separate"/>
        </w:r>
        <w:r w:rsidR="00E42500">
          <w:rPr>
            <w:noProof/>
          </w:rPr>
          <w:t>13</w:t>
        </w:r>
        <w:r>
          <w:rPr>
            <w:noProof/>
          </w:rPr>
          <w:fldChar w:fldCharType="end"/>
        </w:r>
      </w:p>
    </w:sdtContent>
  </w:sdt>
  <w:p w14:paraId="42BF95DE" w14:textId="77777777" w:rsidR="00F96ECC" w:rsidRDefault="00F96E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30DA2" w14:textId="77777777" w:rsidR="00687212" w:rsidRDefault="00687212" w:rsidP="00F96ECC">
      <w:pPr>
        <w:spacing w:after="0" w:line="240" w:lineRule="auto"/>
      </w:pPr>
      <w:r>
        <w:separator/>
      </w:r>
    </w:p>
  </w:footnote>
  <w:footnote w:type="continuationSeparator" w:id="0">
    <w:p w14:paraId="59E6C24B" w14:textId="77777777" w:rsidR="00687212" w:rsidRDefault="00687212" w:rsidP="00F96E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4B60"/>
    <w:rsid w:val="00055FC0"/>
    <w:rsid w:val="00091C47"/>
    <w:rsid w:val="0017641D"/>
    <w:rsid w:val="001B0E3E"/>
    <w:rsid w:val="0033577D"/>
    <w:rsid w:val="006139F1"/>
    <w:rsid w:val="00687212"/>
    <w:rsid w:val="00714F6B"/>
    <w:rsid w:val="00744667"/>
    <w:rsid w:val="00773EA9"/>
    <w:rsid w:val="007E5419"/>
    <w:rsid w:val="008A6E76"/>
    <w:rsid w:val="008C4B23"/>
    <w:rsid w:val="009C6493"/>
    <w:rsid w:val="00A511DA"/>
    <w:rsid w:val="00A904BE"/>
    <w:rsid w:val="00AC7D20"/>
    <w:rsid w:val="00AF02FA"/>
    <w:rsid w:val="00B57E11"/>
    <w:rsid w:val="00C06418"/>
    <w:rsid w:val="00D51680"/>
    <w:rsid w:val="00E42500"/>
    <w:rsid w:val="00E84B60"/>
    <w:rsid w:val="00E91892"/>
    <w:rsid w:val="00F96E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63883"/>
  <w15:chartTrackingRefBased/>
  <w15:docId w15:val="{36168159-2870-473F-A8C6-E2932CBBC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E3E"/>
    <w:pPr>
      <w:spacing w:line="360" w:lineRule="auto"/>
      <w:jc w:val="both"/>
    </w:pPr>
  </w:style>
  <w:style w:type="paragraph" w:styleId="Heading1">
    <w:name w:val="heading 1"/>
    <w:basedOn w:val="Normal"/>
    <w:next w:val="Normal"/>
    <w:link w:val="Heading1Char"/>
    <w:uiPriority w:val="9"/>
    <w:qFormat/>
    <w:rsid w:val="00B57E11"/>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E11"/>
    <w:rPr>
      <w:rFonts w:eastAsiaTheme="majorEastAsia" w:cstheme="majorBidi"/>
      <w:b/>
      <w:sz w:val="32"/>
      <w:szCs w:val="32"/>
    </w:rPr>
  </w:style>
  <w:style w:type="character" w:styleId="Hyperlink">
    <w:name w:val="Hyperlink"/>
    <w:basedOn w:val="DefaultParagraphFont"/>
    <w:uiPriority w:val="99"/>
    <w:unhideWhenUsed/>
    <w:rsid w:val="00B57E11"/>
    <w:rPr>
      <w:color w:val="0563C1" w:themeColor="hyperlink"/>
      <w:u w:val="single"/>
    </w:rPr>
  </w:style>
  <w:style w:type="paragraph" w:styleId="Header">
    <w:name w:val="header"/>
    <w:basedOn w:val="Normal"/>
    <w:link w:val="HeaderChar"/>
    <w:uiPriority w:val="99"/>
    <w:unhideWhenUsed/>
    <w:rsid w:val="00F96E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6ECC"/>
  </w:style>
  <w:style w:type="paragraph" w:styleId="Footer">
    <w:name w:val="footer"/>
    <w:basedOn w:val="Normal"/>
    <w:link w:val="FooterChar"/>
    <w:uiPriority w:val="99"/>
    <w:unhideWhenUsed/>
    <w:rsid w:val="00F96E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6ECC"/>
  </w:style>
  <w:style w:type="paragraph" w:styleId="TOCHeading">
    <w:name w:val="TOC Heading"/>
    <w:basedOn w:val="Heading1"/>
    <w:next w:val="Normal"/>
    <w:uiPriority w:val="39"/>
    <w:unhideWhenUsed/>
    <w:qFormat/>
    <w:rsid w:val="00F96ECC"/>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F96EC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186960">
      <w:bodyDiv w:val="1"/>
      <w:marLeft w:val="0"/>
      <w:marRight w:val="0"/>
      <w:marTop w:val="0"/>
      <w:marBottom w:val="0"/>
      <w:divBdr>
        <w:top w:val="none" w:sz="0" w:space="0" w:color="auto"/>
        <w:left w:val="none" w:sz="0" w:space="0" w:color="auto"/>
        <w:bottom w:val="none" w:sz="0" w:space="0" w:color="auto"/>
        <w:right w:val="none" w:sz="0" w:space="0" w:color="auto"/>
      </w:divBdr>
    </w:div>
    <w:div w:id="911041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eoplemanagingpeople.com/hr-operations/esg-software-pricing/" TargetMode="External"/><Relationship Id="rId18" Type="http://schemas.openxmlformats.org/officeDocument/2006/relationships/hyperlink" Target="https://www.dcfmodeling.com/blogs/health/sgel-financial-health" TargetMode="External"/><Relationship Id="rId26" Type="http://schemas.openxmlformats.org/officeDocument/2006/relationships/hyperlink" Target="https://www.researchgate.net/publication/265069529_Kotler_on_Marketing_How_to_Create_Win_and_Dominate_Markets" TargetMode="External"/><Relationship Id="rId39" Type="http://schemas.openxmlformats.org/officeDocument/2006/relationships/hyperlink" Target="https://doi.org/10.20944/preprints202409.0830.v1" TargetMode="External"/><Relationship Id="rId21" Type="http://schemas.openxmlformats.org/officeDocument/2006/relationships/hyperlink" Target="https://www.grandviewresearch.com/industry-analysis/esg-software-market-report" TargetMode="External"/><Relationship Id="rId34" Type="http://schemas.openxmlformats.org/officeDocument/2006/relationships/hyperlink" Target="https://www.sage.com/en-gb/company/digital-newsroom/2025/08/sage-delivers-next-wave-of-ai-powered-finance-tools/"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16/j.esr.2025.101916" TargetMode="External"/><Relationship Id="rId20" Type="http://schemas.openxmlformats.org/officeDocument/2006/relationships/hyperlink" Target="https://www.fortunebusinessinsights.com/esg-reporting-software-market-109329" TargetMode="External"/><Relationship Id="rId29" Type="http://schemas.openxmlformats.org/officeDocument/2006/relationships/hyperlink" Target="https://www.marketresearchfuture.com/reports/cloud-based-app-market-28359"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lterainstitute.com/blog/service-marketing/" TargetMode="External"/><Relationship Id="rId24" Type="http://schemas.openxmlformats.org/officeDocument/2006/relationships/hyperlink" Target="https://www.mckinsey.com/capabilities/growth-marketing-and-sales/our-insights/agents-for-growth-turning-ai-promise-into-impact" TargetMode="External"/><Relationship Id="rId32" Type="http://schemas.openxmlformats.org/officeDocument/2006/relationships/hyperlink" Target="https://www.sage.com/investors/investor-downloads/press-releases/2025/11/full-year-2025-results-19-november-2025/" TargetMode="External"/><Relationship Id="rId37" Type="http://schemas.openxmlformats.org/officeDocument/2006/relationships/hyperlink" Target="https://www.semrush.com/blog/b2b-marketing-statistics/" TargetMode="External"/><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doi.org/10.5281/zenodo.13887180" TargetMode="External"/><Relationship Id="rId23" Type="http://schemas.openxmlformats.org/officeDocument/2006/relationships/hyperlink" Target="https://www.mckinsey.com/~/media/McKinsey/Business%20Functions/Strategy%20and%20Corporate%20Finance/Our%20Insights/Five%20ways%20that%20ESG%20creates%20value/Five-ways-that-ESG-creates-value.ashx" TargetMode="External"/><Relationship Id="rId28" Type="http://schemas.openxmlformats.org/officeDocument/2006/relationships/hyperlink" Target="https://kpmg.com/xx/en/media/press-releases/2025/03/kpmg-international-report-finds-growing-link-between-sustainability-and-executive-pay.html" TargetMode="External"/><Relationship Id="rId36" Type="http://schemas.openxmlformats.org/officeDocument/2006/relationships/hyperlink" Target="https://doi.org/10.21272/mmi.2020.2-12" TargetMode="External"/><Relationship Id="rId10" Type="http://schemas.openxmlformats.org/officeDocument/2006/relationships/image" Target="media/image2.JPG"/><Relationship Id="rId19" Type="http://schemas.openxmlformats.org/officeDocument/2006/relationships/hyperlink" Target="https://www.dcycle.io/post/carbon-accounting-software" TargetMode="External"/><Relationship Id="rId31" Type="http://schemas.openxmlformats.org/officeDocument/2006/relationships/hyperlink" Target="https://doi.org/10.20944/preprints202409.0882.v1"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researchgate.net/publication/391572735_Human-Centric_Integration_of_6G-Enabled_Technologies_for_Modern_Society_Fundamentals_Applications_Analysis_and_Challenges" TargetMode="External"/><Relationship Id="rId22" Type="http://schemas.openxmlformats.org/officeDocument/2006/relationships/hyperlink" Target="https://doi.org/10.1016/j.dsm.2024.01.001" TargetMode="External"/><Relationship Id="rId27" Type="http://schemas.openxmlformats.org/officeDocument/2006/relationships/hyperlink" Target="https://doi.org/10.1362/146934707x205877" TargetMode="External"/><Relationship Id="rId30" Type="http://schemas.openxmlformats.org/officeDocument/2006/relationships/hyperlink" Target="https://www.mckinsey.com/~/media/mckinsey/about%20us/social%20responsibility/sustainable%20inclusive%20growth%20report/sustainable-and-inclusive-growth-report-2024.pdf" TargetMode="External"/><Relationship Id="rId35" Type="http://schemas.openxmlformats.org/officeDocument/2006/relationships/hyperlink" Target="https://normative.io/insight/csrd-explained/"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 Id="rId12" Type="http://schemas.openxmlformats.org/officeDocument/2006/relationships/hyperlink" Target="https://www.adb.org/news/growth-pacific-accelerate-4-1-percent-2025-moderate-3-4-percent-2026-adb" TargetMode="External"/><Relationship Id="rId17" Type="http://schemas.openxmlformats.org/officeDocument/2006/relationships/hyperlink" Target="https://claude.com/pricing/enterprise" TargetMode="External"/><Relationship Id="rId25" Type="http://schemas.openxmlformats.org/officeDocument/2006/relationships/hyperlink" Target="https://doi.org/10.33144/23478578/IJCST-V12I5P2" TargetMode="External"/><Relationship Id="rId33" Type="http://schemas.openxmlformats.org/officeDocument/2006/relationships/hyperlink" Target="https://developer.sage.com/carbon-accounting" TargetMode="External"/><Relationship Id="rId38" Type="http://schemas.openxmlformats.org/officeDocument/2006/relationships/hyperlink" Target="https://www.workiva.com/resources/tips-improve-xbrl-quality-sec-disclos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249A8E-0008-410D-82E5-E8080F699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339</TotalTime>
  <Pages>17</Pages>
  <Words>4042</Words>
  <Characters>23045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Mohammed Masoom (2223129)</cp:lastModifiedBy>
  <cp:revision>8</cp:revision>
  <dcterms:created xsi:type="dcterms:W3CDTF">2026-03-06T11:39:00Z</dcterms:created>
  <dcterms:modified xsi:type="dcterms:W3CDTF">2026-03-08T02:05:00Z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2a7b5529-7389-4c38-bdd0-f4d2fae29d68</vt:lpwstr>
  </property>
</Properties>
</file>