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7A8D7" w14:textId="71480060" w:rsidR="004C754D" w:rsidRDefault="004C754D" w:rsidP="004C754D">
      <w:pPr>
        <w:pStyle w:val="BodyText"/>
        <w:kinsoku w:val="0"/>
        <w:overflowPunct w:val="0"/>
        <w:spacing w:before="10"/>
      </w:pPr>
      <w:r>
        <w:t xml:space="preserve">This dissertation explored the impact of response policing and multi-agency working on safeguarding and protecting children at risk of child sexual exploitation (CSE). The study aimed to examine the role of frontline Police officers in identifying vulnerability, responding to safeguarding concerns, and working collaboratively with partner agencies to protect children from sexual exploitation.  </w:t>
      </w:r>
      <w:r w:rsidR="00B343F2">
        <w:t xml:space="preserve">Throughout analysis of literature and primary research conducted with serving police officers, several significant themes emerged concerning </w:t>
      </w:r>
      <w:r w:rsidR="00EA3804">
        <w:t>operational policing pressures, victim identification, safeguarding practises, and the effectiveness of multi – agency collaboration</w:t>
      </w:r>
      <w:r w:rsidR="00B343F2">
        <w:t>.</w:t>
      </w:r>
      <w:r w:rsidR="00EA3804">
        <w:t xml:space="preserve"> </w:t>
      </w:r>
    </w:p>
    <w:p w14:paraId="3C173EBF" w14:textId="77777777" w:rsidR="00EB6C17" w:rsidRDefault="00EB6C17" w:rsidP="004C754D">
      <w:pPr>
        <w:pStyle w:val="BodyText"/>
        <w:kinsoku w:val="0"/>
        <w:overflowPunct w:val="0"/>
        <w:spacing w:before="10"/>
      </w:pPr>
    </w:p>
    <w:p w14:paraId="36A9EDB4" w14:textId="60663F48" w:rsidR="00EB6C17" w:rsidRDefault="00EB6C17" w:rsidP="004C754D">
      <w:pPr>
        <w:pStyle w:val="BodyText"/>
        <w:kinsoku w:val="0"/>
        <w:overflowPunct w:val="0"/>
        <w:spacing w:before="10"/>
      </w:pPr>
      <w:r>
        <w:t xml:space="preserve">The results demonstrate that response policing is crucial in protecting and safeguarding vulnerable children. Police officers frequently encounter children at risk of (CSE). This supports existing literature which identifies responses officers as the first point of professional contact for many vulnerable children (College of Policing, 2024). The </w:t>
      </w:r>
      <w:r w:rsidR="00B343F2">
        <w:t xml:space="preserve">frequency </w:t>
      </w:r>
      <w:r w:rsidR="00852CB7">
        <w:t xml:space="preserve">at which survey participants reported interacting with vulnerable children highlights the increasing safeguarding responsibilities placed upon Police officers. Policing has increasingly </w:t>
      </w:r>
      <w:r w:rsidR="00B343F2">
        <w:t>shifted</w:t>
      </w:r>
      <w:r w:rsidR="00852CB7">
        <w:t xml:space="preserve"> from a crime focused role towards a more vulnerabilities focused approach, in which officers must balance law enforcement </w:t>
      </w:r>
      <w:r w:rsidR="00CA6614">
        <w:t>responsibilities</w:t>
      </w:r>
      <w:r w:rsidR="00852CB7">
        <w:t xml:space="preserve"> alongside safeguarding </w:t>
      </w:r>
      <w:r w:rsidR="00CA6614">
        <w:t xml:space="preserve">duties. Nevertheless, the results also indicate that response policing remains significantly impacted by operational and organisational pressures. Although many officers acknowledge safeguarding as a fundamental aspect of their role, participants consistently describe workload pressures, staff shortages, and high </w:t>
      </w:r>
      <w:r w:rsidR="00B343F2">
        <w:t xml:space="preserve">operational </w:t>
      </w:r>
      <w:r w:rsidR="00CA6614">
        <w:t xml:space="preserve">demands as barriers to effective safeguarding. Officers reported feeling pressures to move from one incident to another, limiting opportunities to spend time engaging with vulnerable children or conducting thorough safeguarding assessments. </w:t>
      </w:r>
      <w:r w:rsidR="00EE4699">
        <w:t xml:space="preserve">These findings </w:t>
      </w:r>
      <w:r w:rsidR="00B343F2">
        <w:t xml:space="preserve">reinforce </w:t>
      </w:r>
      <w:r w:rsidR="00EE4699">
        <w:t xml:space="preserve">existing research </w:t>
      </w:r>
      <w:r w:rsidR="00B343F2">
        <w:t>suggesting that reactive policing may limit opportunities for meaningful safeguarding interventions</w:t>
      </w:r>
      <w:r w:rsidR="00EE4699">
        <w:t xml:space="preserve"> (Home Office,2020). </w:t>
      </w:r>
    </w:p>
    <w:p w14:paraId="5220AAA5" w14:textId="77777777" w:rsidR="00D35660" w:rsidRDefault="00D35660" w:rsidP="004C754D">
      <w:pPr>
        <w:pStyle w:val="BodyText"/>
        <w:kinsoku w:val="0"/>
        <w:overflowPunct w:val="0"/>
        <w:spacing w:before="10"/>
      </w:pPr>
    </w:p>
    <w:p w14:paraId="7C34DB08" w14:textId="2D7765A5" w:rsidR="00D35660" w:rsidRDefault="00D35660" w:rsidP="004C754D">
      <w:pPr>
        <w:pStyle w:val="BodyText"/>
        <w:kinsoku w:val="0"/>
        <w:overflowPunct w:val="0"/>
        <w:spacing w:before="10"/>
      </w:pPr>
      <w:r>
        <w:t>A</w:t>
      </w:r>
      <w:r w:rsidR="00EB1147">
        <w:t xml:space="preserve"> further significant theme emerging from the research is the hidden nature of CSE and the difficulties associated with identifying victims. </w:t>
      </w:r>
      <w:r w:rsidR="00663414">
        <w:t xml:space="preserve">The findings </w:t>
      </w:r>
      <w:r w:rsidR="00B343F2">
        <w:t xml:space="preserve">indicate that many children </w:t>
      </w:r>
      <w:r w:rsidR="00663414">
        <w:t xml:space="preserve">who experience CSE do not recognise themselves as victims due to </w:t>
      </w:r>
      <w:r w:rsidR="00042E69">
        <w:t>grooming, emotional</w:t>
      </w:r>
      <w:r w:rsidR="00663414">
        <w:t xml:space="preserve"> manipulation, trauma bonding, or perceived romantic attachment. </w:t>
      </w:r>
      <w:r w:rsidR="00E331F0">
        <w:t>This highlights the complexity of safeguarding CSE cases, particularly where victims may decline intervention or maintain attachment to perpetrators. These</w:t>
      </w:r>
      <w:r w:rsidR="00663414">
        <w:t xml:space="preserve"> findings strongly support studies by Beck</w:t>
      </w:r>
      <w:r w:rsidR="00042E69">
        <w:t xml:space="preserve">ett </w:t>
      </w:r>
      <w:proofErr w:type="gramStart"/>
      <w:r w:rsidR="00042E69">
        <w:t>et al.(</w:t>
      </w:r>
      <w:proofErr w:type="gramEnd"/>
      <w:r w:rsidR="00042E69">
        <w:t xml:space="preserve">2017), which identifies that exploitation is often concealed through emotional dependency and psychological coercion. </w:t>
      </w:r>
    </w:p>
    <w:p w14:paraId="25D9FC98" w14:textId="77777777" w:rsidR="00042E69" w:rsidRDefault="00042E69" w:rsidP="004C754D">
      <w:pPr>
        <w:pStyle w:val="BodyText"/>
        <w:kinsoku w:val="0"/>
        <w:overflowPunct w:val="0"/>
        <w:spacing w:before="10"/>
      </w:pPr>
    </w:p>
    <w:p w14:paraId="69C0A526" w14:textId="619DD518" w:rsidR="00042E69" w:rsidRDefault="00042E69" w:rsidP="004C754D">
      <w:pPr>
        <w:pStyle w:val="BodyText"/>
        <w:kinsoku w:val="0"/>
        <w:overflowPunct w:val="0"/>
        <w:spacing w:before="10"/>
      </w:pPr>
      <w:r>
        <w:t>Poor family relationships, social media, low self-</w:t>
      </w:r>
      <w:r w:rsidR="006E6FE4">
        <w:t>esteem</w:t>
      </w:r>
      <w:r>
        <w:t>, neglect and adverse childhood experiences were often identified by participants as factors increasing vulnerability to CSE. Welsh Government (2014) corroborate this</w:t>
      </w:r>
      <w:r w:rsidR="006E6FE4">
        <w:t xml:space="preserve">. Although, many participants stated that they felt confident in identifying indicators and were confident in making safeguarding referrals, a significant number of participants reported that they had not received sufficient training and emphasised the need for improved safeguarding which would help officers better understand victims’ behaviour and avoid victim blaming language. </w:t>
      </w:r>
    </w:p>
    <w:p w14:paraId="1ED169F6" w14:textId="77777777" w:rsidR="00EA3804" w:rsidRDefault="00EA3804" w:rsidP="004C754D">
      <w:pPr>
        <w:pStyle w:val="BodyText"/>
        <w:kinsoku w:val="0"/>
        <w:overflowPunct w:val="0"/>
        <w:spacing w:before="10"/>
      </w:pPr>
    </w:p>
    <w:p w14:paraId="056F13B8" w14:textId="6700AF79" w:rsidR="004C754D" w:rsidRDefault="00E331F0" w:rsidP="004C754D">
      <w:pPr>
        <w:pStyle w:val="BodyText"/>
        <w:kinsoku w:val="0"/>
        <w:overflowPunct w:val="0"/>
        <w:spacing w:before="10"/>
      </w:pPr>
      <w:r>
        <w:t>In addition to frontline policing challenges</w:t>
      </w:r>
      <w:r w:rsidR="008D7EB3">
        <w:t>,</w:t>
      </w:r>
      <w:r>
        <w:t xml:space="preserve"> the findings also highlight the importance of effective multi</w:t>
      </w:r>
      <w:r w:rsidR="008D7EB3">
        <w:t xml:space="preserve"> agency collaboration</w:t>
      </w:r>
      <w:r>
        <w:t xml:space="preserve"> in safeguarding children at risk of CSE. P</w:t>
      </w:r>
      <w:r w:rsidR="008D7EB3">
        <w:t xml:space="preserve">articipants reporting that they regularly engage with various partner agencies, which strengthens safeguarding outcomes, however barriers such as poor communication, and unclear accountability hinder the effectiveness of multi-agency working. This is supported further by </w:t>
      </w:r>
      <w:r w:rsidR="009A3DC3">
        <w:t xml:space="preserve">Atkinson et al., (2007) who identifies structural barriers, inconsistent safeguarding thresholds and fragmented communication as ongoing challenges. </w:t>
      </w:r>
    </w:p>
    <w:p w14:paraId="63E8A524" w14:textId="77777777" w:rsidR="004C754D" w:rsidRDefault="004C754D" w:rsidP="004C754D">
      <w:pPr>
        <w:pStyle w:val="BodyText"/>
        <w:kinsoku w:val="0"/>
        <w:overflowPunct w:val="0"/>
        <w:spacing w:before="10"/>
      </w:pPr>
    </w:p>
    <w:p w14:paraId="6112B0BD" w14:textId="46CE91FD" w:rsidR="004C754D" w:rsidRPr="00290AD3" w:rsidRDefault="004C754D" w:rsidP="004C754D">
      <w:pPr>
        <w:pStyle w:val="BodyText"/>
        <w:kinsoku w:val="0"/>
        <w:overflowPunct w:val="0"/>
        <w:spacing w:before="10"/>
        <w:rPr>
          <w:rFonts w:ascii="Arial" w:hAnsi="Arial" w:cs="Arial"/>
          <w:sz w:val="28"/>
          <w:szCs w:val="28"/>
        </w:rPr>
      </w:pPr>
    </w:p>
    <w:p w14:paraId="795BC40B" w14:textId="706BA717" w:rsidR="004C754D" w:rsidRDefault="009A3DC3" w:rsidP="004C754D">
      <w:pPr>
        <w:pStyle w:val="BodyText"/>
        <w:kinsoku w:val="0"/>
        <w:overflowPunct w:val="0"/>
        <w:spacing w:before="10"/>
      </w:pPr>
      <w:r>
        <w:t xml:space="preserve">Overall, the </w:t>
      </w:r>
      <w:r w:rsidR="00E331F0">
        <w:t>study highlights</w:t>
      </w:r>
      <w:r>
        <w:t xml:space="preserve"> a clear link between:</w:t>
      </w:r>
    </w:p>
    <w:p w14:paraId="6DB29514" w14:textId="6586BA27" w:rsidR="009A3DC3" w:rsidRDefault="009A3DC3" w:rsidP="009A3DC3">
      <w:pPr>
        <w:pStyle w:val="BodyText"/>
        <w:numPr>
          <w:ilvl w:val="0"/>
          <w:numId w:val="1"/>
        </w:numPr>
        <w:kinsoku w:val="0"/>
        <w:overflowPunct w:val="0"/>
        <w:spacing w:before="10"/>
      </w:pPr>
      <w:r>
        <w:t xml:space="preserve">Response policing and its operational pressures </w:t>
      </w:r>
    </w:p>
    <w:p w14:paraId="1417AB58" w14:textId="59180EE7" w:rsidR="009A3DC3" w:rsidRDefault="009A3DC3" w:rsidP="009A3DC3">
      <w:pPr>
        <w:pStyle w:val="BodyText"/>
        <w:numPr>
          <w:ilvl w:val="0"/>
          <w:numId w:val="1"/>
        </w:numPr>
        <w:kinsoku w:val="0"/>
        <w:overflowPunct w:val="0"/>
        <w:spacing w:before="10"/>
      </w:pPr>
      <w:r>
        <w:t xml:space="preserve">Safeguarding effectiveness </w:t>
      </w:r>
    </w:p>
    <w:p w14:paraId="315085DF" w14:textId="7787E948" w:rsidR="009A3DC3" w:rsidRDefault="009A3DC3" w:rsidP="009A3DC3">
      <w:pPr>
        <w:pStyle w:val="BodyText"/>
        <w:numPr>
          <w:ilvl w:val="0"/>
          <w:numId w:val="1"/>
        </w:numPr>
        <w:kinsoku w:val="0"/>
        <w:overflowPunct w:val="0"/>
        <w:spacing w:before="10"/>
      </w:pPr>
      <w:r>
        <w:t xml:space="preserve">Victims’ vulnerability </w:t>
      </w:r>
    </w:p>
    <w:p w14:paraId="4B21143B" w14:textId="40D813A7" w:rsidR="009A3DC3" w:rsidRDefault="009A3DC3" w:rsidP="009A3DC3">
      <w:pPr>
        <w:pStyle w:val="BodyText"/>
        <w:numPr>
          <w:ilvl w:val="0"/>
          <w:numId w:val="1"/>
        </w:numPr>
        <w:kinsoku w:val="0"/>
        <w:overflowPunct w:val="0"/>
        <w:spacing w:before="10"/>
      </w:pPr>
      <w:r>
        <w:t xml:space="preserve">Multi- agency communication </w:t>
      </w:r>
    </w:p>
    <w:p w14:paraId="354926F5" w14:textId="50D6A314" w:rsidR="009A3DC3" w:rsidRDefault="009A3DC3" w:rsidP="009A3DC3">
      <w:pPr>
        <w:pStyle w:val="BodyText"/>
        <w:numPr>
          <w:ilvl w:val="0"/>
          <w:numId w:val="1"/>
        </w:numPr>
        <w:kinsoku w:val="0"/>
        <w:overflowPunct w:val="0"/>
        <w:spacing w:before="10"/>
      </w:pPr>
      <w:r>
        <w:t xml:space="preserve">Trauma informed policing. </w:t>
      </w:r>
    </w:p>
    <w:p w14:paraId="5DC94AEF" w14:textId="77777777" w:rsidR="004C754D" w:rsidRDefault="004C754D" w:rsidP="004C754D">
      <w:pPr>
        <w:pStyle w:val="BodyText"/>
        <w:kinsoku w:val="0"/>
        <w:overflowPunct w:val="0"/>
        <w:spacing w:before="10"/>
      </w:pPr>
    </w:p>
    <w:p w14:paraId="016D7A12" w14:textId="77777777" w:rsidR="009A3DC3" w:rsidRPr="009A3DC3" w:rsidRDefault="009A3DC3" w:rsidP="004C754D">
      <w:pPr>
        <w:pStyle w:val="BodyText"/>
        <w:kinsoku w:val="0"/>
        <w:overflowPunct w:val="0"/>
        <w:spacing w:before="10"/>
        <w:rPr>
          <w:b/>
          <w:bCs/>
          <w:u w:val="single"/>
        </w:rPr>
      </w:pPr>
    </w:p>
    <w:p w14:paraId="311DDFA3" w14:textId="5E4C2C82" w:rsidR="009A3DC3" w:rsidRPr="009A3DC3" w:rsidRDefault="009A3DC3" w:rsidP="004C754D">
      <w:pPr>
        <w:pStyle w:val="BodyText"/>
        <w:kinsoku w:val="0"/>
        <w:overflowPunct w:val="0"/>
        <w:spacing w:before="10"/>
        <w:rPr>
          <w:b/>
          <w:bCs/>
          <w:u w:val="single"/>
        </w:rPr>
      </w:pPr>
      <w:r w:rsidRPr="009A3DC3">
        <w:rPr>
          <w:b/>
          <w:bCs/>
          <w:u w:val="single"/>
        </w:rPr>
        <w:t xml:space="preserve">Limitations. </w:t>
      </w:r>
    </w:p>
    <w:p w14:paraId="2980CA26" w14:textId="77777777" w:rsidR="004C754D" w:rsidRDefault="004C754D" w:rsidP="004C754D">
      <w:pPr>
        <w:pStyle w:val="BodyText"/>
        <w:kinsoku w:val="0"/>
        <w:overflowPunct w:val="0"/>
        <w:spacing w:before="10"/>
      </w:pPr>
    </w:p>
    <w:p w14:paraId="6031E2C1" w14:textId="71C51BCF" w:rsidR="009A3DC3" w:rsidRDefault="009A3DC3" w:rsidP="004C754D">
      <w:pPr>
        <w:pStyle w:val="BodyText"/>
        <w:kinsoku w:val="0"/>
        <w:overflowPunct w:val="0"/>
        <w:spacing w:before="10"/>
      </w:pPr>
      <w:r>
        <w:t xml:space="preserve">The biggest limitation surrounding this study was the relatively small sample size used withing the </w:t>
      </w:r>
      <w:r w:rsidR="00E80BAF">
        <w:t xml:space="preserve">primary research. Although findings provided a valuable insight into </w:t>
      </w:r>
      <w:r w:rsidR="00E331F0">
        <w:t>officer’s</w:t>
      </w:r>
      <w:r w:rsidR="00E80BAF">
        <w:t xml:space="preserve"> experiences and perceptions surrounding children at risk of CSE, a larger sample across multiple police forces would have provide broader and more representative </w:t>
      </w:r>
      <w:r w:rsidR="00E331F0">
        <w:t>findings</w:t>
      </w:r>
      <w:r w:rsidR="00E80BAF">
        <w:t xml:space="preserve">. A further </w:t>
      </w:r>
      <w:r w:rsidR="00E331F0">
        <w:t>limitation</w:t>
      </w:r>
      <w:r w:rsidR="00E80BAF">
        <w:t xml:space="preserve"> </w:t>
      </w:r>
      <w:r w:rsidR="00E331F0">
        <w:t>of the</w:t>
      </w:r>
      <w:r w:rsidR="00E80BAF">
        <w:t xml:space="preserve"> research was focused primarily from a policing perspective, the inclusion of social workers, health professionals, other partner agencies and victims of CSE themselves may have offered further insight into the efficacy of multi-agency safeguarding approaches. </w:t>
      </w:r>
    </w:p>
    <w:p w14:paraId="35FB555D" w14:textId="77777777" w:rsidR="00E80BAF" w:rsidRDefault="00E80BAF" w:rsidP="004C754D">
      <w:pPr>
        <w:pStyle w:val="BodyText"/>
        <w:kinsoku w:val="0"/>
        <w:overflowPunct w:val="0"/>
        <w:spacing w:before="10"/>
      </w:pPr>
    </w:p>
    <w:p w14:paraId="454BB626" w14:textId="66D1CCDE" w:rsidR="00E80BAF" w:rsidRDefault="00E80BAF" w:rsidP="004C754D">
      <w:pPr>
        <w:pStyle w:val="BodyText"/>
        <w:kinsoku w:val="0"/>
        <w:overflowPunct w:val="0"/>
        <w:spacing w:before="10"/>
      </w:pPr>
      <w:r>
        <w:t xml:space="preserve">Time constraints associated with undergraduate research </w:t>
      </w:r>
      <w:r w:rsidR="00C30DCE">
        <w:t>alongside full-time employment limited the scope of this dissertation. The</w:t>
      </w:r>
      <w:r w:rsidR="00E331F0">
        <w:t xml:space="preserve"> </w:t>
      </w:r>
      <w:proofErr w:type="gramStart"/>
      <w:r w:rsidR="00E331F0">
        <w:t xml:space="preserve">limited </w:t>
      </w:r>
      <w:r w:rsidR="00C30DCE">
        <w:t xml:space="preserve"> timeframe</w:t>
      </w:r>
      <w:proofErr w:type="gramEnd"/>
      <w:r w:rsidR="00C30DCE">
        <w:t xml:space="preserve"> </w:t>
      </w:r>
      <w:r w:rsidR="00E331F0">
        <w:t>resulted in greater reliance upon online surveys</w:t>
      </w:r>
      <w:r w:rsidR="00C30DCE">
        <w:t xml:space="preserve"> rather than interviews or observations which may have provided more detailed qualitative findings. </w:t>
      </w:r>
    </w:p>
    <w:p w14:paraId="0DAE90D1" w14:textId="77777777" w:rsidR="00C30DCE" w:rsidRDefault="00C30DCE" w:rsidP="004C754D">
      <w:pPr>
        <w:pStyle w:val="BodyText"/>
        <w:kinsoku w:val="0"/>
        <w:overflowPunct w:val="0"/>
        <w:spacing w:before="10"/>
      </w:pPr>
    </w:p>
    <w:p w14:paraId="11E39A55" w14:textId="2FEF9638" w:rsidR="00C30DCE" w:rsidRDefault="00C30DCE" w:rsidP="004C754D">
      <w:pPr>
        <w:pStyle w:val="BodyText"/>
        <w:kinsoku w:val="0"/>
        <w:overflowPunct w:val="0"/>
        <w:spacing w:before="10"/>
      </w:pPr>
      <w:r>
        <w:t xml:space="preserve">Finaly, due to the sensitive nature of child sexual exploitation accessing direct experiences from victims would have presented ethical and safeguarding issues but may have strengthened understanding of safeguarding effectiveness and victim’s experiences. </w:t>
      </w:r>
    </w:p>
    <w:p w14:paraId="038D3A48" w14:textId="77777777" w:rsidR="00C30DCE" w:rsidRPr="00C30DCE" w:rsidRDefault="00C30DCE" w:rsidP="004C754D">
      <w:pPr>
        <w:pStyle w:val="BodyText"/>
        <w:kinsoku w:val="0"/>
        <w:overflowPunct w:val="0"/>
        <w:spacing w:before="10"/>
        <w:rPr>
          <w:b/>
          <w:bCs/>
          <w:u w:val="single"/>
        </w:rPr>
      </w:pPr>
    </w:p>
    <w:p w14:paraId="43B0A2DC" w14:textId="2ABA8A23" w:rsidR="00C30DCE" w:rsidRDefault="00C30DCE" w:rsidP="004C754D">
      <w:pPr>
        <w:pStyle w:val="BodyText"/>
        <w:kinsoku w:val="0"/>
        <w:overflowPunct w:val="0"/>
        <w:spacing w:before="10"/>
        <w:rPr>
          <w:b/>
          <w:bCs/>
          <w:u w:val="single"/>
        </w:rPr>
      </w:pPr>
      <w:r w:rsidRPr="00C30DCE">
        <w:rPr>
          <w:b/>
          <w:bCs/>
          <w:u w:val="single"/>
        </w:rPr>
        <w:t xml:space="preserve">Recommendations. </w:t>
      </w:r>
    </w:p>
    <w:p w14:paraId="58BD20DB" w14:textId="77777777" w:rsidR="00C30DCE" w:rsidRDefault="00C30DCE" w:rsidP="004C754D">
      <w:pPr>
        <w:pStyle w:val="BodyText"/>
        <w:kinsoku w:val="0"/>
        <w:overflowPunct w:val="0"/>
        <w:spacing w:before="10"/>
        <w:rPr>
          <w:b/>
          <w:bCs/>
          <w:u w:val="single"/>
        </w:rPr>
      </w:pPr>
    </w:p>
    <w:p w14:paraId="529A0138" w14:textId="5C7E371C" w:rsidR="000A22FA" w:rsidRDefault="00C30DCE" w:rsidP="004C754D">
      <w:pPr>
        <w:pStyle w:val="BodyText"/>
        <w:kinsoku w:val="0"/>
        <w:overflowPunct w:val="0"/>
        <w:spacing w:before="10"/>
      </w:pPr>
      <w:r>
        <w:t xml:space="preserve">This dissertation </w:t>
      </w:r>
      <w:r w:rsidR="00E002FE">
        <w:t xml:space="preserve">has successfully met its objectives, and this chapter will now present with recommendations relating to safeguarding practises, response policing and future research surrounding CSE. </w:t>
      </w:r>
      <w:r w:rsidR="000A22FA">
        <w:t xml:space="preserve">Police forces should continue investing in trauma informed safeguarding training for frontline officers and supervisors, particularly regarding </w:t>
      </w:r>
      <w:r w:rsidR="000A22FA">
        <w:t>victim’s behaviours</w:t>
      </w:r>
      <w:r w:rsidR="000A22FA">
        <w:t xml:space="preserve">, online exploitation, and effective engagement with vulnerable children. </w:t>
      </w:r>
    </w:p>
    <w:p w14:paraId="68CC1E89" w14:textId="77777777" w:rsidR="000A22FA" w:rsidRDefault="000A22FA" w:rsidP="004C754D">
      <w:pPr>
        <w:pStyle w:val="BodyText"/>
        <w:kinsoku w:val="0"/>
        <w:overflowPunct w:val="0"/>
        <w:spacing w:before="10"/>
      </w:pPr>
    </w:p>
    <w:p w14:paraId="53B27A9F" w14:textId="596EF84E" w:rsidR="00CA0E09" w:rsidRDefault="00E002FE">
      <w:r>
        <w:t xml:space="preserve">The researcher further advises that police forces continue to strengthen multi-agency communication and information sharing protocols. Clearer safeguarding procedures, improved accountability and consistent communication between agencies would improve the effectiveness of collaborative safeguarding </w:t>
      </w:r>
      <w:r w:rsidR="00CA0E09">
        <w:t>frameworks. Further investment into specialist safeguarding teams and frontline resources is also recommended.</w:t>
      </w:r>
    </w:p>
    <w:p w14:paraId="252C02FB" w14:textId="2AAE7D81" w:rsidR="00E002FE" w:rsidRDefault="00CA0E09">
      <w:r>
        <w:t xml:space="preserve">Additional research should be conducted across a broader number of police forces, as well as the </w:t>
      </w:r>
      <w:r w:rsidR="000A22FA">
        <w:t>involvement</w:t>
      </w:r>
      <w:r>
        <w:t xml:space="preserve"> of multiple agencies, including social services and health professionals to provide a greater insight into effectiveness of collaborative working and frontline safeguarding experiences.  </w:t>
      </w:r>
    </w:p>
    <w:p w14:paraId="7BD76C7A" w14:textId="3C54E0BE" w:rsidR="00CA0E09" w:rsidRDefault="000A22FA">
      <w:r>
        <w:t xml:space="preserve">Overall, the research illustrates that while response policing and multi-agency safeguarding remain fundamental in protecting children at risk of CSE, operational pressures, inconsistent communication, and limited specialist resource continues to impact safeguarding effectiveness. Enhancing trauma informed policing practises, inter-agency collaboration, and frontline safeguarding support will be crucial for improving outcomes for children at risk of CSE. </w:t>
      </w:r>
    </w:p>
    <w:sectPr w:rsidR="00CA0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A02C2"/>
    <w:multiLevelType w:val="hybridMultilevel"/>
    <w:tmpl w:val="F300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37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4D"/>
    <w:rsid w:val="00042E69"/>
    <w:rsid w:val="000A22FA"/>
    <w:rsid w:val="003C0502"/>
    <w:rsid w:val="004C754D"/>
    <w:rsid w:val="00663414"/>
    <w:rsid w:val="006E3459"/>
    <w:rsid w:val="006E6FE4"/>
    <w:rsid w:val="007405C2"/>
    <w:rsid w:val="00852CB7"/>
    <w:rsid w:val="008D7EB3"/>
    <w:rsid w:val="009A3DC3"/>
    <w:rsid w:val="00B343F2"/>
    <w:rsid w:val="00C11D73"/>
    <w:rsid w:val="00C30DCE"/>
    <w:rsid w:val="00CA0E09"/>
    <w:rsid w:val="00CA6614"/>
    <w:rsid w:val="00D35660"/>
    <w:rsid w:val="00E002FE"/>
    <w:rsid w:val="00E331F0"/>
    <w:rsid w:val="00E80BAF"/>
    <w:rsid w:val="00EA3804"/>
    <w:rsid w:val="00EB1147"/>
    <w:rsid w:val="00EB6C17"/>
    <w:rsid w:val="00EE4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866D6"/>
  <w15:chartTrackingRefBased/>
  <w15:docId w15:val="{45880449-E739-4BBA-B1A6-CF53F10BE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54D"/>
  </w:style>
  <w:style w:type="paragraph" w:styleId="Heading1">
    <w:name w:val="heading 1"/>
    <w:basedOn w:val="Normal"/>
    <w:next w:val="Normal"/>
    <w:link w:val="Heading1Char"/>
    <w:uiPriority w:val="9"/>
    <w:qFormat/>
    <w:rsid w:val="004C7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54D"/>
    <w:rPr>
      <w:rFonts w:eastAsiaTheme="majorEastAsia" w:cstheme="majorBidi"/>
      <w:color w:val="272727" w:themeColor="text1" w:themeTint="D8"/>
    </w:rPr>
  </w:style>
  <w:style w:type="paragraph" w:styleId="Title">
    <w:name w:val="Title"/>
    <w:basedOn w:val="Normal"/>
    <w:next w:val="Normal"/>
    <w:link w:val="TitleChar"/>
    <w:uiPriority w:val="10"/>
    <w:qFormat/>
    <w:rsid w:val="004C7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54D"/>
    <w:pPr>
      <w:spacing w:before="160"/>
      <w:jc w:val="center"/>
    </w:pPr>
    <w:rPr>
      <w:i/>
      <w:iCs/>
      <w:color w:val="404040" w:themeColor="text1" w:themeTint="BF"/>
    </w:rPr>
  </w:style>
  <w:style w:type="character" w:customStyle="1" w:styleId="QuoteChar">
    <w:name w:val="Quote Char"/>
    <w:basedOn w:val="DefaultParagraphFont"/>
    <w:link w:val="Quote"/>
    <w:uiPriority w:val="29"/>
    <w:rsid w:val="004C754D"/>
    <w:rPr>
      <w:i/>
      <w:iCs/>
      <w:color w:val="404040" w:themeColor="text1" w:themeTint="BF"/>
    </w:rPr>
  </w:style>
  <w:style w:type="paragraph" w:styleId="ListParagraph">
    <w:name w:val="List Paragraph"/>
    <w:basedOn w:val="Normal"/>
    <w:uiPriority w:val="34"/>
    <w:qFormat/>
    <w:rsid w:val="004C754D"/>
    <w:pPr>
      <w:ind w:left="720"/>
      <w:contextualSpacing/>
    </w:pPr>
  </w:style>
  <w:style w:type="character" w:styleId="IntenseEmphasis">
    <w:name w:val="Intense Emphasis"/>
    <w:basedOn w:val="DefaultParagraphFont"/>
    <w:uiPriority w:val="21"/>
    <w:qFormat/>
    <w:rsid w:val="004C754D"/>
    <w:rPr>
      <w:i/>
      <w:iCs/>
      <w:color w:val="0F4761" w:themeColor="accent1" w:themeShade="BF"/>
    </w:rPr>
  </w:style>
  <w:style w:type="paragraph" w:styleId="IntenseQuote">
    <w:name w:val="Intense Quote"/>
    <w:basedOn w:val="Normal"/>
    <w:next w:val="Normal"/>
    <w:link w:val="IntenseQuoteChar"/>
    <w:uiPriority w:val="30"/>
    <w:qFormat/>
    <w:rsid w:val="004C7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54D"/>
    <w:rPr>
      <w:i/>
      <w:iCs/>
      <w:color w:val="0F4761" w:themeColor="accent1" w:themeShade="BF"/>
    </w:rPr>
  </w:style>
  <w:style w:type="character" w:styleId="IntenseReference">
    <w:name w:val="Intense Reference"/>
    <w:basedOn w:val="DefaultParagraphFont"/>
    <w:uiPriority w:val="32"/>
    <w:qFormat/>
    <w:rsid w:val="004C754D"/>
    <w:rPr>
      <w:b/>
      <w:bCs/>
      <w:smallCaps/>
      <w:color w:val="0F4761" w:themeColor="accent1" w:themeShade="BF"/>
      <w:spacing w:val="5"/>
    </w:rPr>
  </w:style>
  <w:style w:type="paragraph" w:styleId="BodyText">
    <w:name w:val="Body Text"/>
    <w:basedOn w:val="Normal"/>
    <w:link w:val="BodyTextChar"/>
    <w:uiPriority w:val="1"/>
    <w:qFormat/>
    <w:rsid w:val="004C754D"/>
    <w:pPr>
      <w:widowControl w:val="0"/>
      <w:autoSpaceDE w:val="0"/>
      <w:autoSpaceDN w:val="0"/>
      <w:adjustRightInd w:val="0"/>
      <w:spacing w:after="0" w:line="240" w:lineRule="auto"/>
    </w:pPr>
    <w:rPr>
      <w:rFonts w:ascii="Times New Roman" w:eastAsiaTheme="minorEastAsia" w:hAnsi="Times New Roman" w:cs="Times New Roman"/>
      <w:kern w:val="0"/>
      <w:lang w:eastAsia="en-GB"/>
      <w14:ligatures w14:val="none"/>
    </w:rPr>
  </w:style>
  <w:style w:type="character" w:customStyle="1" w:styleId="BodyTextChar">
    <w:name w:val="Body Text Char"/>
    <w:basedOn w:val="DefaultParagraphFont"/>
    <w:link w:val="BodyText"/>
    <w:uiPriority w:val="1"/>
    <w:rsid w:val="004C754D"/>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Davies,Leah swp8751</dc:creator>
  <cp:keywords/>
  <dc:description/>
  <cp:lastModifiedBy>Davies,Leah swp8751</cp:lastModifiedBy>
  <cp:revision>2</cp:revision>
  <dcterms:created xsi:type="dcterms:W3CDTF">2026-05-18T14:53:00Z</dcterms:created>
  <dcterms:modified xsi:type="dcterms:W3CDTF">2026-05-18T14:53:00Z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2026-05-18T11:15:03Z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e71a97f2-6c70-4a2d-8996-57dc468c58da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