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BE0EA" w14:textId="08EFAD16" w:rsidR="00403A1C" w:rsidRPr="00EB5DEB" w:rsidRDefault="00403A1C" w:rsidP="00403A1C">
      <w:pPr>
        <w:spacing w:before="100" w:beforeAutospacing="1" w:after="100" w:afterAutospacing="1" w:line="240" w:lineRule="auto"/>
        <w:jc w:val="center"/>
        <w:rPr>
          <w:rFonts w:ascii="Arial" w:hAnsi="Arial" w:cs="Arial"/>
          <w:b/>
          <w:bCs/>
        </w:rPr>
      </w:pPr>
      <w:r w:rsidRPr="00EB5DEB">
        <w:rPr>
          <w:rFonts w:ascii="Arial" w:hAnsi="Arial" w:cs="Arial"/>
        </w:rPr>
        <w:fldChar w:fldCharType="begin"/>
      </w:r>
      <w:r w:rsidR="004A3EC5">
        <w:rPr>
          <w:rFonts w:ascii="Arial" w:hAnsi="Arial" w:cs="Arial"/>
        </w:rPr>
        <w:instrText xml:space="preserve"> INCLUDEPICTURE "C:\\Users\\ijtehad\\Library\\Group Containers\\UBF8T346G9.ms\\WebArchiveCopyPasteTempFiles\\com.microsoft.Word\\University-of-Wales-Trinity-Saint-David.png" \* MERGEFORMAT </w:instrText>
      </w:r>
      <w:r w:rsidRPr="00EB5DEB">
        <w:rPr>
          <w:rFonts w:ascii="Arial" w:hAnsi="Arial" w:cs="Arial"/>
        </w:rPr>
        <w:fldChar w:fldCharType="separate"/>
      </w:r>
      <w:r w:rsidRPr="00EB5DEB">
        <w:rPr>
          <w:rFonts w:ascii="Arial" w:hAnsi="Arial" w:cs="Arial"/>
          <w:noProof/>
        </w:rPr>
        <w:drawing>
          <wp:inline distT="0" distB="0" distL="0" distR="0" wp14:anchorId="6C251880" wp14:editId="6629DF35">
            <wp:extent cx="2581275" cy="1028504"/>
            <wp:effectExtent l="0" t="0" r="0" b="0"/>
            <wp:docPr id="106846728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6011" cy="1038360"/>
                    </a:xfrm>
                    <a:prstGeom prst="rect">
                      <a:avLst/>
                    </a:prstGeom>
                    <a:noFill/>
                    <a:ln>
                      <a:noFill/>
                    </a:ln>
                  </pic:spPr>
                </pic:pic>
              </a:graphicData>
            </a:graphic>
          </wp:inline>
        </w:drawing>
      </w:r>
      <w:r w:rsidRPr="00EB5DEB">
        <w:rPr>
          <w:rFonts w:ascii="Arial" w:hAnsi="Arial" w:cs="Arial"/>
        </w:rPr>
        <w:fldChar w:fldCharType="end"/>
      </w:r>
    </w:p>
    <w:p w14:paraId="78303318" w14:textId="77777777" w:rsidR="00403A1C" w:rsidRPr="00EB5DEB" w:rsidRDefault="00403A1C" w:rsidP="00403A1C">
      <w:pPr>
        <w:spacing w:before="100" w:beforeAutospacing="1" w:after="100" w:afterAutospacing="1" w:line="240" w:lineRule="auto"/>
        <w:jc w:val="center"/>
        <w:rPr>
          <w:rFonts w:ascii="Arial" w:hAnsi="Arial" w:cs="Arial"/>
        </w:rPr>
      </w:pPr>
      <w:r w:rsidRPr="00EB5DEB">
        <w:rPr>
          <w:rFonts w:ascii="Arial" w:hAnsi="Arial" w:cs="Arial"/>
          <w:b/>
          <w:bCs/>
        </w:rPr>
        <w:t>Module:</w:t>
      </w:r>
      <w:r w:rsidRPr="00EB5DEB">
        <w:rPr>
          <w:rFonts w:ascii="Arial" w:hAnsi="Arial" w:cs="Arial"/>
        </w:rPr>
        <w:t> </w:t>
      </w:r>
      <w:r w:rsidRPr="00EB5DEB">
        <w:rPr>
          <w:rFonts w:ascii="Arial" w:hAnsi="Arial" w:cs="Arial"/>
          <w:b/>
          <w:bCs/>
        </w:rPr>
        <w:t>LCMB7023 Human Capital Management</w:t>
      </w:r>
    </w:p>
    <w:p w14:paraId="21092124" w14:textId="3BCDF987" w:rsidR="0087471E" w:rsidRPr="00EB5DEB" w:rsidRDefault="0087471E" w:rsidP="0087471E">
      <w:pPr>
        <w:spacing w:before="100" w:beforeAutospacing="1" w:after="100" w:afterAutospacing="1" w:line="240" w:lineRule="auto"/>
        <w:jc w:val="center"/>
        <w:rPr>
          <w:rFonts w:ascii="Arial" w:hAnsi="Arial" w:cs="Arial"/>
        </w:rPr>
      </w:pPr>
      <w:r w:rsidRPr="00EB5DEB">
        <w:rPr>
          <w:rFonts w:ascii="Arial" w:hAnsi="Arial" w:cs="Arial"/>
          <w:b/>
          <w:bCs/>
        </w:rPr>
        <w:t>Module Leader</w:t>
      </w:r>
      <w:r w:rsidRPr="00EB5DEB">
        <w:rPr>
          <w:rFonts w:ascii="Arial" w:hAnsi="Arial" w:cs="Arial"/>
          <w:lang w:val="en-US"/>
        </w:rPr>
        <w:t xml:space="preserve">: </w:t>
      </w:r>
      <w:r w:rsidRPr="00EB5DEB">
        <w:rPr>
          <w:rFonts w:ascii="Arial" w:hAnsi="Arial" w:cs="Arial"/>
        </w:rPr>
        <w:t>Hoang Nguyen</w:t>
      </w:r>
    </w:p>
    <w:p w14:paraId="19B93956" w14:textId="77777777" w:rsidR="00403A1C" w:rsidRPr="00EB5DEB" w:rsidRDefault="00403A1C" w:rsidP="0013418C">
      <w:pPr>
        <w:pBdr>
          <w:bottom w:val="single" w:sz="6" w:space="1" w:color="auto"/>
        </w:pBdr>
        <w:rPr>
          <w:rFonts w:ascii="Arial" w:hAnsi="Arial" w:cs="Arial"/>
          <w:b/>
          <w:bCs/>
          <w:color w:val="7030A0"/>
          <w:sz w:val="28"/>
          <w:szCs w:val="24"/>
        </w:rPr>
      </w:pPr>
    </w:p>
    <w:p w14:paraId="38F29B3D" w14:textId="77777777" w:rsidR="00403A1C" w:rsidRPr="00EB5DEB" w:rsidRDefault="00403A1C" w:rsidP="0013418C">
      <w:pPr>
        <w:pBdr>
          <w:bottom w:val="single" w:sz="6" w:space="1" w:color="auto"/>
        </w:pBdr>
        <w:rPr>
          <w:rFonts w:ascii="Arial" w:hAnsi="Arial" w:cs="Arial"/>
          <w:b/>
          <w:bCs/>
          <w:color w:val="7030A0"/>
          <w:sz w:val="28"/>
          <w:szCs w:val="24"/>
        </w:rPr>
      </w:pPr>
    </w:p>
    <w:p w14:paraId="2E4F832C" w14:textId="77777777" w:rsidR="00403A1C" w:rsidRPr="00EB5DEB" w:rsidRDefault="00403A1C" w:rsidP="0013418C">
      <w:pPr>
        <w:pBdr>
          <w:bottom w:val="single" w:sz="6" w:space="1" w:color="auto"/>
        </w:pBdr>
        <w:rPr>
          <w:rFonts w:ascii="Arial" w:hAnsi="Arial" w:cs="Arial"/>
          <w:b/>
          <w:bCs/>
          <w:color w:val="7030A0"/>
          <w:sz w:val="28"/>
          <w:szCs w:val="24"/>
        </w:rPr>
      </w:pPr>
    </w:p>
    <w:p w14:paraId="79A3BA76" w14:textId="4E3A5158" w:rsidR="0013418C" w:rsidRPr="00EB5DEB" w:rsidRDefault="00B644D4" w:rsidP="0013418C">
      <w:pPr>
        <w:pBdr>
          <w:bottom w:val="single" w:sz="6" w:space="1" w:color="auto"/>
        </w:pBdr>
        <w:rPr>
          <w:rFonts w:ascii="Arial" w:hAnsi="Arial" w:cs="Arial"/>
          <w:b/>
          <w:bCs/>
          <w:color w:val="7030A0"/>
          <w:sz w:val="28"/>
          <w:szCs w:val="24"/>
        </w:rPr>
      </w:pPr>
      <w:r w:rsidRPr="00EB5DEB">
        <w:rPr>
          <w:rFonts w:ascii="Arial" w:hAnsi="Arial" w:cs="Arial"/>
          <w:b/>
          <w:bCs/>
          <w:color w:val="7030A0"/>
          <w:sz w:val="28"/>
          <w:szCs w:val="24"/>
        </w:rPr>
        <w:t>The Influence of National and International Labour Markets on HRM and IHRM Strategies</w:t>
      </w:r>
    </w:p>
    <w:p w14:paraId="7A46DF41" w14:textId="77777777" w:rsidR="00392BBB" w:rsidRPr="00EB5DEB" w:rsidRDefault="00392BBB" w:rsidP="0013418C">
      <w:pPr>
        <w:rPr>
          <w:rFonts w:ascii="Arial" w:hAnsi="Arial" w:cs="Arial"/>
          <w:b/>
          <w:bCs/>
          <w:color w:val="7030A0"/>
          <w:sz w:val="28"/>
          <w:szCs w:val="24"/>
        </w:rPr>
      </w:pPr>
    </w:p>
    <w:p w14:paraId="1272DB5E" w14:textId="77777777" w:rsidR="00392BBB" w:rsidRPr="00EB5DEB" w:rsidRDefault="00392BBB" w:rsidP="00C45E24">
      <w:pPr>
        <w:rPr>
          <w:rFonts w:ascii="Arial" w:hAnsi="Arial" w:cs="Arial"/>
          <w:b/>
          <w:bCs/>
        </w:rPr>
      </w:pPr>
    </w:p>
    <w:p w14:paraId="1A98838A" w14:textId="77777777" w:rsidR="00392BBB" w:rsidRPr="00EB5DEB" w:rsidRDefault="00392BBB" w:rsidP="00C45E24">
      <w:pPr>
        <w:rPr>
          <w:rFonts w:ascii="Arial" w:hAnsi="Arial" w:cs="Arial"/>
          <w:b/>
          <w:bCs/>
        </w:rPr>
      </w:pPr>
    </w:p>
    <w:p w14:paraId="22EF228D" w14:textId="77777777" w:rsidR="00403A1C" w:rsidRPr="00EB5DEB" w:rsidRDefault="00403A1C" w:rsidP="00C45E24">
      <w:pPr>
        <w:rPr>
          <w:rFonts w:ascii="Arial" w:hAnsi="Arial" w:cs="Arial"/>
          <w:b/>
          <w:bCs/>
        </w:rPr>
      </w:pPr>
    </w:p>
    <w:p w14:paraId="539D1C82" w14:textId="77777777" w:rsidR="00403A1C" w:rsidRPr="00EB5DEB" w:rsidRDefault="00403A1C" w:rsidP="00C45E24">
      <w:pPr>
        <w:rPr>
          <w:rFonts w:ascii="Arial" w:hAnsi="Arial" w:cs="Arial"/>
          <w:b/>
          <w:bCs/>
        </w:rPr>
      </w:pPr>
    </w:p>
    <w:p w14:paraId="4D479A42" w14:textId="77777777" w:rsidR="00403A1C" w:rsidRPr="00EB5DEB" w:rsidRDefault="00403A1C" w:rsidP="00C45E24">
      <w:pPr>
        <w:rPr>
          <w:rFonts w:ascii="Arial" w:hAnsi="Arial" w:cs="Arial"/>
          <w:b/>
          <w:bCs/>
        </w:rPr>
      </w:pPr>
    </w:p>
    <w:p w14:paraId="41EDFC08" w14:textId="77777777" w:rsidR="00403A1C" w:rsidRPr="00EB5DEB" w:rsidRDefault="00403A1C" w:rsidP="00C45E24">
      <w:pPr>
        <w:rPr>
          <w:rFonts w:ascii="Arial" w:hAnsi="Arial" w:cs="Arial"/>
          <w:b/>
          <w:bCs/>
        </w:rPr>
      </w:pPr>
    </w:p>
    <w:p w14:paraId="7F36EAB3" w14:textId="10CBE74A" w:rsidR="00C45E24" w:rsidRPr="00EB5DEB" w:rsidRDefault="00C45E24" w:rsidP="00464FB3">
      <w:pPr>
        <w:rPr>
          <w:rFonts w:ascii="Arial" w:hAnsi="Arial" w:cs="Arial"/>
          <w:b/>
          <w:bCs/>
        </w:rPr>
      </w:pPr>
      <w:r w:rsidRPr="00EB5DEB">
        <w:rPr>
          <w:rFonts w:ascii="Arial" w:hAnsi="Arial" w:cs="Arial"/>
          <w:b/>
          <w:bCs/>
        </w:rPr>
        <w:t>Student Name:</w:t>
      </w:r>
      <w:r w:rsidR="00464FB3" w:rsidRPr="00EB5DEB">
        <w:rPr>
          <w:rFonts w:ascii="Arial" w:hAnsi="Arial" w:cs="Arial"/>
          <w:b/>
          <w:bCs/>
        </w:rPr>
        <w:t xml:space="preserve"> Shifat Hossain</w:t>
      </w:r>
    </w:p>
    <w:p w14:paraId="78D6D620" w14:textId="7974AA44" w:rsidR="004772B4" w:rsidRPr="00EB5DEB" w:rsidRDefault="00C45E24" w:rsidP="00C45E24">
      <w:pPr>
        <w:rPr>
          <w:rFonts w:ascii="Arial" w:hAnsi="Arial" w:cs="Arial"/>
          <w:b/>
          <w:bCs/>
        </w:rPr>
      </w:pPr>
      <w:r w:rsidRPr="00EB5DEB">
        <w:rPr>
          <w:rFonts w:ascii="Arial" w:hAnsi="Arial" w:cs="Arial"/>
          <w:b/>
          <w:bCs/>
        </w:rPr>
        <w:t xml:space="preserve">Student ID: </w:t>
      </w:r>
      <w:r w:rsidR="00464FB3" w:rsidRPr="00EB5DEB">
        <w:rPr>
          <w:rFonts w:ascii="Arial" w:hAnsi="Arial" w:cs="Arial"/>
          <w:b/>
          <w:bCs/>
        </w:rPr>
        <w:t>2436037</w:t>
      </w:r>
    </w:p>
    <w:p w14:paraId="7D12CA2A" w14:textId="77777777" w:rsidR="00403A1C" w:rsidRPr="00EB5DEB" w:rsidRDefault="00403A1C" w:rsidP="00C45E24">
      <w:pPr>
        <w:rPr>
          <w:rFonts w:ascii="Arial" w:hAnsi="Arial" w:cs="Arial"/>
          <w:b/>
          <w:bCs/>
        </w:rPr>
      </w:pPr>
    </w:p>
    <w:p w14:paraId="6822C499" w14:textId="7B8F4BA5" w:rsidR="00B644D4" w:rsidRPr="00EB5DEB" w:rsidRDefault="00403A1C" w:rsidP="00EB5DEB">
      <w:pPr>
        <w:rPr>
          <w:rFonts w:ascii="Arial" w:hAnsi="Arial" w:cs="Arial"/>
          <w:b/>
          <w:bCs/>
        </w:rPr>
      </w:pPr>
      <w:r w:rsidRPr="00EB5DEB">
        <w:rPr>
          <w:rFonts w:ascii="Arial" w:hAnsi="Arial" w:cs="Arial"/>
          <w:b/>
          <w:bCs/>
        </w:rPr>
        <w:t>Date of Submission:</w:t>
      </w:r>
      <w:r w:rsidR="00464FB3" w:rsidRPr="00EB5DEB">
        <w:rPr>
          <w:rFonts w:ascii="Arial" w:hAnsi="Arial" w:cs="Arial"/>
          <w:b/>
          <w:bCs/>
        </w:rPr>
        <w:t xml:space="preserve"> 13-11-2025</w:t>
      </w:r>
      <w:r w:rsidR="00B644D4" w:rsidRPr="00EB5DEB">
        <w:rPr>
          <w:rFonts w:ascii="Arial" w:hAnsi="Arial" w:cs="Arial"/>
          <w:b/>
          <w:bCs/>
        </w:rPr>
        <w:br w:type="page"/>
      </w:r>
    </w:p>
    <w:p w14:paraId="18DD064A" w14:textId="77777777" w:rsidR="00B644D4" w:rsidRPr="00EB5DEB" w:rsidRDefault="00B644D4" w:rsidP="00B644D4">
      <w:pPr>
        <w:pStyle w:val="Heading1"/>
        <w:rPr>
          <w:rFonts w:ascii="Arial" w:hAnsi="Arial" w:cs="Arial"/>
        </w:rPr>
      </w:pPr>
      <w:bookmarkStart w:id="0" w:name="_Toc213734001"/>
      <w:r w:rsidRPr="00EB5DEB">
        <w:rPr>
          <w:rFonts w:ascii="Arial" w:hAnsi="Arial" w:cs="Arial"/>
        </w:rPr>
        <w:lastRenderedPageBreak/>
        <w:t>Executive Summary</w:t>
      </w:r>
      <w:bookmarkEnd w:id="0"/>
    </w:p>
    <w:p w14:paraId="31DE2AA7" w14:textId="436205E6" w:rsidR="00613769" w:rsidRPr="00EB5DEB" w:rsidRDefault="00705A87" w:rsidP="00E2180F">
      <w:pPr>
        <w:rPr>
          <w:rFonts w:ascii="Arial" w:hAnsi="Arial" w:cs="Arial"/>
          <w:b/>
          <w:bCs/>
        </w:rPr>
      </w:pPr>
      <w:r w:rsidRPr="00EB5DEB">
        <w:rPr>
          <w:rFonts w:ascii="Arial" w:hAnsi="Arial" w:cs="Arial"/>
        </w:rPr>
        <w:t>This report discusses how geopolitics, demographics and technology are transforming the world of work. It examines the changing nature of jobs due to automation, AI, and online platforms and how populations are growing older, and the trend of migration is affecting global trends. The report further explains how organisations can overcome skills shortage using the Build-Buy-Bond-Borrow strategy with emphasis on development, recruitment, flexibility and retention. It emphasises the increasing significance of flexibility, inclusion and lifelong learning in HRM and IHRM practices. Lastly, using Gibbs Reflective Cycle, the author can look back and note personal strengths, weaknesses, and willingness to succeed in a global and technology-driven workplace</w:t>
      </w:r>
      <w:r w:rsidR="00E2180F" w:rsidRPr="00EB5DEB">
        <w:rPr>
          <w:rFonts w:ascii="Arial" w:hAnsi="Arial" w:cs="Arial"/>
        </w:rPr>
        <w:t>.</w:t>
      </w:r>
      <w:r w:rsidR="00613769" w:rsidRPr="00EB5DEB">
        <w:rPr>
          <w:rFonts w:ascii="Arial" w:hAnsi="Arial" w:cs="Arial"/>
          <w:b/>
          <w:bCs/>
        </w:rPr>
        <w:br w:type="page"/>
      </w:r>
    </w:p>
    <w:sdt>
      <w:sdtPr>
        <w:rPr>
          <w:rFonts w:ascii="Arial" w:eastAsia="Times New Roman" w:hAnsi="Arial" w:cs="Arial"/>
          <w:color w:val="auto"/>
          <w:kern w:val="2"/>
          <w:sz w:val="24"/>
          <w:szCs w:val="22"/>
          <w:lang w:val="en-GB" w:eastAsia="en-GB"/>
          <w14:ligatures w14:val="standardContextual"/>
        </w:rPr>
        <w:id w:val="-942613378"/>
        <w:docPartObj>
          <w:docPartGallery w:val="Table of Contents"/>
          <w:docPartUnique/>
        </w:docPartObj>
      </w:sdtPr>
      <w:sdtEndPr>
        <w:rPr>
          <w:b/>
          <w:bCs/>
          <w:noProof/>
        </w:rPr>
      </w:sdtEndPr>
      <w:sdtContent>
        <w:p w14:paraId="5B15F791" w14:textId="31DF706C" w:rsidR="00E70994" w:rsidRPr="00EB5DEB" w:rsidRDefault="00E70994">
          <w:pPr>
            <w:pStyle w:val="TOCHeading"/>
            <w:rPr>
              <w:rFonts w:ascii="Arial" w:hAnsi="Arial" w:cs="Arial"/>
            </w:rPr>
          </w:pPr>
          <w:r w:rsidRPr="00EB5DEB">
            <w:rPr>
              <w:rFonts w:ascii="Arial" w:hAnsi="Arial" w:cs="Arial"/>
            </w:rPr>
            <w:t>Table of Contents</w:t>
          </w:r>
        </w:p>
        <w:p w14:paraId="3BA79489" w14:textId="07BBA9C5" w:rsidR="00AF4D53" w:rsidRPr="00EB5DEB" w:rsidRDefault="00E70994">
          <w:pPr>
            <w:pStyle w:val="TOC1"/>
            <w:tabs>
              <w:tab w:val="right" w:leader="dot" w:pos="9016"/>
            </w:tabs>
            <w:rPr>
              <w:rFonts w:ascii="Arial" w:eastAsiaTheme="minorEastAsia" w:hAnsi="Arial" w:cs="Arial"/>
              <w:b w:val="0"/>
              <w:bCs w:val="0"/>
              <w:i w:val="0"/>
              <w:iCs w:val="0"/>
              <w:noProof/>
              <w:szCs w:val="24"/>
              <w:lang w:bidi="bn-IN"/>
            </w:rPr>
          </w:pPr>
          <w:r w:rsidRPr="00EB5DEB">
            <w:rPr>
              <w:rFonts w:ascii="Arial" w:hAnsi="Arial" w:cs="Arial"/>
              <w:b w:val="0"/>
              <w:bCs w:val="0"/>
              <w:i w:val="0"/>
              <w:iCs w:val="0"/>
              <w:szCs w:val="24"/>
            </w:rPr>
            <w:fldChar w:fldCharType="begin"/>
          </w:r>
          <w:r w:rsidRPr="00EB5DEB">
            <w:rPr>
              <w:rFonts w:ascii="Arial" w:hAnsi="Arial" w:cs="Arial"/>
              <w:b w:val="0"/>
              <w:bCs w:val="0"/>
              <w:i w:val="0"/>
              <w:iCs w:val="0"/>
              <w:szCs w:val="24"/>
            </w:rPr>
            <w:instrText xml:space="preserve"> TOC \o "1-3" \h \z \u </w:instrText>
          </w:r>
          <w:r w:rsidRPr="00EB5DEB">
            <w:rPr>
              <w:rFonts w:ascii="Arial" w:hAnsi="Arial" w:cs="Arial"/>
              <w:b w:val="0"/>
              <w:bCs w:val="0"/>
              <w:i w:val="0"/>
              <w:iCs w:val="0"/>
              <w:szCs w:val="24"/>
            </w:rPr>
            <w:fldChar w:fldCharType="separate"/>
          </w:r>
          <w:hyperlink w:anchor="_Toc213734001" w:history="1">
            <w:r w:rsidR="00AF4D53" w:rsidRPr="00EB5DEB">
              <w:rPr>
                <w:rStyle w:val="Hyperlink"/>
                <w:rFonts w:ascii="Arial" w:eastAsiaTheme="majorEastAsia" w:hAnsi="Arial" w:cs="Arial"/>
                <w:b w:val="0"/>
                <w:bCs w:val="0"/>
                <w:i w:val="0"/>
                <w:iCs w:val="0"/>
                <w:noProof/>
                <w:szCs w:val="24"/>
              </w:rPr>
              <w:t>Executive Summary</w:t>
            </w:r>
            <w:r w:rsidR="00AF4D53" w:rsidRPr="00EB5DEB">
              <w:rPr>
                <w:rFonts w:ascii="Arial" w:hAnsi="Arial" w:cs="Arial"/>
                <w:b w:val="0"/>
                <w:bCs w:val="0"/>
                <w:i w:val="0"/>
                <w:iCs w:val="0"/>
                <w:noProof/>
                <w:webHidden/>
                <w:szCs w:val="24"/>
              </w:rPr>
              <w:tab/>
            </w:r>
            <w:r w:rsidR="00AF4D53" w:rsidRPr="00EB5DEB">
              <w:rPr>
                <w:rFonts w:ascii="Arial" w:hAnsi="Arial" w:cs="Arial"/>
                <w:b w:val="0"/>
                <w:bCs w:val="0"/>
                <w:i w:val="0"/>
                <w:iCs w:val="0"/>
                <w:noProof/>
                <w:webHidden/>
                <w:szCs w:val="24"/>
              </w:rPr>
              <w:fldChar w:fldCharType="begin"/>
            </w:r>
            <w:r w:rsidR="00AF4D53" w:rsidRPr="00EB5DEB">
              <w:rPr>
                <w:rFonts w:ascii="Arial" w:hAnsi="Arial" w:cs="Arial"/>
                <w:b w:val="0"/>
                <w:bCs w:val="0"/>
                <w:i w:val="0"/>
                <w:iCs w:val="0"/>
                <w:noProof/>
                <w:webHidden/>
                <w:szCs w:val="24"/>
              </w:rPr>
              <w:instrText xml:space="preserve"> PAGEREF _Toc213734001 \h </w:instrText>
            </w:r>
            <w:r w:rsidR="00AF4D53" w:rsidRPr="00EB5DEB">
              <w:rPr>
                <w:rFonts w:ascii="Arial" w:hAnsi="Arial" w:cs="Arial"/>
                <w:b w:val="0"/>
                <w:bCs w:val="0"/>
                <w:i w:val="0"/>
                <w:iCs w:val="0"/>
                <w:noProof/>
                <w:webHidden/>
                <w:szCs w:val="24"/>
              </w:rPr>
            </w:r>
            <w:r w:rsidR="00AF4D53" w:rsidRPr="00EB5DEB">
              <w:rPr>
                <w:rFonts w:ascii="Arial" w:hAnsi="Arial" w:cs="Arial"/>
                <w:b w:val="0"/>
                <w:bCs w:val="0"/>
                <w:i w:val="0"/>
                <w:iCs w:val="0"/>
                <w:noProof/>
                <w:webHidden/>
                <w:szCs w:val="24"/>
              </w:rPr>
              <w:fldChar w:fldCharType="separate"/>
            </w:r>
            <w:r w:rsidR="00EB5DEB" w:rsidRPr="00EB5DEB">
              <w:rPr>
                <w:rFonts w:ascii="Arial" w:hAnsi="Arial" w:cs="Arial"/>
                <w:b w:val="0"/>
                <w:bCs w:val="0"/>
                <w:i w:val="0"/>
                <w:iCs w:val="0"/>
                <w:noProof/>
                <w:webHidden/>
                <w:szCs w:val="24"/>
              </w:rPr>
              <w:t>2</w:t>
            </w:r>
            <w:r w:rsidR="00AF4D53" w:rsidRPr="00EB5DEB">
              <w:rPr>
                <w:rFonts w:ascii="Arial" w:hAnsi="Arial" w:cs="Arial"/>
                <w:b w:val="0"/>
                <w:bCs w:val="0"/>
                <w:i w:val="0"/>
                <w:iCs w:val="0"/>
                <w:noProof/>
                <w:webHidden/>
                <w:szCs w:val="24"/>
              </w:rPr>
              <w:fldChar w:fldCharType="end"/>
            </w:r>
          </w:hyperlink>
        </w:p>
        <w:p w14:paraId="26FA20F7" w14:textId="71908DD5" w:rsidR="00AF4D53" w:rsidRPr="00EB5DEB" w:rsidRDefault="00AF4D53">
          <w:pPr>
            <w:pStyle w:val="TOC1"/>
            <w:tabs>
              <w:tab w:val="right" w:leader="dot" w:pos="9016"/>
            </w:tabs>
            <w:rPr>
              <w:rFonts w:ascii="Arial" w:eastAsiaTheme="minorEastAsia" w:hAnsi="Arial" w:cs="Arial"/>
              <w:b w:val="0"/>
              <w:bCs w:val="0"/>
              <w:i w:val="0"/>
              <w:iCs w:val="0"/>
              <w:noProof/>
              <w:szCs w:val="24"/>
              <w:lang w:bidi="bn-IN"/>
            </w:rPr>
          </w:pPr>
          <w:hyperlink w:anchor="_Toc213734002" w:history="1">
            <w:r w:rsidRPr="00EB5DEB">
              <w:rPr>
                <w:rStyle w:val="Hyperlink"/>
                <w:rFonts w:ascii="Arial" w:eastAsiaTheme="majorEastAsia" w:hAnsi="Arial" w:cs="Arial"/>
                <w:b w:val="0"/>
                <w:bCs w:val="0"/>
                <w:i w:val="0"/>
                <w:iCs w:val="0"/>
                <w:noProof/>
                <w:szCs w:val="24"/>
              </w:rPr>
              <w:t>1. Introduction</w:t>
            </w:r>
            <w:r w:rsidRPr="00EB5DEB">
              <w:rPr>
                <w:rFonts w:ascii="Arial" w:hAnsi="Arial" w:cs="Arial"/>
                <w:b w:val="0"/>
                <w:bCs w:val="0"/>
                <w:i w:val="0"/>
                <w:iCs w:val="0"/>
                <w:noProof/>
                <w:webHidden/>
                <w:szCs w:val="24"/>
              </w:rPr>
              <w:tab/>
            </w:r>
            <w:r w:rsidRPr="00EB5DEB">
              <w:rPr>
                <w:rFonts w:ascii="Arial" w:hAnsi="Arial" w:cs="Arial"/>
                <w:b w:val="0"/>
                <w:bCs w:val="0"/>
                <w:i w:val="0"/>
                <w:iCs w:val="0"/>
                <w:noProof/>
                <w:webHidden/>
                <w:szCs w:val="24"/>
              </w:rPr>
              <w:fldChar w:fldCharType="begin"/>
            </w:r>
            <w:r w:rsidRPr="00EB5DEB">
              <w:rPr>
                <w:rFonts w:ascii="Arial" w:hAnsi="Arial" w:cs="Arial"/>
                <w:b w:val="0"/>
                <w:bCs w:val="0"/>
                <w:i w:val="0"/>
                <w:iCs w:val="0"/>
                <w:noProof/>
                <w:webHidden/>
                <w:szCs w:val="24"/>
              </w:rPr>
              <w:instrText xml:space="preserve"> PAGEREF _Toc213734002 \h </w:instrText>
            </w:r>
            <w:r w:rsidRPr="00EB5DEB">
              <w:rPr>
                <w:rFonts w:ascii="Arial" w:hAnsi="Arial" w:cs="Arial"/>
                <w:b w:val="0"/>
                <w:bCs w:val="0"/>
                <w:i w:val="0"/>
                <w:iCs w:val="0"/>
                <w:noProof/>
                <w:webHidden/>
                <w:szCs w:val="24"/>
              </w:rPr>
            </w:r>
            <w:r w:rsidRPr="00EB5DEB">
              <w:rPr>
                <w:rFonts w:ascii="Arial" w:hAnsi="Arial" w:cs="Arial"/>
                <w:b w:val="0"/>
                <w:bCs w:val="0"/>
                <w:i w:val="0"/>
                <w:iCs w:val="0"/>
                <w:noProof/>
                <w:webHidden/>
                <w:szCs w:val="24"/>
              </w:rPr>
              <w:fldChar w:fldCharType="separate"/>
            </w:r>
            <w:r w:rsidR="00EB5DEB" w:rsidRPr="00EB5DEB">
              <w:rPr>
                <w:rFonts w:ascii="Arial" w:hAnsi="Arial" w:cs="Arial"/>
                <w:b w:val="0"/>
                <w:bCs w:val="0"/>
                <w:i w:val="0"/>
                <w:iCs w:val="0"/>
                <w:noProof/>
                <w:webHidden/>
                <w:szCs w:val="24"/>
              </w:rPr>
              <w:t>4</w:t>
            </w:r>
            <w:r w:rsidRPr="00EB5DEB">
              <w:rPr>
                <w:rFonts w:ascii="Arial" w:hAnsi="Arial" w:cs="Arial"/>
                <w:b w:val="0"/>
                <w:bCs w:val="0"/>
                <w:i w:val="0"/>
                <w:iCs w:val="0"/>
                <w:noProof/>
                <w:webHidden/>
                <w:szCs w:val="24"/>
              </w:rPr>
              <w:fldChar w:fldCharType="end"/>
            </w:r>
          </w:hyperlink>
        </w:p>
        <w:p w14:paraId="64CF6B5C" w14:textId="3792C078" w:rsidR="00AF4D53" w:rsidRPr="00EB5DEB" w:rsidRDefault="00AF4D53">
          <w:pPr>
            <w:pStyle w:val="TOC1"/>
            <w:tabs>
              <w:tab w:val="right" w:leader="dot" w:pos="9016"/>
            </w:tabs>
            <w:rPr>
              <w:rFonts w:ascii="Arial" w:eastAsiaTheme="minorEastAsia" w:hAnsi="Arial" w:cs="Arial"/>
              <w:b w:val="0"/>
              <w:bCs w:val="0"/>
              <w:i w:val="0"/>
              <w:iCs w:val="0"/>
              <w:noProof/>
              <w:szCs w:val="24"/>
              <w:lang w:bidi="bn-IN"/>
            </w:rPr>
          </w:pPr>
          <w:hyperlink w:anchor="_Toc213734003" w:history="1">
            <w:r w:rsidRPr="00EB5DEB">
              <w:rPr>
                <w:rStyle w:val="Hyperlink"/>
                <w:rFonts w:ascii="Arial" w:eastAsiaTheme="majorEastAsia" w:hAnsi="Arial" w:cs="Arial"/>
                <w:b w:val="0"/>
                <w:bCs w:val="0"/>
                <w:i w:val="0"/>
                <w:iCs w:val="0"/>
                <w:noProof/>
                <w:szCs w:val="24"/>
              </w:rPr>
              <w:t>Technological Advancements and Labour Markets</w:t>
            </w:r>
            <w:r w:rsidRPr="00EB5DEB">
              <w:rPr>
                <w:rFonts w:ascii="Arial" w:hAnsi="Arial" w:cs="Arial"/>
                <w:b w:val="0"/>
                <w:bCs w:val="0"/>
                <w:i w:val="0"/>
                <w:iCs w:val="0"/>
                <w:noProof/>
                <w:webHidden/>
                <w:szCs w:val="24"/>
              </w:rPr>
              <w:tab/>
            </w:r>
            <w:r w:rsidRPr="00EB5DEB">
              <w:rPr>
                <w:rFonts w:ascii="Arial" w:hAnsi="Arial" w:cs="Arial"/>
                <w:b w:val="0"/>
                <w:bCs w:val="0"/>
                <w:i w:val="0"/>
                <w:iCs w:val="0"/>
                <w:noProof/>
                <w:webHidden/>
                <w:szCs w:val="24"/>
              </w:rPr>
              <w:fldChar w:fldCharType="begin"/>
            </w:r>
            <w:r w:rsidRPr="00EB5DEB">
              <w:rPr>
                <w:rFonts w:ascii="Arial" w:hAnsi="Arial" w:cs="Arial"/>
                <w:b w:val="0"/>
                <w:bCs w:val="0"/>
                <w:i w:val="0"/>
                <w:iCs w:val="0"/>
                <w:noProof/>
                <w:webHidden/>
                <w:szCs w:val="24"/>
              </w:rPr>
              <w:instrText xml:space="preserve"> PAGEREF _Toc213734003 \h </w:instrText>
            </w:r>
            <w:r w:rsidRPr="00EB5DEB">
              <w:rPr>
                <w:rFonts w:ascii="Arial" w:hAnsi="Arial" w:cs="Arial"/>
                <w:b w:val="0"/>
                <w:bCs w:val="0"/>
                <w:i w:val="0"/>
                <w:iCs w:val="0"/>
                <w:noProof/>
                <w:webHidden/>
                <w:szCs w:val="24"/>
              </w:rPr>
            </w:r>
            <w:r w:rsidRPr="00EB5DEB">
              <w:rPr>
                <w:rFonts w:ascii="Arial" w:hAnsi="Arial" w:cs="Arial"/>
                <w:b w:val="0"/>
                <w:bCs w:val="0"/>
                <w:i w:val="0"/>
                <w:iCs w:val="0"/>
                <w:noProof/>
                <w:webHidden/>
                <w:szCs w:val="24"/>
              </w:rPr>
              <w:fldChar w:fldCharType="separate"/>
            </w:r>
            <w:r w:rsidR="00EB5DEB" w:rsidRPr="00EB5DEB">
              <w:rPr>
                <w:rFonts w:ascii="Arial" w:hAnsi="Arial" w:cs="Arial"/>
                <w:b w:val="0"/>
                <w:bCs w:val="0"/>
                <w:i w:val="0"/>
                <w:iCs w:val="0"/>
                <w:noProof/>
                <w:webHidden/>
                <w:szCs w:val="24"/>
              </w:rPr>
              <w:t>5</w:t>
            </w:r>
            <w:r w:rsidRPr="00EB5DEB">
              <w:rPr>
                <w:rFonts w:ascii="Arial" w:hAnsi="Arial" w:cs="Arial"/>
                <w:b w:val="0"/>
                <w:bCs w:val="0"/>
                <w:i w:val="0"/>
                <w:iCs w:val="0"/>
                <w:noProof/>
                <w:webHidden/>
                <w:szCs w:val="24"/>
              </w:rPr>
              <w:fldChar w:fldCharType="end"/>
            </w:r>
          </w:hyperlink>
        </w:p>
        <w:p w14:paraId="04569B24" w14:textId="4385ADE2"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04" w:history="1">
            <w:r w:rsidRPr="00EB5DEB">
              <w:rPr>
                <w:rStyle w:val="Hyperlink"/>
                <w:rFonts w:ascii="Arial" w:eastAsiaTheme="majorEastAsia" w:hAnsi="Arial" w:cs="Arial"/>
                <w:b w:val="0"/>
                <w:bCs w:val="0"/>
                <w:noProof/>
                <w:sz w:val="24"/>
                <w:szCs w:val="24"/>
              </w:rPr>
              <w:t>2.1 Reshaping of Labour Markets</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_Toc213734004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5</w:t>
            </w:r>
            <w:r w:rsidRPr="00EB5DEB">
              <w:rPr>
                <w:rFonts w:ascii="Arial" w:hAnsi="Arial" w:cs="Arial"/>
                <w:b w:val="0"/>
                <w:bCs w:val="0"/>
                <w:noProof/>
                <w:webHidden/>
                <w:sz w:val="24"/>
                <w:szCs w:val="24"/>
              </w:rPr>
              <w:fldChar w:fldCharType="end"/>
            </w:r>
          </w:hyperlink>
        </w:p>
        <w:p w14:paraId="098A6B14" w14:textId="327719EC"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05" w:history="1">
            <w:r w:rsidRPr="00EB5DEB">
              <w:rPr>
                <w:rStyle w:val="Hyperlink"/>
                <w:rFonts w:ascii="Arial" w:eastAsiaTheme="majorEastAsia" w:hAnsi="Arial" w:cs="Arial"/>
                <w:b w:val="0"/>
                <w:bCs w:val="0"/>
                <w:noProof/>
                <w:sz w:val="24"/>
                <w:szCs w:val="24"/>
              </w:rPr>
              <w:t>2.2 Implications for HRM and IHRM</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_Toc213734005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5</w:t>
            </w:r>
            <w:r w:rsidRPr="00EB5DEB">
              <w:rPr>
                <w:rFonts w:ascii="Arial" w:hAnsi="Arial" w:cs="Arial"/>
                <w:b w:val="0"/>
                <w:bCs w:val="0"/>
                <w:noProof/>
                <w:webHidden/>
                <w:sz w:val="24"/>
                <w:szCs w:val="24"/>
              </w:rPr>
              <w:fldChar w:fldCharType="end"/>
            </w:r>
          </w:hyperlink>
        </w:p>
        <w:p w14:paraId="1E3A9E2F" w14:textId="5567107E" w:rsidR="00AF4D53" w:rsidRPr="00EB5DEB" w:rsidRDefault="00AF4D53">
          <w:pPr>
            <w:pStyle w:val="TOC1"/>
            <w:tabs>
              <w:tab w:val="right" w:leader="dot" w:pos="9016"/>
            </w:tabs>
            <w:rPr>
              <w:rFonts w:ascii="Arial" w:eastAsiaTheme="minorEastAsia" w:hAnsi="Arial" w:cs="Arial"/>
              <w:b w:val="0"/>
              <w:bCs w:val="0"/>
              <w:i w:val="0"/>
              <w:iCs w:val="0"/>
              <w:noProof/>
              <w:szCs w:val="24"/>
              <w:lang w:bidi="bn-IN"/>
            </w:rPr>
          </w:pPr>
          <w:hyperlink w:anchor="_Toc213734006" w:history="1">
            <w:r w:rsidRPr="00EB5DEB">
              <w:rPr>
                <w:rStyle w:val="Hyperlink"/>
                <w:rFonts w:ascii="Arial" w:eastAsiaTheme="majorEastAsia" w:hAnsi="Arial" w:cs="Arial"/>
                <w:b w:val="0"/>
                <w:bCs w:val="0"/>
                <w:i w:val="0"/>
                <w:iCs w:val="0"/>
                <w:noProof/>
                <w:szCs w:val="24"/>
              </w:rPr>
              <w:t>Demographic and Geopolitical Influences</w:t>
            </w:r>
            <w:r w:rsidRPr="00EB5DEB">
              <w:rPr>
                <w:rFonts w:ascii="Arial" w:hAnsi="Arial" w:cs="Arial"/>
                <w:b w:val="0"/>
                <w:bCs w:val="0"/>
                <w:i w:val="0"/>
                <w:iCs w:val="0"/>
                <w:noProof/>
                <w:webHidden/>
                <w:szCs w:val="24"/>
              </w:rPr>
              <w:tab/>
            </w:r>
            <w:r w:rsidRPr="00EB5DEB">
              <w:rPr>
                <w:rFonts w:ascii="Arial" w:hAnsi="Arial" w:cs="Arial"/>
                <w:b w:val="0"/>
                <w:bCs w:val="0"/>
                <w:i w:val="0"/>
                <w:iCs w:val="0"/>
                <w:noProof/>
                <w:webHidden/>
                <w:szCs w:val="24"/>
              </w:rPr>
              <w:fldChar w:fldCharType="begin"/>
            </w:r>
            <w:r w:rsidRPr="00EB5DEB">
              <w:rPr>
                <w:rFonts w:ascii="Arial" w:hAnsi="Arial" w:cs="Arial"/>
                <w:b w:val="0"/>
                <w:bCs w:val="0"/>
                <w:i w:val="0"/>
                <w:iCs w:val="0"/>
                <w:noProof/>
                <w:webHidden/>
                <w:szCs w:val="24"/>
              </w:rPr>
              <w:instrText xml:space="preserve"> PAGEREF _Toc213734006 \h </w:instrText>
            </w:r>
            <w:r w:rsidRPr="00EB5DEB">
              <w:rPr>
                <w:rFonts w:ascii="Arial" w:hAnsi="Arial" w:cs="Arial"/>
                <w:b w:val="0"/>
                <w:bCs w:val="0"/>
                <w:i w:val="0"/>
                <w:iCs w:val="0"/>
                <w:noProof/>
                <w:webHidden/>
                <w:szCs w:val="24"/>
              </w:rPr>
            </w:r>
            <w:r w:rsidRPr="00EB5DEB">
              <w:rPr>
                <w:rFonts w:ascii="Arial" w:hAnsi="Arial" w:cs="Arial"/>
                <w:b w:val="0"/>
                <w:bCs w:val="0"/>
                <w:i w:val="0"/>
                <w:iCs w:val="0"/>
                <w:noProof/>
                <w:webHidden/>
                <w:szCs w:val="24"/>
              </w:rPr>
              <w:fldChar w:fldCharType="separate"/>
            </w:r>
            <w:r w:rsidR="00EB5DEB" w:rsidRPr="00EB5DEB">
              <w:rPr>
                <w:rFonts w:ascii="Arial" w:hAnsi="Arial" w:cs="Arial"/>
                <w:b w:val="0"/>
                <w:bCs w:val="0"/>
                <w:i w:val="0"/>
                <w:iCs w:val="0"/>
                <w:noProof/>
                <w:webHidden/>
                <w:szCs w:val="24"/>
              </w:rPr>
              <w:t>6</w:t>
            </w:r>
            <w:r w:rsidRPr="00EB5DEB">
              <w:rPr>
                <w:rFonts w:ascii="Arial" w:hAnsi="Arial" w:cs="Arial"/>
                <w:b w:val="0"/>
                <w:bCs w:val="0"/>
                <w:i w:val="0"/>
                <w:iCs w:val="0"/>
                <w:noProof/>
                <w:webHidden/>
                <w:szCs w:val="24"/>
              </w:rPr>
              <w:fldChar w:fldCharType="end"/>
            </w:r>
          </w:hyperlink>
        </w:p>
        <w:p w14:paraId="49D3223A" w14:textId="3ECA277C"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07" w:history="1">
            <w:r w:rsidRPr="00EB5DEB">
              <w:rPr>
                <w:rStyle w:val="Hyperlink"/>
                <w:rFonts w:ascii="Arial" w:eastAsiaTheme="majorEastAsia" w:hAnsi="Arial" w:cs="Arial"/>
                <w:b w:val="0"/>
                <w:bCs w:val="0"/>
                <w:noProof/>
                <w:sz w:val="24"/>
                <w:szCs w:val="24"/>
              </w:rPr>
              <w:t>3.1 Demographic Dynamics</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_Toc213734007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6</w:t>
            </w:r>
            <w:r w:rsidRPr="00EB5DEB">
              <w:rPr>
                <w:rFonts w:ascii="Arial" w:hAnsi="Arial" w:cs="Arial"/>
                <w:b w:val="0"/>
                <w:bCs w:val="0"/>
                <w:noProof/>
                <w:webHidden/>
                <w:sz w:val="24"/>
                <w:szCs w:val="24"/>
              </w:rPr>
              <w:fldChar w:fldCharType="end"/>
            </w:r>
          </w:hyperlink>
        </w:p>
        <w:p w14:paraId="43D4EAE7" w14:textId="44FB64EE"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08" w:history="1">
            <w:r w:rsidRPr="00EB5DEB">
              <w:rPr>
                <w:rStyle w:val="Hyperlink"/>
                <w:rFonts w:ascii="Arial" w:eastAsiaTheme="majorEastAsia" w:hAnsi="Arial" w:cs="Arial"/>
                <w:b w:val="0"/>
                <w:bCs w:val="0"/>
                <w:noProof/>
                <w:sz w:val="24"/>
                <w:szCs w:val="24"/>
              </w:rPr>
              <w:t>3.2 Geopolitical Forces</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_Toc213734008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7</w:t>
            </w:r>
            <w:r w:rsidRPr="00EB5DEB">
              <w:rPr>
                <w:rFonts w:ascii="Arial" w:hAnsi="Arial" w:cs="Arial"/>
                <w:b w:val="0"/>
                <w:bCs w:val="0"/>
                <w:noProof/>
                <w:webHidden/>
                <w:sz w:val="24"/>
                <w:szCs w:val="24"/>
              </w:rPr>
              <w:fldChar w:fldCharType="end"/>
            </w:r>
          </w:hyperlink>
        </w:p>
        <w:p w14:paraId="5A4485F8" w14:textId="0C8E9EC5"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09" w:history="1">
            <w:r w:rsidRPr="00EB5DEB">
              <w:rPr>
                <w:rStyle w:val="Hyperlink"/>
                <w:rFonts w:ascii="Arial" w:eastAsiaTheme="majorEastAsia" w:hAnsi="Arial" w:cs="Arial"/>
                <w:b w:val="0"/>
                <w:bCs w:val="0"/>
                <w:noProof/>
                <w:sz w:val="24"/>
                <w:szCs w:val="24"/>
              </w:rPr>
              <w:t>Challenges for HR Professionals</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_Toc213734009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8</w:t>
            </w:r>
            <w:r w:rsidRPr="00EB5DEB">
              <w:rPr>
                <w:rFonts w:ascii="Arial" w:hAnsi="Arial" w:cs="Arial"/>
                <w:b w:val="0"/>
                <w:bCs w:val="0"/>
                <w:noProof/>
                <w:webHidden/>
                <w:sz w:val="24"/>
                <w:szCs w:val="24"/>
              </w:rPr>
              <w:fldChar w:fldCharType="end"/>
            </w:r>
          </w:hyperlink>
        </w:p>
        <w:p w14:paraId="11D46412" w14:textId="47C8ABAA" w:rsidR="00AF4D53" w:rsidRPr="00EB5DEB" w:rsidRDefault="00AF4D53">
          <w:pPr>
            <w:pStyle w:val="TOC1"/>
            <w:tabs>
              <w:tab w:val="right" w:leader="dot" w:pos="9016"/>
            </w:tabs>
            <w:rPr>
              <w:rFonts w:ascii="Arial" w:eastAsiaTheme="minorEastAsia" w:hAnsi="Arial" w:cs="Arial"/>
              <w:b w:val="0"/>
              <w:bCs w:val="0"/>
              <w:i w:val="0"/>
              <w:iCs w:val="0"/>
              <w:noProof/>
              <w:szCs w:val="24"/>
              <w:lang w:bidi="bn-IN"/>
            </w:rPr>
          </w:pPr>
          <w:hyperlink w:anchor="_Toc213734010" w:history="1">
            <w:r w:rsidRPr="00EB5DEB">
              <w:rPr>
                <w:rStyle w:val="Hyperlink"/>
                <w:rFonts w:ascii="Arial" w:eastAsiaTheme="majorEastAsia" w:hAnsi="Arial" w:cs="Arial"/>
                <w:b w:val="0"/>
                <w:bCs w:val="0"/>
                <w:i w:val="0"/>
                <w:iCs w:val="0"/>
                <w:noProof/>
                <w:szCs w:val="24"/>
              </w:rPr>
              <w:t>Addressing Skills Gaps through Strategic HRM</w:t>
            </w:r>
            <w:r w:rsidRPr="00EB5DEB">
              <w:rPr>
                <w:rFonts w:ascii="Arial" w:hAnsi="Arial" w:cs="Arial"/>
                <w:b w:val="0"/>
                <w:bCs w:val="0"/>
                <w:i w:val="0"/>
                <w:iCs w:val="0"/>
                <w:noProof/>
                <w:webHidden/>
                <w:szCs w:val="24"/>
              </w:rPr>
              <w:tab/>
            </w:r>
            <w:r w:rsidRPr="00EB5DEB">
              <w:rPr>
                <w:rFonts w:ascii="Arial" w:hAnsi="Arial" w:cs="Arial"/>
                <w:b w:val="0"/>
                <w:bCs w:val="0"/>
                <w:i w:val="0"/>
                <w:iCs w:val="0"/>
                <w:noProof/>
                <w:webHidden/>
                <w:szCs w:val="24"/>
              </w:rPr>
              <w:fldChar w:fldCharType="begin"/>
            </w:r>
            <w:r w:rsidRPr="00EB5DEB">
              <w:rPr>
                <w:rFonts w:ascii="Arial" w:hAnsi="Arial" w:cs="Arial"/>
                <w:b w:val="0"/>
                <w:bCs w:val="0"/>
                <w:i w:val="0"/>
                <w:iCs w:val="0"/>
                <w:noProof/>
                <w:webHidden/>
                <w:szCs w:val="24"/>
              </w:rPr>
              <w:instrText xml:space="preserve"> PAGEREF _Toc213734010 \h </w:instrText>
            </w:r>
            <w:r w:rsidRPr="00EB5DEB">
              <w:rPr>
                <w:rFonts w:ascii="Arial" w:hAnsi="Arial" w:cs="Arial"/>
                <w:b w:val="0"/>
                <w:bCs w:val="0"/>
                <w:i w:val="0"/>
                <w:iCs w:val="0"/>
                <w:noProof/>
                <w:webHidden/>
                <w:szCs w:val="24"/>
              </w:rPr>
            </w:r>
            <w:r w:rsidRPr="00EB5DEB">
              <w:rPr>
                <w:rFonts w:ascii="Arial" w:hAnsi="Arial" w:cs="Arial"/>
                <w:b w:val="0"/>
                <w:bCs w:val="0"/>
                <w:i w:val="0"/>
                <w:iCs w:val="0"/>
                <w:noProof/>
                <w:webHidden/>
                <w:szCs w:val="24"/>
              </w:rPr>
              <w:fldChar w:fldCharType="separate"/>
            </w:r>
            <w:r w:rsidR="00EB5DEB" w:rsidRPr="00EB5DEB">
              <w:rPr>
                <w:rFonts w:ascii="Arial" w:hAnsi="Arial" w:cs="Arial"/>
                <w:b w:val="0"/>
                <w:bCs w:val="0"/>
                <w:i w:val="0"/>
                <w:iCs w:val="0"/>
                <w:noProof/>
                <w:webHidden/>
                <w:szCs w:val="24"/>
              </w:rPr>
              <w:t>8</w:t>
            </w:r>
            <w:r w:rsidRPr="00EB5DEB">
              <w:rPr>
                <w:rFonts w:ascii="Arial" w:hAnsi="Arial" w:cs="Arial"/>
                <w:b w:val="0"/>
                <w:bCs w:val="0"/>
                <w:i w:val="0"/>
                <w:iCs w:val="0"/>
                <w:noProof/>
                <w:webHidden/>
                <w:szCs w:val="24"/>
              </w:rPr>
              <w:fldChar w:fldCharType="end"/>
            </w:r>
          </w:hyperlink>
        </w:p>
        <w:p w14:paraId="1C0FCC60" w14:textId="43374656"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11" w:history="1">
            <w:r w:rsidRPr="00EB5DEB">
              <w:rPr>
                <w:rStyle w:val="Hyperlink"/>
                <w:rFonts w:ascii="Arial" w:eastAsiaTheme="majorEastAsia" w:hAnsi="Arial" w:cs="Arial"/>
                <w:b w:val="0"/>
                <w:bCs w:val="0"/>
                <w:noProof/>
                <w:sz w:val="24"/>
                <w:szCs w:val="24"/>
              </w:rPr>
              <w:t>Understanding the Causes</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_Toc213734011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8</w:t>
            </w:r>
            <w:r w:rsidRPr="00EB5DEB">
              <w:rPr>
                <w:rFonts w:ascii="Arial" w:hAnsi="Arial" w:cs="Arial"/>
                <w:b w:val="0"/>
                <w:bCs w:val="0"/>
                <w:noProof/>
                <w:webHidden/>
                <w:sz w:val="24"/>
                <w:szCs w:val="24"/>
              </w:rPr>
              <w:fldChar w:fldCharType="end"/>
            </w:r>
          </w:hyperlink>
        </w:p>
        <w:p w14:paraId="25203D71" w14:textId="14749757"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12" w:history="1">
            <w:r w:rsidRPr="00EB5DEB">
              <w:rPr>
                <w:rStyle w:val="Hyperlink"/>
                <w:rFonts w:ascii="Arial" w:eastAsiaTheme="majorEastAsia" w:hAnsi="Arial" w:cs="Arial"/>
                <w:b w:val="0"/>
                <w:bCs w:val="0"/>
                <w:noProof/>
                <w:sz w:val="24"/>
                <w:szCs w:val="24"/>
              </w:rPr>
              <w:t>4.2 Strategic HRM Responses (Build–Buy–Borrow–Bond Framework)</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_Toc213734012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9</w:t>
            </w:r>
            <w:r w:rsidRPr="00EB5DEB">
              <w:rPr>
                <w:rFonts w:ascii="Arial" w:hAnsi="Arial" w:cs="Arial"/>
                <w:b w:val="0"/>
                <w:bCs w:val="0"/>
                <w:noProof/>
                <w:webHidden/>
                <w:sz w:val="24"/>
                <w:szCs w:val="24"/>
              </w:rPr>
              <w:fldChar w:fldCharType="end"/>
            </w:r>
          </w:hyperlink>
        </w:p>
        <w:p w14:paraId="60E1E53A" w14:textId="109CF964"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13" w:history="1">
            <w:r w:rsidRPr="00EB5DEB">
              <w:rPr>
                <w:rStyle w:val="Hyperlink"/>
                <w:rFonts w:ascii="Arial" w:eastAsiaTheme="majorEastAsia" w:hAnsi="Arial" w:cs="Arial"/>
                <w:b w:val="0"/>
                <w:bCs w:val="0"/>
                <w:noProof/>
                <w:sz w:val="24"/>
                <w:szCs w:val="24"/>
              </w:rPr>
              <w:t>4.3 Sector-Specific Applications</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_Toc213734013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10</w:t>
            </w:r>
            <w:r w:rsidRPr="00EB5DEB">
              <w:rPr>
                <w:rFonts w:ascii="Arial" w:hAnsi="Arial" w:cs="Arial"/>
                <w:b w:val="0"/>
                <w:bCs w:val="0"/>
                <w:noProof/>
                <w:webHidden/>
                <w:sz w:val="24"/>
                <w:szCs w:val="24"/>
              </w:rPr>
              <w:fldChar w:fldCharType="end"/>
            </w:r>
          </w:hyperlink>
        </w:p>
        <w:p w14:paraId="5523BF5B" w14:textId="48652C32" w:rsidR="00AF4D53" w:rsidRPr="00EB5DEB" w:rsidRDefault="00AF4D53">
          <w:pPr>
            <w:pStyle w:val="TOC1"/>
            <w:tabs>
              <w:tab w:val="right" w:leader="dot" w:pos="9016"/>
            </w:tabs>
            <w:rPr>
              <w:rFonts w:ascii="Arial" w:eastAsiaTheme="minorEastAsia" w:hAnsi="Arial" w:cs="Arial"/>
              <w:b w:val="0"/>
              <w:bCs w:val="0"/>
              <w:i w:val="0"/>
              <w:iCs w:val="0"/>
              <w:noProof/>
              <w:szCs w:val="24"/>
              <w:lang w:bidi="bn-IN"/>
            </w:rPr>
          </w:pPr>
          <w:hyperlink w:anchor="_Toc213734014" w:history="1">
            <w:r w:rsidRPr="00EB5DEB">
              <w:rPr>
                <w:rStyle w:val="Hyperlink"/>
                <w:rFonts w:ascii="Arial" w:eastAsiaTheme="majorEastAsia" w:hAnsi="Arial" w:cs="Arial"/>
                <w:b w:val="0"/>
                <w:bCs w:val="0"/>
                <w:i w:val="0"/>
                <w:iCs w:val="0"/>
                <w:noProof/>
                <w:szCs w:val="24"/>
              </w:rPr>
              <w:t>Reflective Analysis: Readiness for the Global and Digital Workplace</w:t>
            </w:r>
            <w:r w:rsidRPr="00EB5DEB">
              <w:rPr>
                <w:rFonts w:ascii="Arial" w:hAnsi="Arial" w:cs="Arial"/>
                <w:b w:val="0"/>
                <w:bCs w:val="0"/>
                <w:i w:val="0"/>
                <w:iCs w:val="0"/>
                <w:noProof/>
                <w:webHidden/>
                <w:szCs w:val="24"/>
              </w:rPr>
              <w:tab/>
            </w:r>
            <w:r w:rsidRPr="00EB5DEB">
              <w:rPr>
                <w:rFonts w:ascii="Arial" w:hAnsi="Arial" w:cs="Arial"/>
                <w:b w:val="0"/>
                <w:bCs w:val="0"/>
                <w:i w:val="0"/>
                <w:iCs w:val="0"/>
                <w:noProof/>
                <w:webHidden/>
                <w:szCs w:val="24"/>
              </w:rPr>
              <w:fldChar w:fldCharType="begin"/>
            </w:r>
            <w:r w:rsidRPr="00EB5DEB">
              <w:rPr>
                <w:rFonts w:ascii="Arial" w:hAnsi="Arial" w:cs="Arial"/>
                <w:b w:val="0"/>
                <w:bCs w:val="0"/>
                <w:i w:val="0"/>
                <w:iCs w:val="0"/>
                <w:noProof/>
                <w:webHidden/>
                <w:szCs w:val="24"/>
              </w:rPr>
              <w:instrText xml:space="preserve"> PAGEREF _Toc213734014 \h </w:instrText>
            </w:r>
            <w:r w:rsidRPr="00EB5DEB">
              <w:rPr>
                <w:rFonts w:ascii="Arial" w:hAnsi="Arial" w:cs="Arial"/>
                <w:b w:val="0"/>
                <w:bCs w:val="0"/>
                <w:i w:val="0"/>
                <w:iCs w:val="0"/>
                <w:noProof/>
                <w:webHidden/>
                <w:szCs w:val="24"/>
              </w:rPr>
            </w:r>
            <w:r w:rsidRPr="00EB5DEB">
              <w:rPr>
                <w:rFonts w:ascii="Arial" w:hAnsi="Arial" w:cs="Arial"/>
                <w:b w:val="0"/>
                <w:bCs w:val="0"/>
                <w:i w:val="0"/>
                <w:iCs w:val="0"/>
                <w:noProof/>
                <w:webHidden/>
                <w:szCs w:val="24"/>
              </w:rPr>
              <w:fldChar w:fldCharType="separate"/>
            </w:r>
            <w:r w:rsidR="00EB5DEB" w:rsidRPr="00EB5DEB">
              <w:rPr>
                <w:rFonts w:ascii="Arial" w:hAnsi="Arial" w:cs="Arial"/>
                <w:b w:val="0"/>
                <w:bCs w:val="0"/>
                <w:i w:val="0"/>
                <w:iCs w:val="0"/>
                <w:noProof/>
                <w:webHidden/>
                <w:szCs w:val="24"/>
              </w:rPr>
              <w:t>11</w:t>
            </w:r>
            <w:r w:rsidRPr="00EB5DEB">
              <w:rPr>
                <w:rFonts w:ascii="Arial" w:hAnsi="Arial" w:cs="Arial"/>
                <w:b w:val="0"/>
                <w:bCs w:val="0"/>
                <w:i w:val="0"/>
                <w:iCs w:val="0"/>
                <w:noProof/>
                <w:webHidden/>
                <w:szCs w:val="24"/>
              </w:rPr>
              <w:fldChar w:fldCharType="end"/>
            </w:r>
          </w:hyperlink>
        </w:p>
        <w:p w14:paraId="5770E55E" w14:textId="523BC9BE"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15" w:history="1">
            <w:r w:rsidRPr="00EB5DEB">
              <w:rPr>
                <w:rStyle w:val="Hyperlink"/>
                <w:rFonts w:ascii="Arial" w:eastAsiaTheme="majorEastAsia" w:hAnsi="Arial" w:cs="Arial"/>
                <w:b w:val="0"/>
                <w:bCs w:val="0"/>
                <w:noProof/>
                <w:sz w:val="24"/>
                <w:szCs w:val="24"/>
              </w:rPr>
              <w:t>Introduction</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_Toc213734015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11</w:t>
            </w:r>
            <w:r w:rsidRPr="00EB5DEB">
              <w:rPr>
                <w:rFonts w:ascii="Arial" w:hAnsi="Arial" w:cs="Arial"/>
                <w:b w:val="0"/>
                <w:bCs w:val="0"/>
                <w:noProof/>
                <w:webHidden/>
                <w:sz w:val="24"/>
                <w:szCs w:val="24"/>
              </w:rPr>
              <w:fldChar w:fldCharType="end"/>
            </w:r>
          </w:hyperlink>
        </w:p>
        <w:p w14:paraId="211C22CA" w14:textId="48DA7220"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16" w:history="1">
            <w:r w:rsidRPr="00EB5DEB">
              <w:rPr>
                <w:rStyle w:val="Hyperlink"/>
                <w:rFonts w:ascii="Arial" w:eastAsiaTheme="majorEastAsia" w:hAnsi="Arial" w:cs="Arial"/>
                <w:b w:val="0"/>
                <w:bCs w:val="0"/>
                <w:noProof/>
                <w:sz w:val="24"/>
                <w:szCs w:val="24"/>
              </w:rPr>
              <w:t>Description</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_Toc213734016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11</w:t>
            </w:r>
            <w:r w:rsidRPr="00EB5DEB">
              <w:rPr>
                <w:rFonts w:ascii="Arial" w:hAnsi="Arial" w:cs="Arial"/>
                <w:b w:val="0"/>
                <w:bCs w:val="0"/>
                <w:noProof/>
                <w:webHidden/>
                <w:sz w:val="24"/>
                <w:szCs w:val="24"/>
              </w:rPr>
              <w:fldChar w:fldCharType="end"/>
            </w:r>
          </w:hyperlink>
        </w:p>
        <w:p w14:paraId="4F6F587A" w14:textId="18C9C1DA"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17" w:history="1">
            <w:r w:rsidRPr="00EB5DEB">
              <w:rPr>
                <w:rStyle w:val="Hyperlink"/>
                <w:rFonts w:ascii="Arial" w:eastAsiaTheme="majorEastAsia" w:hAnsi="Arial" w:cs="Arial"/>
                <w:b w:val="0"/>
                <w:bCs w:val="0"/>
                <w:noProof/>
                <w:sz w:val="24"/>
                <w:szCs w:val="24"/>
              </w:rPr>
              <w:t>Feelings</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_Toc213734017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12</w:t>
            </w:r>
            <w:r w:rsidRPr="00EB5DEB">
              <w:rPr>
                <w:rFonts w:ascii="Arial" w:hAnsi="Arial" w:cs="Arial"/>
                <w:b w:val="0"/>
                <w:bCs w:val="0"/>
                <w:noProof/>
                <w:webHidden/>
                <w:sz w:val="24"/>
                <w:szCs w:val="24"/>
              </w:rPr>
              <w:fldChar w:fldCharType="end"/>
            </w:r>
          </w:hyperlink>
        </w:p>
        <w:p w14:paraId="7DA229E4" w14:textId="1F86C6A4"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18" w:history="1">
            <w:r w:rsidRPr="00EB5DEB">
              <w:rPr>
                <w:rStyle w:val="Hyperlink"/>
                <w:rFonts w:ascii="Arial" w:eastAsiaTheme="majorEastAsia" w:hAnsi="Arial" w:cs="Arial"/>
                <w:b w:val="0"/>
                <w:bCs w:val="0"/>
                <w:noProof/>
                <w:sz w:val="24"/>
                <w:szCs w:val="24"/>
              </w:rPr>
              <w:t>Evaluation</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_Toc213734018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12</w:t>
            </w:r>
            <w:r w:rsidRPr="00EB5DEB">
              <w:rPr>
                <w:rFonts w:ascii="Arial" w:hAnsi="Arial" w:cs="Arial"/>
                <w:b w:val="0"/>
                <w:bCs w:val="0"/>
                <w:noProof/>
                <w:webHidden/>
                <w:sz w:val="24"/>
                <w:szCs w:val="24"/>
              </w:rPr>
              <w:fldChar w:fldCharType="end"/>
            </w:r>
          </w:hyperlink>
        </w:p>
        <w:p w14:paraId="512E0D68" w14:textId="7E5946C4"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19" w:history="1">
            <w:r w:rsidRPr="00EB5DEB">
              <w:rPr>
                <w:rStyle w:val="Hyperlink"/>
                <w:rFonts w:ascii="Arial" w:eastAsiaTheme="majorEastAsia" w:hAnsi="Arial" w:cs="Arial"/>
                <w:b w:val="0"/>
                <w:bCs w:val="0"/>
                <w:noProof/>
                <w:sz w:val="24"/>
                <w:szCs w:val="24"/>
              </w:rPr>
              <w:t>Analysis</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_Toc213734019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12</w:t>
            </w:r>
            <w:r w:rsidRPr="00EB5DEB">
              <w:rPr>
                <w:rFonts w:ascii="Arial" w:hAnsi="Arial" w:cs="Arial"/>
                <w:b w:val="0"/>
                <w:bCs w:val="0"/>
                <w:noProof/>
                <w:webHidden/>
                <w:sz w:val="24"/>
                <w:szCs w:val="24"/>
              </w:rPr>
              <w:fldChar w:fldCharType="end"/>
            </w:r>
          </w:hyperlink>
        </w:p>
        <w:p w14:paraId="6EC5391A" w14:textId="1BE7CEF1"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20" w:history="1">
            <w:r w:rsidRPr="00EB5DEB">
              <w:rPr>
                <w:rStyle w:val="Hyperlink"/>
                <w:rFonts w:ascii="Arial" w:eastAsiaTheme="majorEastAsia" w:hAnsi="Arial" w:cs="Arial"/>
                <w:b w:val="0"/>
                <w:bCs w:val="0"/>
                <w:noProof/>
                <w:sz w:val="24"/>
                <w:szCs w:val="24"/>
              </w:rPr>
              <w:t>Conclusion</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_Toc213734020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13</w:t>
            </w:r>
            <w:r w:rsidRPr="00EB5DEB">
              <w:rPr>
                <w:rFonts w:ascii="Arial" w:hAnsi="Arial" w:cs="Arial"/>
                <w:b w:val="0"/>
                <w:bCs w:val="0"/>
                <w:noProof/>
                <w:webHidden/>
                <w:sz w:val="24"/>
                <w:szCs w:val="24"/>
              </w:rPr>
              <w:fldChar w:fldCharType="end"/>
            </w:r>
          </w:hyperlink>
        </w:p>
        <w:p w14:paraId="1F2C90FC" w14:textId="7C1F8418" w:rsidR="00AF4D53" w:rsidRPr="00EB5DEB" w:rsidRDefault="00AF4D53">
          <w:pPr>
            <w:pStyle w:val="TOC2"/>
            <w:tabs>
              <w:tab w:val="right" w:leader="dot" w:pos="9016"/>
            </w:tabs>
            <w:rPr>
              <w:rFonts w:ascii="Arial" w:eastAsiaTheme="minorEastAsia" w:hAnsi="Arial" w:cs="Arial"/>
              <w:b w:val="0"/>
              <w:bCs w:val="0"/>
              <w:noProof/>
              <w:sz w:val="24"/>
              <w:szCs w:val="24"/>
              <w:lang w:bidi="bn-IN"/>
            </w:rPr>
          </w:pPr>
          <w:hyperlink w:anchor="_Toc213734021" w:history="1">
            <w:r w:rsidRPr="00EB5DEB">
              <w:rPr>
                <w:rStyle w:val="Hyperlink"/>
                <w:rFonts w:ascii="Arial" w:eastAsiaTheme="majorEastAsia" w:hAnsi="Arial" w:cs="Arial"/>
                <w:b w:val="0"/>
                <w:bCs w:val="0"/>
                <w:noProof/>
                <w:sz w:val="24"/>
                <w:szCs w:val="24"/>
              </w:rPr>
              <w:t>Action Plan</w:t>
            </w:r>
            <w:r w:rsidRPr="00EB5DEB">
              <w:rPr>
                <w:rFonts w:ascii="Arial" w:hAnsi="Arial" w:cs="Arial"/>
                <w:b w:val="0"/>
                <w:bCs w:val="0"/>
                <w:noProof/>
                <w:webHidden/>
                <w:sz w:val="24"/>
                <w:szCs w:val="24"/>
              </w:rPr>
              <w:tab/>
            </w:r>
            <w:r w:rsidRPr="00EB5DEB">
              <w:rPr>
                <w:rFonts w:ascii="Arial" w:hAnsi="Arial" w:cs="Arial"/>
                <w:b w:val="0"/>
                <w:bCs w:val="0"/>
                <w:noProof/>
                <w:webHidden/>
                <w:sz w:val="24"/>
                <w:szCs w:val="24"/>
              </w:rPr>
              <w:fldChar w:fldCharType="begin"/>
            </w:r>
            <w:r w:rsidRPr="00EB5DEB">
              <w:rPr>
                <w:rFonts w:ascii="Arial" w:hAnsi="Arial" w:cs="Arial"/>
                <w:b w:val="0"/>
                <w:bCs w:val="0"/>
                <w:noProof/>
                <w:webHidden/>
                <w:sz w:val="24"/>
                <w:szCs w:val="24"/>
              </w:rPr>
              <w:instrText xml:space="preserve"> PAGEREF _Toc213734021 \h </w:instrText>
            </w:r>
            <w:r w:rsidRPr="00EB5DEB">
              <w:rPr>
                <w:rFonts w:ascii="Arial" w:hAnsi="Arial" w:cs="Arial"/>
                <w:b w:val="0"/>
                <w:bCs w:val="0"/>
                <w:noProof/>
                <w:webHidden/>
                <w:sz w:val="24"/>
                <w:szCs w:val="24"/>
              </w:rPr>
            </w:r>
            <w:r w:rsidRPr="00EB5DEB">
              <w:rPr>
                <w:rFonts w:ascii="Arial" w:hAnsi="Arial" w:cs="Arial"/>
                <w:b w:val="0"/>
                <w:bCs w:val="0"/>
                <w:noProof/>
                <w:webHidden/>
                <w:sz w:val="24"/>
                <w:szCs w:val="24"/>
              </w:rPr>
              <w:fldChar w:fldCharType="separate"/>
            </w:r>
            <w:r w:rsidR="00EB5DEB" w:rsidRPr="00EB5DEB">
              <w:rPr>
                <w:rFonts w:ascii="Arial" w:hAnsi="Arial" w:cs="Arial"/>
                <w:b w:val="0"/>
                <w:bCs w:val="0"/>
                <w:noProof/>
                <w:webHidden/>
                <w:sz w:val="24"/>
                <w:szCs w:val="24"/>
              </w:rPr>
              <w:t>13</w:t>
            </w:r>
            <w:r w:rsidRPr="00EB5DEB">
              <w:rPr>
                <w:rFonts w:ascii="Arial" w:hAnsi="Arial" w:cs="Arial"/>
                <w:b w:val="0"/>
                <w:bCs w:val="0"/>
                <w:noProof/>
                <w:webHidden/>
                <w:sz w:val="24"/>
                <w:szCs w:val="24"/>
              </w:rPr>
              <w:fldChar w:fldCharType="end"/>
            </w:r>
          </w:hyperlink>
        </w:p>
        <w:p w14:paraId="0BC2D4AA" w14:textId="1CE2E0EF" w:rsidR="00AF4D53" w:rsidRPr="00EB5DEB" w:rsidRDefault="00AF4D53">
          <w:pPr>
            <w:pStyle w:val="TOC1"/>
            <w:tabs>
              <w:tab w:val="right" w:leader="dot" w:pos="9016"/>
            </w:tabs>
            <w:rPr>
              <w:rFonts w:ascii="Arial" w:eastAsiaTheme="minorEastAsia" w:hAnsi="Arial" w:cs="Arial"/>
              <w:b w:val="0"/>
              <w:bCs w:val="0"/>
              <w:i w:val="0"/>
              <w:iCs w:val="0"/>
              <w:noProof/>
              <w:szCs w:val="24"/>
              <w:lang w:bidi="bn-IN"/>
            </w:rPr>
          </w:pPr>
          <w:hyperlink w:anchor="_Toc213734022" w:history="1">
            <w:r w:rsidRPr="00EB5DEB">
              <w:rPr>
                <w:rStyle w:val="Hyperlink"/>
                <w:rFonts w:ascii="Arial" w:eastAsiaTheme="majorEastAsia" w:hAnsi="Arial" w:cs="Arial"/>
                <w:b w:val="0"/>
                <w:bCs w:val="0"/>
                <w:i w:val="0"/>
                <w:iCs w:val="0"/>
                <w:noProof/>
                <w:szCs w:val="24"/>
              </w:rPr>
              <w:t>6. Conclusion</w:t>
            </w:r>
            <w:r w:rsidRPr="00EB5DEB">
              <w:rPr>
                <w:rFonts w:ascii="Arial" w:hAnsi="Arial" w:cs="Arial"/>
                <w:b w:val="0"/>
                <w:bCs w:val="0"/>
                <w:i w:val="0"/>
                <w:iCs w:val="0"/>
                <w:noProof/>
                <w:webHidden/>
                <w:szCs w:val="24"/>
              </w:rPr>
              <w:tab/>
            </w:r>
            <w:r w:rsidRPr="00EB5DEB">
              <w:rPr>
                <w:rFonts w:ascii="Arial" w:hAnsi="Arial" w:cs="Arial"/>
                <w:b w:val="0"/>
                <w:bCs w:val="0"/>
                <w:i w:val="0"/>
                <w:iCs w:val="0"/>
                <w:noProof/>
                <w:webHidden/>
                <w:szCs w:val="24"/>
              </w:rPr>
              <w:fldChar w:fldCharType="begin"/>
            </w:r>
            <w:r w:rsidRPr="00EB5DEB">
              <w:rPr>
                <w:rFonts w:ascii="Arial" w:hAnsi="Arial" w:cs="Arial"/>
                <w:b w:val="0"/>
                <w:bCs w:val="0"/>
                <w:i w:val="0"/>
                <w:iCs w:val="0"/>
                <w:noProof/>
                <w:webHidden/>
                <w:szCs w:val="24"/>
              </w:rPr>
              <w:instrText xml:space="preserve"> PAGEREF _Toc213734022 \h </w:instrText>
            </w:r>
            <w:r w:rsidRPr="00EB5DEB">
              <w:rPr>
                <w:rFonts w:ascii="Arial" w:hAnsi="Arial" w:cs="Arial"/>
                <w:b w:val="0"/>
                <w:bCs w:val="0"/>
                <w:i w:val="0"/>
                <w:iCs w:val="0"/>
                <w:noProof/>
                <w:webHidden/>
                <w:szCs w:val="24"/>
              </w:rPr>
            </w:r>
            <w:r w:rsidRPr="00EB5DEB">
              <w:rPr>
                <w:rFonts w:ascii="Arial" w:hAnsi="Arial" w:cs="Arial"/>
                <w:b w:val="0"/>
                <w:bCs w:val="0"/>
                <w:i w:val="0"/>
                <w:iCs w:val="0"/>
                <w:noProof/>
                <w:webHidden/>
                <w:szCs w:val="24"/>
              </w:rPr>
              <w:fldChar w:fldCharType="separate"/>
            </w:r>
            <w:r w:rsidR="00EB5DEB" w:rsidRPr="00EB5DEB">
              <w:rPr>
                <w:rFonts w:ascii="Arial" w:hAnsi="Arial" w:cs="Arial"/>
                <w:b w:val="0"/>
                <w:bCs w:val="0"/>
                <w:i w:val="0"/>
                <w:iCs w:val="0"/>
                <w:noProof/>
                <w:webHidden/>
                <w:szCs w:val="24"/>
              </w:rPr>
              <w:t>14</w:t>
            </w:r>
            <w:r w:rsidRPr="00EB5DEB">
              <w:rPr>
                <w:rFonts w:ascii="Arial" w:hAnsi="Arial" w:cs="Arial"/>
                <w:b w:val="0"/>
                <w:bCs w:val="0"/>
                <w:i w:val="0"/>
                <w:iCs w:val="0"/>
                <w:noProof/>
                <w:webHidden/>
                <w:szCs w:val="24"/>
              </w:rPr>
              <w:fldChar w:fldCharType="end"/>
            </w:r>
          </w:hyperlink>
        </w:p>
        <w:p w14:paraId="4C652B50" w14:textId="7E78BCA1" w:rsidR="00AF4D53" w:rsidRPr="00EB5DEB" w:rsidRDefault="00AF4D53">
          <w:pPr>
            <w:pStyle w:val="TOC1"/>
            <w:tabs>
              <w:tab w:val="right" w:leader="dot" w:pos="9016"/>
            </w:tabs>
            <w:rPr>
              <w:rFonts w:ascii="Arial" w:eastAsiaTheme="minorEastAsia" w:hAnsi="Arial" w:cs="Arial"/>
              <w:b w:val="0"/>
              <w:bCs w:val="0"/>
              <w:i w:val="0"/>
              <w:iCs w:val="0"/>
              <w:noProof/>
              <w:szCs w:val="24"/>
              <w:lang w:bidi="bn-IN"/>
            </w:rPr>
          </w:pPr>
          <w:hyperlink w:anchor="_Toc213734023" w:history="1">
            <w:r w:rsidRPr="00EB5DEB">
              <w:rPr>
                <w:rStyle w:val="Hyperlink"/>
                <w:rFonts w:ascii="Arial" w:eastAsiaTheme="majorEastAsia" w:hAnsi="Arial" w:cs="Arial"/>
                <w:b w:val="0"/>
                <w:bCs w:val="0"/>
                <w:i w:val="0"/>
                <w:iCs w:val="0"/>
                <w:noProof/>
                <w:szCs w:val="24"/>
              </w:rPr>
              <w:t>Reference</w:t>
            </w:r>
            <w:r w:rsidRPr="00EB5DEB">
              <w:rPr>
                <w:rFonts w:ascii="Arial" w:hAnsi="Arial" w:cs="Arial"/>
                <w:b w:val="0"/>
                <w:bCs w:val="0"/>
                <w:i w:val="0"/>
                <w:iCs w:val="0"/>
                <w:noProof/>
                <w:webHidden/>
                <w:szCs w:val="24"/>
              </w:rPr>
              <w:tab/>
            </w:r>
            <w:r w:rsidRPr="00EB5DEB">
              <w:rPr>
                <w:rFonts w:ascii="Arial" w:hAnsi="Arial" w:cs="Arial"/>
                <w:b w:val="0"/>
                <w:bCs w:val="0"/>
                <w:i w:val="0"/>
                <w:iCs w:val="0"/>
                <w:noProof/>
                <w:webHidden/>
                <w:szCs w:val="24"/>
              </w:rPr>
              <w:fldChar w:fldCharType="begin"/>
            </w:r>
            <w:r w:rsidRPr="00EB5DEB">
              <w:rPr>
                <w:rFonts w:ascii="Arial" w:hAnsi="Arial" w:cs="Arial"/>
                <w:b w:val="0"/>
                <w:bCs w:val="0"/>
                <w:i w:val="0"/>
                <w:iCs w:val="0"/>
                <w:noProof/>
                <w:webHidden/>
                <w:szCs w:val="24"/>
              </w:rPr>
              <w:instrText xml:space="preserve"> PAGEREF _Toc213734023 \h </w:instrText>
            </w:r>
            <w:r w:rsidRPr="00EB5DEB">
              <w:rPr>
                <w:rFonts w:ascii="Arial" w:hAnsi="Arial" w:cs="Arial"/>
                <w:b w:val="0"/>
                <w:bCs w:val="0"/>
                <w:i w:val="0"/>
                <w:iCs w:val="0"/>
                <w:noProof/>
                <w:webHidden/>
                <w:szCs w:val="24"/>
              </w:rPr>
            </w:r>
            <w:r w:rsidRPr="00EB5DEB">
              <w:rPr>
                <w:rFonts w:ascii="Arial" w:hAnsi="Arial" w:cs="Arial"/>
                <w:b w:val="0"/>
                <w:bCs w:val="0"/>
                <w:i w:val="0"/>
                <w:iCs w:val="0"/>
                <w:noProof/>
                <w:webHidden/>
                <w:szCs w:val="24"/>
              </w:rPr>
              <w:fldChar w:fldCharType="separate"/>
            </w:r>
            <w:r w:rsidR="00EB5DEB" w:rsidRPr="00EB5DEB">
              <w:rPr>
                <w:rFonts w:ascii="Arial" w:hAnsi="Arial" w:cs="Arial"/>
                <w:b w:val="0"/>
                <w:bCs w:val="0"/>
                <w:i w:val="0"/>
                <w:iCs w:val="0"/>
                <w:noProof/>
                <w:webHidden/>
                <w:szCs w:val="24"/>
              </w:rPr>
              <w:t>15</w:t>
            </w:r>
            <w:r w:rsidRPr="00EB5DEB">
              <w:rPr>
                <w:rFonts w:ascii="Arial" w:hAnsi="Arial" w:cs="Arial"/>
                <w:b w:val="0"/>
                <w:bCs w:val="0"/>
                <w:i w:val="0"/>
                <w:iCs w:val="0"/>
                <w:noProof/>
                <w:webHidden/>
                <w:szCs w:val="24"/>
              </w:rPr>
              <w:fldChar w:fldCharType="end"/>
            </w:r>
          </w:hyperlink>
        </w:p>
        <w:p w14:paraId="74C76F95" w14:textId="603B86AF" w:rsidR="00E70994" w:rsidRPr="00EB5DEB" w:rsidRDefault="00E70994">
          <w:pPr>
            <w:rPr>
              <w:rFonts w:ascii="Arial" w:hAnsi="Arial" w:cs="Arial"/>
            </w:rPr>
          </w:pPr>
          <w:r w:rsidRPr="00EB5DEB">
            <w:rPr>
              <w:rFonts w:ascii="Arial" w:hAnsi="Arial" w:cs="Arial"/>
              <w:noProof/>
              <w:szCs w:val="24"/>
            </w:rPr>
            <w:fldChar w:fldCharType="end"/>
          </w:r>
        </w:p>
      </w:sdtContent>
    </w:sdt>
    <w:p w14:paraId="5A7B8741" w14:textId="77777777" w:rsidR="00B644D4" w:rsidRPr="00EB5DEB" w:rsidRDefault="00B644D4" w:rsidP="00B644D4">
      <w:pPr>
        <w:pStyle w:val="Heading1"/>
        <w:rPr>
          <w:rFonts w:ascii="Arial" w:hAnsi="Arial" w:cs="Arial"/>
        </w:rPr>
      </w:pPr>
      <w:bookmarkStart w:id="1" w:name="_Toc213734002"/>
      <w:r w:rsidRPr="00EB5DEB">
        <w:rPr>
          <w:rFonts w:ascii="Arial" w:hAnsi="Arial" w:cs="Arial"/>
        </w:rPr>
        <w:lastRenderedPageBreak/>
        <w:t>1. Introduction</w:t>
      </w:r>
      <w:bookmarkEnd w:id="1"/>
    </w:p>
    <w:p w14:paraId="172CE058" w14:textId="71E5A8DE" w:rsidR="00E2180F" w:rsidRPr="00EB5DEB" w:rsidRDefault="00705A87" w:rsidP="00705A87">
      <w:pPr>
        <w:rPr>
          <w:rFonts w:ascii="Arial" w:hAnsi="Arial" w:cs="Arial"/>
          <w:szCs w:val="24"/>
        </w:rPr>
      </w:pPr>
      <w:r w:rsidRPr="00EB5DEB">
        <w:rPr>
          <w:rFonts w:ascii="Arial" w:hAnsi="Arial" w:cs="Arial"/>
          <w:szCs w:val="24"/>
        </w:rPr>
        <w:t>The labour markets are changing more than ever changing at a fast rate that can be attributed to changes in technology, demographic changes and geopolitical changes, which pose challenges. Artificial intelligence, automation, and digital tools are altering work patterns and influencing the way people are managed in an organisation (Darwish et al., 2024). At the same time, demographic ageing, migration, and global crisis measures are still influencing the talent-sourcing and retention operations in a continuous fashion. Human Resource Management (HRM) and International Human Resource Management (IHRM) are important in this volatile environment in creating organisational agility and equity (Lee and Szkudlarek, 2021). This report discusses these major forces and conjectures on the capability areas that a successful employee in the modern global environment should have.</w:t>
      </w:r>
    </w:p>
    <w:p w14:paraId="42D84FCA" w14:textId="77777777" w:rsidR="00E2180F" w:rsidRPr="00EB5DEB" w:rsidRDefault="00E2180F" w:rsidP="00B644D4">
      <w:pPr>
        <w:rPr>
          <w:rFonts w:ascii="Arial" w:hAnsi="Arial" w:cs="Arial"/>
          <w:sz w:val="22"/>
        </w:rPr>
      </w:pPr>
    </w:p>
    <w:p w14:paraId="3E2D3C9E" w14:textId="687B5914" w:rsidR="00B644D4" w:rsidRPr="00EB5DEB" w:rsidRDefault="00B644D4" w:rsidP="00B644D4">
      <w:pPr>
        <w:spacing w:before="0" w:after="160" w:line="259" w:lineRule="auto"/>
        <w:jc w:val="left"/>
        <w:rPr>
          <w:rFonts w:ascii="Arial" w:hAnsi="Arial" w:cs="Arial"/>
        </w:rPr>
      </w:pPr>
      <w:r w:rsidRPr="00EB5DEB">
        <w:rPr>
          <w:rFonts w:ascii="Arial" w:hAnsi="Arial" w:cs="Arial"/>
        </w:rPr>
        <w:br w:type="page"/>
      </w:r>
    </w:p>
    <w:p w14:paraId="181B107C" w14:textId="0640A06A" w:rsidR="00B644D4" w:rsidRPr="00EB5DEB" w:rsidRDefault="00B644D4" w:rsidP="00B644D4">
      <w:pPr>
        <w:pStyle w:val="Heading1"/>
        <w:rPr>
          <w:rFonts w:ascii="Arial" w:hAnsi="Arial" w:cs="Arial"/>
        </w:rPr>
      </w:pPr>
      <w:bookmarkStart w:id="2" w:name="_Toc213734003"/>
      <w:r w:rsidRPr="00EB5DEB">
        <w:rPr>
          <w:rFonts w:ascii="Arial" w:hAnsi="Arial" w:cs="Arial"/>
        </w:rPr>
        <w:lastRenderedPageBreak/>
        <w:t>Technological Advancements and Labour Markets</w:t>
      </w:r>
      <w:bookmarkEnd w:id="2"/>
    </w:p>
    <w:p w14:paraId="61542110" w14:textId="77777777" w:rsidR="00B644D4" w:rsidRPr="00EB5DEB" w:rsidRDefault="00B644D4" w:rsidP="00B644D4">
      <w:pPr>
        <w:pStyle w:val="Heading2"/>
        <w:rPr>
          <w:rFonts w:ascii="Arial" w:hAnsi="Arial" w:cs="Arial"/>
        </w:rPr>
      </w:pPr>
      <w:bookmarkStart w:id="3" w:name="_Toc213734004"/>
      <w:r w:rsidRPr="00EB5DEB">
        <w:rPr>
          <w:rFonts w:ascii="Arial" w:hAnsi="Arial" w:cs="Arial"/>
        </w:rPr>
        <w:t xml:space="preserve">2.1 Reshaping of </w:t>
      </w:r>
      <w:proofErr w:type="spellStart"/>
      <w:r w:rsidRPr="00EB5DEB">
        <w:rPr>
          <w:rFonts w:ascii="Arial" w:hAnsi="Arial" w:cs="Arial"/>
        </w:rPr>
        <w:t>Labour</w:t>
      </w:r>
      <w:proofErr w:type="spellEnd"/>
      <w:r w:rsidRPr="00EB5DEB">
        <w:rPr>
          <w:rFonts w:ascii="Arial" w:hAnsi="Arial" w:cs="Arial"/>
        </w:rPr>
        <w:t xml:space="preserve"> Markets</w:t>
      </w:r>
      <w:bookmarkEnd w:id="3"/>
    </w:p>
    <w:p w14:paraId="73854F9B" w14:textId="77777777" w:rsidR="00B644D4" w:rsidRPr="00EB5DEB" w:rsidRDefault="00B644D4" w:rsidP="00B644D4">
      <w:pPr>
        <w:rPr>
          <w:rFonts w:ascii="Arial" w:hAnsi="Arial" w:cs="Arial"/>
        </w:rPr>
      </w:pPr>
      <w:r w:rsidRPr="00EB5DEB">
        <w:rPr>
          <w:rFonts w:ascii="Arial" w:hAnsi="Arial" w:cs="Arial"/>
        </w:rPr>
        <w:t xml:space="preserve">The technological innovation of recent times, specifically, artificial intelligence (AI), automation, and digital platforms, is essentially transforming labour markets around the world. According to Darwish </w:t>
      </w:r>
      <w:r w:rsidRPr="00EB5DEB">
        <w:rPr>
          <w:rFonts w:ascii="Arial" w:hAnsi="Arial" w:cs="Arial"/>
          <w:i/>
          <w:iCs/>
        </w:rPr>
        <w:t>et al.</w:t>
      </w:r>
      <w:r w:rsidRPr="00EB5DEB">
        <w:rPr>
          <w:rFonts w:ascii="Arial" w:hAnsi="Arial" w:cs="Arial"/>
        </w:rPr>
        <w:t xml:space="preserve"> (2023), in 2026, AI and automation will create an estimated number of 97 million new employment opportunities and will also displace about 85 million jobs, which will both provide significant opportunities and disruptive forces. Monotonous and repetitive activities in manufacturing, logistics, and administrative activities are being progressively automated (Ključnikov, Popkova and Sergi, 2023). At the same time as new jobs are being created in data analytics, AI ethics, and human-machine interaction. This shift requires organisations to focus on digital literacy, problem-solving, and adaptability as the key employability skills.</w:t>
      </w:r>
    </w:p>
    <w:p w14:paraId="5C4BE39E" w14:textId="77777777" w:rsidR="00B644D4" w:rsidRPr="00EB5DEB" w:rsidRDefault="00B644D4" w:rsidP="00B644D4">
      <w:pPr>
        <w:rPr>
          <w:rFonts w:ascii="Arial" w:hAnsi="Arial" w:cs="Arial"/>
        </w:rPr>
      </w:pPr>
      <w:r w:rsidRPr="00EB5DEB">
        <w:rPr>
          <w:rFonts w:ascii="Arial" w:hAnsi="Arial" w:cs="Arial"/>
        </w:rPr>
        <w:t>Uber and similar platforms, Upwork and Fiverr, have made the growth of the gig economy faster, thus transforming traditional job relationships. More often, workers are becoming involved as independent contractors with increased flexibility but with reduced job security and benefits. This decentralisation poses some challenges to the traditional human-resources model that relies on full-time employment that is stable (Lee and Szkudlarek, 2021). These problems are compounded by the short life cycle of digital skills, which have sometimes been referred to as skills churn. Sukanti, Harto and Pramuditha (2021) describe this as the second machine age, where technology advances at a faster rate than the ability of humans to learn, thus requiring human beings to engage in constant reskilling and redefine employability in the modern economies. The need for STEM and analytical skills continues to move on an upward trend, whereas soft skills, like cross-cultural communication and adaptability, are becoming inevitable in the digitally integrated workplaces.</w:t>
      </w:r>
    </w:p>
    <w:p w14:paraId="66681D68" w14:textId="77777777" w:rsidR="00B644D4" w:rsidRPr="00EB5DEB" w:rsidRDefault="00B644D4" w:rsidP="00B644D4">
      <w:pPr>
        <w:rPr>
          <w:rFonts w:ascii="Arial" w:hAnsi="Arial" w:cs="Arial"/>
        </w:rPr>
      </w:pPr>
    </w:p>
    <w:p w14:paraId="433D0608" w14:textId="77777777" w:rsidR="00B644D4" w:rsidRPr="00EB5DEB" w:rsidRDefault="00B644D4" w:rsidP="00B644D4">
      <w:pPr>
        <w:pStyle w:val="Heading2"/>
        <w:rPr>
          <w:rFonts w:ascii="Arial" w:hAnsi="Arial" w:cs="Arial"/>
        </w:rPr>
      </w:pPr>
      <w:bookmarkStart w:id="4" w:name="_Toc213734005"/>
      <w:r w:rsidRPr="00EB5DEB">
        <w:rPr>
          <w:rFonts w:ascii="Arial" w:hAnsi="Arial" w:cs="Arial"/>
        </w:rPr>
        <w:t>2.2 Implications for HRM and IHRM</w:t>
      </w:r>
      <w:bookmarkEnd w:id="4"/>
    </w:p>
    <w:p w14:paraId="2671F15E" w14:textId="69A6B749" w:rsidR="00294952" w:rsidRPr="00EB5DEB" w:rsidRDefault="00B644D4" w:rsidP="00B644D4">
      <w:pPr>
        <w:rPr>
          <w:rFonts w:ascii="Arial" w:hAnsi="Arial" w:cs="Arial"/>
        </w:rPr>
      </w:pPr>
      <w:r w:rsidRPr="00EB5DEB">
        <w:rPr>
          <w:rFonts w:ascii="Arial" w:hAnsi="Arial" w:cs="Arial"/>
        </w:rPr>
        <w:t xml:space="preserve">In the Human Resource Management (HRM) field, virtually all functional areas are reconfigured by the current technological transformation. Recruitment platforms based on artificial intelligence now enable the sourcing, screening, and predictive hiring of </w:t>
      </w:r>
      <w:r w:rsidRPr="00EB5DEB">
        <w:rPr>
          <w:rFonts w:ascii="Arial" w:hAnsi="Arial" w:cs="Arial"/>
        </w:rPr>
        <w:lastRenderedPageBreak/>
        <w:t xml:space="preserve">their candidates and thus, they ensure high operational efficiency, but at the same time, they raise issues of algorithmic bias and ethical transparency ​​(Malik </w:t>
      </w:r>
      <w:r w:rsidRPr="00EB5DEB">
        <w:rPr>
          <w:rFonts w:ascii="Arial" w:hAnsi="Arial" w:cs="Arial"/>
          <w:i/>
          <w:iCs/>
        </w:rPr>
        <w:t>et al.</w:t>
      </w:r>
      <w:r w:rsidRPr="00EB5DEB">
        <w:rPr>
          <w:rFonts w:ascii="Arial" w:hAnsi="Arial" w:cs="Arial"/>
        </w:rPr>
        <w:t>, 2022). In line with this, the strategic HR leaders must ensure there is fairness, inclusivity, and adherence to international data-protection laws, such as the General Data Protection Regulation (GDPR).</w:t>
      </w:r>
      <w:r w:rsidR="00294952" w:rsidRPr="00EB5DEB">
        <w:rPr>
          <w:rFonts w:ascii="Arial" w:hAnsi="Arial" w:cs="Arial"/>
        </w:rPr>
        <w:t xml:space="preserve"> Continuous learning ecosystems are replacing periodic training programs in L&amp;D. Micro-learning modules, online credentials, and AI-driven platforms provide scalable, personalised growth, which boosts organisational agility in dynamic sectors. Stone, Cox, and Gavin (2020) found that reskilling initiatives boost employee retention and creativity.</w:t>
      </w:r>
    </w:p>
    <w:p w14:paraId="760362FF" w14:textId="210F76D4" w:rsidR="00B644D4" w:rsidRPr="00EB5DEB" w:rsidRDefault="00B644D4" w:rsidP="00B644D4">
      <w:pPr>
        <w:rPr>
          <w:rFonts w:ascii="Arial" w:hAnsi="Arial" w:cs="Arial"/>
        </w:rPr>
      </w:pPr>
      <w:r w:rsidRPr="00EB5DEB">
        <w:rPr>
          <w:rFonts w:ascii="Arial" w:hAnsi="Arial" w:cs="Arial"/>
        </w:rPr>
        <w:t>The HR has to deal with the hybrid and gig workforces that are blurring the organisational boundaries from a strategic planning point of view</w:t>
      </w:r>
      <w:r w:rsidR="00294952" w:rsidRPr="00EB5DEB">
        <w:rPr>
          <w:rFonts w:ascii="Arial" w:hAnsi="Arial" w:cs="Arial"/>
        </w:rPr>
        <w:t xml:space="preserve"> ​​(Malik </w:t>
      </w:r>
      <w:r w:rsidR="00294952" w:rsidRPr="00EB5DEB">
        <w:rPr>
          <w:rFonts w:ascii="Arial" w:hAnsi="Arial" w:cs="Arial"/>
          <w:i/>
          <w:iCs/>
        </w:rPr>
        <w:t>et al.</w:t>
      </w:r>
      <w:r w:rsidR="00294952" w:rsidRPr="00EB5DEB">
        <w:rPr>
          <w:rFonts w:ascii="Arial" w:hAnsi="Arial" w:cs="Arial"/>
        </w:rPr>
        <w:t>, 2022)</w:t>
      </w:r>
      <w:r w:rsidRPr="00EB5DEB">
        <w:rPr>
          <w:rFonts w:ascii="Arial" w:hAnsi="Arial" w:cs="Arial"/>
        </w:rPr>
        <w:t>. The balance between flexibility, maintaining costs, and engaging the workforce requires new performance-management systems and practices. Under the International HRM (IHRM), technology helps in coordinating the teams located in different parts of the world, but at the same time creates complexities associated with cross-border payroll, taxation and cultural forces (Cappelli and Keller, 2020). Thus, making sure that various jurisdictions are handled and at the same time that individuals are included in virtual spaces will be a critical skill of the modern HR professional.</w:t>
      </w:r>
    </w:p>
    <w:p w14:paraId="7EAF0D8E" w14:textId="77777777" w:rsidR="00294952" w:rsidRPr="00EB5DEB" w:rsidRDefault="00294952" w:rsidP="00B644D4">
      <w:pPr>
        <w:rPr>
          <w:rFonts w:ascii="Arial" w:hAnsi="Arial" w:cs="Arial"/>
        </w:rPr>
      </w:pPr>
    </w:p>
    <w:p w14:paraId="7AF9D88E" w14:textId="1CA7F0FB" w:rsidR="00B644D4" w:rsidRPr="00EB5DEB" w:rsidRDefault="00B644D4" w:rsidP="00B644D4">
      <w:pPr>
        <w:rPr>
          <w:rFonts w:ascii="Arial" w:hAnsi="Arial" w:cs="Arial"/>
        </w:rPr>
      </w:pPr>
      <w:r w:rsidRPr="00EB5DEB">
        <w:rPr>
          <w:rFonts w:ascii="Arial" w:hAnsi="Arial" w:cs="Arial"/>
        </w:rPr>
        <w:t>All in all, technology plays the roles of disruptor and enabler. The successful integration of technological advances in the HRM/IHRM strategies will depend on a consonance of innovation, stringent ethical management, lifelong learning, and the human-centred approach to the future of work.</w:t>
      </w:r>
    </w:p>
    <w:p w14:paraId="5DF5AC75" w14:textId="77777777" w:rsidR="00B644D4" w:rsidRPr="00EB5DEB" w:rsidRDefault="00B644D4" w:rsidP="00B644D4">
      <w:pPr>
        <w:rPr>
          <w:rFonts w:ascii="Arial" w:hAnsi="Arial" w:cs="Arial"/>
        </w:rPr>
      </w:pPr>
      <w:r w:rsidRPr="00EB5DEB">
        <w:rPr>
          <w:rFonts w:ascii="Arial" w:hAnsi="Arial" w:cs="Arial"/>
        </w:rPr>
        <w:br/>
      </w:r>
    </w:p>
    <w:p w14:paraId="34E5DB7F" w14:textId="027E0CAB" w:rsidR="00B644D4" w:rsidRPr="00EB5DEB" w:rsidRDefault="00B644D4" w:rsidP="00B644D4">
      <w:pPr>
        <w:pStyle w:val="Heading1"/>
        <w:rPr>
          <w:rFonts w:ascii="Arial" w:hAnsi="Arial" w:cs="Arial"/>
        </w:rPr>
      </w:pPr>
      <w:bookmarkStart w:id="5" w:name="_Toc213734006"/>
      <w:r w:rsidRPr="00EB5DEB">
        <w:rPr>
          <w:rFonts w:ascii="Arial" w:hAnsi="Arial" w:cs="Arial"/>
        </w:rPr>
        <w:t>Demographic and Geopolitical Influences</w:t>
      </w:r>
      <w:bookmarkEnd w:id="5"/>
    </w:p>
    <w:p w14:paraId="71226C8D" w14:textId="77777777" w:rsidR="00B644D4" w:rsidRPr="00EB5DEB" w:rsidRDefault="00B644D4" w:rsidP="00B644D4">
      <w:pPr>
        <w:pStyle w:val="Heading2"/>
        <w:rPr>
          <w:rFonts w:ascii="Arial" w:hAnsi="Arial" w:cs="Arial"/>
        </w:rPr>
      </w:pPr>
      <w:bookmarkStart w:id="6" w:name="_Toc213734007"/>
      <w:r w:rsidRPr="00EB5DEB">
        <w:rPr>
          <w:rFonts w:ascii="Arial" w:hAnsi="Arial" w:cs="Arial"/>
        </w:rPr>
        <w:t>3.1 Demographic Dynamics</w:t>
      </w:r>
      <w:bookmarkEnd w:id="6"/>
    </w:p>
    <w:p w14:paraId="50AB601F" w14:textId="77777777" w:rsidR="00B644D4" w:rsidRPr="00EB5DEB" w:rsidRDefault="00B644D4" w:rsidP="00B644D4">
      <w:pPr>
        <w:rPr>
          <w:rFonts w:ascii="Arial" w:hAnsi="Arial" w:cs="Arial"/>
        </w:rPr>
      </w:pPr>
      <w:r w:rsidRPr="00EB5DEB">
        <w:rPr>
          <w:rFonts w:ascii="Arial" w:hAnsi="Arial" w:cs="Arial"/>
        </w:rPr>
        <w:t xml:space="preserve">One of the most debilitating forces of the global labour market is demographic change. In the developed world, like in Europe and Japan, the ageing population is reducing the workforce available at the expense of raising the dependency ratio. Lee and Szkudlarek (2021) estimate that by 2050, the number of people aged over 60 in these </w:t>
      </w:r>
      <w:r w:rsidRPr="00EB5DEB">
        <w:rPr>
          <w:rFonts w:ascii="Arial" w:hAnsi="Arial" w:cs="Arial"/>
        </w:rPr>
        <w:lastRenderedPageBreak/>
        <w:t>areas will be almost a third of the total population and force organisations to go multi-generational with their workforce. Strategic HR priorities have turned into effective knowledge transfer, job redesign for older employees, and age-inclusive policies.</w:t>
      </w:r>
    </w:p>
    <w:p w14:paraId="59936BB0" w14:textId="77777777" w:rsidR="00B644D4" w:rsidRPr="00EB5DEB" w:rsidRDefault="00B644D4" w:rsidP="00B644D4">
      <w:pPr>
        <w:rPr>
          <w:rFonts w:ascii="Arial" w:hAnsi="Arial" w:cs="Arial"/>
        </w:rPr>
      </w:pPr>
      <w:r w:rsidRPr="00EB5DEB">
        <w:rPr>
          <w:rFonts w:ascii="Arial" w:hAnsi="Arial" w:cs="Arial"/>
        </w:rPr>
        <w:t xml:space="preserve">At the same time, global talent mobility is being redefined by migration trends. Talent-lacking countries are increasingly dependent on immigrants to fill talent crises, whilst other nations run into brain drain, when professionals with talent are attracted to other nations (Darwish </w:t>
      </w:r>
      <w:r w:rsidRPr="00EB5DEB">
        <w:rPr>
          <w:rFonts w:ascii="Arial" w:hAnsi="Arial" w:cs="Arial"/>
          <w:i/>
          <w:iCs/>
        </w:rPr>
        <w:t>et al.</w:t>
      </w:r>
      <w:r w:rsidRPr="00EB5DEB">
        <w:rPr>
          <w:rFonts w:ascii="Arial" w:hAnsi="Arial" w:cs="Arial"/>
        </w:rPr>
        <w:t>, 2024). Indeed, the post-pandemic immigration policies in the UK and Canada are focused on absorbing STEM and healthcare talent, which is one example of how migration has a direct impact on labour supply and competitiveness.</w:t>
      </w:r>
    </w:p>
    <w:p w14:paraId="07972465" w14:textId="77777777" w:rsidR="00B644D4" w:rsidRPr="00EB5DEB" w:rsidRDefault="00B644D4" w:rsidP="00B644D4">
      <w:pPr>
        <w:rPr>
          <w:rFonts w:ascii="Arial" w:hAnsi="Arial" w:cs="Arial"/>
        </w:rPr>
      </w:pPr>
      <w:r w:rsidRPr="00EB5DEB">
        <w:rPr>
          <w:rFonts w:ascii="Arial" w:hAnsi="Arial" w:cs="Arial"/>
        </w:rPr>
        <w:t>The increasing diversity of the workforce, both in gender, ethnicity and culture, contributes diversity and complexity to organisational life. HR professionals have to formulate inclusion policies, address barriers to communication and create an atmosphere that embraces diversity (Bratton and Gold, 2017). Diversity management has become not a choice but a part of sustainable organisational performance, with inclusion increasing creativity and employee interaction among global teams.</w:t>
      </w:r>
    </w:p>
    <w:p w14:paraId="4C5BE7EB" w14:textId="77777777" w:rsidR="00B644D4" w:rsidRPr="00EB5DEB" w:rsidRDefault="00B644D4" w:rsidP="00B644D4">
      <w:pPr>
        <w:rPr>
          <w:rFonts w:ascii="Arial" w:hAnsi="Arial" w:cs="Arial"/>
        </w:rPr>
      </w:pPr>
      <w:r w:rsidRPr="00EB5DEB">
        <w:rPr>
          <w:rFonts w:ascii="Arial" w:hAnsi="Arial" w:cs="Arial"/>
        </w:rPr>
        <w:br/>
      </w:r>
    </w:p>
    <w:p w14:paraId="7CDD092B" w14:textId="77777777" w:rsidR="00B644D4" w:rsidRPr="00EB5DEB" w:rsidRDefault="00B644D4" w:rsidP="00B644D4">
      <w:pPr>
        <w:pStyle w:val="Heading2"/>
        <w:rPr>
          <w:rFonts w:ascii="Arial" w:hAnsi="Arial" w:cs="Arial"/>
        </w:rPr>
      </w:pPr>
      <w:bookmarkStart w:id="7" w:name="_Toc213734008"/>
      <w:r w:rsidRPr="00EB5DEB">
        <w:rPr>
          <w:rFonts w:ascii="Arial" w:hAnsi="Arial" w:cs="Arial"/>
        </w:rPr>
        <w:t>3.2 Geopolitical Forces</w:t>
      </w:r>
      <w:bookmarkEnd w:id="7"/>
    </w:p>
    <w:p w14:paraId="46B5BEEA" w14:textId="77777777" w:rsidR="00B644D4" w:rsidRPr="00EB5DEB" w:rsidRDefault="00B644D4" w:rsidP="00B644D4">
      <w:pPr>
        <w:rPr>
          <w:rFonts w:ascii="Arial" w:hAnsi="Arial" w:cs="Arial"/>
        </w:rPr>
      </w:pPr>
      <w:r w:rsidRPr="00EB5DEB">
        <w:rPr>
          <w:rFonts w:ascii="Arial" w:hAnsi="Arial" w:cs="Arial"/>
        </w:rPr>
        <w:t>The geopolitical changes are becoming more instrumental to the location and mode of operation of organisations. The global supply chains have been broken by trade wars and protectionist policies like the one between the United States and China, and the firms are forced to reevaluate international hiring and location policies (Boxall, Purcell and Wright, 2022). Brexit was also an illustration of the role of political choices to transform expatriate flow and job policies, causing novel difficulties in talent mobility.</w:t>
      </w:r>
    </w:p>
    <w:p w14:paraId="456A006F" w14:textId="77777777" w:rsidR="00B644D4" w:rsidRPr="00EB5DEB" w:rsidRDefault="00B644D4" w:rsidP="00B644D4">
      <w:pPr>
        <w:rPr>
          <w:rFonts w:ascii="Arial" w:hAnsi="Arial" w:cs="Arial"/>
        </w:rPr>
      </w:pPr>
      <w:r w:rsidRPr="00EB5DEB">
        <w:rPr>
          <w:rFonts w:ascii="Arial" w:hAnsi="Arial" w:cs="Arial"/>
        </w:rPr>
        <w:t xml:space="preserve">Moreover, the political instability and sanctions in some areas increase the risks of international assignments, and the long-term consequences of the COVID-19 pandemic changed the expectations of the workplace forever. Remote work is a trend that was developed as an emergency response (Sukanti, Harto and Pramuditha, 2021). But it has become a strategic standard and demands HRM and IHRM to redesign safety systems, models of hybrid work, and employee well-being. The need </w:t>
      </w:r>
      <w:r w:rsidRPr="00EB5DEB">
        <w:rPr>
          <w:rFonts w:ascii="Arial" w:hAnsi="Arial" w:cs="Arial"/>
        </w:rPr>
        <w:lastRenderedPageBreak/>
        <w:t>to have a resilience and crisis management strategy in HR structures has been highlighted by global health crises.</w:t>
      </w:r>
    </w:p>
    <w:p w14:paraId="0E9F6B9C" w14:textId="77777777" w:rsidR="00B644D4" w:rsidRPr="00EB5DEB" w:rsidRDefault="00B644D4" w:rsidP="00B644D4">
      <w:pPr>
        <w:rPr>
          <w:rFonts w:ascii="Arial" w:hAnsi="Arial" w:cs="Arial"/>
        </w:rPr>
      </w:pPr>
    </w:p>
    <w:p w14:paraId="14EFE583" w14:textId="6E3A879D" w:rsidR="00B644D4" w:rsidRPr="00EB5DEB" w:rsidRDefault="00B644D4" w:rsidP="00B644D4">
      <w:pPr>
        <w:pStyle w:val="Heading2"/>
        <w:rPr>
          <w:rFonts w:ascii="Arial" w:hAnsi="Arial" w:cs="Arial"/>
        </w:rPr>
      </w:pPr>
      <w:bookmarkStart w:id="8" w:name="_Toc213734009"/>
      <w:r w:rsidRPr="00EB5DEB">
        <w:rPr>
          <w:rFonts w:ascii="Arial" w:hAnsi="Arial" w:cs="Arial"/>
        </w:rPr>
        <w:t>Challenges for HR Professionals</w:t>
      </w:r>
      <w:bookmarkEnd w:id="8"/>
    </w:p>
    <w:p w14:paraId="5244A203" w14:textId="7369D567" w:rsidR="00B644D4" w:rsidRPr="00EB5DEB" w:rsidRDefault="00B644D4" w:rsidP="00B644D4">
      <w:pPr>
        <w:rPr>
          <w:rFonts w:ascii="Arial" w:hAnsi="Arial" w:cs="Arial"/>
        </w:rPr>
      </w:pPr>
      <w:r w:rsidRPr="00EB5DEB">
        <w:rPr>
          <w:rFonts w:ascii="Arial" w:hAnsi="Arial" w:cs="Arial"/>
        </w:rPr>
        <w:t xml:space="preserve">These geopolitical and demographic realities become operational issues for HR managers. To guarantee adherence to multi-jurisdictional labour laws, it is necessary to constantly monitor the policies and interact with the lawyers. Dealing with a cross-cultural and remote workforce requires a high level of communication and emotional intelligence skills. </w:t>
      </w:r>
      <w:r w:rsidR="00B46C26" w:rsidRPr="00EB5DEB">
        <w:rPr>
          <w:rFonts w:ascii="Arial" w:hAnsi="Arial" w:cs="Arial"/>
        </w:rPr>
        <w:t>Moreover, the Human Resources department ought to define care and crisis-response measures responsibilities in order to protect expatriates and mobile workers in unstable regions.</w:t>
      </w:r>
      <w:r w:rsidRPr="00EB5DEB">
        <w:rPr>
          <w:rFonts w:ascii="Arial" w:hAnsi="Arial" w:cs="Arial"/>
        </w:rPr>
        <w:t xml:space="preserve"> </w:t>
      </w:r>
      <w:r w:rsidR="00705A87" w:rsidRPr="00EB5DEB">
        <w:rPr>
          <w:rFonts w:ascii="Arial" w:hAnsi="Arial" w:cs="Arial"/>
        </w:rPr>
        <w:t>This will require the ability to reconcile international uniformity with regional sensitivity. The core of effective international human resource management is provided by occupancy because it helps organisations to react to demographic changes and geopolitical instability (Darwish et al., 2024).</w:t>
      </w:r>
    </w:p>
    <w:p w14:paraId="2E083B9C" w14:textId="77777777" w:rsidR="00B644D4" w:rsidRPr="00EB5DEB" w:rsidRDefault="00B644D4" w:rsidP="00B644D4">
      <w:pPr>
        <w:rPr>
          <w:rFonts w:ascii="Arial" w:hAnsi="Arial" w:cs="Arial"/>
        </w:rPr>
      </w:pPr>
      <w:r w:rsidRPr="00EB5DEB">
        <w:rPr>
          <w:rFonts w:ascii="Arial" w:hAnsi="Arial" w:cs="Arial"/>
        </w:rPr>
        <w:br/>
      </w:r>
      <w:r w:rsidRPr="00EB5DEB">
        <w:rPr>
          <w:rFonts w:ascii="Arial" w:hAnsi="Arial" w:cs="Arial"/>
        </w:rPr>
        <w:br/>
      </w:r>
      <w:r w:rsidRPr="00EB5DEB">
        <w:rPr>
          <w:rFonts w:ascii="Arial" w:hAnsi="Arial" w:cs="Arial"/>
        </w:rPr>
        <w:br/>
      </w:r>
    </w:p>
    <w:p w14:paraId="0CE3A671" w14:textId="24F86C26" w:rsidR="00B644D4" w:rsidRPr="00EB5DEB" w:rsidRDefault="00B644D4" w:rsidP="00B644D4">
      <w:pPr>
        <w:pStyle w:val="Heading1"/>
        <w:rPr>
          <w:rFonts w:ascii="Arial" w:hAnsi="Arial" w:cs="Arial"/>
        </w:rPr>
      </w:pPr>
      <w:bookmarkStart w:id="9" w:name="_Toc213734010"/>
      <w:r w:rsidRPr="00EB5DEB">
        <w:rPr>
          <w:rFonts w:ascii="Arial" w:hAnsi="Arial" w:cs="Arial"/>
        </w:rPr>
        <w:t>Addressing Skills Gaps through Strategic HRM</w:t>
      </w:r>
      <w:bookmarkEnd w:id="9"/>
    </w:p>
    <w:p w14:paraId="1474FD91" w14:textId="495F75E4" w:rsidR="00B644D4" w:rsidRPr="00EB5DEB" w:rsidRDefault="00B644D4" w:rsidP="00B644D4">
      <w:pPr>
        <w:pStyle w:val="Heading2"/>
        <w:rPr>
          <w:rFonts w:ascii="Arial" w:hAnsi="Arial" w:cs="Arial"/>
        </w:rPr>
      </w:pPr>
      <w:bookmarkStart w:id="10" w:name="_Toc213734011"/>
      <w:r w:rsidRPr="00EB5DEB">
        <w:rPr>
          <w:rFonts w:ascii="Arial" w:hAnsi="Arial" w:cs="Arial"/>
        </w:rPr>
        <w:t>Understanding the Causes</w:t>
      </w:r>
      <w:bookmarkEnd w:id="10"/>
    </w:p>
    <w:p w14:paraId="67306636" w14:textId="1B7F711C" w:rsidR="00B644D4" w:rsidRPr="00EB5DEB" w:rsidRDefault="00A50202" w:rsidP="00B644D4">
      <w:pPr>
        <w:rPr>
          <w:rFonts w:ascii="Arial" w:hAnsi="Arial" w:cs="Arial"/>
        </w:rPr>
      </w:pPr>
      <w:r w:rsidRPr="00EB5DEB">
        <w:rPr>
          <w:rFonts w:ascii="Arial" w:hAnsi="Arial" w:cs="Arial"/>
        </w:rPr>
        <w:t xml:space="preserve">According to the study of Darwish </w:t>
      </w:r>
      <w:r w:rsidRPr="00EB5DEB">
        <w:rPr>
          <w:rFonts w:ascii="Arial" w:hAnsi="Arial" w:cs="Arial"/>
          <w:i/>
          <w:iCs/>
        </w:rPr>
        <w:t>et al.</w:t>
      </w:r>
      <w:r w:rsidRPr="00EB5DEB">
        <w:rPr>
          <w:rFonts w:ascii="Arial" w:hAnsi="Arial" w:cs="Arial"/>
        </w:rPr>
        <w:t xml:space="preserve"> (2024)</w:t>
      </w:r>
      <w:r w:rsidR="00B644D4" w:rsidRPr="00EB5DEB">
        <w:rPr>
          <w:rFonts w:ascii="Arial" w:hAnsi="Arial" w:cs="Arial"/>
        </w:rPr>
        <w:t xml:space="preserve"> Global Talent Shortage Survey indicates that 75% of employers experience challenges with vacancies, the highest rate in more than 10 years.</w:t>
      </w:r>
      <w:r w:rsidRPr="00EB5DEB">
        <w:rPr>
          <w:rFonts w:ascii="Arial" w:hAnsi="Arial" w:cs="Arial"/>
        </w:rPr>
        <w:t xml:space="preserve"> He also found that skill shortage is a major challenge worldwide, which threatens productivity and innovation in industries. </w:t>
      </w:r>
      <w:r w:rsidR="00B644D4" w:rsidRPr="00EB5DEB">
        <w:rPr>
          <w:rFonts w:ascii="Arial" w:hAnsi="Arial" w:cs="Arial"/>
        </w:rPr>
        <w:t xml:space="preserve"> The main reason is the mismatch between the industry’s needs and education. Many learning institutions keep producing people who are not equipped with the practical or digital skills needed in modern workplaces (Jesuthasan and Boudreau, 2022). The rapid technological disruption is another factor that increases this gap and constantly reinvents the job roles and requiring new skills. Lack of a strong culture of lifelong </w:t>
      </w:r>
      <w:r w:rsidR="00B644D4" w:rsidRPr="00EB5DEB">
        <w:rPr>
          <w:rFonts w:ascii="Arial" w:hAnsi="Arial" w:cs="Arial"/>
        </w:rPr>
        <w:lastRenderedPageBreak/>
        <w:t>learning also limits flexibility as workforces are not ready to undergo a state of constant change.</w:t>
      </w:r>
    </w:p>
    <w:p w14:paraId="46CE0AD8" w14:textId="0DFCA0C3" w:rsidR="00B644D4" w:rsidRPr="00EB5DEB" w:rsidRDefault="00B644D4" w:rsidP="00B644D4">
      <w:pPr>
        <w:pStyle w:val="Heading2"/>
        <w:rPr>
          <w:rFonts w:ascii="Arial" w:hAnsi="Arial" w:cs="Arial"/>
        </w:rPr>
      </w:pPr>
      <w:bookmarkStart w:id="11" w:name="_Toc213734012"/>
      <w:r w:rsidRPr="00EB5DEB">
        <w:rPr>
          <w:rFonts w:ascii="Arial" w:hAnsi="Arial" w:cs="Arial"/>
        </w:rPr>
        <w:t>4.2 Strategic HRM Responses (Build–Buy–Borrow–Bond Framework)</w:t>
      </w:r>
      <w:bookmarkEnd w:id="11"/>
    </w:p>
    <w:p w14:paraId="5E45601E" w14:textId="3E8059EF" w:rsidR="00B644D4" w:rsidRPr="00EB5DEB" w:rsidRDefault="00B644D4" w:rsidP="00B644D4">
      <w:pPr>
        <w:rPr>
          <w:rFonts w:ascii="Arial" w:hAnsi="Arial" w:cs="Arial"/>
        </w:rPr>
      </w:pPr>
      <w:r w:rsidRPr="00EB5DEB">
        <w:rPr>
          <w:rFonts w:ascii="Arial" w:hAnsi="Arial" w:cs="Arial"/>
        </w:rPr>
        <w:t>The HR leaders are required to take a multi-dimensional approach where they are strategic in responding to the current demands, as prescribed by Cappelli (2008) in his Talent on Demand model.</w:t>
      </w:r>
    </w:p>
    <w:p w14:paraId="24D0A2EE" w14:textId="5964D776" w:rsidR="00B644D4" w:rsidRPr="00EB5DEB" w:rsidRDefault="00B644D4" w:rsidP="00B644D4">
      <w:pPr>
        <w:keepNext/>
        <w:jc w:val="center"/>
        <w:rPr>
          <w:rFonts w:ascii="Arial" w:hAnsi="Arial" w:cs="Arial"/>
        </w:rPr>
      </w:pPr>
      <w:r w:rsidRPr="00EB5DEB">
        <w:rPr>
          <w:rFonts w:ascii="Arial" w:hAnsi="Arial" w:cs="Arial"/>
        </w:rPr>
        <w:fldChar w:fldCharType="begin"/>
      </w:r>
      <w:r w:rsidR="004A3EC5">
        <w:rPr>
          <w:rFonts w:ascii="Arial" w:hAnsi="Arial" w:cs="Arial"/>
        </w:rPr>
        <w:instrText xml:space="preserve"> INCLUDEPICTURE "C:\\Users\\ijtehad\\Library\\Group Containers\\UBF8T346G9.ms\\WebArchiveCopyPasteTempFiles\\com.microsoft.Word\\the-4-Bs-680x476.jpg" \* MERGEFORMAT </w:instrText>
      </w:r>
      <w:r w:rsidRPr="00EB5DEB">
        <w:rPr>
          <w:rFonts w:ascii="Arial" w:hAnsi="Arial" w:cs="Arial"/>
        </w:rPr>
        <w:fldChar w:fldCharType="separate"/>
      </w:r>
      <w:r w:rsidRPr="00EB5DEB">
        <w:rPr>
          <w:rFonts w:ascii="Arial" w:hAnsi="Arial" w:cs="Arial"/>
          <w:noProof/>
        </w:rPr>
        <w:drawing>
          <wp:inline distT="0" distB="0" distL="0" distR="0" wp14:anchorId="57B15DCE" wp14:editId="3CAA8477">
            <wp:extent cx="4152912" cy="2906486"/>
            <wp:effectExtent l="0" t="0" r="0" b="1905"/>
            <wp:docPr id="369505489" name="Picture 1" descr="The 4b talent framework - Management trends - CHRO I by IM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4b talent framework - Management trends - CHRO I by IM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3539" cy="2913923"/>
                    </a:xfrm>
                    <a:prstGeom prst="rect">
                      <a:avLst/>
                    </a:prstGeom>
                    <a:noFill/>
                    <a:ln>
                      <a:noFill/>
                    </a:ln>
                  </pic:spPr>
                </pic:pic>
              </a:graphicData>
            </a:graphic>
          </wp:inline>
        </w:drawing>
      </w:r>
      <w:r w:rsidRPr="00EB5DEB">
        <w:rPr>
          <w:rFonts w:ascii="Arial" w:hAnsi="Arial" w:cs="Arial"/>
        </w:rPr>
        <w:fldChar w:fldCharType="end"/>
      </w:r>
    </w:p>
    <w:p w14:paraId="1E6DEDD1" w14:textId="29FFADFD" w:rsidR="00B644D4" w:rsidRPr="00EB5DEB" w:rsidRDefault="00B644D4" w:rsidP="00B644D4">
      <w:pPr>
        <w:pStyle w:val="Caption"/>
        <w:rPr>
          <w:rFonts w:ascii="Arial" w:hAnsi="Arial" w:cs="Arial"/>
          <w:lang w:val="en-US"/>
        </w:rPr>
      </w:pPr>
      <w:r w:rsidRPr="00EB5DEB">
        <w:rPr>
          <w:rFonts w:ascii="Arial" w:hAnsi="Arial" w:cs="Arial"/>
        </w:rPr>
        <w:t xml:space="preserve">Table </w:t>
      </w:r>
      <w:r w:rsidRPr="00EB5DEB">
        <w:rPr>
          <w:rFonts w:ascii="Arial" w:hAnsi="Arial" w:cs="Arial"/>
        </w:rPr>
        <w:fldChar w:fldCharType="begin"/>
      </w:r>
      <w:r w:rsidRPr="00EB5DEB">
        <w:rPr>
          <w:rFonts w:ascii="Arial" w:hAnsi="Arial" w:cs="Arial"/>
        </w:rPr>
        <w:instrText xml:space="preserve"> SEQ Table \* ARABIC </w:instrText>
      </w:r>
      <w:r w:rsidRPr="00EB5DEB">
        <w:rPr>
          <w:rFonts w:ascii="Arial" w:hAnsi="Arial" w:cs="Arial"/>
        </w:rPr>
        <w:fldChar w:fldCharType="separate"/>
      </w:r>
      <w:r w:rsidRPr="00EB5DEB">
        <w:rPr>
          <w:rFonts w:ascii="Arial" w:hAnsi="Arial" w:cs="Arial"/>
        </w:rPr>
        <w:t>1</w:t>
      </w:r>
      <w:r w:rsidRPr="00EB5DEB">
        <w:rPr>
          <w:rFonts w:ascii="Arial" w:hAnsi="Arial" w:cs="Arial"/>
        </w:rPr>
        <w:fldChar w:fldCharType="end"/>
      </w:r>
      <w:r w:rsidRPr="00EB5DEB">
        <w:rPr>
          <w:rFonts w:ascii="Arial" w:hAnsi="Arial" w:cs="Arial"/>
          <w:lang w:val="en-US"/>
        </w:rPr>
        <w:t xml:space="preserve">: Build–Buy–Borrow–Bond Framework </w:t>
      </w:r>
    </w:p>
    <w:p w14:paraId="10438F28" w14:textId="4B7421CD" w:rsidR="00B644D4" w:rsidRPr="00EB5DEB" w:rsidRDefault="00B644D4" w:rsidP="00B644D4">
      <w:pPr>
        <w:pStyle w:val="Caption"/>
        <w:rPr>
          <w:rFonts w:ascii="Arial" w:hAnsi="Arial" w:cs="Arial"/>
        </w:rPr>
      </w:pPr>
      <w:r w:rsidRPr="00EB5DEB">
        <w:rPr>
          <w:rFonts w:ascii="Arial" w:hAnsi="Arial" w:cs="Arial"/>
          <w:lang w:val="en-US"/>
        </w:rPr>
        <w:t xml:space="preserve">Source: </w:t>
      </w:r>
      <w:r w:rsidRPr="00EB5DEB">
        <w:rPr>
          <w:rFonts w:ascii="Arial" w:hAnsi="Arial" w:cs="Arial"/>
        </w:rPr>
        <w:t>(Malik et al., 2022)</w:t>
      </w:r>
    </w:p>
    <w:p w14:paraId="60E9D04E" w14:textId="5D070E46" w:rsidR="00B644D4" w:rsidRPr="00EB5DEB" w:rsidRDefault="00B644D4" w:rsidP="00B644D4">
      <w:pPr>
        <w:rPr>
          <w:rFonts w:ascii="Arial" w:hAnsi="Arial" w:cs="Arial"/>
        </w:rPr>
      </w:pPr>
      <w:r w:rsidRPr="00EB5DEB">
        <w:rPr>
          <w:rFonts w:ascii="Arial" w:hAnsi="Arial" w:cs="Arial"/>
          <w:b/>
          <w:bCs/>
        </w:rPr>
        <w:t>Build:</w:t>
      </w:r>
      <w:r w:rsidRPr="00EB5DEB">
        <w:rPr>
          <w:rFonts w:ascii="Arial" w:hAnsi="Arial" w:cs="Arial"/>
        </w:rPr>
        <w:t xml:space="preserve"> Sustainable capability is established by developing talent within the organisation through well-organised Learning and Development (L&amp;D) programmes, mentoring, and online academies (Ključnikov, Popkova and Sergi, 2023). Micro-learning, e-learning platforms, and AI-based analytics assist in individualising development to the needs of each person, which encourages steady professional growth.</w:t>
      </w:r>
    </w:p>
    <w:p w14:paraId="7D9B2225" w14:textId="72BB7535" w:rsidR="00B644D4" w:rsidRPr="00EB5DEB" w:rsidRDefault="00B644D4" w:rsidP="00B644D4">
      <w:pPr>
        <w:rPr>
          <w:rFonts w:ascii="Arial" w:hAnsi="Arial" w:cs="Arial"/>
        </w:rPr>
      </w:pPr>
      <w:r w:rsidRPr="00EB5DEB">
        <w:rPr>
          <w:rFonts w:ascii="Arial" w:hAnsi="Arial" w:cs="Arial"/>
          <w:b/>
          <w:bCs/>
        </w:rPr>
        <w:t>Buy:</w:t>
      </w:r>
      <w:r w:rsidRPr="00EB5DEB">
        <w:rPr>
          <w:rFonts w:ascii="Arial" w:hAnsi="Arial" w:cs="Arial"/>
        </w:rPr>
        <w:t xml:space="preserve"> Procuring new talent is also necessary to fulfil short-term needs. Hiring instruments and employer branding via strategic employer branding will help in attracting candidates who meet technical and cultural fit requirements (Malik </w:t>
      </w:r>
      <w:r w:rsidRPr="00EB5DEB">
        <w:rPr>
          <w:rFonts w:ascii="Arial" w:hAnsi="Arial" w:cs="Arial"/>
          <w:i/>
          <w:iCs/>
        </w:rPr>
        <w:t>et al.</w:t>
      </w:r>
      <w:r w:rsidRPr="00EB5DEB">
        <w:rPr>
          <w:rFonts w:ascii="Arial" w:hAnsi="Arial" w:cs="Arial"/>
        </w:rPr>
        <w:t xml:space="preserve">, </w:t>
      </w:r>
      <w:r w:rsidRPr="00EB5DEB">
        <w:rPr>
          <w:rFonts w:ascii="Arial" w:hAnsi="Arial" w:cs="Arial"/>
        </w:rPr>
        <w:lastRenderedPageBreak/>
        <w:t>2022). Success in a tight labour market is enhanced by competitive compensation and diversity programmes, as well as global sourcing strategies.</w:t>
      </w:r>
    </w:p>
    <w:p w14:paraId="36F89647" w14:textId="1C8C7408" w:rsidR="00B644D4" w:rsidRPr="00EB5DEB" w:rsidRDefault="00B644D4" w:rsidP="00B644D4">
      <w:pPr>
        <w:rPr>
          <w:rFonts w:ascii="Arial" w:hAnsi="Arial" w:cs="Arial"/>
        </w:rPr>
      </w:pPr>
      <w:r w:rsidRPr="00EB5DEB">
        <w:rPr>
          <w:rFonts w:ascii="Arial" w:hAnsi="Arial" w:cs="Arial"/>
          <w:b/>
          <w:bCs/>
        </w:rPr>
        <w:t>Borrow:</w:t>
      </w:r>
      <w:r w:rsidRPr="00EB5DEB">
        <w:rPr>
          <w:rFonts w:ascii="Arial" w:hAnsi="Arial" w:cs="Arial"/>
        </w:rPr>
        <w:t xml:space="preserve"> Organisations are collaborating more and more with consultants, freelancers, and gig employees in order to tap into the expertise of demand specialists. This agile model facilitates lowering expenses and enhancing innovation, besides sustaining agility amid uncertainties (Szeiner </w:t>
      </w:r>
      <w:r w:rsidRPr="00EB5DEB">
        <w:rPr>
          <w:rFonts w:ascii="Arial" w:hAnsi="Arial" w:cs="Arial"/>
          <w:i/>
          <w:iCs/>
        </w:rPr>
        <w:t>et al.</w:t>
      </w:r>
      <w:r w:rsidRPr="00EB5DEB">
        <w:rPr>
          <w:rFonts w:ascii="Arial" w:hAnsi="Arial" w:cs="Arial"/>
        </w:rPr>
        <w:t>, 2023). It, however, demands strong contractual management and assimilation to bring about cohesion.</w:t>
      </w:r>
    </w:p>
    <w:p w14:paraId="79A9F110" w14:textId="0EFADAEE" w:rsidR="00B644D4" w:rsidRPr="00EB5DEB" w:rsidRDefault="00B644D4" w:rsidP="00B644D4">
      <w:pPr>
        <w:rPr>
          <w:rFonts w:ascii="Arial" w:hAnsi="Arial" w:cs="Arial"/>
        </w:rPr>
      </w:pPr>
      <w:r w:rsidRPr="00EB5DEB">
        <w:rPr>
          <w:rFonts w:ascii="Arial" w:hAnsi="Arial" w:cs="Arial"/>
          <w:b/>
          <w:bCs/>
        </w:rPr>
        <w:t>Bond:</w:t>
      </w:r>
      <w:r w:rsidRPr="00EB5DEB">
        <w:rPr>
          <w:rFonts w:ascii="Arial" w:hAnsi="Arial" w:cs="Arial"/>
        </w:rPr>
        <w:t xml:space="preserve"> Stability is essential in the long term, which requires retention and involvement. To retain high performers, HR needs to develop career paths, inclusive leadership, and psychological safety (Lee and Szkudlarek, 2021). The employee satisfaction and loyalty are also boosted with recognition programmes, job rotation and hybrid working arrangements.</w:t>
      </w:r>
    </w:p>
    <w:p w14:paraId="0791F9C3" w14:textId="77777777" w:rsidR="00B644D4" w:rsidRPr="00EB5DEB" w:rsidRDefault="00B644D4" w:rsidP="00B644D4">
      <w:pPr>
        <w:rPr>
          <w:rFonts w:ascii="Arial" w:hAnsi="Arial" w:cs="Arial"/>
        </w:rPr>
      </w:pPr>
    </w:p>
    <w:p w14:paraId="06276690" w14:textId="77777777" w:rsidR="00B644D4" w:rsidRPr="00EB5DEB" w:rsidRDefault="00B644D4" w:rsidP="00B644D4">
      <w:pPr>
        <w:pStyle w:val="Heading2"/>
        <w:rPr>
          <w:rFonts w:ascii="Arial" w:hAnsi="Arial" w:cs="Arial"/>
        </w:rPr>
      </w:pPr>
      <w:bookmarkStart w:id="12" w:name="_Toc213734013"/>
      <w:r w:rsidRPr="00EB5DEB">
        <w:rPr>
          <w:rFonts w:ascii="Arial" w:hAnsi="Arial" w:cs="Arial"/>
        </w:rPr>
        <w:t>4.3 Sector-Specific Applications</w:t>
      </w:r>
      <w:bookmarkEnd w:id="12"/>
    </w:p>
    <w:p w14:paraId="3096690C" w14:textId="3E14FB1B" w:rsidR="00B644D4" w:rsidRPr="00EB5DEB" w:rsidRDefault="00B644D4" w:rsidP="00B644D4">
      <w:pPr>
        <w:rPr>
          <w:rFonts w:ascii="Arial" w:hAnsi="Arial" w:cs="Arial"/>
        </w:rPr>
      </w:pPr>
      <w:r w:rsidRPr="00EB5DEB">
        <w:rPr>
          <w:rFonts w:ascii="Arial" w:hAnsi="Arial" w:cs="Arial"/>
        </w:rPr>
        <w:t>Google and IBM are technological companies that solve the shortage issue by organising an internal bootcamp program and collaborating with online educational courses, a blend of build and borrow. Relocation support and career progression plans are good examples of the buy and bond strategies in healthcare recruitment and retention. Post-pandemic attrition in the hospitality industry is extremely high, so employers embark on internal branding and use programmes of management training to replenish workforce pipelines (Jesuthasan and Boudreau, 2022). Eventually, strategic integration of Build-Buy-Borrow-Bond allows organisations to strike the right balance between immediate requirements of hiring and long-term staffing. The HR role has now become strategic as opposed to being administrative, as the human capital is now the core of organisational resilience and competitive advantage in the global talent economy.</w:t>
      </w:r>
    </w:p>
    <w:p w14:paraId="5980DE85" w14:textId="77777777" w:rsidR="00B644D4" w:rsidRPr="00EB5DEB" w:rsidRDefault="00B644D4" w:rsidP="00B644D4">
      <w:pPr>
        <w:rPr>
          <w:rFonts w:ascii="Arial" w:hAnsi="Arial" w:cs="Arial"/>
        </w:rPr>
      </w:pPr>
    </w:p>
    <w:p w14:paraId="1548B6D2" w14:textId="7ADF099E" w:rsidR="00B644D4" w:rsidRPr="00EB5DEB" w:rsidRDefault="00B644D4" w:rsidP="00B644D4">
      <w:pPr>
        <w:pStyle w:val="Heading1"/>
        <w:rPr>
          <w:rFonts w:ascii="Arial" w:hAnsi="Arial" w:cs="Arial"/>
        </w:rPr>
      </w:pPr>
      <w:bookmarkStart w:id="13" w:name="_Toc213734014"/>
      <w:r w:rsidRPr="00EB5DEB">
        <w:rPr>
          <w:rFonts w:ascii="Arial" w:hAnsi="Arial" w:cs="Arial"/>
        </w:rPr>
        <w:lastRenderedPageBreak/>
        <w:t>Reflective Analysis: Readiness for the Global and Digital Workplace</w:t>
      </w:r>
      <w:bookmarkEnd w:id="13"/>
    </w:p>
    <w:p w14:paraId="219A5861" w14:textId="77777777" w:rsidR="00B644D4" w:rsidRPr="00EB5DEB" w:rsidRDefault="00B644D4" w:rsidP="00B644D4">
      <w:pPr>
        <w:pStyle w:val="Heading2"/>
        <w:rPr>
          <w:rFonts w:ascii="Arial" w:hAnsi="Arial" w:cs="Arial"/>
        </w:rPr>
      </w:pPr>
      <w:bookmarkStart w:id="14" w:name="_Toc213734015"/>
      <w:r w:rsidRPr="00EB5DEB">
        <w:rPr>
          <w:rFonts w:ascii="Arial" w:hAnsi="Arial" w:cs="Arial"/>
        </w:rPr>
        <w:t>Introduction</w:t>
      </w:r>
      <w:bookmarkEnd w:id="14"/>
    </w:p>
    <w:p w14:paraId="393D3CA8" w14:textId="77777777" w:rsidR="00B644D4" w:rsidRPr="00EB5DEB" w:rsidRDefault="00B644D4" w:rsidP="00B644D4">
      <w:pPr>
        <w:rPr>
          <w:rFonts w:ascii="Arial" w:hAnsi="Arial" w:cs="Arial"/>
        </w:rPr>
      </w:pPr>
      <w:r w:rsidRPr="00EB5DEB">
        <w:rPr>
          <w:rFonts w:ascii="Arial" w:hAnsi="Arial" w:cs="Arial"/>
        </w:rPr>
        <w:t>Reflective practice is a basic process of maintaining professional growth, especially in the globalised and technology-driven business environment. Using the Reflective Cycle (1988) of Gibbs as a framework, this reflection looks into my learning experiences in five key areas, namely technology, communication, teamwork, leadership, and self-directed learning, as a result of MBA group and research projects.</w:t>
      </w:r>
    </w:p>
    <w:p w14:paraId="5B8B6A28" w14:textId="4C05F0C6" w:rsidR="00B644D4" w:rsidRPr="00EB5DEB" w:rsidRDefault="00B644D4" w:rsidP="00B644D4">
      <w:pPr>
        <w:keepNext/>
        <w:jc w:val="center"/>
        <w:rPr>
          <w:rFonts w:ascii="Arial" w:hAnsi="Arial" w:cs="Arial"/>
        </w:rPr>
      </w:pPr>
      <w:r w:rsidRPr="00EB5DEB">
        <w:rPr>
          <w:rFonts w:ascii="Arial" w:hAnsi="Arial" w:cs="Arial"/>
        </w:rPr>
        <w:fldChar w:fldCharType="begin"/>
      </w:r>
      <w:r w:rsidR="004A3EC5">
        <w:rPr>
          <w:rFonts w:ascii="Arial" w:hAnsi="Arial" w:cs="Arial"/>
        </w:rPr>
        <w:instrText xml:space="preserve"> INCLUDEPICTURE "C:\\Users\\ijtehad\\Library\\Group Containers\\UBF8T346G9.ms\\WebArchiveCopyPasteTempFiles\\com.microsoft.Word\\gibbs_reflective_cycle.png" \* MERGEFORMAT </w:instrText>
      </w:r>
      <w:r w:rsidRPr="00EB5DEB">
        <w:rPr>
          <w:rFonts w:ascii="Arial" w:hAnsi="Arial" w:cs="Arial"/>
        </w:rPr>
        <w:fldChar w:fldCharType="separate"/>
      </w:r>
      <w:r w:rsidRPr="00EB5DEB">
        <w:rPr>
          <w:rFonts w:ascii="Arial" w:hAnsi="Arial" w:cs="Arial"/>
          <w:noProof/>
        </w:rPr>
        <w:drawing>
          <wp:inline distT="0" distB="0" distL="0" distR="0" wp14:anchorId="37F8E8C8" wp14:editId="6B9DD617">
            <wp:extent cx="3672755" cy="3646967"/>
            <wp:effectExtent l="0" t="0" r="0" b="0"/>
            <wp:docPr id="743908521" name="Picture 2"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Crowe Associ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46862" cy="3720554"/>
                    </a:xfrm>
                    <a:prstGeom prst="rect">
                      <a:avLst/>
                    </a:prstGeom>
                    <a:noFill/>
                    <a:ln>
                      <a:noFill/>
                    </a:ln>
                  </pic:spPr>
                </pic:pic>
              </a:graphicData>
            </a:graphic>
          </wp:inline>
        </w:drawing>
      </w:r>
      <w:r w:rsidRPr="00EB5DEB">
        <w:rPr>
          <w:rFonts w:ascii="Arial" w:hAnsi="Arial" w:cs="Arial"/>
        </w:rPr>
        <w:fldChar w:fldCharType="end"/>
      </w:r>
    </w:p>
    <w:p w14:paraId="3E38C0D2" w14:textId="01E9BD4A" w:rsidR="00B644D4" w:rsidRPr="00EB5DEB" w:rsidRDefault="00B644D4" w:rsidP="00B644D4">
      <w:pPr>
        <w:pStyle w:val="Caption"/>
        <w:rPr>
          <w:rFonts w:ascii="Arial" w:hAnsi="Arial" w:cs="Arial"/>
          <w:lang w:val="en-US"/>
        </w:rPr>
      </w:pPr>
      <w:r w:rsidRPr="00EB5DEB">
        <w:rPr>
          <w:rFonts w:ascii="Arial" w:hAnsi="Arial" w:cs="Arial"/>
        </w:rPr>
        <w:t xml:space="preserve">Table </w:t>
      </w:r>
      <w:r w:rsidRPr="00EB5DEB">
        <w:rPr>
          <w:rFonts w:ascii="Arial" w:hAnsi="Arial" w:cs="Arial"/>
        </w:rPr>
        <w:fldChar w:fldCharType="begin"/>
      </w:r>
      <w:r w:rsidRPr="00EB5DEB">
        <w:rPr>
          <w:rFonts w:ascii="Arial" w:hAnsi="Arial" w:cs="Arial"/>
        </w:rPr>
        <w:instrText xml:space="preserve"> SEQ Table \* ARABIC </w:instrText>
      </w:r>
      <w:r w:rsidRPr="00EB5DEB">
        <w:rPr>
          <w:rFonts w:ascii="Arial" w:hAnsi="Arial" w:cs="Arial"/>
        </w:rPr>
        <w:fldChar w:fldCharType="separate"/>
      </w:r>
      <w:r w:rsidRPr="00EB5DEB">
        <w:rPr>
          <w:rFonts w:ascii="Arial" w:hAnsi="Arial" w:cs="Arial"/>
        </w:rPr>
        <w:t>2</w:t>
      </w:r>
      <w:r w:rsidRPr="00EB5DEB">
        <w:rPr>
          <w:rFonts w:ascii="Arial" w:hAnsi="Arial" w:cs="Arial"/>
        </w:rPr>
        <w:fldChar w:fldCharType="end"/>
      </w:r>
      <w:r w:rsidRPr="00EB5DEB">
        <w:rPr>
          <w:rFonts w:ascii="Arial" w:hAnsi="Arial" w:cs="Arial"/>
          <w:lang w:val="en-US"/>
        </w:rPr>
        <w:t>: Gibbs’ Reflective Cycle</w:t>
      </w:r>
    </w:p>
    <w:p w14:paraId="7D4CD471" w14:textId="212B1A3B" w:rsidR="00B644D4" w:rsidRPr="00EB5DEB" w:rsidRDefault="00B644D4" w:rsidP="00B644D4">
      <w:pPr>
        <w:pStyle w:val="Caption"/>
        <w:rPr>
          <w:rFonts w:ascii="Arial" w:hAnsi="Arial" w:cs="Arial"/>
        </w:rPr>
      </w:pPr>
      <w:r w:rsidRPr="00EB5DEB">
        <w:rPr>
          <w:rFonts w:ascii="Arial" w:hAnsi="Arial" w:cs="Arial"/>
          <w:lang w:val="en-US"/>
        </w:rPr>
        <w:t xml:space="preserve">Source: </w:t>
      </w:r>
      <w:r w:rsidRPr="00EB5DEB">
        <w:rPr>
          <w:rFonts w:ascii="Arial" w:hAnsi="Arial" w:cs="Arial"/>
        </w:rPr>
        <w:t>(Kane et al., 2020)</w:t>
      </w:r>
    </w:p>
    <w:p w14:paraId="077EE3F9" w14:textId="77777777" w:rsidR="00B644D4" w:rsidRPr="00EB5DEB" w:rsidRDefault="00B644D4" w:rsidP="00B644D4">
      <w:pPr>
        <w:pStyle w:val="Heading2"/>
        <w:rPr>
          <w:rFonts w:ascii="Arial" w:hAnsi="Arial" w:cs="Arial"/>
        </w:rPr>
      </w:pPr>
      <w:bookmarkStart w:id="15" w:name="_Toc213734016"/>
      <w:r w:rsidRPr="00EB5DEB">
        <w:rPr>
          <w:rFonts w:ascii="Arial" w:hAnsi="Arial" w:cs="Arial"/>
        </w:rPr>
        <w:t>Description</w:t>
      </w:r>
      <w:bookmarkEnd w:id="15"/>
    </w:p>
    <w:p w14:paraId="547E0615" w14:textId="11EE1D40" w:rsidR="00B644D4" w:rsidRPr="00EB5DEB" w:rsidRDefault="00B46C26" w:rsidP="00B644D4">
      <w:pPr>
        <w:rPr>
          <w:rFonts w:ascii="Arial" w:hAnsi="Arial" w:cs="Arial"/>
        </w:rPr>
      </w:pPr>
      <w:r w:rsidRPr="00EB5DEB">
        <w:rPr>
          <w:rFonts w:ascii="Arial" w:hAnsi="Arial" w:cs="Arial"/>
        </w:rPr>
        <w:t xml:space="preserve">In the semester, I was enrolled in a multicultural team where I was required to create a research report on human capital management. Cooperation was supported through Microsoft Teams, Google Workspace, and various AI tools in the workspace-related tools, which were used to ideate and organise the tasks. It included data analysis and </w:t>
      </w:r>
      <w:r w:rsidRPr="00EB5DEB">
        <w:rPr>
          <w:rFonts w:ascii="Arial" w:hAnsi="Arial" w:cs="Arial"/>
        </w:rPr>
        <w:lastRenderedPageBreak/>
        <w:t>development of the digital human resources strategy segment as part of the project (</w:t>
      </w:r>
      <w:proofErr w:type="spellStart"/>
      <w:r w:rsidRPr="00EB5DEB">
        <w:rPr>
          <w:rFonts w:ascii="Arial" w:hAnsi="Arial" w:cs="Arial"/>
        </w:rPr>
        <w:t>Jesuthasan</w:t>
      </w:r>
      <w:proofErr w:type="spellEnd"/>
      <w:r w:rsidRPr="00EB5DEB">
        <w:rPr>
          <w:rFonts w:ascii="Arial" w:hAnsi="Arial" w:cs="Arial"/>
        </w:rPr>
        <w:t xml:space="preserve"> and Boudreau, 2022). These practices gave me a chance to learn more about the new technologies and interact with other people of different cultures.</w:t>
      </w:r>
    </w:p>
    <w:p w14:paraId="5EFD3B01" w14:textId="5598B288" w:rsidR="00221961" w:rsidRPr="00EB5DEB" w:rsidRDefault="00B644D4" w:rsidP="00552D80">
      <w:pPr>
        <w:pStyle w:val="Heading2"/>
        <w:rPr>
          <w:rFonts w:ascii="Arial" w:hAnsi="Arial" w:cs="Arial"/>
        </w:rPr>
      </w:pPr>
      <w:bookmarkStart w:id="16" w:name="_Toc213734017"/>
      <w:r w:rsidRPr="00EB5DEB">
        <w:rPr>
          <w:rFonts w:ascii="Arial" w:hAnsi="Arial" w:cs="Arial"/>
        </w:rPr>
        <w:t>Feelings</w:t>
      </w:r>
      <w:bookmarkEnd w:id="16"/>
    </w:p>
    <w:p w14:paraId="2A3CBAF1" w14:textId="3EB6ECF6" w:rsidR="00552D80" w:rsidRPr="00EB5DEB" w:rsidRDefault="00552D80" w:rsidP="00B644D4">
      <w:pPr>
        <w:rPr>
          <w:rFonts w:ascii="Arial" w:hAnsi="Arial" w:cs="Arial"/>
        </w:rPr>
      </w:pPr>
      <w:r w:rsidRPr="00EB5DEB">
        <w:rPr>
          <w:rFonts w:ascii="Arial" w:hAnsi="Arial" w:cs="Arial"/>
        </w:rPr>
        <w:t>First, I was confident in the use of technological tools, but I said that I was doubtful about efficient communication in a multifarious team. The organisation of different time zones and the heterogeneous approach to work created a significant amount of stress (Kane et al., 2020). With time, I became used to it, became more attentive to interpersonal conversations and promoted support amongst colleagues. As a result, these experiences developed an increased level of patience and empathy.</w:t>
      </w:r>
    </w:p>
    <w:p w14:paraId="6D7FD3FE" w14:textId="77777777" w:rsidR="00B644D4" w:rsidRPr="00EB5DEB" w:rsidRDefault="00B644D4" w:rsidP="00B644D4">
      <w:pPr>
        <w:pStyle w:val="Heading2"/>
        <w:rPr>
          <w:rFonts w:ascii="Arial" w:hAnsi="Arial" w:cs="Arial"/>
        </w:rPr>
      </w:pPr>
      <w:bookmarkStart w:id="17" w:name="_Toc213734018"/>
      <w:r w:rsidRPr="00EB5DEB">
        <w:rPr>
          <w:rFonts w:ascii="Arial" w:hAnsi="Arial" w:cs="Arial"/>
        </w:rPr>
        <w:t>Evaluation</w:t>
      </w:r>
      <w:bookmarkEnd w:id="17"/>
    </w:p>
    <w:p w14:paraId="523322E7" w14:textId="5B5AC438" w:rsidR="00B644D4" w:rsidRPr="00EB5DEB" w:rsidRDefault="007C76FB" w:rsidP="00B644D4">
      <w:pPr>
        <w:rPr>
          <w:rFonts w:ascii="Arial" w:hAnsi="Arial" w:cs="Arial"/>
        </w:rPr>
      </w:pPr>
      <w:r w:rsidRPr="00EB5DEB">
        <w:rPr>
          <w:rFonts w:ascii="Arial" w:hAnsi="Arial" w:cs="Arial"/>
        </w:rPr>
        <w:t>The project was relatively successful. I showed elasticity and quick adjustment to online resources, which improved the efficiency of the group. However, I understood that my leadership style was still passive; I was reluctant to assign tasks and express my opinions in conflicts. Feedback on peers revealed that though I am reliable, I need to have a higher level of initiative when leading discussions. The fact that this observation highlights a gap between my technical competence and confidence in leadership</w:t>
      </w:r>
      <w:r w:rsidR="00B644D4" w:rsidRPr="00EB5DEB">
        <w:rPr>
          <w:rFonts w:ascii="Arial" w:hAnsi="Arial" w:cs="Arial"/>
        </w:rPr>
        <w:t>.</w:t>
      </w:r>
    </w:p>
    <w:p w14:paraId="0ECED67B" w14:textId="77777777" w:rsidR="00B644D4" w:rsidRPr="00EB5DEB" w:rsidRDefault="00B644D4" w:rsidP="00B644D4">
      <w:pPr>
        <w:pStyle w:val="Heading2"/>
        <w:rPr>
          <w:rFonts w:ascii="Arial" w:hAnsi="Arial" w:cs="Arial"/>
        </w:rPr>
      </w:pPr>
      <w:bookmarkStart w:id="18" w:name="_Toc213734019"/>
      <w:r w:rsidRPr="00EB5DEB">
        <w:rPr>
          <w:rFonts w:ascii="Arial" w:hAnsi="Arial" w:cs="Arial"/>
        </w:rPr>
        <w:t>Analysis</w:t>
      </w:r>
      <w:bookmarkEnd w:id="18"/>
    </w:p>
    <w:p w14:paraId="1425874F" w14:textId="51448D5E" w:rsidR="00B644D4" w:rsidRPr="00EB5DEB" w:rsidRDefault="007C76FB" w:rsidP="00B644D4">
      <w:pPr>
        <w:rPr>
          <w:rFonts w:ascii="Arial" w:hAnsi="Arial" w:cs="Arial"/>
        </w:rPr>
      </w:pPr>
      <w:r w:rsidRPr="00EB5DEB">
        <w:rPr>
          <w:rFonts w:ascii="Arial" w:hAnsi="Arial" w:cs="Arial"/>
        </w:rPr>
        <w:t xml:space="preserve">According to Lee and </w:t>
      </w:r>
      <w:proofErr w:type="spellStart"/>
      <w:r w:rsidRPr="00EB5DEB">
        <w:rPr>
          <w:rFonts w:ascii="Arial" w:hAnsi="Arial" w:cs="Arial"/>
        </w:rPr>
        <w:t>Szkudlarek</w:t>
      </w:r>
      <w:proofErr w:type="spellEnd"/>
      <w:r w:rsidRPr="00EB5DEB">
        <w:rPr>
          <w:rFonts w:ascii="Arial" w:hAnsi="Arial" w:cs="Arial"/>
        </w:rPr>
        <w:t xml:space="preserve"> (2021), the success of global teams is based on self-awareness and relationship management. These are experiences that illustrate how emotional intelligence influences teamwork in different settings. </w:t>
      </w:r>
      <w:r w:rsidR="00B644D4" w:rsidRPr="00EB5DEB">
        <w:rPr>
          <w:rFonts w:ascii="Arial" w:hAnsi="Arial" w:cs="Arial"/>
        </w:rPr>
        <w:t xml:space="preserve">Technological mastery is not enough, but a sense of communication delicacies and the ability to lead inclusively </w:t>
      </w:r>
      <w:r w:rsidRPr="00EB5DEB">
        <w:rPr>
          <w:rFonts w:ascii="Arial" w:hAnsi="Arial" w:cs="Arial"/>
        </w:rPr>
        <w:t>are</w:t>
      </w:r>
      <w:r w:rsidR="00B644D4" w:rsidRPr="00EB5DEB">
        <w:rPr>
          <w:rFonts w:ascii="Arial" w:hAnsi="Arial" w:cs="Arial"/>
        </w:rPr>
        <w:t xml:space="preserve"> also unavoidable (Lee and Szkudlarek, 2021). The reflection is also in line with the 21st-century skills framework offered by UNESCO, where collaboration, critical thinking, and digital adaptability are the competencies that are currently identified as central in the future workforce.</w:t>
      </w:r>
    </w:p>
    <w:p w14:paraId="7EC4A129" w14:textId="77777777" w:rsidR="00B644D4" w:rsidRPr="00EB5DEB" w:rsidRDefault="00B644D4" w:rsidP="00B644D4">
      <w:pPr>
        <w:pStyle w:val="Heading2"/>
        <w:rPr>
          <w:rFonts w:ascii="Arial" w:hAnsi="Arial" w:cs="Arial"/>
        </w:rPr>
      </w:pPr>
      <w:bookmarkStart w:id="19" w:name="_Toc213734020"/>
      <w:r w:rsidRPr="00EB5DEB">
        <w:rPr>
          <w:rFonts w:ascii="Arial" w:hAnsi="Arial" w:cs="Arial"/>
        </w:rPr>
        <w:lastRenderedPageBreak/>
        <w:t>Conclusion</w:t>
      </w:r>
      <w:bookmarkEnd w:id="19"/>
    </w:p>
    <w:p w14:paraId="19E514B7" w14:textId="4DF02CA9" w:rsidR="00B644D4" w:rsidRPr="00EB5DEB" w:rsidRDefault="00B644D4" w:rsidP="00B644D4">
      <w:pPr>
        <w:rPr>
          <w:rFonts w:ascii="Arial" w:hAnsi="Arial" w:cs="Arial"/>
        </w:rPr>
      </w:pPr>
      <w:r w:rsidRPr="00EB5DEB">
        <w:rPr>
          <w:rFonts w:ascii="Arial" w:hAnsi="Arial" w:cs="Arial"/>
        </w:rPr>
        <w:t>I have developed an increased ability to operate in a variety of digital teams and quickly adapt to new technologies. However, I need to increase my leadership assertiveness and perfect my time management skills in cross-cultural coordination.</w:t>
      </w:r>
    </w:p>
    <w:p w14:paraId="04586DED" w14:textId="77777777" w:rsidR="00B644D4" w:rsidRPr="00EB5DEB" w:rsidRDefault="00B644D4" w:rsidP="00B644D4">
      <w:pPr>
        <w:pStyle w:val="Heading2"/>
        <w:rPr>
          <w:rFonts w:ascii="Arial" w:hAnsi="Arial" w:cs="Arial"/>
        </w:rPr>
      </w:pPr>
      <w:bookmarkStart w:id="20" w:name="_Toc213734021"/>
      <w:r w:rsidRPr="00EB5DEB">
        <w:rPr>
          <w:rFonts w:ascii="Arial" w:hAnsi="Arial" w:cs="Arial"/>
        </w:rPr>
        <w:t>Action Plan</w:t>
      </w:r>
      <w:bookmarkEnd w:id="20"/>
    </w:p>
    <w:p w14:paraId="4F7DCE7A" w14:textId="77777777" w:rsidR="00B644D4" w:rsidRPr="00EB5DEB" w:rsidRDefault="00B644D4" w:rsidP="00B644D4">
      <w:pPr>
        <w:rPr>
          <w:rFonts w:ascii="Arial" w:hAnsi="Arial" w:cs="Arial"/>
        </w:rPr>
      </w:pPr>
      <w:r w:rsidRPr="00EB5DEB">
        <w:rPr>
          <w:rFonts w:ascii="Arial" w:hAnsi="Arial" w:cs="Arial"/>
        </w:rPr>
        <w:t>To enhance these competencies, I will enrol in the Leading Global Teams course with Coursera by March 2026 and seek to get the opportunity to chair future MBA group projects. I will continue to apply reflective analysis after every task according to the Gibbs model and take part in peer feedback activities in order to strengthen cross-cultural leadership and communication confidence.</w:t>
      </w:r>
    </w:p>
    <w:p w14:paraId="2866ECB2" w14:textId="39726BF5" w:rsidR="00B644D4" w:rsidRPr="00EB5DEB" w:rsidRDefault="00B644D4" w:rsidP="00B644D4">
      <w:pPr>
        <w:spacing w:before="0" w:after="160" w:line="259" w:lineRule="auto"/>
        <w:jc w:val="left"/>
        <w:rPr>
          <w:rFonts w:ascii="Arial" w:hAnsi="Arial" w:cs="Arial"/>
        </w:rPr>
      </w:pPr>
      <w:r w:rsidRPr="00EB5DEB">
        <w:rPr>
          <w:rFonts w:ascii="Arial" w:hAnsi="Arial" w:cs="Arial"/>
        </w:rPr>
        <w:br w:type="page"/>
      </w:r>
    </w:p>
    <w:p w14:paraId="0F93425B" w14:textId="77777777" w:rsidR="00B644D4" w:rsidRPr="00EB5DEB" w:rsidRDefault="00B644D4" w:rsidP="00B644D4">
      <w:pPr>
        <w:pStyle w:val="Heading1"/>
        <w:rPr>
          <w:rFonts w:ascii="Arial" w:hAnsi="Arial" w:cs="Arial"/>
        </w:rPr>
      </w:pPr>
      <w:bookmarkStart w:id="21" w:name="_Toc213734022"/>
      <w:r w:rsidRPr="00EB5DEB">
        <w:rPr>
          <w:rFonts w:ascii="Arial" w:hAnsi="Arial" w:cs="Arial"/>
        </w:rPr>
        <w:lastRenderedPageBreak/>
        <w:t>6. Conclusion</w:t>
      </w:r>
      <w:bookmarkEnd w:id="21"/>
    </w:p>
    <w:p w14:paraId="1F6560CC" w14:textId="5448C478" w:rsidR="00B644D4" w:rsidRPr="00EB5DEB" w:rsidRDefault="00B644D4" w:rsidP="00B644D4">
      <w:pPr>
        <w:rPr>
          <w:rFonts w:ascii="Arial" w:hAnsi="Arial" w:cs="Arial"/>
        </w:rPr>
      </w:pPr>
      <w:r w:rsidRPr="00EB5DEB">
        <w:rPr>
          <w:rFonts w:ascii="Arial" w:hAnsi="Arial" w:cs="Arial"/>
        </w:rPr>
        <w:t xml:space="preserve">It can be analysed that there is a significant change taking place in global labour markets, which are driven by technology, demographic changes and geopolitical changes. The future of the employment structure is being redefined by artificial intelligence, automation and digital platforms, and demands both organisational agility and constant learning on behalf of the organisation and the employee (Darwish </w:t>
      </w:r>
      <w:r w:rsidRPr="00EB5DEB">
        <w:rPr>
          <w:rFonts w:ascii="Arial" w:hAnsi="Arial" w:cs="Arial"/>
          <w:i/>
          <w:iCs/>
        </w:rPr>
        <w:t>et al.</w:t>
      </w:r>
      <w:r w:rsidRPr="00EB5DEB">
        <w:rPr>
          <w:rFonts w:ascii="Arial" w:hAnsi="Arial" w:cs="Arial"/>
        </w:rPr>
        <w:t xml:space="preserve">, 2024). Innovation and inclusion, resilience and cross-cultural awareness have become essential elements that HR leadership must combine to be effective (Szeiner </w:t>
      </w:r>
      <w:r w:rsidRPr="00EB5DEB">
        <w:rPr>
          <w:rFonts w:ascii="Arial" w:hAnsi="Arial" w:cs="Arial"/>
          <w:i/>
          <w:iCs/>
        </w:rPr>
        <w:t>et al.</w:t>
      </w:r>
      <w:r w:rsidRPr="00EB5DEB">
        <w:rPr>
          <w:rFonts w:ascii="Arial" w:hAnsi="Arial" w:cs="Arial"/>
        </w:rPr>
        <w:t>, 2023). In addition, self-reflection with the Gibbs Reflective Cycle highlights the significance of a lifelong learning process, emotional intelligence and being digitally fluent to be a successful professional. In the end, those organisations that manage to correlate their human-capital policy with these changing global forces will remain competitive and will have a workforce that is able to flourish in the virtual, globalised world of tomorrow.</w:t>
      </w:r>
    </w:p>
    <w:p w14:paraId="0F3F2D62" w14:textId="77777777" w:rsidR="00B644D4" w:rsidRPr="00EB5DEB" w:rsidRDefault="00B644D4" w:rsidP="00B644D4">
      <w:pPr>
        <w:rPr>
          <w:rFonts w:ascii="Arial" w:hAnsi="Arial" w:cs="Arial"/>
        </w:rPr>
      </w:pPr>
    </w:p>
    <w:p w14:paraId="418878DF" w14:textId="77777777" w:rsidR="00B644D4" w:rsidRPr="00EB5DEB" w:rsidRDefault="00B644D4">
      <w:pPr>
        <w:spacing w:before="0" w:after="160" w:line="259" w:lineRule="auto"/>
        <w:jc w:val="left"/>
        <w:rPr>
          <w:rFonts w:ascii="Arial" w:hAnsi="Arial" w:cs="Arial"/>
        </w:rPr>
      </w:pPr>
      <w:r w:rsidRPr="00EB5DEB">
        <w:rPr>
          <w:rFonts w:ascii="Arial" w:hAnsi="Arial" w:cs="Arial"/>
        </w:rPr>
        <w:br w:type="page"/>
      </w:r>
    </w:p>
    <w:p w14:paraId="666C8CE0" w14:textId="70C4B2ED" w:rsidR="00B644D4" w:rsidRPr="00EB5DEB" w:rsidRDefault="00B644D4" w:rsidP="00B644D4">
      <w:pPr>
        <w:pStyle w:val="Heading1"/>
        <w:rPr>
          <w:rFonts w:ascii="Arial" w:hAnsi="Arial" w:cs="Arial"/>
        </w:rPr>
      </w:pPr>
      <w:bookmarkStart w:id="22" w:name="_Toc213734023"/>
      <w:r w:rsidRPr="00EB5DEB">
        <w:rPr>
          <w:rFonts w:ascii="Arial" w:hAnsi="Arial" w:cs="Arial"/>
        </w:rPr>
        <w:lastRenderedPageBreak/>
        <w:t>Reference</w:t>
      </w:r>
      <w:bookmarkEnd w:id="22"/>
    </w:p>
    <w:p w14:paraId="6D656914" w14:textId="77777777" w:rsidR="00B644D4" w:rsidRPr="00EB5DEB" w:rsidRDefault="00B644D4" w:rsidP="00B644D4">
      <w:pPr>
        <w:rPr>
          <w:rFonts w:ascii="Arial" w:hAnsi="Arial" w:cs="Arial"/>
        </w:rPr>
      </w:pPr>
      <w:r w:rsidRPr="00EB5DEB">
        <w:rPr>
          <w:rFonts w:ascii="Arial" w:hAnsi="Arial" w:cs="Arial"/>
        </w:rPr>
        <w:t xml:space="preserve">Boxall, P., Purcell, J. &amp; Wright, P. (2022) </w:t>
      </w:r>
      <w:r w:rsidRPr="00EB5DEB">
        <w:rPr>
          <w:rFonts w:ascii="Arial" w:hAnsi="Arial" w:cs="Arial"/>
          <w:i/>
          <w:iCs/>
        </w:rPr>
        <w:t>The Oxford Handbook of Human Resource Management</w:t>
      </w:r>
      <w:r w:rsidRPr="00EB5DEB">
        <w:rPr>
          <w:rFonts w:ascii="Arial" w:hAnsi="Arial" w:cs="Arial"/>
        </w:rPr>
        <w:t>. 2nd edn. Oxford: Oxford University Press.</w:t>
      </w:r>
    </w:p>
    <w:p w14:paraId="667D2032" w14:textId="77777777" w:rsidR="00B644D4" w:rsidRPr="00EB5DEB" w:rsidRDefault="00B644D4" w:rsidP="00B644D4">
      <w:pPr>
        <w:rPr>
          <w:rFonts w:ascii="Arial" w:hAnsi="Arial" w:cs="Arial"/>
        </w:rPr>
      </w:pPr>
      <w:r w:rsidRPr="00EB5DEB">
        <w:rPr>
          <w:rFonts w:ascii="Arial" w:hAnsi="Arial" w:cs="Arial"/>
        </w:rPr>
        <w:t xml:space="preserve">Bratton, J. &amp; Gold, J. (2017) </w:t>
      </w:r>
      <w:r w:rsidRPr="00EB5DEB">
        <w:rPr>
          <w:rFonts w:ascii="Arial" w:hAnsi="Arial" w:cs="Arial"/>
          <w:i/>
          <w:iCs/>
        </w:rPr>
        <w:t>Human Resource Management: Theory and Practice</w:t>
      </w:r>
      <w:r w:rsidRPr="00EB5DEB">
        <w:rPr>
          <w:rFonts w:ascii="Arial" w:hAnsi="Arial" w:cs="Arial"/>
        </w:rPr>
        <w:t>. 6th edn. London: Palgrave Macmillan.</w:t>
      </w:r>
    </w:p>
    <w:p w14:paraId="694908A3" w14:textId="77777777" w:rsidR="00B644D4" w:rsidRPr="00EB5DEB" w:rsidRDefault="00B644D4" w:rsidP="00B644D4">
      <w:pPr>
        <w:rPr>
          <w:rFonts w:ascii="Arial" w:hAnsi="Arial" w:cs="Arial"/>
        </w:rPr>
      </w:pPr>
      <w:r w:rsidRPr="00EB5DEB">
        <w:rPr>
          <w:rFonts w:ascii="Arial" w:hAnsi="Arial" w:cs="Arial"/>
        </w:rPr>
        <w:t xml:space="preserve">Cappelli, P. &amp; Keller, J. (2020) </w:t>
      </w:r>
      <w:r w:rsidRPr="00EB5DEB">
        <w:rPr>
          <w:rFonts w:ascii="Arial" w:hAnsi="Arial" w:cs="Arial"/>
          <w:i/>
          <w:iCs/>
        </w:rPr>
        <w:t>Managing the Future of Work: The New HR Imperative</w:t>
      </w:r>
      <w:r w:rsidRPr="00EB5DEB">
        <w:rPr>
          <w:rFonts w:ascii="Arial" w:hAnsi="Arial" w:cs="Arial"/>
        </w:rPr>
        <w:t>. Boston, MA: Harvard Business Review Press.</w:t>
      </w:r>
    </w:p>
    <w:p w14:paraId="31DD3353" w14:textId="0B00C49C" w:rsidR="00B644D4" w:rsidRPr="00EB5DEB" w:rsidRDefault="00B644D4" w:rsidP="00B644D4">
      <w:pPr>
        <w:rPr>
          <w:rFonts w:ascii="Arial" w:hAnsi="Arial" w:cs="Arial"/>
        </w:rPr>
      </w:pPr>
      <w:r w:rsidRPr="00EB5DEB">
        <w:rPr>
          <w:rFonts w:ascii="Arial" w:hAnsi="Arial" w:cs="Arial"/>
        </w:rPr>
        <w:t xml:space="preserve">Darwish, T.K. </w:t>
      </w:r>
      <w:r w:rsidRPr="00EB5DEB">
        <w:rPr>
          <w:rFonts w:ascii="Arial" w:hAnsi="Arial" w:cs="Arial"/>
          <w:i/>
          <w:iCs/>
        </w:rPr>
        <w:t>et al.</w:t>
      </w:r>
      <w:r w:rsidRPr="00EB5DEB">
        <w:rPr>
          <w:rFonts w:ascii="Arial" w:hAnsi="Arial" w:cs="Arial"/>
        </w:rPr>
        <w:t xml:space="preserve"> (202</w:t>
      </w:r>
      <w:r w:rsidR="009D02DA">
        <w:rPr>
          <w:rFonts w:ascii="Arial" w:hAnsi="Arial" w:cs="Arial"/>
        </w:rPr>
        <w:t>2</w:t>
      </w:r>
      <w:r w:rsidRPr="00EB5DEB">
        <w:rPr>
          <w:rFonts w:ascii="Arial" w:hAnsi="Arial" w:cs="Arial"/>
        </w:rPr>
        <w:t xml:space="preserve">) ‘Bringing it all back home: the HRM role in workforce localisation in MNEs in Saudi Arabia’, </w:t>
      </w:r>
      <w:r w:rsidRPr="00EB5DEB">
        <w:rPr>
          <w:rFonts w:ascii="Arial" w:hAnsi="Arial" w:cs="Arial"/>
          <w:i/>
          <w:iCs/>
        </w:rPr>
        <w:t>The International Journal of Human Resource Management</w:t>
      </w:r>
      <w:r w:rsidRPr="00EB5DEB">
        <w:rPr>
          <w:rFonts w:ascii="Arial" w:hAnsi="Arial" w:cs="Arial"/>
        </w:rPr>
        <w:t xml:space="preserve">, 34(19), pp. 1–25. Available at: </w:t>
      </w:r>
      <w:hyperlink r:id="rId11" w:history="1">
        <w:r w:rsidR="009D02DA" w:rsidRPr="00357F14">
          <w:rPr>
            <w:rStyle w:val="Hyperlink"/>
            <w:rFonts w:ascii="Arial" w:hAnsi="Arial" w:cs="Arial"/>
          </w:rPr>
          <w:t>https://doi.org/10.1080/095-85192.2022.2148551</w:t>
        </w:r>
      </w:hyperlink>
      <w:r w:rsidRPr="00EB5DEB">
        <w:rPr>
          <w:rFonts w:ascii="Arial" w:hAnsi="Arial" w:cs="Arial"/>
        </w:rPr>
        <w:t>.</w:t>
      </w:r>
      <w:r w:rsidR="00E70994" w:rsidRPr="00EB5DEB">
        <w:rPr>
          <w:rFonts w:ascii="Arial" w:hAnsi="Arial" w:cs="Arial"/>
        </w:rPr>
        <w:t xml:space="preserve"> </w:t>
      </w:r>
    </w:p>
    <w:p w14:paraId="0E06D664" w14:textId="453C8B67" w:rsidR="00B644D4" w:rsidRPr="00EB5DEB" w:rsidRDefault="00B644D4" w:rsidP="00B644D4">
      <w:pPr>
        <w:rPr>
          <w:rFonts w:ascii="Arial" w:hAnsi="Arial" w:cs="Arial"/>
        </w:rPr>
      </w:pPr>
      <w:r w:rsidRPr="00EB5DEB">
        <w:rPr>
          <w:rFonts w:ascii="Arial" w:hAnsi="Arial" w:cs="Arial"/>
        </w:rPr>
        <w:t xml:space="preserve">Darwish, T.K. </w:t>
      </w:r>
      <w:r w:rsidRPr="00EB5DEB">
        <w:rPr>
          <w:rFonts w:ascii="Arial" w:hAnsi="Arial" w:cs="Arial"/>
          <w:i/>
          <w:iCs/>
        </w:rPr>
        <w:t>et al.</w:t>
      </w:r>
      <w:r w:rsidRPr="00EB5DEB">
        <w:rPr>
          <w:rFonts w:ascii="Arial" w:hAnsi="Arial" w:cs="Arial"/>
        </w:rPr>
        <w:t xml:space="preserve"> (202</w:t>
      </w:r>
      <w:r w:rsidR="009D02DA">
        <w:rPr>
          <w:rFonts w:ascii="Arial" w:hAnsi="Arial" w:cs="Arial"/>
        </w:rPr>
        <w:t>3</w:t>
      </w:r>
      <w:r w:rsidRPr="00EB5DEB">
        <w:rPr>
          <w:rFonts w:ascii="Arial" w:hAnsi="Arial" w:cs="Arial"/>
        </w:rPr>
        <w:t>) ‘Cross</w:t>
      </w:r>
      <w:r w:rsidRPr="00EB5DEB">
        <w:rPr>
          <w:rFonts w:ascii="Cambria Math" w:hAnsi="Cambria Math" w:cs="Cambria Math"/>
        </w:rPr>
        <w:t>‐</w:t>
      </w:r>
      <w:r w:rsidRPr="00EB5DEB">
        <w:rPr>
          <w:rFonts w:ascii="Arial" w:hAnsi="Arial" w:cs="Arial"/>
        </w:rPr>
        <w:t xml:space="preserve">Country Analysis of HRM Parameters in Emerging Markets: An Assessment of Measurement Invariance’, </w:t>
      </w:r>
      <w:r w:rsidRPr="00EB5DEB">
        <w:rPr>
          <w:rFonts w:ascii="Arial" w:hAnsi="Arial" w:cs="Arial"/>
          <w:i/>
          <w:iCs/>
        </w:rPr>
        <w:t>British Journal of Management</w:t>
      </w:r>
      <w:r w:rsidRPr="00EB5DEB">
        <w:rPr>
          <w:rFonts w:ascii="Arial" w:hAnsi="Arial" w:cs="Arial"/>
        </w:rPr>
        <w:t xml:space="preserve">, 35(2). Available at: </w:t>
      </w:r>
      <w:hyperlink r:id="rId12" w:history="1">
        <w:r w:rsidR="00E70994" w:rsidRPr="00EB5DEB">
          <w:rPr>
            <w:rStyle w:val="Hyperlink"/>
            <w:rFonts w:ascii="Arial" w:hAnsi="Arial" w:cs="Arial"/>
          </w:rPr>
          <w:t>https://doi.or</w:t>
        </w:r>
        <w:r w:rsidR="00E70994" w:rsidRPr="00EB5DEB">
          <w:rPr>
            <w:rStyle w:val="Hyperlink"/>
            <w:rFonts w:ascii="Arial" w:hAnsi="Arial" w:cs="Arial"/>
          </w:rPr>
          <w:t>g</w:t>
        </w:r>
        <w:r w:rsidR="00E70994" w:rsidRPr="00EB5DEB">
          <w:rPr>
            <w:rStyle w:val="Hyperlink"/>
            <w:rFonts w:ascii="Arial" w:hAnsi="Arial" w:cs="Arial"/>
          </w:rPr>
          <w:t>/10.1111/1467-8551.12730</w:t>
        </w:r>
      </w:hyperlink>
      <w:r w:rsidRPr="00EB5DEB">
        <w:rPr>
          <w:rFonts w:ascii="Arial" w:hAnsi="Arial" w:cs="Arial"/>
        </w:rPr>
        <w:t>.</w:t>
      </w:r>
      <w:r w:rsidR="00E70994" w:rsidRPr="00EB5DEB">
        <w:rPr>
          <w:rFonts w:ascii="Arial" w:hAnsi="Arial" w:cs="Arial"/>
        </w:rPr>
        <w:t xml:space="preserve"> </w:t>
      </w:r>
    </w:p>
    <w:p w14:paraId="375B68A2" w14:textId="77777777" w:rsidR="00B644D4" w:rsidRPr="00EB5DEB" w:rsidRDefault="00B644D4" w:rsidP="00B644D4">
      <w:pPr>
        <w:rPr>
          <w:rFonts w:ascii="Arial" w:hAnsi="Arial" w:cs="Arial"/>
        </w:rPr>
      </w:pPr>
      <w:proofErr w:type="spellStart"/>
      <w:r w:rsidRPr="00EB5DEB">
        <w:rPr>
          <w:rFonts w:ascii="Arial" w:hAnsi="Arial" w:cs="Arial"/>
        </w:rPr>
        <w:t>Jesuthasan</w:t>
      </w:r>
      <w:proofErr w:type="spellEnd"/>
      <w:r w:rsidRPr="00EB5DEB">
        <w:rPr>
          <w:rFonts w:ascii="Arial" w:hAnsi="Arial" w:cs="Arial"/>
        </w:rPr>
        <w:t xml:space="preserve">, R. &amp; Boudreau, J. (2022) </w:t>
      </w:r>
      <w:r w:rsidRPr="00EB5DEB">
        <w:rPr>
          <w:rFonts w:ascii="Arial" w:hAnsi="Arial" w:cs="Arial"/>
          <w:i/>
          <w:iCs/>
        </w:rPr>
        <w:t>Work Without Jobs: How to Reboot Your Organization’s Work Operating System</w:t>
      </w:r>
      <w:r w:rsidRPr="00EB5DEB">
        <w:rPr>
          <w:rFonts w:ascii="Arial" w:hAnsi="Arial" w:cs="Arial"/>
        </w:rPr>
        <w:t>. Cambridge, MA: MIT Press.</w:t>
      </w:r>
    </w:p>
    <w:p w14:paraId="48C9F26E" w14:textId="77777777" w:rsidR="00B644D4" w:rsidRPr="00EB5DEB" w:rsidRDefault="00B644D4" w:rsidP="00B644D4">
      <w:pPr>
        <w:rPr>
          <w:rFonts w:ascii="Arial" w:hAnsi="Arial" w:cs="Arial"/>
        </w:rPr>
      </w:pPr>
      <w:r w:rsidRPr="00EB5DEB">
        <w:rPr>
          <w:rFonts w:ascii="Arial" w:hAnsi="Arial" w:cs="Arial"/>
        </w:rPr>
        <w:t xml:space="preserve">Kane, G.C., Palmer, D., Phillips, A.N. &amp; Kiron, D. (2020) </w:t>
      </w:r>
      <w:r w:rsidRPr="00EB5DEB">
        <w:rPr>
          <w:rFonts w:ascii="Arial" w:hAnsi="Arial" w:cs="Arial"/>
          <w:i/>
          <w:iCs/>
        </w:rPr>
        <w:t>The Technology Fallacy: How People Are the Real Key to Digital Transformation</w:t>
      </w:r>
      <w:r w:rsidRPr="00EB5DEB">
        <w:rPr>
          <w:rFonts w:ascii="Arial" w:hAnsi="Arial" w:cs="Arial"/>
        </w:rPr>
        <w:t>. Cambridge, MA: MIT Press.</w:t>
      </w:r>
    </w:p>
    <w:p w14:paraId="06664F2A" w14:textId="775327F4" w:rsidR="00B644D4" w:rsidRPr="00EB5DEB" w:rsidRDefault="00B644D4" w:rsidP="00B644D4">
      <w:pPr>
        <w:rPr>
          <w:rFonts w:ascii="Arial" w:hAnsi="Arial" w:cs="Arial"/>
        </w:rPr>
      </w:pPr>
      <w:r w:rsidRPr="00EB5DEB">
        <w:rPr>
          <w:rFonts w:ascii="Arial" w:hAnsi="Arial" w:cs="Arial"/>
        </w:rPr>
        <w:t xml:space="preserve">Ključnikov, A., Popkova, E.G. and Sergi, B.S. (2023) ‘Global labour markets and workplaces in the age of intelligent machines’, </w:t>
      </w:r>
      <w:r w:rsidRPr="00EB5DEB">
        <w:rPr>
          <w:rFonts w:ascii="Arial" w:hAnsi="Arial" w:cs="Arial"/>
          <w:i/>
          <w:iCs/>
        </w:rPr>
        <w:t>Journal of Innovation &amp; Knowledge</w:t>
      </w:r>
      <w:r w:rsidRPr="00EB5DEB">
        <w:rPr>
          <w:rFonts w:ascii="Arial" w:hAnsi="Arial" w:cs="Arial"/>
        </w:rPr>
        <w:t xml:space="preserve">, 8(4), p. 100407. Available at: </w:t>
      </w:r>
      <w:hyperlink r:id="rId13" w:history="1">
        <w:r w:rsidR="00E70994" w:rsidRPr="00EB5DEB">
          <w:rPr>
            <w:rStyle w:val="Hyperlink"/>
            <w:rFonts w:ascii="Arial" w:hAnsi="Arial" w:cs="Arial"/>
          </w:rPr>
          <w:t>https://doi.org/10.1</w:t>
        </w:r>
        <w:r w:rsidR="00E70994" w:rsidRPr="00EB5DEB">
          <w:rPr>
            <w:rStyle w:val="Hyperlink"/>
            <w:rFonts w:ascii="Arial" w:hAnsi="Arial" w:cs="Arial"/>
          </w:rPr>
          <w:t>0</w:t>
        </w:r>
        <w:r w:rsidR="00E70994" w:rsidRPr="00EB5DEB">
          <w:rPr>
            <w:rStyle w:val="Hyperlink"/>
            <w:rFonts w:ascii="Arial" w:hAnsi="Arial" w:cs="Arial"/>
          </w:rPr>
          <w:t>16/j.jik.2023.100407</w:t>
        </w:r>
      </w:hyperlink>
      <w:r w:rsidRPr="00EB5DEB">
        <w:rPr>
          <w:rFonts w:ascii="Arial" w:hAnsi="Arial" w:cs="Arial"/>
        </w:rPr>
        <w:t>.</w:t>
      </w:r>
      <w:r w:rsidR="00E70994" w:rsidRPr="00EB5DEB">
        <w:rPr>
          <w:rFonts w:ascii="Arial" w:hAnsi="Arial" w:cs="Arial"/>
        </w:rPr>
        <w:t xml:space="preserve"> </w:t>
      </w:r>
    </w:p>
    <w:p w14:paraId="1DF7B2A3" w14:textId="0369F8E9" w:rsidR="00B644D4" w:rsidRPr="00EB5DEB" w:rsidRDefault="00B644D4" w:rsidP="00B644D4">
      <w:pPr>
        <w:rPr>
          <w:rFonts w:ascii="Arial" w:hAnsi="Arial" w:cs="Arial"/>
        </w:rPr>
      </w:pPr>
      <w:r w:rsidRPr="00EB5DEB">
        <w:rPr>
          <w:rFonts w:ascii="Arial" w:hAnsi="Arial" w:cs="Arial"/>
        </w:rPr>
        <w:t xml:space="preserve">Lee, E.S. and </w:t>
      </w:r>
      <w:proofErr w:type="spellStart"/>
      <w:r w:rsidRPr="00EB5DEB">
        <w:rPr>
          <w:rFonts w:ascii="Arial" w:hAnsi="Arial" w:cs="Arial"/>
        </w:rPr>
        <w:t>Szkudlarek</w:t>
      </w:r>
      <w:proofErr w:type="spellEnd"/>
      <w:r w:rsidRPr="00EB5DEB">
        <w:rPr>
          <w:rFonts w:ascii="Arial" w:hAnsi="Arial" w:cs="Arial"/>
        </w:rPr>
        <w:t>, B. (2021) ‘Refugee employment support: The HRM–CSR nexus and stakeholder co</w:t>
      </w:r>
      <w:r w:rsidRPr="00EB5DEB">
        <w:rPr>
          <w:rFonts w:ascii="Cambria Math" w:hAnsi="Cambria Math" w:cs="Cambria Math"/>
        </w:rPr>
        <w:t>‐</w:t>
      </w:r>
      <w:r w:rsidRPr="00EB5DEB">
        <w:rPr>
          <w:rFonts w:ascii="Arial" w:hAnsi="Arial" w:cs="Arial"/>
        </w:rPr>
        <w:t xml:space="preserve">dependency’, </w:t>
      </w:r>
      <w:r w:rsidRPr="00EB5DEB">
        <w:rPr>
          <w:rFonts w:ascii="Arial" w:hAnsi="Arial" w:cs="Arial"/>
          <w:i/>
          <w:iCs/>
        </w:rPr>
        <w:t>Human Resource Management Journal</w:t>
      </w:r>
      <w:r w:rsidRPr="00EB5DEB">
        <w:rPr>
          <w:rFonts w:ascii="Arial" w:hAnsi="Arial" w:cs="Arial"/>
        </w:rPr>
        <w:t xml:space="preserve">, 31(4). Available at: </w:t>
      </w:r>
      <w:hyperlink r:id="rId14" w:history="1">
        <w:r w:rsidR="00E70994" w:rsidRPr="00EB5DEB">
          <w:rPr>
            <w:rStyle w:val="Hyperlink"/>
            <w:rFonts w:ascii="Arial" w:hAnsi="Arial" w:cs="Arial"/>
          </w:rPr>
          <w:t>https://doi.or</w:t>
        </w:r>
        <w:r w:rsidR="00E70994" w:rsidRPr="00EB5DEB">
          <w:rPr>
            <w:rStyle w:val="Hyperlink"/>
            <w:rFonts w:ascii="Arial" w:hAnsi="Arial" w:cs="Arial"/>
          </w:rPr>
          <w:t>g</w:t>
        </w:r>
        <w:r w:rsidR="00E70994" w:rsidRPr="00EB5DEB">
          <w:rPr>
            <w:rStyle w:val="Hyperlink"/>
            <w:rFonts w:ascii="Arial" w:hAnsi="Arial" w:cs="Arial"/>
          </w:rPr>
          <w:t>/10.1111/1748-8583.12352</w:t>
        </w:r>
      </w:hyperlink>
      <w:r w:rsidRPr="00EB5DEB">
        <w:rPr>
          <w:rFonts w:ascii="Arial" w:hAnsi="Arial" w:cs="Arial"/>
        </w:rPr>
        <w:t>.</w:t>
      </w:r>
      <w:r w:rsidR="00E70994" w:rsidRPr="00EB5DEB">
        <w:rPr>
          <w:rFonts w:ascii="Arial" w:hAnsi="Arial" w:cs="Arial"/>
        </w:rPr>
        <w:t xml:space="preserve"> </w:t>
      </w:r>
    </w:p>
    <w:p w14:paraId="428CC96B" w14:textId="7195FB78" w:rsidR="00B644D4" w:rsidRDefault="00B644D4" w:rsidP="00B644D4">
      <w:pPr>
        <w:rPr>
          <w:rFonts w:ascii="Arial" w:hAnsi="Arial" w:cs="Arial"/>
        </w:rPr>
      </w:pPr>
      <w:r w:rsidRPr="00EB5DEB">
        <w:rPr>
          <w:rFonts w:ascii="Arial" w:hAnsi="Arial" w:cs="Arial"/>
        </w:rPr>
        <w:t xml:space="preserve">Malik, A. </w:t>
      </w:r>
      <w:r w:rsidRPr="00EB5DEB">
        <w:rPr>
          <w:rFonts w:ascii="Arial" w:hAnsi="Arial" w:cs="Arial"/>
          <w:i/>
          <w:iCs/>
        </w:rPr>
        <w:t>et al.</w:t>
      </w:r>
      <w:r w:rsidRPr="00EB5DEB">
        <w:rPr>
          <w:rFonts w:ascii="Arial" w:hAnsi="Arial" w:cs="Arial"/>
        </w:rPr>
        <w:t xml:space="preserve"> (2022) ‘Multilevel Relational Influences on HRM practices: a cross-country Comparative Reflective Review of HRM Practices in Asia’, </w:t>
      </w:r>
      <w:r w:rsidRPr="00EB5DEB">
        <w:rPr>
          <w:rFonts w:ascii="Arial" w:hAnsi="Arial" w:cs="Arial"/>
          <w:i/>
          <w:iCs/>
        </w:rPr>
        <w:t>Asian Business &amp; Management</w:t>
      </w:r>
      <w:r w:rsidRPr="00EB5DEB">
        <w:rPr>
          <w:rFonts w:ascii="Arial" w:hAnsi="Arial" w:cs="Arial"/>
        </w:rPr>
        <w:t xml:space="preserve">, 21(5), pp. 745–779. Available at: </w:t>
      </w:r>
      <w:hyperlink r:id="rId15" w:history="1">
        <w:r w:rsidR="009D02DA" w:rsidRPr="00357F14">
          <w:rPr>
            <w:rStyle w:val="Hyperlink"/>
            <w:rFonts w:ascii="Arial" w:hAnsi="Arial" w:cs="Arial"/>
          </w:rPr>
          <w:t>https://doi.org/10.</w:t>
        </w:r>
        <w:r w:rsidR="009D02DA" w:rsidRPr="00357F14">
          <w:rPr>
            <w:rStyle w:val="Hyperlink"/>
            <w:rFonts w:ascii="Arial" w:hAnsi="Arial" w:cs="Arial"/>
          </w:rPr>
          <w:t>1</w:t>
        </w:r>
        <w:r w:rsidR="009D02DA" w:rsidRPr="00357F14">
          <w:rPr>
            <w:rStyle w:val="Hyperlink"/>
            <w:rFonts w:ascii="Arial" w:hAnsi="Arial" w:cs="Arial"/>
          </w:rPr>
          <w:t>057/s41291-022-00208-z</w:t>
        </w:r>
      </w:hyperlink>
      <w:r w:rsidRPr="00EB5DEB">
        <w:rPr>
          <w:rFonts w:ascii="Arial" w:hAnsi="Arial" w:cs="Arial"/>
        </w:rPr>
        <w:t>.</w:t>
      </w:r>
    </w:p>
    <w:p w14:paraId="7875E11E" w14:textId="5D4A45EA" w:rsidR="009D02DA" w:rsidRPr="00EB5DEB" w:rsidRDefault="00B644D4" w:rsidP="00B644D4">
      <w:pPr>
        <w:rPr>
          <w:rFonts w:ascii="Arial" w:hAnsi="Arial" w:cs="Arial"/>
        </w:rPr>
      </w:pPr>
      <w:r w:rsidRPr="00EB5DEB">
        <w:rPr>
          <w:rFonts w:ascii="Arial" w:hAnsi="Arial" w:cs="Arial"/>
        </w:rPr>
        <w:t xml:space="preserve">Stone, R.J., Cox, A. &amp; Gavin, M. (2020) </w:t>
      </w:r>
      <w:r w:rsidRPr="00EB5DEB">
        <w:rPr>
          <w:rFonts w:ascii="Arial" w:hAnsi="Arial" w:cs="Arial"/>
          <w:i/>
          <w:iCs/>
        </w:rPr>
        <w:t>Human Resource Management</w:t>
      </w:r>
      <w:r w:rsidRPr="00EB5DEB">
        <w:rPr>
          <w:rFonts w:ascii="Arial" w:hAnsi="Arial" w:cs="Arial"/>
        </w:rPr>
        <w:t>. Milton, QLD: John Wiley &amp; Sons.</w:t>
      </w:r>
    </w:p>
    <w:p w14:paraId="646656B4" w14:textId="31CF7057" w:rsidR="00B644D4" w:rsidRPr="00EB5DEB" w:rsidRDefault="00B644D4" w:rsidP="00B644D4">
      <w:pPr>
        <w:rPr>
          <w:rFonts w:ascii="Arial" w:hAnsi="Arial" w:cs="Arial"/>
        </w:rPr>
      </w:pPr>
      <w:proofErr w:type="spellStart"/>
      <w:r w:rsidRPr="00EB5DEB">
        <w:rPr>
          <w:rFonts w:ascii="Arial" w:hAnsi="Arial" w:cs="Arial"/>
        </w:rPr>
        <w:lastRenderedPageBreak/>
        <w:t>Sukanti</w:t>
      </w:r>
      <w:proofErr w:type="spellEnd"/>
      <w:r w:rsidRPr="00EB5DEB">
        <w:rPr>
          <w:rFonts w:ascii="Arial" w:hAnsi="Arial" w:cs="Arial"/>
        </w:rPr>
        <w:t xml:space="preserve">, L., Harto, B. and Pramuditha, P. (2021) ‘Analysis of relevance between international HRM and industry demand: A review of scientific literature’, </w:t>
      </w:r>
      <w:r w:rsidRPr="00EB5DEB">
        <w:rPr>
          <w:rFonts w:ascii="Arial" w:hAnsi="Arial" w:cs="Arial"/>
          <w:i/>
          <w:iCs/>
        </w:rPr>
        <w:t>International journal of business, economics &amp; management</w:t>
      </w:r>
      <w:r w:rsidRPr="00EB5DEB">
        <w:rPr>
          <w:rFonts w:ascii="Arial" w:hAnsi="Arial" w:cs="Arial"/>
        </w:rPr>
        <w:t xml:space="preserve">, 4(1), pp. 199–208. Available at: </w:t>
      </w:r>
      <w:hyperlink r:id="rId16" w:history="1">
        <w:r w:rsidR="00E70994" w:rsidRPr="00EB5DEB">
          <w:rPr>
            <w:rStyle w:val="Hyperlink"/>
            <w:rFonts w:ascii="Arial" w:hAnsi="Arial" w:cs="Arial"/>
          </w:rPr>
          <w:t>https://doi.org/10.31295</w:t>
        </w:r>
        <w:r w:rsidR="00E70994" w:rsidRPr="00EB5DEB">
          <w:rPr>
            <w:rStyle w:val="Hyperlink"/>
            <w:rFonts w:ascii="Arial" w:hAnsi="Arial" w:cs="Arial"/>
          </w:rPr>
          <w:t>/</w:t>
        </w:r>
        <w:r w:rsidR="00E70994" w:rsidRPr="00EB5DEB">
          <w:rPr>
            <w:rStyle w:val="Hyperlink"/>
            <w:rFonts w:ascii="Arial" w:hAnsi="Arial" w:cs="Arial"/>
          </w:rPr>
          <w:t>ijbem.v4n1.1521</w:t>
        </w:r>
      </w:hyperlink>
      <w:r w:rsidRPr="00EB5DEB">
        <w:rPr>
          <w:rFonts w:ascii="Arial" w:hAnsi="Arial" w:cs="Arial"/>
        </w:rPr>
        <w:t>.</w:t>
      </w:r>
      <w:r w:rsidR="00E70994" w:rsidRPr="00EB5DEB">
        <w:rPr>
          <w:rFonts w:ascii="Arial" w:hAnsi="Arial" w:cs="Arial"/>
        </w:rPr>
        <w:t xml:space="preserve"> </w:t>
      </w:r>
    </w:p>
    <w:p w14:paraId="4827D605" w14:textId="09180737" w:rsidR="006260C1" w:rsidRPr="00EB5DEB" w:rsidRDefault="00B644D4" w:rsidP="00E70994">
      <w:pPr>
        <w:rPr>
          <w:rFonts w:ascii="Arial" w:hAnsi="Arial" w:cs="Arial"/>
        </w:rPr>
      </w:pPr>
      <w:r w:rsidRPr="00EB5DEB">
        <w:rPr>
          <w:rFonts w:ascii="Arial" w:hAnsi="Arial" w:cs="Arial"/>
        </w:rPr>
        <w:t xml:space="preserve">Szeiner, Z. </w:t>
      </w:r>
      <w:r w:rsidRPr="00EB5DEB">
        <w:rPr>
          <w:rFonts w:ascii="Arial" w:hAnsi="Arial" w:cs="Arial"/>
          <w:i/>
          <w:iCs/>
        </w:rPr>
        <w:t>et al.</w:t>
      </w:r>
      <w:r w:rsidRPr="00EB5DEB">
        <w:rPr>
          <w:rFonts w:ascii="Arial" w:hAnsi="Arial" w:cs="Arial"/>
        </w:rPr>
        <w:t xml:space="preserve"> (2023) ‘HRM challenges in Slovakia generated by the Covid-19 pandemic’, </w:t>
      </w:r>
      <w:r w:rsidRPr="00EB5DEB">
        <w:rPr>
          <w:rFonts w:ascii="Arial" w:hAnsi="Arial" w:cs="Arial"/>
          <w:i/>
          <w:iCs/>
        </w:rPr>
        <w:t>Central European Management Journal</w:t>
      </w:r>
      <w:r w:rsidRPr="00EB5DEB">
        <w:rPr>
          <w:rFonts w:ascii="Arial" w:hAnsi="Arial" w:cs="Arial"/>
        </w:rPr>
        <w:t xml:space="preserve">, 31(2). Available at: </w:t>
      </w:r>
      <w:hyperlink r:id="rId17" w:history="1">
        <w:r w:rsidR="00E70994" w:rsidRPr="00EB5DEB">
          <w:rPr>
            <w:rStyle w:val="Hyperlink"/>
            <w:rFonts w:ascii="Arial" w:hAnsi="Arial" w:cs="Arial"/>
          </w:rPr>
          <w:t>https://doi.org/10.1108/cemj-</w:t>
        </w:r>
        <w:r w:rsidR="00E70994" w:rsidRPr="00EB5DEB">
          <w:rPr>
            <w:rStyle w:val="Hyperlink"/>
            <w:rFonts w:ascii="Arial" w:hAnsi="Arial" w:cs="Arial"/>
          </w:rPr>
          <w:t>0</w:t>
        </w:r>
        <w:r w:rsidR="00E70994" w:rsidRPr="00EB5DEB">
          <w:rPr>
            <w:rStyle w:val="Hyperlink"/>
            <w:rFonts w:ascii="Arial" w:hAnsi="Arial" w:cs="Arial"/>
          </w:rPr>
          <w:t>2-2022-0024</w:t>
        </w:r>
      </w:hyperlink>
      <w:r w:rsidRPr="00EB5DEB">
        <w:rPr>
          <w:rFonts w:ascii="Arial" w:hAnsi="Arial" w:cs="Arial"/>
        </w:rPr>
        <w:t>.</w:t>
      </w:r>
      <w:r w:rsidR="00E70994" w:rsidRPr="00EB5DEB">
        <w:rPr>
          <w:rFonts w:ascii="Arial" w:hAnsi="Arial" w:cs="Arial"/>
        </w:rPr>
        <w:t xml:space="preserve"> </w:t>
      </w:r>
    </w:p>
    <w:sectPr w:rsidR="006260C1" w:rsidRPr="00EB5D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D5821" w14:textId="77777777" w:rsidR="009C5607" w:rsidRDefault="009C5607" w:rsidP="00DB6DC3">
      <w:pPr>
        <w:spacing w:before="0" w:after="0" w:line="240" w:lineRule="auto"/>
      </w:pPr>
      <w:r>
        <w:separator/>
      </w:r>
    </w:p>
  </w:endnote>
  <w:endnote w:type="continuationSeparator" w:id="0">
    <w:p w14:paraId="5F06DC80" w14:textId="77777777" w:rsidR="009C5607" w:rsidRDefault="009C5607" w:rsidP="00DB6D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674D5" w14:textId="77777777" w:rsidR="009C5607" w:rsidRDefault="009C5607" w:rsidP="00DB6DC3">
      <w:pPr>
        <w:spacing w:before="0" w:after="0" w:line="240" w:lineRule="auto"/>
      </w:pPr>
      <w:r>
        <w:separator/>
      </w:r>
    </w:p>
  </w:footnote>
  <w:footnote w:type="continuationSeparator" w:id="0">
    <w:p w14:paraId="26CF0DA8" w14:textId="77777777" w:rsidR="009C5607" w:rsidRDefault="009C5607" w:rsidP="00DB6DC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EFB0E3A1"/>
    <w:multiLevelType w:val="singleLevel"/>
    <w:tmpl w:val="EFB0E3A1"/>
    <w:lvl w:ilvl="0">
      <w:start w:val="1"/>
      <w:numFmt w:val="decimal"/>
      <w:suff w:val="space"/>
      <w:lvlText w:val="%1."/>
      <w:lvlJc w:val="left"/>
    </w:lvl>
  </w:abstractNum>
  <w:abstractNum w:abstractNumId="1" w15:restartNumberingAfterBreak="0">
    <w:nsid w:val="0D023768"/>
    <w:multiLevelType w:val="multilevel"/>
    <w:tmpl w:val="A18A9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52648"/>
    <w:multiLevelType w:val="multilevel"/>
    <w:tmpl w:val="A57AE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AC5D11"/>
    <w:multiLevelType w:val="hybridMultilevel"/>
    <w:tmpl w:val="4CE09A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0010E8"/>
    <w:multiLevelType w:val="multilevel"/>
    <w:tmpl w:val="7A42A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B5381E"/>
    <w:multiLevelType w:val="multilevel"/>
    <w:tmpl w:val="1AC44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E6322C"/>
    <w:multiLevelType w:val="multilevel"/>
    <w:tmpl w:val="06347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2557F8"/>
    <w:multiLevelType w:val="multilevel"/>
    <w:tmpl w:val="0FFEC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B26A2C"/>
    <w:multiLevelType w:val="hybridMultilevel"/>
    <w:tmpl w:val="EE1C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5E60A8"/>
    <w:multiLevelType w:val="multilevel"/>
    <w:tmpl w:val="B5B0B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FE0735"/>
    <w:multiLevelType w:val="multilevel"/>
    <w:tmpl w:val="42DC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573431"/>
    <w:multiLevelType w:val="multilevel"/>
    <w:tmpl w:val="0F52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D62880"/>
    <w:multiLevelType w:val="hybridMultilevel"/>
    <w:tmpl w:val="F6441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FE5200"/>
    <w:multiLevelType w:val="multilevel"/>
    <w:tmpl w:val="2B98C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BC7D91"/>
    <w:multiLevelType w:val="multilevel"/>
    <w:tmpl w:val="0CF69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DD8A07F"/>
    <w:multiLevelType w:val="singleLevel"/>
    <w:tmpl w:val="7DD8A07F"/>
    <w:lvl w:ilvl="0">
      <w:start w:val="1"/>
      <w:numFmt w:val="decimal"/>
      <w:suff w:val="space"/>
      <w:lvlText w:val="%1."/>
      <w:lvlJc w:val="left"/>
    </w:lvl>
  </w:abstractNum>
  <w:abstractNum w:abstractNumId="16" w15:restartNumberingAfterBreak="0">
    <w:nsid w:val="7EE448B2"/>
    <w:multiLevelType w:val="multilevel"/>
    <w:tmpl w:val="1F72C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8284785">
    <w:abstractNumId w:val="4"/>
  </w:num>
  <w:num w:numId="2" w16cid:durableId="597913641">
    <w:abstractNumId w:val="16"/>
  </w:num>
  <w:num w:numId="3" w16cid:durableId="273371281">
    <w:abstractNumId w:val="5"/>
  </w:num>
  <w:num w:numId="4" w16cid:durableId="1727798946">
    <w:abstractNumId w:val="2"/>
  </w:num>
  <w:num w:numId="5" w16cid:durableId="1993828495">
    <w:abstractNumId w:val="11"/>
  </w:num>
  <w:num w:numId="6" w16cid:durableId="2142376782">
    <w:abstractNumId w:val="8"/>
  </w:num>
  <w:num w:numId="7" w16cid:durableId="854536743">
    <w:abstractNumId w:val="9"/>
  </w:num>
  <w:num w:numId="8" w16cid:durableId="1662272539">
    <w:abstractNumId w:val="6"/>
  </w:num>
  <w:num w:numId="9" w16cid:durableId="484971860">
    <w:abstractNumId w:val="14"/>
  </w:num>
  <w:num w:numId="10" w16cid:durableId="243300801">
    <w:abstractNumId w:val="13"/>
  </w:num>
  <w:num w:numId="11" w16cid:durableId="761880013">
    <w:abstractNumId w:val="0"/>
  </w:num>
  <w:num w:numId="12" w16cid:durableId="261840576">
    <w:abstractNumId w:val="15"/>
  </w:num>
  <w:num w:numId="13" w16cid:durableId="2042582118">
    <w:abstractNumId w:val="3"/>
  </w:num>
  <w:num w:numId="14" w16cid:durableId="725564148">
    <w:abstractNumId w:val="12"/>
  </w:num>
  <w:num w:numId="15" w16cid:durableId="789669811">
    <w:abstractNumId w:val="7"/>
  </w:num>
  <w:num w:numId="16" w16cid:durableId="1617718108">
    <w:abstractNumId w:val="1"/>
  </w:num>
  <w:num w:numId="17" w16cid:durableId="47795697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CCF"/>
    <w:rsid w:val="00033241"/>
    <w:rsid w:val="00074387"/>
    <w:rsid w:val="00077581"/>
    <w:rsid w:val="0008627C"/>
    <w:rsid w:val="000A719F"/>
    <w:rsid w:val="000C4919"/>
    <w:rsid w:val="001124F8"/>
    <w:rsid w:val="0013418C"/>
    <w:rsid w:val="00143136"/>
    <w:rsid w:val="00183CEB"/>
    <w:rsid w:val="001925FD"/>
    <w:rsid w:val="001B1B90"/>
    <w:rsid w:val="001C76FE"/>
    <w:rsid w:val="001F074F"/>
    <w:rsid w:val="001F1D4A"/>
    <w:rsid w:val="001F65BA"/>
    <w:rsid w:val="00221961"/>
    <w:rsid w:val="0027127A"/>
    <w:rsid w:val="00292032"/>
    <w:rsid w:val="00294952"/>
    <w:rsid w:val="002B766A"/>
    <w:rsid w:val="002C4B81"/>
    <w:rsid w:val="002E69B7"/>
    <w:rsid w:val="00301450"/>
    <w:rsid w:val="00356ABE"/>
    <w:rsid w:val="00367DC0"/>
    <w:rsid w:val="00392BBB"/>
    <w:rsid w:val="003B5FC1"/>
    <w:rsid w:val="003F4AEB"/>
    <w:rsid w:val="00402460"/>
    <w:rsid w:val="00403A1C"/>
    <w:rsid w:val="004208C9"/>
    <w:rsid w:val="004536F5"/>
    <w:rsid w:val="00464FB3"/>
    <w:rsid w:val="004772B4"/>
    <w:rsid w:val="0048066B"/>
    <w:rsid w:val="004A3EC5"/>
    <w:rsid w:val="004B537B"/>
    <w:rsid w:val="00552D80"/>
    <w:rsid w:val="005C259B"/>
    <w:rsid w:val="005D6CAC"/>
    <w:rsid w:val="005E3897"/>
    <w:rsid w:val="00613769"/>
    <w:rsid w:val="006155FA"/>
    <w:rsid w:val="006260C1"/>
    <w:rsid w:val="006747FC"/>
    <w:rsid w:val="00675234"/>
    <w:rsid w:val="006C387D"/>
    <w:rsid w:val="006D0CE7"/>
    <w:rsid w:val="006D3405"/>
    <w:rsid w:val="006D3EA6"/>
    <w:rsid w:val="006D53C6"/>
    <w:rsid w:val="006E3976"/>
    <w:rsid w:val="00705A87"/>
    <w:rsid w:val="00731016"/>
    <w:rsid w:val="00733A2F"/>
    <w:rsid w:val="0075328B"/>
    <w:rsid w:val="00753FC8"/>
    <w:rsid w:val="00765272"/>
    <w:rsid w:val="00793B52"/>
    <w:rsid w:val="007C0D51"/>
    <w:rsid w:val="007C76FB"/>
    <w:rsid w:val="007E5B2D"/>
    <w:rsid w:val="007F6AB0"/>
    <w:rsid w:val="00827CA4"/>
    <w:rsid w:val="00833F7A"/>
    <w:rsid w:val="00862A8D"/>
    <w:rsid w:val="0087471E"/>
    <w:rsid w:val="008E2DFC"/>
    <w:rsid w:val="00911066"/>
    <w:rsid w:val="00932CCF"/>
    <w:rsid w:val="009522AB"/>
    <w:rsid w:val="0096156E"/>
    <w:rsid w:val="00963233"/>
    <w:rsid w:val="00975DCB"/>
    <w:rsid w:val="009B7C8A"/>
    <w:rsid w:val="009C5607"/>
    <w:rsid w:val="009D02DA"/>
    <w:rsid w:val="00A14150"/>
    <w:rsid w:val="00A50202"/>
    <w:rsid w:val="00A51BA2"/>
    <w:rsid w:val="00A60792"/>
    <w:rsid w:val="00AB078C"/>
    <w:rsid w:val="00AE0992"/>
    <w:rsid w:val="00AF4D53"/>
    <w:rsid w:val="00B10A58"/>
    <w:rsid w:val="00B21591"/>
    <w:rsid w:val="00B2444D"/>
    <w:rsid w:val="00B34DF8"/>
    <w:rsid w:val="00B46C26"/>
    <w:rsid w:val="00B644D4"/>
    <w:rsid w:val="00C45E24"/>
    <w:rsid w:val="00C67189"/>
    <w:rsid w:val="00CD1BF5"/>
    <w:rsid w:val="00CE3BDE"/>
    <w:rsid w:val="00D11F1A"/>
    <w:rsid w:val="00D44A22"/>
    <w:rsid w:val="00D82259"/>
    <w:rsid w:val="00DB38D7"/>
    <w:rsid w:val="00DB6DC3"/>
    <w:rsid w:val="00E2180F"/>
    <w:rsid w:val="00E544C8"/>
    <w:rsid w:val="00E55BAA"/>
    <w:rsid w:val="00E63350"/>
    <w:rsid w:val="00E70994"/>
    <w:rsid w:val="00EA4603"/>
    <w:rsid w:val="00EA6A44"/>
    <w:rsid w:val="00EB5DEB"/>
    <w:rsid w:val="00EC3098"/>
    <w:rsid w:val="00EE77CC"/>
    <w:rsid w:val="00F20938"/>
    <w:rsid w:val="00F32011"/>
    <w:rsid w:val="00F47292"/>
    <w:rsid w:val="00FE775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CCD1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CCF"/>
    <w:pPr>
      <w:spacing w:before="120" w:after="120" w:line="360" w:lineRule="auto"/>
      <w:jc w:val="both"/>
    </w:pPr>
    <w:rPr>
      <w:rFonts w:ascii="Times New Roman" w:hAnsi="Times New Roman" w:cs="Times New Roman"/>
      <w:sz w:val="24"/>
      <w:lang w:eastAsia="en-GB"/>
    </w:rPr>
  </w:style>
  <w:style w:type="paragraph" w:styleId="Heading1">
    <w:name w:val="heading 1"/>
    <w:basedOn w:val="Normal"/>
    <w:next w:val="Normal"/>
    <w:link w:val="Heading1Char"/>
    <w:autoRedefine/>
    <w:uiPriority w:val="9"/>
    <w:qFormat/>
    <w:rsid w:val="00D11F1A"/>
    <w:pPr>
      <w:keepNext/>
      <w:keepLines/>
      <w:shd w:val="clear" w:color="auto" w:fill="BDD6EE" w:themeFill="accent5" w:themeFillTint="66"/>
      <w:spacing w:before="0" w:after="200"/>
      <w:jc w:val="center"/>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D11F1A"/>
    <w:pPr>
      <w:keepNext/>
      <w:keepLines/>
      <w:pBdr>
        <w:bottom w:val="single" w:sz="6" w:space="1" w:color="auto"/>
      </w:pBdr>
      <w:spacing w:before="160" w:after="200"/>
      <w:outlineLvl w:val="1"/>
    </w:pPr>
    <w:rPr>
      <w:rFonts w:eastAsiaTheme="majorEastAsia" w:cstheme="majorBidi"/>
      <w:b/>
      <w:color w:val="0070C0"/>
      <w:sz w:val="28"/>
      <w:szCs w:val="26"/>
      <w:lang w:val="en-US"/>
    </w:rPr>
  </w:style>
  <w:style w:type="paragraph" w:styleId="Heading3">
    <w:name w:val="heading 3"/>
    <w:basedOn w:val="Normal"/>
    <w:next w:val="Normal"/>
    <w:link w:val="Heading3Char"/>
    <w:autoRedefine/>
    <w:uiPriority w:val="9"/>
    <w:unhideWhenUsed/>
    <w:qFormat/>
    <w:rsid w:val="00D11F1A"/>
    <w:pPr>
      <w:keepNext/>
      <w:keepLines/>
      <w:spacing w:before="160" w:after="200"/>
      <w:outlineLvl w:val="2"/>
    </w:pPr>
    <w:rPr>
      <w:rFonts w:eastAsiaTheme="majorEastAsia" w:cstheme="majorBidi"/>
      <w:b/>
      <w:color w:val="7030A0"/>
      <w:sz w:val="25"/>
      <w:szCs w:val="24"/>
      <w:lang w:val="en-US"/>
    </w:rPr>
  </w:style>
  <w:style w:type="paragraph" w:styleId="Heading4">
    <w:name w:val="heading 4"/>
    <w:basedOn w:val="Normal"/>
    <w:next w:val="Normal"/>
    <w:link w:val="Heading4Char"/>
    <w:uiPriority w:val="9"/>
    <w:semiHidden/>
    <w:unhideWhenUsed/>
    <w:qFormat/>
    <w:rsid w:val="00932CC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32CC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32CC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2CC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2CC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2CC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F1A"/>
    <w:rPr>
      <w:rFonts w:ascii="Times New Roman" w:eastAsiaTheme="majorEastAsia" w:hAnsi="Times New Roman" w:cstheme="majorBidi"/>
      <w:b/>
      <w:color w:val="002060"/>
      <w:sz w:val="32"/>
      <w:szCs w:val="32"/>
      <w:shd w:val="clear" w:color="auto" w:fill="BDD6EE" w:themeFill="accent5" w:themeFillTint="66"/>
      <w:lang w:eastAsia="en-GB"/>
      <w14:ligatures w14:val="standardContextual"/>
    </w:rPr>
  </w:style>
  <w:style w:type="character" w:customStyle="1" w:styleId="Heading2Char">
    <w:name w:val="Heading 2 Char"/>
    <w:basedOn w:val="DefaultParagraphFont"/>
    <w:link w:val="Heading2"/>
    <w:uiPriority w:val="9"/>
    <w:rsid w:val="00D11F1A"/>
    <w:rPr>
      <w:rFonts w:ascii="Times New Roman" w:eastAsiaTheme="majorEastAsia" w:hAnsi="Times New Roman" w:cstheme="majorBidi"/>
      <w:b/>
      <w:color w:val="0070C0"/>
      <w:sz w:val="28"/>
      <w:szCs w:val="26"/>
      <w:lang w:val="en-US" w:eastAsia="en-GB"/>
      <w14:ligatures w14:val="standardContextual"/>
    </w:rPr>
  </w:style>
  <w:style w:type="character" w:customStyle="1" w:styleId="Heading3Char">
    <w:name w:val="Heading 3 Char"/>
    <w:basedOn w:val="DefaultParagraphFont"/>
    <w:link w:val="Heading3"/>
    <w:uiPriority w:val="9"/>
    <w:rsid w:val="00D11F1A"/>
    <w:rPr>
      <w:rFonts w:ascii="Times New Roman" w:eastAsiaTheme="majorEastAsia" w:hAnsi="Times New Roman" w:cstheme="majorBidi"/>
      <w:b/>
      <w:color w:val="7030A0"/>
      <w:sz w:val="25"/>
      <w:szCs w:val="24"/>
      <w:lang w:val="en-US" w:eastAsia="en-GB"/>
      <w14:ligatures w14:val="standardContextual"/>
    </w:rPr>
  </w:style>
  <w:style w:type="paragraph" w:styleId="Caption">
    <w:name w:val="caption"/>
    <w:basedOn w:val="Normal"/>
    <w:next w:val="Normal"/>
    <w:autoRedefine/>
    <w:unhideWhenUsed/>
    <w:qFormat/>
    <w:rsid w:val="00D11F1A"/>
    <w:pPr>
      <w:spacing w:after="360"/>
      <w:jc w:val="center"/>
    </w:pPr>
    <w:rPr>
      <w:rFonts w:cstheme="minorHAnsi"/>
      <w:b/>
      <w:i/>
      <w:iCs/>
      <w:noProof/>
      <w:sz w:val="20"/>
      <w:szCs w:val="24"/>
      <w:lang w:val="en-ZA"/>
    </w:rPr>
  </w:style>
  <w:style w:type="character" w:customStyle="1" w:styleId="Heading4Char">
    <w:name w:val="Heading 4 Char"/>
    <w:basedOn w:val="DefaultParagraphFont"/>
    <w:link w:val="Heading4"/>
    <w:uiPriority w:val="9"/>
    <w:semiHidden/>
    <w:rsid w:val="00932CCF"/>
    <w:rPr>
      <w:rFonts w:eastAsiaTheme="majorEastAsia" w:cstheme="majorBidi"/>
      <w:i/>
      <w:iCs/>
      <w:color w:val="2F5496" w:themeColor="accent1" w:themeShade="BF"/>
      <w:sz w:val="24"/>
      <w:lang w:eastAsia="en-GB"/>
    </w:rPr>
  </w:style>
  <w:style w:type="character" w:customStyle="1" w:styleId="Heading5Char">
    <w:name w:val="Heading 5 Char"/>
    <w:basedOn w:val="DefaultParagraphFont"/>
    <w:link w:val="Heading5"/>
    <w:uiPriority w:val="9"/>
    <w:semiHidden/>
    <w:rsid w:val="00932CCF"/>
    <w:rPr>
      <w:rFonts w:eastAsiaTheme="majorEastAsia" w:cstheme="majorBidi"/>
      <w:color w:val="2F5496" w:themeColor="accent1" w:themeShade="BF"/>
      <w:sz w:val="24"/>
      <w:lang w:eastAsia="en-GB"/>
    </w:rPr>
  </w:style>
  <w:style w:type="character" w:customStyle="1" w:styleId="Heading6Char">
    <w:name w:val="Heading 6 Char"/>
    <w:basedOn w:val="DefaultParagraphFont"/>
    <w:link w:val="Heading6"/>
    <w:uiPriority w:val="9"/>
    <w:semiHidden/>
    <w:rsid w:val="00932CCF"/>
    <w:rPr>
      <w:rFonts w:eastAsiaTheme="majorEastAsia" w:cstheme="majorBidi"/>
      <w:i/>
      <w:iCs/>
      <w:color w:val="595959" w:themeColor="text1" w:themeTint="A6"/>
      <w:sz w:val="24"/>
      <w:lang w:eastAsia="en-GB"/>
    </w:rPr>
  </w:style>
  <w:style w:type="character" w:customStyle="1" w:styleId="Heading7Char">
    <w:name w:val="Heading 7 Char"/>
    <w:basedOn w:val="DefaultParagraphFont"/>
    <w:link w:val="Heading7"/>
    <w:uiPriority w:val="9"/>
    <w:semiHidden/>
    <w:rsid w:val="00932CCF"/>
    <w:rPr>
      <w:rFonts w:eastAsiaTheme="majorEastAsia" w:cstheme="majorBidi"/>
      <w:color w:val="595959" w:themeColor="text1" w:themeTint="A6"/>
      <w:sz w:val="24"/>
      <w:lang w:eastAsia="en-GB"/>
    </w:rPr>
  </w:style>
  <w:style w:type="character" w:customStyle="1" w:styleId="Heading8Char">
    <w:name w:val="Heading 8 Char"/>
    <w:basedOn w:val="DefaultParagraphFont"/>
    <w:link w:val="Heading8"/>
    <w:uiPriority w:val="9"/>
    <w:semiHidden/>
    <w:rsid w:val="00932CCF"/>
    <w:rPr>
      <w:rFonts w:eastAsiaTheme="majorEastAsia" w:cstheme="majorBidi"/>
      <w:i/>
      <w:iCs/>
      <w:color w:val="272727" w:themeColor="text1" w:themeTint="D8"/>
      <w:sz w:val="24"/>
      <w:lang w:eastAsia="en-GB"/>
    </w:rPr>
  </w:style>
  <w:style w:type="character" w:customStyle="1" w:styleId="Heading9Char">
    <w:name w:val="Heading 9 Char"/>
    <w:basedOn w:val="DefaultParagraphFont"/>
    <w:link w:val="Heading9"/>
    <w:uiPriority w:val="9"/>
    <w:semiHidden/>
    <w:rsid w:val="00932CCF"/>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rsid w:val="00932CC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CCF"/>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932CC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CCF"/>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932C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2CCF"/>
    <w:rPr>
      <w:rFonts w:ascii="Times New Roman" w:hAnsi="Times New Roman" w:cs="Times New Roman"/>
      <w:i/>
      <w:iCs/>
      <w:color w:val="404040" w:themeColor="text1" w:themeTint="BF"/>
      <w:sz w:val="24"/>
      <w:lang w:eastAsia="en-GB"/>
    </w:rPr>
  </w:style>
  <w:style w:type="paragraph" w:styleId="ListParagraph">
    <w:name w:val="List Paragraph"/>
    <w:basedOn w:val="Normal"/>
    <w:uiPriority w:val="34"/>
    <w:qFormat/>
    <w:rsid w:val="00932CCF"/>
    <w:pPr>
      <w:ind w:left="720"/>
      <w:contextualSpacing/>
    </w:pPr>
  </w:style>
  <w:style w:type="character" w:styleId="IntenseEmphasis">
    <w:name w:val="Intense Emphasis"/>
    <w:basedOn w:val="DefaultParagraphFont"/>
    <w:uiPriority w:val="21"/>
    <w:qFormat/>
    <w:rsid w:val="00932CCF"/>
    <w:rPr>
      <w:i/>
      <w:iCs/>
      <w:color w:val="2F5496" w:themeColor="accent1" w:themeShade="BF"/>
    </w:rPr>
  </w:style>
  <w:style w:type="paragraph" w:styleId="IntenseQuote">
    <w:name w:val="Intense Quote"/>
    <w:basedOn w:val="Normal"/>
    <w:next w:val="Normal"/>
    <w:link w:val="IntenseQuoteChar"/>
    <w:uiPriority w:val="30"/>
    <w:qFormat/>
    <w:rsid w:val="00932C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2CCF"/>
    <w:rPr>
      <w:rFonts w:ascii="Times New Roman" w:hAnsi="Times New Roman" w:cs="Times New Roman"/>
      <w:i/>
      <w:iCs/>
      <w:color w:val="2F5496" w:themeColor="accent1" w:themeShade="BF"/>
      <w:sz w:val="24"/>
      <w:lang w:eastAsia="en-GB"/>
    </w:rPr>
  </w:style>
  <w:style w:type="character" w:styleId="IntenseReference">
    <w:name w:val="Intense Reference"/>
    <w:basedOn w:val="DefaultParagraphFont"/>
    <w:uiPriority w:val="32"/>
    <w:qFormat/>
    <w:rsid w:val="00932CCF"/>
    <w:rPr>
      <w:b/>
      <w:bCs/>
      <w:smallCaps/>
      <w:color w:val="2F5496" w:themeColor="accent1" w:themeShade="BF"/>
      <w:spacing w:val="5"/>
    </w:rPr>
  </w:style>
  <w:style w:type="table" w:styleId="GridTable4-Accent5">
    <w:name w:val="Grid Table 4 Accent 5"/>
    <w:basedOn w:val="TableNormal"/>
    <w:uiPriority w:val="49"/>
    <w:rsid w:val="00932CC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DB6DC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6DC3"/>
    <w:rPr>
      <w:rFonts w:ascii="Times New Roman" w:hAnsi="Times New Roman" w:cs="Times New Roman"/>
      <w:sz w:val="24"/>
      <w:lang w:eastAsia="en-GB"/>
    </w:rPr>
  </w:style>
  <w:style w:type="paragraph" w:styleId="Footer">
    <w:name w:val="footer"/>
    <w:basedOn w:val="Normal"/>
    <w:link w:val="FooterChar"/>
    <w:uiPriority w:val="99"/>
    <w:unhideWhenUsed/>
    <w:rsid w:val="00DB6DC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B6DC3"/>
    <w:rPr>
      <w:rFonts w:ascii="Times New Roman" w:hAnsi="Times New Roman" w:cs="Times New Roman"/>
      <w:sz w:val="24"/>
      <w:lang w:eastAsia="en-GB"/>
    </w:rPr>
  </w:style>
  <w:style w:type="character" w:styleId="Hyperlink">
    <w:name w:val="Hyperlink"/>
    <w:basedOn w:val="DefaultParagraphFont"/>
    <w:uiPriority w:val="99"/>
    <w:unhideWhenUsed/>
    <w:rsid w:val="004772B4"/>
    <w:rPr>
      <w:color w:val="0563C1" w:themeColor="hyperlink"/>
      <w:u w:val="single"/>
    </w:rPr>
  </w:style>
  <w:style w:type="character" w:styleId="UnresolvedMention">
    <w:name w:val="Unresolved Mention"/>
    <w:basedOn w:val="DefaultParagraphFont"/>
    <w:uiPriority w:val="99"/>
    <w:semiHidden/>
    <w:unhideWhenUsed/>
    <w:rsid w:val="004772B4"/>
    <w:rPr>
      <w:color w:val="605E5C"/>
      <w:shd w:val="clear" w:color="auto" w:fill="E1DFDD"/>
    </w:rPr>
  </w:style>
  <w:style w:type="character" w:styleId="FollowedHyperlink">
    <w:name w:val="FollowedHyperlink"/>
    <w:basedOn w:val="DefaultParagraphFont"/>
    <w:uiPriority w:val="99"/>
    <w:semiHidden/>
    <w:unhideWhenUsed/>
    <w:rsid w:val="003B5FC1"/>
    <w:rPr>
      <w:color w:val="954F72" w:themeColor="followedHyperlink"/>
      <w:u w:val="single"/>
    </w:rPr>
  </w:style>
  <w:style w:type="paragraph" w:styleId="TOCHeading">
    <w:name w:val="TOC Heading"/>
    <w:basedOn w:val="Heading1"/>
    <w:next w:val="Normal"/>
    <w:uiPriority w:val="39"/>
    <w:unhideWhenUsed/>
    <w:qFormat/>
    <w:rsid w:val="00613769"/>
    <w:pPr>
      <w:shd w:val="clear" w:color="auto" w:fill="auto"/>
      <w:spacing w:before="240" w:after="0" w:line="259" w:lineRule="auto"/>
      <w:jc w:val="left"/>
      <w:outlineLvl w:val="9"/>
    </w:pPr>
    <w:rPr>
      <w:rFonts w:asciiTheme="majorHAnsi" w:hAnsiTheme="majorHAnsi"/>
      <w:b w:val="0"/>
      <w:color w:val="2F5496" w:themeColor="accent1" w:themeShade="BF"/>
      <w:kern w:val="0"/>
      <w:lang w:val="en-US" w:eastAsia="en-US"/>
      <w14:ligatures w14:val="none"/>
    </w:rPr>
  </w:style>
  <w:style w:type="paragraph" w:styleId="TOC1">
    <w:name w:val="toc 1"/>
    <w:basedOn w:val="Normal"/>
    <w:next w:val="Normal"/>
    <w:autoRedefine/>
    <w:uiPriority w:val="39"/>
    <w:unhideWhenUsed/>
    <w:rsid w:val="00613769"/>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613769"/>
    <w:pPr>
      <w:spacing w:after="0"/>
      <w:ind w:left="240"/>
      <w:jc w:val="left"/>
    </w:pPr>
    <w:rPr>
      <w:rFonts w:asciiTheme="minorHAnsi" w:hAnsiTheme="minorHAnsi" w:cstheme="minorHAnsi"/>
      <w:b/>
      <w:bCs/>
      <w:sz w:val="22"/>
      <w:szCs w:val="26"/>
    </w:rPr>
  </w:style>
  <w:style w:type="paragraph" w:styleId="NormalWeb">
    <w:name w:val="Normal (Web)"/>
    <w:basedOn w:val="Normal"/>
    <w:uiPriority w:val="99"/>
    <w:semiHidden/>
    <w:unhideWhenUsed/>
    <w:rsid w:val="00B644D4"/>
    <w:pPr>
      <w:spacing w:before="100" w:beforeAutospacing="1" w:after="100" w:afterAutospacing="1" w:line="240" w:lineRule="auto"/>
      <w:jc w:val="left"/>
    </w:pPr>
    <w:rPr>
      <w:kern w:val="0"/>
      <w:szCs w:val="24"/>
      <w:lang w:bidi="bn-IN"/>
      <w14:ligatures w14:val="none"/>
    </w:rPr>
  </w:style>
  <w:style w:type="paragraph" w:styleId="TOC3">
    <w:name w:val="toc 3"/>
    <w:basedOn w:val="Normal"/>
    <w:next w:val="Normal"/>
    <w:autoRedefine/>
    <w:uiPriority w:val="39"/>
    <w:semiHidden/>
    <w:unhideWhenUsed/>
    <w:rsid w:val="00E70994"/>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E70994"/>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E70994"/>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E70994"/>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E70994"/>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E70994"/>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E70994"/>
    <w:pPr>
      <w:spacing w:before="0" w:after="0"/>
      <w:ind w:left="1920"/>
      <w:jc w:val="left"/>
    </w:pPr>
    <w:rPr>
      <w:rFonts w:asciiTheme="minorHAnsi" w:hAnsiTheme="minorHAnsi"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283587">
      <w:bodyDiv w:val="1"/>
      <w:marLeft w:val="0"/>
      <w:marRight w:val="0"/>
      <w:marTop w:val="0"/>
      <w:marBottom w:val="0"/>
      <w:divBdr>
        <w:top w:val="none" w:sz="0" w:space="0" w:color="auto"/>
        <w:left w:val="none" w:sz="0" w:space="0" w:color="auto"/>
        <w:bottom w:val="none" w:sz="0" w:space="0" w:color="auto"/>
        <w:right w:val="none" w:sz="0" w:space="0" w:color="auto"/>
      </w:divBdr>
    </w:div>
    <w:div w:id="262694228">
      <w:bodyDiv w:val="1"/>
      <w:marLeft w:val="0"/>
      <w:marRight w:val="0"/>
      <w:marTop w:val="0"/>
      <w:marBottom w:val="0"/>
      <w:divBdr>
        <w:top w:val="none" w:sz="0" w:space="0" w:color="auto"/>
        <w:left w:val="none" w:sz="0" w:space="0" w:color="auto"/>
        <w:bottom w:val="none" w:sz="0" w:space="0" w:color="auto"/>
        <w:right w:val="none" w:sz="0" w:space="0" w:color="auto"/>
      </w:divBdr>
    </w:div>
    <w:div w:id="312224800">
      <w:bodyDiv w:val="1"/>
      <w:marLeft w:val="0"/>
      <w:marRight w:val="0"/>
      <w:marTop w:val="0"/>
      <w:marBottom w:val="0"/>
      <w:divBdr>
        <w:top w:val="none" w:sz="0" w:space="0" w:color="auto"/>
        <w:left w:val="none" w:sz="0" w:space="0" w:color="auto"/>
        <w:bottom w:val="none" w:sz="0" w:space="0" w:color="auto"/>
        <w:right w:val="none" w:sz="0" w:space="0" w:color="auto"/>
      </w:divBdr>
    </w:div>
    <w:div w:id="829174913">
      <w:bodyDiv w:val="1"/>
      <w:marLeft w:val="0"/>
      <w:marRight w:val="0"/>
      <w:marTop w:val="0"/>
      <w:marBottom w:val="0"/>
      <w:divBdr>
        <w:top w:val="none" w:sz="0" w:space="0" w:color="auto"/>
        <w:left w:val="none" w:sz="0" w:space="0" w:color="auto"/>
        <w:bottom w:val="none" w:sz="0" w:space="0" w:color="auto"/>
        <w:right w:val="none" w:sz="0" w:space="0" w:color="auto"/>
      </w:divBdr>
    </w:div>
    <w:div w:id="1665039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ik.2023.10040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1467-8551.12730" TargetMode="External"/><Relationship Id="rId17" Type="http://schemas.openxmlformats.org/officeDocument/2006/relationships/hyperlink" Target="https://doi.org/10.1108/cemj-02-2022-0024" TargetMode="External"/><Relationship Id="rId2" Type="http://schemas.openxmlformats.org/officeDocument/2006/relationships/numbering" Target="numbering.xml"/><Relationship Id="rId16" Type="http://schemas.openxmlformats.org/officeDocument/2006/relationships/hyperlink" Target="https://doi.org/10.31295/ijbem.v4n1.15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5-85192.2022.2148551" TargetMode="External"/><Relationship Id="rId5" Type="http://schemas.openxmlformats.org/officeDocument/2006/relationships/webSettings" Target="webSettings.xml"/><Relationship Id="rId15" Type="http://schemas.openxmlformats.org/officeDocument/2006/relationships/hyperlink" Target="https://doi.org/10.1057/s41291-022-00208-z"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11/1748-8583.123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C2779-3691-314E-B20C-7993E70D8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3500</Words>
  <Characters>19954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2025-11-13T19:51:00Z</dcterms:created>
  <dcterms:modified xsi:type="dcterms:W3CDTF">2025-11-13T19:51:00Z</dcterms:modified>
</cp:coreProperties>
</file>