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38EE4" w14:textId="77777777" w:rsidR="00B01620" w:rsidRPr="00B01620" w:rsidRDefault="00B01620" w:rsidP="00B01620">
      <w:pPr>
        <w:spacing w:after="0" w:line="240" w:lineRule="auto"/>
        <w:rPr>
          <w:rFonts w:ascii="Arial Nova" w:hAnsi="Arial Nova" w:cs="Times New Roman"/>
          <w:kern w:val="0"/>
          <w14:ligatures w14:val="none"/>
        </w:rPr>
      </w:pPr>
      <w:r w:rsidRPr="00B01620">
        <w:rPr>
          <w:rFonts w:ascii="Arial Nova" w:hAnsi="Arial Nova" w:cs="Times New Roman"/>
          <w:kern w:val="0"/>
          <w14:ligatures w14:val="none"/>
        </w:rPr>
        <w:t>ECEY4001</w:t>
      </w:r>
    </w:p>
    <w:p w14:paraId="4BED6578" w14:textId="77777777" w:rsidR="00B01620" w:rsidRPr="00B01620" w:rsidRDefault="00B01620" w:rsidP="00B01620">
      <w:pPr>
        <w:spacing w:after="236" w:line="255" w:lineRule="auto"/>
        <w:ind w:left="-5" w:right="15" w:hanging="10"/>
        <w:rPr>
          <w:rFonts w:ascii="Arial Nova" w:eastAsia="Arial" w:hAnsi="Arial Nova" w:cs="Arial"/>
          <w:color w:val="000000"/>
        </w:rPr>
      </w:pPr>
      <w:r w:rsidRPr="00B01620">
        <w:rPr>
          <w:rFonts w:ascii="Arial Nova" w:eastAsia="Arial" w:hAnsi="Arial Nova" w:cs="Arial"/>
          <w:color w:val="000000"/>
        </w:rPr>
        <w:t>Shannon Fry</w:t>
      </w:r>
    </w:p>
    <w:p w14:paraId="6D5A7F9D" w14:textId="77777777" w:rsidR="00B01620" w:rsidRPr="00B01620" w:rsidRDefault="00B01620" w:rsidP="00B01620">
      <w:pPr>
        <w:spacing w:after="236" w:line="255" w:lineRule="auto"/>
        <w:ind w:left="-5" w:right="15" w:hanging="10"/>
        <w:rPr>
          <w:rFonts w:ascii="Arial Nova" w:eastAsia="Arial" w:hAnsi="Arial Nova" w:cs="Arial"/>
          <w:color w:val="000000"/>
        </w:rPr>
      </w:pPr>
      <w:r w:rsidRPr="00B01620">
        <w:rPr>
          <w:rFonts w:ascii="Arial Nova" w:eastAsia="Arial" w:hAnsi="Arial Nova" w:cs="Arial"/>
          <w:color w:val="000000"/>
        </w:rPr>
        <w:t>Student number- 2505762</w:t>
      </w:r>
    </w:p>
    <w:p w14:paraId="43DE8DC4" w14:textId="77777777" w:rsidR="00B01620" w:rsidRPr="00B01620" w:rsidRDefault="00B01620" w:rsidP="00B01620">
      <w:pPr>
        <w:spacing w:after="236" w:line="255" w:lineRule="auto"/>
        <w:ind w:left="-5" w:right="15" w:hanging="10"/>
        <w:rPr>
          <w:rFonts w:ascii="Arial Nova" w:eastAsia="Arial" w:hAnsi="Arial Nova" w:cs="Arial"/>
          <w:color w:val="000000"/>
        </w:rPr>
      </w:pPr>
      <w:r w:rsidRPr="00B01620">
        <w:rPr>
          <w:rFonts w:ascii="Arial Nova" w:eastAsia="Arial" w:hAnsi="Arial Nova" w:cs="Arial"/>
          <w:color w:val="000000"/>
        </w:rPr>
        <w:t>Component 1</w:t>
      </w:r>
    </w:p>
    <w:p w14:paraId="4BF1690D" w14:textId="63FDE5C3" w:rsidR="00B01620" w:rsidRPr="00B01620" w:rsidRDefault="00B01620" w:rsidP="00B01620">
      <w:pPr>
        <w:spacing w:after="0" w:line="240" w:lineRule="auto"/>
        <w:rPr>
          <w:rFonts w:ascii="Arial Nova" w:hAnsi="Arial Nova" w:cs="Times New Roman"/>
          <w:kern w:val="0"/>
          <w14:ligatures w14:val="none"/>
        </w:rPr>
      </w:pPr>
      <w:r w:rsidRPr="00B01620">
        <w:rPr>
          <w:rFonts w:ascii="Arial Nova" w:hAnsi="Arial Nova" w:cs="Times New Roman"/>
          <w:kern w:val="0"/>
          <w14:ligatures w14:val="none"/>
        </w:rPr>
        <w:t xml:space="preserve">Develop an infographic to explore Maslow's model in depth </w:t>
      </w:r>
    </w:p>
    <w:p w14:paraId="0757F131" w14:textId="77777777" w:rsidR="00B01620" w:rsidRPr="00B01620" w:rsidRDefault="00B01620" w:rsidP="00B01620">
      <w:pPr>
        <w:spacing w:after="0" w:line="240" w:lineRule="auto"/>
        <w:rPr>
          <w:rFonts w:ascii="Arial Nova" w:hAnsi="Arial Nova" w:cs="Times New Roman"/>
          <w:kern w:val="0"/>
          <w14:ligatures w14:val="none"/>
        </w:rPr>
      </w:pPr>
    </w:p>
    <w:p w14:paraId="53CC93A1" w14:textId="77777777" w:rsidR="00B01620" w:rsidRPr="00B01620" w:rsidRDefault="00B01620" w:rsidP="00B01620">
      <w:pPr>
        <w:spacing w:after="236" w:line="255" w:lineRule="auto"/>
        <w:ind w:left="-5" w:right="15" w:hanging="10"/>
        <w:rPr>
          <w:rFonts w:ascii="Arial Nova" w:eastAsia="Arial" w:hAnsi="Arial Nova" w:cs="Arial"/>
          <w:color w:val="000000"/>
        </w:rPr>
      </w:pPr>
      <w:r w:rsidRPr="00B01620">
        <w:rPr>
          <w:rFonts w:ascii="Arial Nova" w:eastAsia="Arial" w:hAnsi="Arial Nova" w:cs="Arial"/>
          <w:color w:val="000000"/>
        </w:rPr>
        <w:t>Component 2</w:t>
      </w:r>
    </w:p>
    <w:p w14:paraId="6A48757B" w14:textId="32AE4E48" w:rsidR="00B01620" w:rsidRPr="00B01620" w:rsidRDefault="00B01620" w:rsidP="00B01620">
      <w:pPr>
        <w:spacing w:after="0" w:line="240" w:lineRule="auto"/>
        <w:rPr>
          <w:rFonts w:ascii="Arial Nova" w:hAnsi="Arial Nova" w:cs="Times New Roman"/>
          <w:kern w:val="0"/>
          <w14:ligatures w14:val="none"/>
        </w:rPr>
      </w:pPr>
      <w:r w:rsidRPr="00B01620">
        <w:rPr>
          <w:rFonts w:ascii="Arial Nova" w:hAnsi="Arial Nova" w:cs="Times New Roman"/>
          <w:kern w:val="0"/>
          <w14:ligatures w14:val="none"/>
        </w:rPr>
        <w:t xml:space="preserve">Explore in depth the concept of holistic child development with links to Maslow's model </w:t>
      </w:r>
    </w:p>
    <w:p w14:paraId="78CFE265" w14:textId="77777777" w:rsidR="00B01620" w:rsidRPr="00B01620" w:rsidRDefault="00B01620" w:rsidP="00B01620">
      <w:pPr>
        <w:spacing w:after="0" w:line="240" w:lineRule="auto"/>
        <w:rPr>
          <w:rFonts w:ascii="Arial Nova" w:hAnsi="Arial Nova" w:cs="Times New Roman"/>
          <w:kern w:val="0"/>
          <w14:ligatures w14:val="none"/>
        </w:rPr>
      </w:pPr>
    </w:p>
    <w:p w14:paraId="5A2D406A" w14:textId="77777777" w:rsidR="00B01620" w:rsidRPr="00B01620" w:rsidRDefault="00B01620" w:rsidP="00B01620">
      <w:pPr>
        <w:spacing w:after="236" w:line="255" w:lineRule="auto"/>
        <w:ind w:right="15"/>
        <w:rPr>
          <w:rFonts w:ascii="Arial Nova" w:eastAsia="Arial" w:hAnsi="Arial Nova" w:cs="Arial"/>
          <w:color w:val="000000"/>
        </w:rPr>
      </w:pPr>
      <w:r w:rsidRPr="00B01620">
        <w:rPr>
          <w:rFonts w:ascii="Arial Nova" w:eastAsia="Arial" w:hAnsi="Arial Nova" w:cs="Arial"/>
          <w:color w:val="000000"/>
        </w:rPr>
        <w:t>Component 3</w:t>
      </w:r>
    </w:p>
    <w:p w14:paraId="150D08CA" w14:textId="5BFA76D9" w:rsidR="00B01620" w:rsidRPr="00B01620" w:rsidRDefault="00B01620" w:rsidP="00B01620">
      <w:pPr>
        <w:spacing w:after="0" w:line="240" w:lineRule="auto"/>
        <w:rPr>
          <w:rFonts w:ascii="Arial Nova" w:hAnsi="Arial Nova" w:cs="Times New Roman"/>
          <w:kern w:val="0"/>
          <w14:ligatures w14:val="none"/>
        </w:rPr>
      </w:pPr>
      <w:r w:rsidRPr="00B01620">
        <w:rPr>
          <w:rFonts w:ascii="Arial Nova" w:hAnsi="Arial Nova" w:cs="Times New Roman"/>
          <w:kern w:val="0"/>
          <w14:ligatures w14:val="none"/>
        </w:rPr>
        <w:t xml:space="preserve">Offer three examples from early years practice to highlight Maslow's significance in understanding child development. </w:t>
      </w:r>
    </w:p>
    <w:p w14:paraId="3016DE89" w14:textId="77777777" w:rsidR="00B01620" w:rsidRPr="00B01620" w:rsidRDefault="00B01620" w:rsidP="00B01620">
      <w:pPr>
        <w:spacing w:after="236" w:line="255" w:lineRule="auto"/>
        <w:ind w:right="15"/>
        <w:rPr>
          <w:rFonts w:ascii="Arial Nova" w:eastAsia="Arial" w:hAnsi="Arial Nova" w:cs="Arial"/>
          <w:color w:val="000000"/>
        </w:rPr>
      </w:pPr>
    </w:p>
    <w:p w14:paraId="78640D9A" w14:textId="77777777" w:rsidR="00B01620" w:rsidRPr="00B01620" w:rsidRDefault="00B01620" w:rsidP="00B01620">
      <w:pPr>
        <w:spacing w:after="236" w:line="255" w:lineRule="auto"/>
        <w:ind w:left="-5" w:right="15" w:hanging="10"/>
        <w:rPr>
          <w:rFonts w:ascii="Arial Nova" w:eastAsia="Arial" w:hAnsi="Arial Nova" w:cs="Arial"/>
          <w:color w:val="000000"/>
        </w:rPr>
      </w:pPr>
    </w:p>
    <w:p w14:paraId="316AB300" w14:textId="77777777" w:rsidR="00B01620" w:rsidRPr="00B01620" w:rsidRDefault="00B01620" w:rsidP="00B01620">
      <w:pPr>
        <w:spacing w:after="236" w:line="255" w:lineRule="auto"/>
        <w:ind w:left="-5" w:right="15" w:hanging="10"/>
        <w:rPr>
          <w:rFonts w:ascii="Arial Nova" w:eastAsia="Arial" w:hAnsi="Arial Nova" w:cs="Arial"/>
          <w:color w:val="000000"/>
        </w:rPr>
      </w:pPr>
    </w:p>
    <w:p w14:paraId="6561C99C" w14:textId="77777777" w:rsidR="00B01620" w:rsidRPr="00B01620" w:rsidRDefault="00B01620" w:rsidP="00B01620">
      <w:pPr>
        <w:spacing w:after="236" w:line="255" w:lineRule="auto"/>
        <w:ind w:left="-5" w:right="15" w:hanging="10"/>
        <w:rPr>
          <w:rFonts w:ascii="Arial Nova" w:eastAsia="Arial" w:hAnsi="Arial Nova" w:cs="Arial"/>
          <w:color w:val="000000"/>
        </w:rPr>
      </w:pPr>
    </w:p>
    <w:p w14:paraId="738051DE" w14:textId="77777777" w:rsidR="00B01620" w:rsidRPr="00B01620" w:rsidRDefault="00B01620" w:rsidP="00B01620">
      <w:pPr>
        <w:spacing w:after="236" w:line="255" w:lineRule="auto"/>
        <w:ind w:left="-5" w:right="15" w:hanging="10"/>
        <w:rPr>
          <w:rFonts w:ascii="Arial Nova" w:eastAsia="Arial" w:hAnsi="Arial Nova" w:cs="Arial"/>
          <w:color w:val="000000"/>
        </w:rPr>
      </w:pPr>
    </w:p>
    <w:p w14:paraId="1CD19694" w14:textId="77777777" w:rsidR="00B01620" w:rsidRPr="00B01620" w:rsidRDefault="00B01620" w:rsidP="00B01620">
      <w:pPr>
        <w:spacing w:after="236" w:line="255" w:lineRule="auto"/>
        <w:ind w:left="-5" w:right="15" w:hanging="10"/>
        <w:rPr>
          <w:rFonts w:ascii="Arial Nova" w:eastAsia="Arial" w:hAnsi="Arial Nova" w:cs="Arial"/>
          <w:color w:val="000000"/>
        </w:rPr>
      </w:pPr>
    </w:p>
    <w:p w14:paraId="2F8A7905" w14:textId="77777777" w:rsidR="00B01620" w:rsidRPr="00B01620" w:rsidRDefault="00B01620" w:rsidP="00B01620">
      <w:pPr>
        <w:spacing w:after="236" w:line="255" w:lineRule="auto"/>
        <w:ind w:left="-5" w:right="15" w:hanging="10"/>
        <w:rPr>
          <w:rFonts w:ascii="Arial Nova" w:eastAsia="Arial" w:hAnsi="Arial Nova" w:cs="Arial"/>
          <w:color w:val="000000"/>
        </w:rPr>
      </w:pPr>
    </w:p>
    <w:p w14:paraId="6E5172B4" w14:textId="77777777" w:rsidR="00B01620" w:rsidRPr="00B01620" w:rsidRDefault="00B01620" w:rsidP="00B01620">
      <w:pPr>
        <w:spacing w:after="236" w:line="255" w:lineRule="auto"/>
        <w:ind w:left="-5" w:right="15" w:hanging="10"/>
        <w:rPr>
          <w:rFonts w:ascii="Arial Nova" w:eastAsia="Arial" w:hAnsi="Arial Nova" w:cs="Arial"/>
          <w:color w:val="000000"/>
        </w:rPr>
      </w:pPr>
    </w:p>
    <w:p w14:paraId="45AA64F1" w14:textId="77777777" w:rsidR="00B01620" w:rsidRPr="00B01620" w:rsidRDefault="00B01620" w:rsidP="00B01620">
      <w:pPr>
        <w:spacing w:after="236" w:line="255" w:lineRule="auto"/>
        <w:ind w:left="-5" w:right="15" w:hanging="10"/>
        <w:rPr>
          <w:rFonts w:ascii="Arial Nova" w:eastAsia="Arial" w:hAnsi="Arial Nova" w:cs="Arial"/>
          <w:color w:val="000000"/>
        </w:rPr>
      </w:pPr>
    </w:p>
    <w:p w14:paraId="34EF4DA3" w14:textId="77777777" w:rsidR="00B01620" w:rsidRPr="00B01620" w:rsidRDefault="00B01620" w:rsidP="00B01620">
      <w:pPr>
        <w:spacing w:after="236" w:line="255" w:lineRule="auto"/>
        <w:ind w:left="-5" w:right="15" w:hanging="10"/>
        <w:rPr>
          <w:rFonts w:ascii="Arial Nova" w:eastAsia="Arial" w:hAnsi="Arial Nova" w:cs="Arial"/>
          <w:color w:val="000000"/>
        </w:rPr>
      </w:pPr>
    </w:p>
    <w:p w14:paraId="5B82491E" w14:textId="77777777" w:rsidR="00B01620" w:rsidRPr="00B01620" w:rsidRDefault="00B01620" w:rsidP="00B01620">
      <w:pPr>
        <w:spacing w:after="236" w:line="255" w:lineRule="auto"/>
        <w:ind w:left="-5" w:right="15" w:hanging="10"/>
        <w:rPr>
          <w:rFonts w:ascii="Arial Nova" w:eastAsia="Arial" w:hAnsi="Arial Nova" w:cs="Arial"/>
          <w:color w:val="000000"/>
        </w:rPr>
      </w:pPr>
    </w:p>
    <w:p w14:paraId="303BFB1C" w14:textId="77777777" w:rsidR="00B01620" w:rsidRPr="00B01620" w:rsidRDefault="00B01620" w:rsidP="00B01620">
      <w:pPr>
        <w:spacing w:after="236" w:line="255" w:lineRule="auto"/>
        <w:ind w:left="-5" w:right="15" w:hanging="10"/>
        <w:rPr>
          <w:rFonts w:ascii="Arial Nova" w:eastAsia="Arial" w:hAnsi="Arial Nova" w:cs="Arial"/>
          <w:color w:val="000000"/>
        </w:rPr>
      </w:pPr>
    </w:p>
    <w:p w14:paraId="081D3AA4" w14:textId="77777777" w:rsidR="00B01620" w:rsidRPr="00B01620" w:rsidRDefault="00B01620" w:rsidP="00B01620">
      <w:pPr>
        <w:spacing w:after="236" w:line="255" w:lineRule="auto"/>
        <w:ind w:left="-5" w:right="15" w:hanging="10"/>
        <w:rPr>
          <w:rFonts w:ascii="Arial Nova" w:eastAsia="Arial" w:hAnsi="Arial Nova" w:cs="Arial"/>
          <w:color w:val="000000"/>
        </w:rPr>
      </w:pPr>
    </w:p>
    <w:p w14:paraId="645F5468" w14:textId="77777777" w:rsidR="00B01620" w:rsidRPr="00B01620" w:rsidRDefault="00B01620" w:rsidP="00B01620">
      <w:pPr>
        <w:spacing w:after="236" w:line="255" w:lineRule="auto"/>
        <w:ind w:left="-5" w:right="15" w:hanging="10"/>
        <w:rPr>
          <w:rFonts w:ascii="Arial Nova" w:eastAsia="Arial" w:hAnsi="Arial Nova" w:cs="Arial"/>
          <w:color w:val="000000"/>
        </w:rPr>
      </w:pPr>
    </w:p>
    <w:p w14:paraId="383607C7" w14:textId="77777777" w:rsidR="00B01620" w:rsidRPr="00B01620" w:rsidRDefault="00B01620" w:rsidP="00B01620">
      <w:pPr>
        <w:spacing w:after="236" w:line="255" w:lineRule="auto"/>
        <w:ind w:left="-5" w:right="15" w:hanging="10"/>
        <w:rPr>
          <w:rFonts w:ascii="Arial Nova" w:eastAsia="Arial" w:hAnsi="Arial Nova" w:cs="Arial"/>
          <w:color w:val="000000"/>
        </w:rPr>
      </w:pPr>
    </w:p>
    <w:p w14:paraId="0BD529A6" w14:textId="77777777" w:rsidR="00B01620" w:rsidRPr="00B01620" w:rsidRDefault="00B01620" w:rsidP="00B01620">
      <w:pPr>
        <w:spacing w:after="236" w:line="255" w:lineRule="auto"/>
        <w:ind w:left="-5" w:right="15" w:hanging="10"/>
        <w:rPr>
          <w:rFonts w:ascii="Arial Nova" w:eastAsia="Arial" w:hAnsi="Arial Nova" w:cs="Arial"/>
          <w:color w:val="000000"/>
        </w:rPr>
      </w:pPr>
    </w:p>
    <w:p w14:paraId="0BAB7C4E" w14:textId="77777777" w:rsidR="00B01620" w:rsidRPr="00B01620" w:rsidRDefault="00B01620" w:rsidP="00B01620">
      <w:pPr>
        <w:spacing w:after="236" w:line="255" w:lineRule="auto"/>
        <w:ind w:left="-5" w:right="15" w:hanging="10"/>
        <w:rPr>
          <w:rFonts w:ascii="Arial Nova" w:eastAsia="Arial" w:hAnsi="Arial Nova" w:cs="Arial"/>
          <w:color w:val="000000"/>
        </w:rPr>
      </w:pPr>
      <w:r w:rsidRPr="00B01620">
        <w:rPr>
          <w:rFonts w:ascii="Arial Nova" w:eastAsia="Arial" w:hAnsi="Arial Nova" w:cs="Arial"/>
          <w:color w:val="000000"/>
        </w:rPr>
        <w:lastRenderedPageBreak/>
        <w:t>Component 1</w:t>
      </w:r>
    </w:p>
    <w:p w14:paraId="4CCC7C40" w14:textId="523F3C79"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Maslow’s Hierarchy of Needs</w:t>
      </w:r>
    </w:p>
    <w:p w14:paraId="5BC77AC4" w14:textId="49995195"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Maslow’s Hierarchy of Needs is a foundational motivational theory that proposes human behaviour is influenced by a set of layered needs. Developed by Abraham Maslow in 1943, the model suggests that human beings generally prioritise more basic needs before progressing towards complex psychological growth. While the model is commonly presented as a pyramid, Maslow did not originally design it in this shape</w:t>
      </w:r>
      <w:r w:rsidR="00565F9D">
        <w:rPr>
          <w:rFonts w:ascii="Arial Nova" w:hAnsi="Arial Nova" w:cs="Times New Roman"/>
          <w:color w:val="000000"/>
          <w:kern w:val="0"/>
          <w14:ligatures w14:val="none"/>
        </w:rPr>
        <w:t>. I</w:t>
      </w:r>
      <w:r w:rsidRPr="00B01620">
        <w:rPr>
          <w:rFonts w:ascii="Arial Nova" w:hAnsi="Arial Nova" w:cs="Times New Roman"/>
          <w:color w:val="000000"/>
          <w:kern w:val="0"/>
          <w14:ligatures w14:val="none"/>
        </w:rPr>
        <w:t>nstead, the pyramid emerged later as a simplified visual teaching tool. The model remains influential across psychology, education, health, and organisational practice because it offers a clear structure for understanding what people require to function well.</w:t>
      </w:r>
    </w:p>
    <w:p w14:paraId="0EBD910A" w14:textId="77777777" w:rsidR="00B01620" w:rsidRPr="00B01620" w:rsidRDefault="00B01620" w:rsidP="00B01620">
      <w:pPr>
        <w:spacing w:after="0" w:line="240" w:lineRule="auto"/>
        <w:rPr>
          <w:rFonts w:ascii="Arial Nova" w:hAnsi="Arial Nova" w:cs="Times New Roman"/>
          <w:color w:val="000000"/>
          <w:kern w:val="0"/>
          <w14:ligatures w14:val="none"/>
        </w:rPr>
      </w:pPr>
    </w:p>
    <w:p w14:paraId="1971EC53"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Physiological Needs</w:t>
      </w:r>
    </w:p>
    <w:p w14:paraId="4283EEC4"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At the base of the hierarchy are physiological needs, which refer to the biological requirements necessary for survival. These include food, water, sleep, warmth, rest and homeostasis. When these needs are not adequately met, they dominate attention and behaviour, making it difficult for individuals to focus on anything else. These needs are often addressed through access to stable housing, nutrition, clean water and consistent routines.</w:t>
      </w:r>
    </w:p>
    <w:p w14:paraId="5A6B9B09" w14:textId="77777777" w:rsidR="00B01620" w:rsidRPr="00B01620" w:rsidRDefault="00B01620" w:rsidP="00B01620">
      <w:pPr>
        <w:spacing w:after="0" w:line="240" w:lineRule="auto"/>
        <w:rPr>
          <w:rFonts w:ascii="Arial Nova" w:hAnsi="Arial Nova" w:cs="Times New Roman"/>
          <w:color w:val="000000"/>
          <w:kern w:val="0"/>
          <w14:ligatures w14:val="none"/>
        </w:rPr>
      </w:pPr>
    </w:p>
    <w:p w14:paraId="6D278D32"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Safety Needs</w:t>
      </w:r>
    </w:p>
    <w:p w14:paraId="2160AAB5"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Safety needs relate to physical protection, security and predictability in one’s environment. This includes protection from violence, safe living conditions, stable employment, financial security, access to healthcare and the assurance that one’s basic resources will remain available. Meeting safety needs allows individuals to shift from crisis-survival thinking towards long-term planning,</w:t>
      </w:r>
    </w:p>
    <w:p w14:paraId="148198AE"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stability and personal growth.</w:t>
      </w:r>
    </w:p>
    <w:p w14:paraId="4ACB0428" w14:textId="77777777" w:rsidR="00B01620" w:rsidRPr="00B01620" w:rsidRDefault="00B01620" w:rsidP="00B01620">
      <w:pPr>
        <w:spacing w:after="0" w:line="240" w:lineRule="auto"/>
        <w:rPr>
          <w:rFonts w:ascii="Arial Nova" w:hAnsi="Arial Nova" w:cs="Times New Roman"/>
          <w:color w:val="000000"/>
          <w:kern w:val="0"/>
          <w14:ligatures w14:val="none"/>
        </w:rPr>
      </w:pPr>
    </w:p>
    <w:p w14:paraId="696B4E2B"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Love and Belonging Needs</w:t>
      </w:r>
    </w:p>
    <w:p w14:paraId="54A2A714"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Once physiological and safety needs are reasonably satisfied, individuals seek social connection. Love and belonging needs include relationships with family, friends, romantic partners and wider communities. These needs involve emotional intimacy, trust, inclusion and a sense of belonging. Research consistently shows that strong social relationships are linked to mental health, resilience and life satisfaction. Conversely, loneliness and isolation can significantly reduce wellbeing and hinder personal development.</w:t>
      </w:r>
    </w:p>
    <w:p w14:paraId="7EF093D6" w14:textId="77777777" w:rsidR="00B01620" w:rsidRPr="00B01620" w:rsidRDefault="00B01620" w:rsidP="00B01620">
      <w:pPr>
        <w:spacing w:after="0" w:line="240" w:lineRule="auto"/>
        <w:rPr>
          <w:rFonts w:ascii="Arial Nova" w:hAnsi="Arial Nova" w:cs="Times New Roman"/>
          <w:color w:val="000000"/>
          <w:kern w:val="0"/>
          <w14:ligatures w14:val="none"/>
        </w:rPr>
      </w:pPr>
    </w:p>
    <w:p w14:paraId="6E647652"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Esteem Needs</w:t>
      </w:r>
    </w:p>
    <w:p w14:paraId="1F1C121D"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Esteem needs involve two related concepts: self-respect and the respect of others. Self-respect includes feelings of competence, autonomy and personal achievement. Respect from others includes recognition, status, appreciation and positive regard. When esteem needs are met, individuals feel confident, motivated and capable of pursuing their goals. Unmet esteem needs can lead to feelings of discouragement, inadequacy or low self-worth, which may hinder personal</w:t>
      </w:r>
    </w:p>
    <w:p w14:paraId="12EFB2C9"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development.</w:t>
      </w:r>
    </w:p>
    <w:p w14:paraId="10AA911B" w14:textId="77777777" w:rsidR="00B01620" w:rsidRPr="00B01620" w:rsidRDefault="00B01620" w:rsidP="00B01620">
      <w:pPr>
        <w:spacing w:after="0" w:line="240" w:lineRule="auto"/>
        <w:rPr>
          <w:rFonts w:ascii="Arial Nova" w:hAnsi="Arial Nova" w:cs="Times New Roman"/>
          <w:color w:val="000000"/>
          <w:kern w:val="0"/>
          <w14:ligatures w14:val="none"/>
        </w:rPr>
      </w:pPr>
    </w:p>
    <w:p w14:paraId="7A8D623E"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lastRenderedPageBreak/>
        <w:t>Self-Actualisation</w:t>
      </w:r>
    </w:p>
    <w:p w14:paraId="1CFECF86"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 xml:space="preserve">At the top of Maslow’s hierarchy is self-actualisation, which refers to the desire to fulfil one’s potential and pursue meaningful personal growth. Self-actualisation can take many forms, including creativity, moral development, authenticity, problem-solving, academic achievement or </w:t>
      </w:r>
      <w:proofErr w:type="spellStart"/>
      <w:r w:rsidRPr="00B01620">
        <w:rPr>
          <w:rFonts w:ascii="Arial Nova" w:hAnsi="Arial Nova" w:cs="Times New Roman"/>
          <w:color w:val="000000"/>
          <w:kern w:val="0"/>
          <w14:ligatures w14:val="none"/>
        </w:rPr>
        <w:t>personalexploration</w:t>
      </w:r>
      <w:proofErr w:type="spellEnd"/>
      <w:r w:rsidRPr="00B01620">
        <w:rPr>
          <w:rFonts w:ascii="Arial Nova" w:hAnsi="Arial Nova" w:cs="Times New Roman"/>
          <w:color w:val="000000"/>
          <w:kern w:val="0"/>
          <w14:ligatures w14:val="none"/>
        </w:rPr>
        <w:t>. Maslow believed that self-actualisation is not a final state but an ongoing process of becoming. Individuals may move in and out of this stage depending on life circumstances and</w:t>
      </w:r>
    </w:p>
    <w:p w14:paraId="766C09D7"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changing motivations.</w:t>
      </w:r>
    </w:p>
    <w:p w14:paraId="29C265DB" w14:textId="77777777" w:rsidR="00B01620" w:rsidRPr="00B01620" w:rsidRDefault="00B01620" w:rsidP="00B01620">
      <w:pPr>
        <w:spacing w:after="0" w:line="240" w:lineRule="auto"/>
        <w:rPr>
          <w:rFonts w:ascii="Arial Nova" w:hAnsi="Arial Nova" w:cs="Times New Roman"/>
          <w:color w:val="000000"/>
          <w:kern w:val="0"/>
          <w14:ligatures w14:val="none"/>
        </w:rPr>
      </w:pPr>
    </w:p>
    <w:p w14:paraId="21CA59DA"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How the Hierarchy Works</w:t>
      </w:r>
    </w:p>
    <w:p w14:paraId="6AE5CB1F"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Maslow suggested that human needs have relative pre-potency, meaning some needs are generally prioritised over others. However, he noted that the hierarchy is not rigid. People can pursue higher-level needs even when lower ones remain partially unmet. Human motivation is fluid and influenced by personality, culture, environment and individual differences. The pyramid shape, although useful for teaching, can therefore oversimplify the complexity of human behaviour.</w:t>
      </w:r>
    </w:p>
    <w:p w14:paraId="0CAE56AE" w14:textId="77777777" w:rsidR="00B01620" w:rsidRPr="00B01620" w:rsidRDefault="00B01620" w:rsidP="00B01620">
      <w:pPr>
        <w:spacing w:after="0" w:line="240" w:lineRule="auto"/>
        <w:rPr>
          <w:rFonts w:ascii="Arial Nova" w:hAnsi="Arial Nova" w:cs="Times New Roman"/>
          <w:color w:val="000000"/>
          <w:kern w:val="0"/>
          <w14:ligatures w14:val="none"/>
        </w:rPr>
      </w:pPr>
    </w:p>
    <w:p w14:paraId="174012C7"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Evidence and Contemporary Findings</w:t>
      </w:r>
    </w:p>
    <w:p w14:paraId="101D0D4D"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Research into Maslow’s model has produced mixed results. Studies consistently support the existence of the broad need categories, but they do not fully support a strict hierarchical order. For example, some individuals prioritise belonging even when safety is uncertain, while others focus on esteem despite unmet physiological needs. Cross-cultural studies also reveal differences, collectivist societies may prioritise belonging over individual achievement, whereas individualist cultures may place greater emphasis on autonomy and personal success. Modern wellbeing research confirms that all of Maslow’s need types contribute to wellbeing, but the order in which they influence behaviour varies widely.</w:t>
      </w:r>
    </w:p>
    <w:p w14:paraId="4593EE82" w14:textId="77777777" w:rsidR="00B01620" w:rsidRPr="00B01620" w:rsidRDefault="00B01620" w:rsidP="00B01620">
      <w:pPr>
        <w:spacing w:after="0" w:line="240" w:lineRule="auto"/>
        <w:rPr>
          <w:rFonts w:ascii="Arial Nova" w:hAnsi="Arial Nova" w:cs="Times New Roman"/>
          <w:color w:val="000000"/>
          <w:kern w:val="0"/>
          <w14:ligatures w14:val="none"/>
        </w:rPr>
      </w:pPr>
    </w:p>
    <w:p w14:paraId="5731B928"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Contemporary Perspectives and Revisions</w:t>
      </w:r>
    </w:p>
    <w:p w14:paraId="29991BC2"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 xml:space="preserve">Evolutionary psychologists have expanded Maslow’s theory by proposing that human motivation consists of multiple interacting systems rather than a single upward ladder. One of the most influential reinterpretations is the Renovated Hierarchy proposed by </w:t>
      </w:r>
      <w:proofErr w:type="spellStart"/>
      <w:r w:rsidRPr="00B01620">
        <w:rPr>
          <w:rFonts w:ascii="Arial Nova" w:hAnsi="Arial Nova" w:cs="Times New Roman"/>
          <w:color w:val="000000"/>
          <w:kern w:val="0"/>
          <w14:ligatures w14:val="none"/>
        </w:rPr>
        <w:t>Kenrick</w:t>
      </w:r>
      <w:proofErr w:type="spellEnd"/>
      <w:r w:rsidRPr="00B01620">
        <w:rPr>
          <w:rFonts w:ascii="Arial Nova" w:hAnsi="Arial Nova" w:cs="Times New Roman"/>
          <w:color w:val="000000"/>
          <w:kern w:val="0"/>
          <w14:ligatures w14:val="none"/>
        </w:rPr>
        <w:t xml:space="preserve"> et al. (2010), which reorganises needs around evolutionary functions such as self-protection, affiliation, status, mate</w:t>
      </w:r>
    </w:p>
    <w:p w14:paraId="71CAAE5A"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selection and parenting. These systems can activate independently and may compete with one another. This updated approach explains the dynamic nature of human behaviour more accurately while still acknowledging Maslow’s foundational insights.</w:t>
      </w:r>
    </w:p>
    <w:p w14:paraId="078F9A7A" w14:textId="77777777" w:rsidR="00B01620" w:rsidRPr="00B01620" w:rsidRDefault="00B01620" w:rsidP="00B01620">
      <w:pPr>
        <w:spacing w:after="0" w:line="240" w:lineRule="auto"/>
        <w:rPr>
          <w:rFonts w:ascii="Arial Nova" w:hAnsi="Arial Nova" w:cs="Times New Roman"/>
          <w:color w:val="000000"/>
          <w:kern w:val="0"/>
          <w14:ligatures w14:val="none"/>
        </w:rPr>
      </w:pPr>
    </w:p>
    <w:p w14:paraId="2B25DD77"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Strengths of Maslow’s Theory</w:t>
      </w:r>
    </w:p>
    <w:p w14:paraId="66ADD8F9"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 xml:space="preserve">Maslow’s model remains valuable because it offers a holistic framework that integrates biological, psychological and social aspects of human life. It is also widely accessible, making it useful for practitioners across diverse fields. The model encourages a compassionate, human-centred approach that considers a </w:t>
      </w:r>
      <w:r w:rsidRPr="00B01620">
        <w:rPr>
          <w:rFonts w:ascii="Arial Nova" w:hAnsi="Arial Nova" w:cs="Times New Roman"/>
          <w:color w:val="000000"/>
          <w:kern w:val="0"/>
          <w14:ligatures w14:val="none"/>
        </w:rPr>
        <w:lastRenderedPageBreak/>
        <w:t>person’s broader context rather than focusing solely on isolated behaviours. Its influence persists because it prompts reflection on what individuals need to thrive,</w:t>
      </w:r>
    </w:p>
    <w:p w14:paraId="3669B1E2"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not merely survive.</w:t>
      </w:r>
    </w:p>
    <w:p w14:paraId="0FD9F462" w14:textId="77777777" w:rsidR="00B01620" w:rsidRPr="00B01620" w:rsidRDefault="00B01620" w:rsidP="00B01620">
      <w:pPr>
        <w:spacing w:after="0" w:line="240" w:lineRule="auto"/>
        <w:rPr>
          <w:rFonts w:ascii="Arial Nova" w:hAnsi="Arial Nova" w:cs="Times New Roman"/>
          <w:color w:val="000000"/>
          <w:kern w:val="0"/>
          <w14:ligatures w14:val="none"/>
        </w:rPr>
      </w:pPr>
    </w:p>
    <w:p w14:paraId="37811FCE"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Limitations and Misconceptions</w:t>
      </w:r>
    </w:p>
    <w:p w14:paraId="6FADF142"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The most common misconception is that Maslow’s hierarchy is universally sequential. Evidence does not support a single fixed progression. Needs often overlap, and individuals can pursue multiple needs at once. Cultural, social and personal differences significantly affect how people prioritise their needs. Another limitation is the broadness of Maslow’s categories, which can make</w:t>
      </w:r>
    </w:p>
    <w:p w14:paraId="7F0D5F7E"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precise measurement challenging. Despite these issues, the model continues to be a beneficial conceptual tool.</w:t>
      </w:r>
    </w:p>
    <w:p w14:paraId="3F1561FB"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 xml:space="preserve">Applications in Real-World Settings. </w:t>
      </w:r>
    </w:p>
    <w:p w14:paraId="325CA1BE"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In education, Maslow’s model highlights the importance of addressing learners’ basic needs, such as nutrition, safety and emotional support, to enhance academic engagement. In workplaces, meeting employees’ needs for security, belonging and recognition can improve motivation and job satisfaction. In health and social care, practitioners can use Maslow’s framework to identify unmet needs and tailor interventions accordingly. Policy makers also draw on these principles when</w:t>
      </w:r>
    </w:p>
    <w:p w14:paraId="26B5BB69"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designing systems that support public wellbeing, such as social welfare, mental health services and housing initiatives.</w:t>
      </w:r>
    </w:p>
    <w:p w14:paraId="24E36644" w14:textId="77777777" w:rsidR="00B01620" w:rsidRPr="00B01620" w:rsidRDefault="00B01620" w:rsidP="00B01620">
      <w:pPr>
        <w:spacing w:after="0" w:line="240" w:lineRule="auto"/>
        <w:rPr>
          <w:rFonts w:ascii="Arial Nova" w:hAnsi="Arial Nova" w:cs="Times New Roman"/>
          <w:color w:val="000000"/>
          <w:kern w:val="0"/>
          <w14:ligatures w14:val="none"/>
        </w:rPr>
      </w:pPr>
    </w:p>
    <w:p w14:paraId="42D6FE3E"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Summary</w:t>
      </w:r>
    </w:p>
    <w:p w14:paraId="4CE46B90"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Maslow’s Hierarchy of Needs remains an influential, widely used framework for understanding human motivation. Although modern research challenges the rigidity of the hierarchical structure, the model’s core insight, that people have multiple, interacting needs that influence wellbeing, remains highly relevant. Maslow’s theory should therefore be used as a flexible guide rather than a strict sequence, helping individuals and practitioners understand which needs may</w:t>
      </w:r>
    </w:p>
    <w:p w14:paraId="71FF4163"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require support.</w:t>
      </w:r>
    </w:p>
    <w:p w14:paraId="687C5724" w14:textId="77777777" w:rsidR="00B01620" w:rsidRPr="00B01620" w:rsidRDefault="00B01620" w:rsidP="00B01620">
      <w:pPr>
        <w:spacing w:after="0" w:line="240" w:lineRule="auto"/>
        <w:rPr>
          <w:rFonts w:ascii="Arial Nova" w:hAnsi="Arial Nova" w:cs="Times New Roman"/>
          <w:color w:val="000000"/>
          <w:kern w:val="0"/>
          <w14:ligatures w14:val="none"/>
        </w:rPr>
      </w:pPr>
    </w:p>
    <w:p w14:paraId="0527FABD"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References</w:t>
      </w:r>
    </w:p>
    <w:p w14:paraId="69CAE565" w14:textId="77777777" w:rsidR="00B01620" w:rsidRPr="00B01620" w:rsidRDefault="00B01620" w:rsidP="00B01620">
      <w:pPr>
        <w:spacing w:after="0" w:line="240" w:lineRule="auto"/>
        <w:rPr>
          <w:rFonts w:ascii="Arial Nova" w:hAnsi="Arial Nova" w:cs="Times New Roman"/>
          <w:color w:val="000000"/>
          <w:kern w:val="0"/>
          <w14:ligatures w14:val="none"/>
        </w:rPr>
      </w:pPr>
    </w:p>
    <w:p w14:paraId="27CF517F"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Maslow, A.H., 1943. A Theory of Human Motivation. Psychological Review, 50(4), pp.370–396.</w:t>
      </w:r>
    </w:p>
    <w:p w14:paraId="57764E00" w14:textId="77777777" w:rsidR="00B01620" w:rsidRPr="00B01620" w:rsidRDefault="00B01620" w:rsidP="00B01620">
      <w:pPr>
        <w:spacing w:after="0" w:line="240" w:lineRule="auto"/>
        <w:rPr>
          <w:rFonts w:ascii="Arial Nova" w:hAnsi="Arial Nova" w:cs="Times New Roman"/>
          <w:color w:val="000000"/>
          <w:kern w:val="0"/>
          <w14:ligatures w14:val="none"/>
        </w:rPr>
      </w:pPr>
    </w:p>
    <w:p w14:paraId="709B402C" w14:textId="77777777" w:rsidR="00B01620" w:rsidRPr="00B01620" w:rsidRDefault="00B01620" w:rsidP="00B01620">
      <w:pPr>
        <w:spacing w:after="0" w:line="240" w:lineRule="auto"/>
        <w:rPr>
          <w:rFonts w:ascii="Arial Nova" w:hAnsi="Arial Nova" w:cs="Times New Roman"/>
          <w:color w:val="000000"/>
          <w:kern w:val="0"/>
          <w14:ligatures w14:val="none"/>
        </w:rPr>
      </w:pPr>
      <w:proofErr w:type="spellStart"/>
      <w:r w:rsidRPr="00B01620">
        <w:rPr>
          <w:rFonts w:ascii="Arial Nova" w:hAnsi="Arial Nova" w:cs="Times New Roman"/>
          <w:color w:val="000000"/>
          <w:kern w:val="0"/>
          <w14:ligatures w14:val="none"/>
        </w:rPr>
        <w:t>Wahba</w:t>
      </w:r>
      <w:proofErr w:type="spellEnd"/>
      <w:r w:rsidRPr="00B01620">
        <w:rPr>
          <w:rFonts w:ascii="Arial Nova" w:hAnsi="Arial Nova" w:cs="Times New Roman"/>
          <w:color w:val="000000"/>
          <w:kern w:val="0"/>
          <w14:ligatures w14:val="none"/>
        </w:rPr>
        <w:t xml:space="preserve">, M. and </w:t>
      </w:r>
      <w:proofErr w:type="spellStart"/>
      <w:r w:rsidRPr="00B01620">
        <w:rPr>
          <w:rFonts w:ascii="Arial Nova" w:hAnsi="Arial Nova" w:cs="Times New Roman"/>
          <w:color w:val="000000"/>
          <w:kern w:val="0"/>
          <w14:ligatures w14:val="none"/>
        </w:rPr>
        <w:t>Bridwell</w:t>
      </w:r>
      <w:proofErr w:type="spellEnd"/>
      <w:r w:rsidRPr="00B01620">
        <w:rPr>
          <w:rFonts w:ascii="Arial Nova" w:hAnsi="Arial Nova" w:cs="Times New Roman"/>
          <w:color w:val="000000"/>
          <w:kern w:val="0"/>
          <w14:ligatures w14:val="none"/>
        </w:rPr>
        <w:t>, L., 1976. A Review of Research on the Need Hierarchy Theory.</w:t>
      </w:r>
    </w:p>
    <w:p w14:paraId="0EF9C096" w14:textId="77777777" w:rsidR="00B01620" w:rsidRPr="00B01620" w:rsidRDefault="00B01620" w:rsidP="00B01620">
      <w:pPr>
        <w:spacing w:after="0" w:line="240" w:lineRule="auto"/>
        <w:rPr>
          <w:rFonts w:ascii="Arial Nova" w:hAnsi="Arial Nova" w:cs="Times New Roman"/>
          <w:color w:val="000000"/>
          <w:kern w:val="0"/>
          <w14:ligatures w14:val="none"/>
        </w:rPr>
      </w:pPr>
      <w:proofErr w:type="spellStart"/>
      <w:r w:rsidRPr="00B01620">
        <w:rPr>
          <w:rFonts w:ascii="Arial Nova" w:hAnsi="Arial Nova" w:cs="Times New Roman"/>
          <w:color w:val="000000"/>
          <w:kern w:val="0"/>
          <w14:ligatures w14:val="none"/>
        </w:rPr>
        <w:t>Organizational</w:t>
      </w:r>
      <w:proofErr w:type="spellEnd"/>
      <w:r w:rsidRPr="00B01620">
        <w:rPr>
          <w:rFonts w:ascii="Arial Nova" w:hAnsi="Arial Nova" w:cs="Times New Roman"/>
          <w:color w:val="000000"/>
          <w:kern w:val="0"/>
          <w14:ligatures w14:val="none"/>
        </w:rPr>
        <w:t xml:space="preserve"> </w:t>
      </w:r>
      <w:proofErr w:type="spellStart"/>
      <w:r w:rsidRPr="00B01620">
        <w:rPr>
          <w:rFonts w:ascii="Arial Nova" w:hAnsi="Arial Nova" w:cs="Times New Roman"/>
          <w:color w:val="000000"/>
          <w:kern w:val="0"/>
          <w14:ligatures w14:val="none"/>
        </w:rPr>
        <w:t>Behavior</w:t>
      </w:r>
      <w:proofErr w:type="spellEnd"/>
      <w:r w:rsidRPr="00B01620">
        <w:rPr>
          <w:rFonts w:ascii="Arial Nova" w:hAnsi="Arial Nova" w:cs="Times New Roman"/>
          <w:color w:val="000000"/>
          <w:kern w:val="0"/>
          <w14:ligatures w14:val="none"/>
        </w:rPr>
        <w:t xml:space="preserve"> and Human Performance, 15(2), pp.212–240.</w:t>
      </w:r>
    </w:p>
    <w:p w14:paraId="1E5E03D9" w14:textId="77777777" w:rsidR="00B01620" w:rsidRPr="00B01620" w:rsidRDefault="00B01620" w:rsidP="00B01620">
      <w:pPr>
        <w:spacing w:after="0" w:line="240" w:lineRule="auto"/>
        <w:rPr>
          <w:rFonts w:ascii="Arial Nova" w:hAnsi="Arial Nova" w:cs="Times New Roman"/>
          <w:color w:val="000000"/>
          <w:kern w:val="0"/>
          <w14:ligatures w14:val="none"/>
        </w:rPr>
      </w:pPr>
    </w:p>
    <w:p w14:paraId="17C66F01"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 xml:space="preserve">Tay, L. and </w:t>
      </w:r>
      <w:proofErr w:type="spellStart"/>
      <w:r w:rsidRPr="00B01620">
        <w:rPr>
          <w:rFonts w:ascii="Arial Nova" w:hAnsi="Arial Nova" w:cs="Times New Roman"/>
          <w:color w:val="000000"/>
          <w:kern w:val="0"/>
          <w14:ligatures w14:val="none"/>
        </w:rPr>
        <w:t>Diener</w:t>
      </w:r>
      <w:proofErr w:type="spellEnd"/>
      <w:r w:rsidRPr="00B01620">
        <w:rPr>
          <w:rFonts w:ascii="Arial Nova" w:hAnsi="Arial Nova" w:cs="Times New Roman"/>
          <w:color w:val="000000"/>
          <w:kern w:val="0"/>
          <w14:ligatures w14:val="none"/>
        </w:rPr>
        <w:t>, E., 2011. Needs and Subjective Well-Being Around the World. Journal of</w:t>
      </w:r>
    </w:p>
    <w:p w14:paraId="329D44AB"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Personality and Social Psychology, 101(2), pp.354–365.</w:t>
      </w:r>
    </w:p>
    <w:p w14:paraId="56601CA7" w14:textId="77777777" w:rsidR="00B01620" w:rsidRPr="00B01620" w:rsidRDefault="00B01620" w:rsidP="00B01620">
      <w:pPr>
        <w:spacing w:after="0" w:line="240" w:lineRule="auto"/>
        <w:rPr>
          <w:rFonts w:ascii="Arial Nova" w:hAnsi="Arial Nova" w:cs="Times New Roman"/>
          <w:color w:val="000000"/>
          <w:kern w:val="0"/>
          <w14:ligatures w14:val="none"/>
        </w:rPr>
      </w:pPr>
    </w:p>
    <w:p w14:paraId="403805EA" w14:textId="77777777" w:rsidR="00B01620" w:rsidRPr="00B01620" w:rsidRDefault="00B01620" w:rsidP="00B01620">
      <w:pPr>
        <w:spacing w:after="0" w:line="240" w:lineRule="auto"/>
        <w:rPr>
          <w:rFonts w:ascii="Arial Nova" w:hAnsi="Arial Nova" w:cs="Times New Roman"/>
          <w:color w:val="000000"/>
          <w:kern w:val="0"/>
          <w14:ligatures w14:val="none"/>
        </w:rPr>
      </w:pPr>
      <w:proofErr w:type="spellStart"/>
      <w:r w:rsidRPr="00B01620">
        <w:rPr>
          <w:rFonts w:ascii="Arial Nova" w:hAnsi="Arial Nova" w:cs="Times New Roman"/>
          <w:color w:val="000000"/>
          <w:kern w:val="0"/>
          <w14:ligatures w14:val="none"/>
        </w:rPr>
        <w:t>Kenrick</w:t>
      </w:r>
      <w:proofErr w:type="spellEnd"/>
      <w:r w:rsidRPr="00B01620">
        <w:rPr>
          <w:rFonts w:ascii="Arial Nova" w:hAnsi="Arial Nova" w:cs="Times New Roman"/>
          <w:color w:val="000000"/>
          <w:kern w:val="0"/>
          <w14:ligatures w14:val="none"/>
        </w:rPr>
        <w:t xml:space="preserve">, D., </w:t>
      </w:r>
      <w:proofErr w:type="spellStart"/>
      <w:r w:rsidRPr="00B01620">
        <w:rPr>
          <w:rFonts w:ascii="Arial Nova" w:hAnsi="Arial Nova" w:cs="Times New Roman"/>
          <w:color w:val="000000"/>
          <w:kern w:val="0"/>
          <w14:ligatures w14:val="none"/>
        </w:rPr>
        <w:t>Griskevicius</w:t>
      </w:r>
      <w:proofErr w:type="spellEnd"/>
      <w:r w:rsidRPr="00B01620">
        <w:rPr>
          <w:rFonts w:ascii="Arial Nova" w:hAnsi="Arial Nova" w:cs="Times New Roman"/>
          <w:color w:val="000000"/>
          <w:kern w:val="0"/>
          <w14:ligatures w14:val="none"/>
        </w:rPr>
        <w:t xml:space="preserve">, V., </w:t>
      </w:r>
      <w:proofErr w:type="spellStart"/>
      <w:r w:rsidRPr="00B01620">
        <w:rPr>
          <w:rFonts w:ascii="Arial Nova" w:hAnsi="Arial Nova" w:cs="Times New Roman"/>
          <w:color w:val="000000"/>
          <w:kern w:val="0"/>
          <w14:ligatures w14:val="none"/>
        </w:rPr>
        <w:t>Neuberg</w:t>
      </w:r>
      <w:proofErr w:type="spellEnd"/>
      <w:r w:rsidRPr="00B01620">
        <w:rPr>
          <w:rFonts w:ascii="Arial Nova" w:hAnsi="Arial Nova" w:cs="Times New Roman"/>
          <w:color w:val="000000"/>
          <w:kern w:val="0"/>
          <w14:ligatures w14:val="none"/>
        </w:rPr>
        <w:t xml:space="preserve">, S. and </w:t>
      </w:r>
      <w:proofErr w:type="spellStart"/>
      <w:r w:rsidRPr="00B01620">
        <w:rPr>
          <w:rFonts w:ascii="Arial Nova" w:hAnsi="Arial Nova" w:cs="Times New Roman"/>
          <w:color w:val="000000"/>
          <w:kern w:val="0"/>
          <w14:ligatures w14:val="none"/>
        </w:rPr>
        <w:t>Schaller</w:t>
      </w:r>
      <w:proofErr w:type="spellEnd"/>
      <w:r w:rsidRPr="00B01620">
        <w:rPr>
          <w:rFonts w:ascii="Arial Nova" w:hAnsi="Arial Nova" w:cs="Times New Roman"/>
          <w:color w:val="000000"/>
          <w:kern w:val="0"/>
          <w14:ligatures w14:val="none"/>
        </w:rPr>
        <w:t>, M., 2010. Renovating the Pyramid of</w:t>
      </w:r>
    </w:p>
    <w:p w14:paraId="4047B448"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lastRenderedPageBreak/>
        <w:t>Needs. Perspectives on Psychological Science, 5(3), pp.292–314.</w:t>
      </w:r>
    </w:p>
    <w:p w14:paraId="19DBF292" w14:textId="77777777" w:rsidR="00B01620" w:rsidRPr="00B01620" w:rsidRDefault="00B01620" w:rsidP="00B01620">
      <w:pPr>
        <w:spacing w:after="0" w:line="240" w:lineRule="auto"/>
        <w:rPr>
          <w:rFonts w:ascii="Arial Nova" w:hAnsi="Arial Nova" w:cs="Times New Roman"/>
          <w:color w:val="000000"/>
          <w:kern w:val="0"/>
          <w14:ligatures w14:val="none"/>
        </w:rPr>
      </w:pPr>
    </w:p>
    <w:p w14:paraId="25F5784C"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King-Hill, S., 2015. Critical Analysis of Maslow’s Hierarchy of Need. Journal of Education and</w:t>
      </w:r>
    </w:p>
    <w:p w14:paraId="5514CA5C" w14:textId="77777777" w:rsidR="00B01620" w:rsidRPr="00B01620" w:rsidRDefault="00B01620" w:rsidP="00B01620">
      <w:pPr>
        <w:spacing w:after="0" w:line="240" w:lineRule="auto"/>
        <w:rPr>
          <w:rFonts w:ascii="Arial Nova" w:hAnsi="Arial Nova" w:cs="Times New Roman"/>
          <w:color w:val="000000"/>
          <w:kern w:val="0"/>
          <w14:ligatures w14:val="none"/>
        </w:rPr>
      </w:pPr>
      <w:r w:rsidRPr="00B01620">
        <w:rPr>
          <w:rFonts w:ascii="Arial Nova" w:hAnsi="Arial Nova" w:cs="Times New Roman"/>
          <w:color w:val="000000"/>
          <w:kern w:val="0"/>
          <w14:ligatures w14:val="none"/>
        </w:rPr>
        <w:t>Practice, 6(5), pp.1–6.</w:t>
      </w:r>
    </w:p>
    <w:p w14:paraId="19A40198" w14:textId="77777777" w:rsidR="00B01620" w:rsidRPr="00B01620" w:rsidRDefault="00B01620" w:rsidP="00B01620">
      <w:pPr>
        <w:spacing w:after="236" w:line="255" w:lineRule="auto"/>
        <w:ind w:left="-5" w:right="15" w:hanging="10"/>
        <w:rPr>
          <w:rFonts w:ascii="Arial Nova" w:eastAsia="Arial" w:hAnsi="Arial Nova" w:cs="Arial"/>
          <w:color w:val="000000"/>
        </w:rPr>
      </w:pPr>
    </w:p>
    <w:p w14:paraId="43DDD359" w14:textId="77777777" w:rsidR="00B01620" w:rsidRPr="00B01620" w:rsidRDefault="00B01620" w:rsidP="00B01620">
      <w:pPr>
        <w:spacing w:after="236" w:line="255" w:lineRule="auto"/>
        <w:ind w:left="-5" w:right="15" w:hanging="10"/>
        <w:rPr>
          <w:rFonts w:ascii="Arial Nova" w:eastAsia="Arial" w:hAnsi="Arial Nova" w:cs="Arial"/>
          <w:color w:val="000000"/>
        </w:rPr>
      </w:pPr>
    </w:p>
    <w:p w14:paraId="3001E0D7" w14:textId="77777777" w:rsidR="00B01620" w:rsidRPr="00B01620" w:rsidRDefault="00B01620" w:rsidP="00B01620">
      <w:pPr>
        <w:spacing w:after="236" w:line="255" w:lineRule="auto"/>
        <w:ind w:left="-5" w:hanging="10"/>
        <w:rPr>
          <w:rFonts w:ascii="Arial Nova" w:eastAsia="Arial" w:hAnsi="Arial Nova" w:cs="Arial"/>
          <w:color w:val="000000"/>
        </w:rPr>
      </w:pPr>
    </w:p>
    <w:p w14:paraId="531B53F9" w14:textId="77777777" w:rsidR="00B01620" w:rsidRPr="00B01620" w:rsidRDefault="00B01620" w:rsidP="00B01620">
      <w:pPr>
        <w:spacing w:after="236" w:line="255" w:lineRule="auto"/>
        <w:ind w:left="-5" w:right="15" w:hanging="10"/>
        <w:rPr>
          <w:rFonts w:ascii="Arial Nova" w:eastAsia="Arial" w:hAnsi="Arial Nova" w:cs="Arial"/>
          <w:color w:val="000000"/>
        </w:rPr>
      </w:pPr>
    </w:p>
    <w:p w14:paraId="5A715651" w14:textId="77777777" w:rsidR="00B01620" w:rsidRPr="00B01620" w:rsidRDefault="00B01620" w:rsidP="00B01620">
      <w:pPr>
        <w:spacing w:after="236" w:line="255" w:lineRule="auto"/>
        <w:ind w:left="-5" w:right="15" w:hanging="10"/>
        <w:rPr>
          <w:rFonts w:ascii="Arial Nova" w:eastAsia="Arial" w:hAnsi="Arial Nova" w:cs="Arial"/>
          <w:color w:val="000000"/>
        </w:rPr>
      </w:pPr>
    </w:p>
    <w:p w14:paraId="4909399E" w14:textId="77777777" w:rsidR="00B01620" w:rsidRPr="00B01620" w:rsidRDefault="00B01620" w:rsidP="00B01620">
      <w:pPr>
        <w:spacing w:after="236" w:line="255" w:lineRule="auto"/>
        <w:ind w:left="-5" w:right="15" w:hanging="10"/>
        <w:rPr>
          <w:rFonts w:ascii="Arial Nova" w:eastAsia="Arial" w:hAnsi="Arial Nova" w:cs="Arial"/>
          <w:color w:val="000000"/>
        </w:rPr>
      </w:pPr>
    </w:p>
    <w:p w14:paraId="01F43439" w14:textId="77777777" w:rsidR="00B01620" w:rsidRPr="00B01620" w:rsidRDefault="00B01620" w:rsidP="00B01620">
      <w:pPr>
        <w:spacing w:after="236" w:line="255" w:lineRule="auto"/>
        <w:ind w:right="15"/>
        <w:rPr>
          <w:rFonts w:ascii="Arial Nova" w:eastAsia="Arial" w:hAnsi="Arial Nova" w:cs="Arial"/>
          <w:color w:val="000000"/>
        </w:rPr>
      </w:pPr>
      <w:r w:rsidRPr="00B01620">
        <w:rPr>
          <w:rFonts w:ascii="Arial Nova" w:eastAsia="Arial" w:hAnsi="Arial Nova" w:cs="Arial"/>
          <w:color w:val="000000"/>
        </w:rPr>
        <w:t>Component 2</w:t>
      </w:r>
    </w:p>
    <w:p w14:paraId="10842FAC" w14:textId="77777777" w:rsidR="00B01620" w:rsidRPr="00B01620" w:rsidRDefault="00B01620" w:rsidP="00B01620">
      <w:pPr>
        <w:spacing w:after="236" w:line="255" w:lineRule="auto"/>
        <w:ind w:left="-5" w:right="15" w:hanging="10"/>
        <w:rPr>
          <w:rFonts w:ascii="Arial Nova" w:eastAsia="Arial" w:hAnsi="Arial Nova" w:cs="Arial"/>
          <w:color w:val="000000"/>
        </w:rPr>
      </w:pPr>
    </w:p>
    <w:p w14:paraId="3A259F78" w14:textId="77777777" w:rsidR="00B01620" w:rsidRPr="00B01620" w:rsidRDefault="00B01620" w:rsidP="00B01620">
      <w:pPr>
        <w:spacing w:after="236" w:line="255" w:lineRule="auto"/>
        <w:ind w:left="-5" w:right="15" w:hanging="10"/>
        <w:rPr>
          <w:rFonts w:ascii="Arial Nova" w:eastAsia="Arial" w:hAnsi="Arial Nova" w:cs="Arial"/>
          <w:color w:val="000000"/>
        </w:rPr>
      </w:pPr>
    </w:p>
    <w:p w14:paraId="5063A219" w14:textId="77777777" w:rsidR="00B01620" w:rsidRPr="00B01620" w:rsidRDefault="00B01620" w:rsidP="00B01620">
      <w:pPr>
        <w:spacing w:after="236" w:line="255" w:lineRule="auto"/>
        <w:ind w:left="-5" w:right="15" w:hanging="10"/>
        <w:rPr>
          <w:rFonts w:ascii="Arial Nova" w:eastAsia="Arial" w:hAnsi="Arial Nova" w:cs="Arial"/>
          <w:color w:val="000000"/>
        </w:rPr>
      </w:pPr>
      <w:r w:rsidRPr="00B01620">
        <w:rPr>
          <w:rFonts w:ascii="Arial Nova" w:eastAsia="Arial" w:hAnsi="Arial Nova" w:cs="Arial"/>
          <w:color w:val="000000"/>
        </w:rPr>
        <w:t>Holistic Child Development</w:t>
      </w:r>
    </w:p>
    <w:p w14:paraId="194E7B51" w14:textId="77777777" w:rsidR="00B01620" w:rsidRPr="00B01620" w:rsidRDefault="00B01620" w:rsidP="00B01620">
      <w:pPr>
        <w:spacing w:after="236" w:line="255" w:lineRule="auto"/>
        <w:ind w:left="-5" w:right="15" w:hanging="10"/>
        <w:rPr>
          <w:rFonts w:ascii="Arial Nova" w:eastAsia="Arial" w:hAnsi="Arial Nova" w:cs="Arial"/>
          <w:color w:val="000000"/>
        </w:rPr>
      </w:pPr>
      <w:r w:rsidRPr="00B01620">
        <w:rPr>
          <w:rFonts w:ascii="Arial Nova" w:eastAsia="Arial" w:hAnsi="Arial Nova" w:cs="Arial"/>
          <w:color w:val="000000"/>
        </w:rPr>
        <w:t>Holistic child development refers to the integrated growth of children across physical, cognitive, social, emotional and behavioural domains. Contemporary scholarship emphasises that these developmental dimensions do not occur independently; rather, they interact dynamically within the child’s wider ecological context (</w:t>
      </w:r>
      <w:proofErr w:type="spellStart"/>
      <w:r w:rsidRPr="00B01620">
        <w:rPr>
          <w:rFonts w:ascii="Arial Nova" w:eastAsia="Arial" w:hAnsi="Arial Nova" w:cs="Arial"/>
          <w:color w:val="000000"/>
        </w:rPr>
        <w:t>Siraj-Blatchford</w:t>
      </w:r>
      <w:proofErr w:type="spellEnd"/>
      <w:r w:rsidRPr="00B01620">
        <w:rPr>
          <w:rFonts w:ascii="Arial Nova" w:eastAsia="Arial" w:hAnsi="Arial Nova" w:cs="Arial"/>
          <w:color w:val="000000"/>
        </w:rPr>
        <w:t xml:space="preserve"> et al., 2023). A holistic perspective therefore moves beyond narrow academic or physical benchmarks and instead recognises the child as a whole, shaped by relationships, environments, and cultural expectations. This piece of work explores the concept of holistic development and examines its relationship to Maslow’s Hierarchy of Needs, alongside significant developmental theories including </w:t>
      </w:r>
      <w:proofErr w:type="spellStart"/>
      <w:r w:rsidRPr="00B01620">
        <w:rPr>
          <w:rFonts w:ascii="Arial Nova" w:eastAsia="Arial" w:hAnsi="Arial Nova" w:cs="Arial"/>
          <w:color w:val="000000"/>
        </w:rPr>
        <w:t>Bronfenbrenner’s</w:t>
      </w:r>
      <w:proofErr w:type="spellEnd"/>
      <w:r w:rsidRPr="00B01620">
        <w:rPr>
          <w:rFonts w:ascii="Arial Nova" w:eastAsia="Arial" w:hAnsi="Arial Nova" w:cs="Arial"/>
          <w:color w:val="000000"/>
        </w:rPr>
        <w:t xml:space="preserve"> ecological systems theory, Piaget’s cognitive developmental theory and </w:t>
      </w:r>
      <w:proofErr w:type="spellStart"/>
      <w:r w:rsidRPr="00B01620">
        <w:rPr>
          <w:rFonts w:ascii="Arial Nova" w:eastAsia="Arial" w:hAnsi="Arial Nova" w:cs="Arial"/>
          <w:color w:val="000000"/>
        </w:rPr>
        <w:t>Vygotsky’s</w:t>
      </w:r>
      <w:proofErr w:type="spellEnd"/>
      <w:r w:rsidRPr="00B01620">
        <w:rPr>
          <w:rFonts w:ascii="Arial Nova" w:eastAsia="Arial" w:hAnsi="Arial Nova" w:cs="Arial"/>
          <w:color w:val="000000"/>
        </w:rPr>
        <w:t xml:space="preserve"> sociocultural framework. Together, these models offer a comprehensive understanding of how children grow, learn and thrive.</w:t>
      </w:r>
    </w:p>
    <w:p w14:paraId="72DD8AEB" w14:textId="77777777" w:rsidR="00B01620" w:rsidRPr="00B01620" w:rsidRDefault="00B01620" w:rsidP="00B01620">
      <w:pPr>
        <w:spacing w:after="236" w:line="255" w:lineRule="auto"/>
        <w:ind w:left="-5" w:right="15" w:hanging="10"/>
        <w:rPr>
          <w:rFonts w:ascii="Arial Nova" w:eastAsia="Arial" w:hAnsi="Arial Nova" w:cs="Arial"/>
          <w:color w:val="000000"/>
        </w:rPr>
      </w:pPr>
      <w:r w:rsidRPr="00B01620">
        <w:rPr>
          <w:rFonts w:ascii="Arial Nova" w:eastAsia="Arial" w:hAnsi="Arial Nova" w:cs="Arial"/>
          <w:color w:val="000000"/>
        </w:rPr>
        <w:t xml:space="preserve">Holistic development foregrounds the notion that children’s learning is inherently interconnected. Physical development, for instance, has a direct influence on cognitive functioning, emotional regulation and social participation. Recent research illustrates that secure attachments and stable emotional environments enhance neurological development and support executive functioning, memory and problem-solving skills (Gerhardt, 2021). Likewise, social experiences, such as peer interaction and nurturing relationships with adults, contribute to language acquisition, moral reasoning and emotional resilience. A holistic perspective </w:t>
      </w:r>
      <w:r w:rsidRPr="00B01620">
        <w:rPr>
          <w:rFonts w:ascii="Arial Nova" w:eastAsia="Arial" w:hAnsi="Arial Nova" w:cs="Arial"/>
          <w:color w:val="000000"/>
        </w:rPr>
        <w:lastRenderedPageBreak/>
        <w:t>therefore views development as a multi-layered process influenced simultaneously by biological maturation, psychological processes and social influences. This approach has become central to modern early years practice, which emphasises child-centred pedagogy, emotional wellbeing and contextualised learning experiences.</w:t>
      </w:r>
    </w:p>
    <w:p w14:paraId="382757ED" w14:textId="77777777" w:rsidR="00B01620" w:rsidRPr="00B01620" w:rsidRDefault="00B01620" w:rsidP="00B01620">
      <w:pPr>
        <w:spacing w:after="236" w:line="255" w:lineRule="auto"/>
        <w:ind w:left="-5" w:right="15" w:hanging="10"/>
        <w:rPr>
          <w:rFonts w:ascii="Arial Nova" w:eastAsia="Arial" w:hAnsi="Arial Nova" w:cs="Arial"/>
          <w:color w:val="000000"/>
        </w:rPr>
      </w:pPr>
      <w:r w:rsidRPr="00B01620">
        <w:rPr>
          <w:rFonts w:ascii="Arial Nova" w:eastAsia="Arial" w:hAnsi="Arial Nova" w:cs="Arial"/>
          <w:color w:val="000000"/>
        </w:rPr>
        <w:t>Maslow’s Hierarchy of Needs provides an essential theoretical foundation for understanding why holistic development requires attention to basic needs as well as higher-level psychological growth. Maslow (1943) proposed that human needs are organised hierarchically, beginning with physiological needs and ascending through safety, love and belonging, esteem, and self-actualisation. In childhood, these needs manifest as requirements for adequate nutrition, secure attachments, protection, stability and opportunities for autonomy and achievement. When lower-level needs go unmet, children are less able to engage in learning, social relationships or problem-solving. Contemporary educational research supports this view, demonstrating that hunger, stress, instability and emotional insecurity impair attention, memory and behavioural regulation (Howard-Jones et al., 2022). Thus, holistic development cannot occur unless a child’s fundamental physiological and emotional needs are adequately supported.</w:t>
      </w:r>
    </w:p>
    <w:p w14:paraId="5864F0FE" w14:textId="77777777" w:rsidR="00B01620" w:rsidRPr="00B01620" w:rsidRDefault="00B01620" w:rsidP="00B01620">
      <w:pPr>
        <w:spacing w:after="236" w:line="255" w:lineRule="auto"/>
        <w:ind w:left="-5" w:right="15" w:hanging="10"/>
        <w:rPr>
          <w:rFonts w:ascii="Arial Nova" w:eastAsia="Arial" w:hAnsi="Arial Nova" w:cs="Arial"/>
          <w:color w:val="000000"/>
        </w:rPr>
      </w:pPr>
      <w:r w:rsidRPr="00B01620">
        <w:rPr>
          <w:rFonts w:ascii="Arial Nova" w:eastAsia="Arial" w:hAnsi="Arial Nova" w:cs="Arial"/>
          <w:color w:val="000000"/>
        </w:rPr>
        <w:t>Maslow’s model is particularly relevant when considering the importance of emotional wellbeing in early development. A stable sense of belonging, fostered through consistent caregiving and positive relationships, is associated with improved resilience, social competence and cognitive performance. Within educational settings, practitioners who nurture warm, responsive relationships contribute directly to children’s capacity for exploration, creativity and self-directed learning. In this sense, Maslow’s Hierarchy aligns closely with attachment theory, which also emphasises the foundational role of security in promoting curiosity, independence and cognitive growth (</w:t>
      </w:r>
      <w:proofErr w:type="spellStart"/>
      <w:r w:rsidRPr="00B01620">
        <w:rPr>
          <w:rFonts w:ascii="Arial Nova" w:eastAsia="Arial" w:hAnsi="Arial Nova" w:cs="Arial"/>
          <w:color w:val="000000"/>
        </w:rPr>
        <w:t>Bretherton</w:t>
      </w:r>
      <w:proofErr w:type="spellEnd"/>
      <w:r w:rsidRPr="00B01620">
        <w:rPr>
          <w:rFonts w:ascii="Arial Nova" w:eastAsia="Arial" w:hAnsi="Arial Nova" w:cs="Arial"/>
          <w:color w:val="000000"/>
        </w:rPr>
        <w:t>, 2020). Both frameworks highlight that emotional and relational aspects of development are inseparable from cognitive and behavioural outcomes.</w:t>
      </w:r>
    </w:p>
    <w:p w14:paraId="337E2E92" w14:textId="77777777" w:rsidR="00B01620" w:rsidRPr="00B01620" w:rsidRDefault="00B01620" w:rsidP="00B01620">
      <w:pPr>
        <w:spacing w:after="236" w:line="255" w:lineRule="auto"/>
        <w:ind w:left="-5" w:right="15" w:hanging="10"/>
        <w:rPr>
          <w:rFonts w:ascii="Arial Nova" w:eastAsia="Arial" w:hAnsi="Arial Nova" w:cs="Arial"/>
          <w:color w:val="000000"/>
        </w:rPr>
      </w:pPr>
      <w:r w:rsidRPr="00B01620">
        <w:rPr>
          <w:rFonts w:ascii="Arial Nova" w:eastAsia="Arial" w:hAnsi="Arial Nova" w:cs="Arial"/>
          <w:color w:val="000000"/>
        </w:rPr>
        <w:t xml:space="preserve">While Maslow’s theory offers a valuable lens, it does not fully account for the complex social and environmental factors that influence development. </w:t>
      </w:r>
      <w:proofErr w:type="spellStart"/>
      <w:r w:rsidRPr="00B01620">
        <w:rPr>
          <w:rFonts w:ascii="Arial Nova" w:eastAsia="Arial" w:hAnsi="Arial Nova" w:cs="Arial"/>
          <w:color w:val="000000"/>
        </w:rPr>
        <w:t>Bronfenbrenner’s</w:t>
      </w:r>
      <w:proofErr w:type="spellEnd"/>
      <w:r w:rsidRPr="00B01620">
        <w:rPr>
          <w:rFonts w:ascii="Arial Nova" w:eastAsia="Arial" w:hAnsi="Arial Nova" w:cs="Arial"/>
          <w:color w:val="000000"/>
        </w:rPr>
        <w:t xml:space="preserve"> ecological systems theory provides a broader contextual understanding. </w:t>
      </w:r>
      <w:proofErr w:type="spellStart"/>
      <w:r w:rsidRPr="00B01620">
        <w:rPr>
          <w:rFonts w:ascii="Arial Nova" w:eastAsia="Arial" w:hAnsi="Arial Nova" w:cs="Arial"/>
          <w:color w:val="000000"/>
        </w:rPr>
        <w:t>Bronfenbrenner</w:t>
      </w:r>
      <w:proofErr w:type="spellEnd"/>
      <w:r w:rsidRPr="00B01620">
        <w:rPr>
          <w:rFonts w:ascii="Arial Nova" w:eastAsia="Arial" w:hAnsi="Arial Nova" w:cs="Arial"/>
          <w:color w:val="000000"/>
        </w:rPr>
        <w:t xml:space="preserve"> (1979) argued that children develop within nested systems ranging from immediate family and educational settings (microsystem) to wider societal influences such as policy, culture and socioeconomics (</w:t>
      </w:r>
      <w:proofErr w:type="spellStart"/>
      <w:r w:rsidRPr="00B01620">
        <w:rPr>
          <w:rFonts w:ascii="Arial Nova" w:eastAsia="Arial" w:hAnsi="Arial Nova" w:cs="Arial"/>
          <w:color w:val="000000"/>
        </w:rPr>
        <w:t>macrosystem</w:t>
      </w:r>
      <w:proofErr w:type="spellEnd"/>
      <w:r w:rsidRPr="00B01620">
        <w:rPr>
          <w:rFonts w:ascii="Arial Nova" w:eastAsia="Arial" w:hAnsi="Arial Nova" w:cs="Arial"/>
          <w:color w:val="000000"/>
        </w:rPr>
        <w:t>). Holistic development is therefore shaped not only by the child’s individual characteristics and relationships but also by the structural conditions in which these relationships occur. Recent work in developmental psychology highlights the role of socioeconomic inequality, community resources and cultural practices in shaping developmental trajectories (</w:t>
      </w:r>
      <w:proofErr w:type="spellStart"/>
      <w:r w:rsidRPr="00B01620">
        <w:rPr>
          <w:rFonts w:ascii="Arial Nova" w:eastAsia="Arial" w:hAnsi="Arial Nova" w:cs="Arial"/>
          <w:color w:val="000000"/>
        </w:rPr>
        <w:t>Melhuish</w:t>
      </w:r>
      <w:proofErr w:type="spellEnd"/>
      <w:r w:rsidRPr="00B01620">
        <w:rPr>
          <w:rFonts w:ascii="Arial Nova" w:eastAsia="Arial" w:hAnsi="Arial Nova" w:cs="Arial"/>
          <w:color w:val="000000"/>
        </w:rPr>
        <w:t xml:space="preserve">, 2019). For example, access to high-quality early education, safe neighbourhoods and supportive </w:t>
      </w:r>
      <w:r w:rsidRPr="00B01620">
        <w:rPr>
          <w:rFonts w:ascii="Arial Nova" w:eastAsia="Arial" w:hAnsi="Arial Nova" w:cs="Arial"/>
          <w:color w:val="000000"/>
        </w:rPr>
        <w:lastRenderedPageBreak/>
        <w:t xml:space="preserve">community networks can significantly enhance children’s cognitive and socio-emotional outcomes. </w:t>
      </w:r>
      <w:proofErr w:type="spellStart"/>
      <w:r w:rsidRPr="00B01620">
        <w:rPr>
          <w:rFonts w:ascii="Arial Nova" w:eastAsia="Arial" w:hAnsi="Arial Nova" w:cs="Arial"/>
          <w:color w:val="000000"/>
        </w:rPr>
        <w:t>Bronfenbrenner’s</w:t>
      </w:r>
      <w:proofErr w:type="spellEnd"/>
      <w:r w:rsidRPr="00B01620">
        <w:rPr>
          <w:rFonts w:ascii="Arial Nova" w:eastAsia="Arial" w:hAnsi="Arial Nova" w:cs="Arial"/>
          <w:color w:val="000000"/>
        </w:rPr>
        <w:t xml:space="preserve"> framework thus complements Maslow by situating children’s needs within wider ecological structures.</w:t>
      </w:r>
    </w:p>
    <w:p w14:paraId="0ACD58E8" w14:textId="77777777" w:rsidR="00B01620" w:rsidRPr="00B01620" w:rsidRDefault="00B01620" w:rsidP="00B01620">
      <w:pPr>
        <w:spacing w:after="236" w:line="255" w:lineRule="auto"/>
        <w:ind w:left="-5" w:right="15" w:hanging="10"/>
        <w:rPr>
          <w:rFonts w:ascii="Arial Nova" w:eastAsia="Arial" w:hAnsi="Arial Nova" w:cs="Arial"/>
          <w:color w:val="000000"/>
        </w:rPr>
      </w:pPr>
      <w:r w:rsidRPr="00B01620">
        <w:rPr>
          <w:rFonts w:ascii="Arial Nova" w:eastAsia="Arial" w:hAnsi="Arial Nova" w:cs="Arial"/>
          <w:color w:val="000000"/>
        </w:rPr>
        <w:t>Holistic development is also deeply connected to cognitive growth, as explored in Piaget’s (1952) cognitive developmental theory. Piaget conceptualised children as active learners who construct knowledge through interaction with their environment. His stages—sensorimotor, pre-operational, concrete operational and formal operational—describe how children’s thinking evolves from sensory experience to abstract reasoning. While Piaget’s stage-based approach has faced critique for underestimating children’s abilities and neglecting cultural variables, the theory remains influential in demonstrating that cognitive development is gradual, experiential and shaped by maturation and exploration. From a holistic standpoint, Piaget’s model underscores the importance of play, hands-on learning and opportunities for children to test ideas and engage in problem-solving.</w:t>
      </w:r>
    </w:p>
    <w:p w14:paraId="02D862CC" w14:textId="77777777" w:rsidR="00B01620" w:rsidRPr="00B01620" w:rsidRDefault="00B01620" w:rsidP="00B01620">
      <w:pPr>
        <w:spacing w:after="236" w:line="255" w:lineRule="auto"/>
        <w:ind w:left="-5" w:right="15" w:hanging="10"/>
        <w:rPr>
          <w:rFonts w:ascii="Arial Nova" w:eastAsia="Arial" w:hAnsi="Arial Nova" w:cs="Arial"/>
          <w:color w:val="000000"/>
        </w:rPr>
      </w:pPr>
      <w:r w:rsidRPr="00B01620">
        <w:rPr>
          <w:rFonts w:ascii="Arial Nova" w:eastAsia="Arial" w:hAnsi="Arial Nova" w:cs="Arial"/>
          <w:color w:val="000000"/>
        </w:rPr>
        <w:t xml:space="preserve">However, holistic development cannot be fully understood without acknowledging the socio-cultural context of learning. </w:t>
      </w:r>
      <w:proofErr w:type="spellStart"/>
      <w:r w:rsidRPr="00B01620">
        <w:rPr>
          <w:rFonts w:ascii="Arial Nova" w:eastAsia="Arial" w:hAnsi="Arial Nova" w:cs="Arial"/>
          <w:color w:val="000000"/>
        </w:rPr>
        <w:t>Vygotsky’s</w:t>
      </w:r>
      <w:proofErr w:type="spellEnd"/>
      <w:r w:rsidRPr="00B01620">
        <w:rPr>
          <w:rFonts w:ascii="Arial Nova" w:eastAsia="Arial" w:hAnsi="Arial Nova" w:cs="Arial"/>
          <w:color w:val="000000"/>
        </w:rPr>
        <w:t xml:space="preserve"> sociocultural theory (1978) argues that development is fundamentally social and that learning occurs through interaction with more knowledgeable others, such as parents, educators and peers. Central to </w:t>
      </w:r>
      <w:proofErr w:type="spellStart"/>
      <w:r w:rsidRPr="00B01620">
        <w:rPr>
          <w:rFonts w:ascii="Arial Nova" w:eastAsia="Arial" w:hAnsi="Arial Nova" w:cs="Arial"/>
          <w:color w:val="000000"/>
        </w:rPr>
        <w:t>Vygotsky’s</w:t>
      </w:r>
      <w:proofErr w:type="spellEnd"/>
      <w:r w:rsidRPr="00B01620">
        <w:rPr>
          <w:rFonts w:ascii="Arial Nova" w:eastAsia="Arial" w:hAnsi="Arial Nova" w:cs="Arial"/>
          <w:color w:val="000000"/>
        </w:rPr>
        <w:t xml:space="preserve"> model is the Zone of Proximal Development which describes the gap between what a child can achieve independently and what they can achieve with skilled support. This concept highlights the importance of responsive pedagogy, scaffolding and collaborative learning. It reinforces the holistic view by showing that cognitive development is inseparable from language, culture, relationships and emotional context. Modern early years frameworks, including the Early Years Foundation Stage, reflect </w:t>
      </w:r>
      <w:proofErr w:type="spellStart"/>
      <w:r w:rsidRPr="00B01620">
        <w:rPr>
          <w:rFonts w:ascii="Arial Nova" w:eastAsia="Arial" w:hAnsi="Arial Nova" w:cs="Arial"/>
          <w:color w:val="000000"/>
        </w:rPr>
        <w:t>Vygotsky’s</w:t>
      </w:r>
      <w:proofErr w:type="spellEnd"/>
      <w:r w:rsidRPr="00B01620">
        <w:rPr>
          <w:rFonts w:ascii="Arial Nova" w:eastAsia="Arial" w:hAnsi="Arial Nova" w:cs="Arial"/>
          <w:color w:val="000000"/>
        </w:rPr>
        <w:t xml:space="preserve"> influence by emphasising communication, social interaction and contextualised learning experiences.</w:t>
      </w:r>
    </w:p>
    <w:p w14:paraId="4252ED86" w14:textId="77777777" w:rsidR="00B01620" w:rsidRPr="00B01620" w:rsidRDefault="00B01620" w:rsidP="00B01620">
      <w:pPr>
        <w:spacing w:after="236" w:line="255" w:lineRule="auto"/>
        <w:ind w:left="-5" w:right="15" w:hanging="10"/>
        <w:rPr>
          <w:rFonts w:ascii="Arial Nova" w:eastAsia="Arial" w:hAnsi="Arial Nova" w:cs="Arial"/>
          <w:color w:val="000000"/>
        </w:rPr>
      </w:pPr>
      <w:r w:rsidRPr="00B01620">
        <w:rPr>
          <w:rFonts w:ascii="Arial Nova" w:eastAsia="Arial" w:hAnsi="Arial Nova" w:cs="Arial"/>
          <w:color w:val="000000"/>
        </w:rPr>
        <w:t xml:space="preserve">Integrating Maslow’s model with ecological, cognitive and sociocultural theories provides a comprehensive understanding of holistic development. Maslow clarifies the importance of meeting basic psychological and emotional needs; Piaget and </w:t>
      </w:r>
      <w:proofErr w:type="spellStart"/>
      <w:r w:rsidRPr="00B01620">
        <w:rPr>
          <w:rFonts w:ascii="Arial Nova" w:eastAsia="Arial" w:hAnsi="Arial Nova" w:cs="Arial"/>
          <w:color w:val="000000"/>
        </w:rPr>
        <w:t>Vygotsky</w:t>
      </w:r>
      <w:proofErr w:type="spellEnd"/>
      <w:r w:rsidRPr="00B01620">
        <w:rPr>
          <w:rFonts w:ascii="Arial Nova" w:eastAsia="Arial" w:hAnsi="Arial Nova" w:cs="Arial"/>
          <w:color w:val="000000"/>
        </w:rPr>
        <w:t xml:space="preserve"> explain cognitive and social learning processes; and </w:t>
      </w:r>
      <w:proofErr w:type="spellStart"/>
      <w:r w:rsidRPr="00B01620">
        <w:rPr>
          <w:rFonts w:ascii="Arial Nova" w:eastAsia="Arial" w:hAnsi="Arial Nova" w:cs="Arial"/>
          <w:color w:val="000000"/>
        </w:rPr>
        <w:t>Bronfenbrenner</w:t>
      </w:r>
      <w:proofErr w:type="spellEnd"/>
      <w:r w:rsidRPr="00B01620">
        <w:rPr>
          <w:rFonts w:ascii="Arial Nova" w:eastAsia="Arial" w:hAnsi="Arial Nova" w:cs="Arial"/>
          <w:color w:val="000000"/>
        </w:rPr>
        <w:t xml:space="preserve"> situates the child within wider systems that shape opportunities and experiences. Taken together, these frameworks illustrate that development is not linear or uniform but influenced by a dynamic interplay of internal and external factors.</w:t>
      </w:r>
    </w:p>
    <w:p w14:paraId="026EF71E" w14:textId="77777777" w:rsidR="00B01620" w:rsidRPr="00B01620" w:rsidRDefault="00B01620" w:rsidP="00B01620">
      <w:pPr>
        <w:spacing w:after="0" w:line="255" w:lineRule="auto"/>
        <w:ind w:left="-5" w:right="15" w:hanging="10"/>
        <w:rPr>
          <w:rFonts w:ascii="Arial Nova" w:eastAsia="Arial" w:hAnsi="Arial Nova" w:cs="Arial"/>
          <w:color w:val="000000"/>
        </w:rPr>
      </w:pPr>
      <w:r w:rsidRPr="00B01620">
        <w:rPr>
          <w:rFonts w:ascii="Arial Nova" w:eastAsia="Arial" w:hAnsi="Arial Nova" w:cs="Arial"/>
          <w:color w:val="000000"/>
        </w:rPr>
        <w:t>In practice, a holistic approach requires practitioners to observe and respond to children’s individual needs, backgrounds and strengths. This involves creating nurturing environments, supporting emotional wellbeing, promoting positive relationships and providing diverse learning experiences that reflect children’s interests and cultural identities. It also requires close collaboration between</w:t>
      </w:r>
    </w:p>
    <w:p w14:paraId="760ADE50" w14:textId="77777777" w:rsidR="00B01620" w:rsidRPr="00B01620" w:rsidRDefault="00B01620" w:rsidP="00B01620">
      <w:pPr>
        <w:spacing w:after="236" w:line="255" w:lineRule="auto"/>
        <w:ind w:left="-5" w:right="15" w:hanging="10"/>
        <w:rPr>
          <w:rFonts w:ascii="Arial Nova" w:eastAsia="Arial" w:hAnsi="Arial Nova" w:cs="Arial"/>
          <w:color w:val="000000"/>
        </w:rPr>
      </w:pPr>
      <w:r w:rsidRPr="00B01620">
        <w:rPr>
          <w:rFonts w:ascii="Arial Nova" w:eastAsia="Arial" w:hAnsi="Arial Nova" w:cs="Arial"/>
          <w:color w:val="000000"/>
        </w:rPr>
        <w:t xml:space="preserve">families, educators, health professionals and community organisations to ensure that developmental needs are met across all domains. Current research </w:t>
      </w:r>
      <w:r w:rsidRPr="00B01620">
        <w:rPr>
          <w:rFonts w:ascii="Arial Nova" w:eastAsia="Arial" w:hAnsi="Arial Nova" w:cs="Arial"/>
          <w:color w:val="000000"/>
        </w:rPr>
        <w:lastRenderedPageBreak/>
        <w:t>emphasises the importance of early intervention, especially for children experiencing adversity, as early support can significantly improve long-term outcomes (</w:t>
      </w:r>
      <w:proofErr w:type="spellStart"/>
      <w:r w:rsidRPr="00B01620">
        <w:rPr>
          <w:rFonts w:ascii="Arial Nova" w:eastAsia="Arial" w:hAnsi="Arial Nova" w:cs="Arial"/>
          <w:color w:val="000000"/>
        </w:rPr>
        <w:t>Leadbeater</w:t>
      </w:r>
      <w:proofErr w:type="spellEnd"/>
      <w:r w:rsidRPr="00B01620">
        <w:rPr>
          <w:rFonts w:ascii="Arial Nova" w:eastAsia="Arial" w:hAnsi="Arial Nova" w:cs="Arial"/>
          <w:color w:val="000000"/>
        </w:rPr>
        <w:t xml:space="preserve"> &amp; </w:t>
      </w:r>
      <w:proofErr w:type="spellStart"/>
      <w:r w:rsidRPr="00B01620">
        <w:rPr>
          <w:rFonts w:ascii="Arial Nova" w:eastAsia="Arial" w:hAnsi="Arial Nova" w:cs="Arial"/>
          <w:color w:val="000000"/>
        </w:rPr>
        <w:t>Vagaro</w:t>
      </w:r>
      <w:proofErr w:type="spellEnd"/>
      <w:r w:rsidRPr="00B01620">
        <w:rPr>
          <w:rFonts w:ascii="Arial Nova" w:eastAsia="Arial" w:hAnsi="Arial Nova" w:cs="Arial"/>
          <w:color w:val="000000"/>
        </w:rPr>
        <w:t>, 2021). Ultimately, holistic development offers a framework that values the whole child, recognising that optimal growth occurs when physical, emotional, cognitive and social needs are addressed together.</w:t>
      </w:r>
    </w:p>
    <w:p w14:paraId="19FF878C" w14:textId="77777777" w:rsidR="00B01620" w:rsidRPr="00B01620" w:rsidRDefault="00B01620" w:rsidP="00B01620">
      <w:pPr>
        <w:spacing w:after="0" w:line="255" w:lineRule="auto"/>
        <w:ind w:left="-5" w:right="15" w:hanging="10"/>
        <w:rPr>
          <w:rFonts w:ascii="Arial Nova" w:eastAsia="Arial" w:hAnsi="Arial Nova" w:cs="Arial"/>
          <w:color w:val="000000"/>
        </w:rPr>
      </w:pPr>
      <w:r w:rsidRPr="00B01620">
        <w:rPr>
          <w:rFonts w:ascii="Arial Nova" w:eastAsia="Arial" w:hAnsi="Arial Nova" w:cs="Arial"/>
          <w:color w:val="000000"/>
        </w:rPr>
        <w:t>References</w:t>
      </w:r>
    </w:p>
    <w:p w14:paraId="7AFFC03A" w14:textId="77777777" w:rsidR="00B01620" w:rsidRPr="00B01620" w:rsidRDefault="00B01620" w:rsidP="00B01620">
      <w:pPr>
        <w:spacing w:after="0" w:line="255" w:lineRule="auto"/>
        <w:ind w:left="-5" w:right="15" w:hanging="10"/>
        <w:rPr>
          <w:rFonts w:ascii="Arial Nova" w:eastAsia="Arial" w:hAnsi="Arial Nova" w:cs="Arial"/>
          <w:color w:val="000000"/>
        </w:rPr>
      </w:pPr>
      <w:r w:rsidRPr="00B01620">
        <w:rPr>
          <w:rFonts w:ascii="Arial Nova" w:eastAsia="Arial" w:hAnsi="Arial Nova" w:cs="Arial"/>
          <w:color w:val="000000"/>
        </w:rPr>
        <w:t xml:space="preserve"> </w:t>
      </w:r>
    </w:p>
    <w:p w14:paraId="407E5E04" w14:textId="77777777" w:rsidR="00B01620" w:rsidRPr="00B01620" w:rsidRDefault="00B01620" w:rsidP="00B01620">
      <w:pPr>
        <w:spacing w:after="0" w:line="240" w:lineRule="auto"/>
        <w:rPr>
          <w:rFonts w:ascii="Arial Nova" w:hAnsi="Arial Nova" w:cs="Times New Roman"/>
          <w:kern w:val="0"/>
          <w14:ligatures w14:val="none"/>
        </w:rPr>
      </w:pPr>
      <w:proofErr w:type="spellStart"/>
      <w:r w:rsidRPr="00B01620">
        <w:rPr>
          <w:rFonts w:ascii="Arial Nova" w:hAnsi="Arial Nova" w:cs="Times New Roman"/>
          <w:kern w:val="0"/>
          <w14:ligatures w14:val="none"/>
        </w:rPr>
        <w:t>Bretherton</w:t>
      </w:r>
      <w:proofErr w:type="spellEnd"/>
      <w:r w:rsidRPr="00B01620">
        <w:rPr>
          <w:rFonts w:ascii="Arial Nova" w:hAnsi="Arial Nova" w:cs="Times New Roman"/>
          <w:kern w:val="0"/>
          <w14:ligatures w14:val="none"/>
        </w:rPr>
        <w:t>, I. (2020) ‘Attachment theory and developmental psychology: A lifespan perspective’, Journal of Developmental Science, 23(2), pp. 1–12.</w:t>
      </w:r>
    </w:p>
    <w:p w14:paraId="4AE99D57" w14:textId="77777777" w:rsidR="00B01620" w:rsidRPr="00B01620" w:rsidRDefault="00B01620" w:rsidP="00B01620">
      <w:pPr>
        <w:spacing w:after="0" w:line="240" w:lineRule="auto"/>
        <w:rPr>
          <w:rFonts w:ascii="Arial Nova" w:hAnsi="Arial Nova" w:cs="Times New Roman"/>
          <w:kern w:val="0"/>
          <w14:ligatures w14:val="none"/>
        </w:rPr>
      </w:pPr>
    </w:p>
    <w:p w14:paraId="7F45DCEE" w14:textId="77777777" w:rsidR="00B01620" w:rsidRPr="00B01620" w:rsidRDefault="00B01620" w:rsidP="00B01620">
      <w:pPr>
        <w:spacing w:after="0" w:line="240" w:lineRule="auto"/>
        <w:rPr>
          <w:rFonts w:ascii="Arial Nova" w:hAnsi="Arial Nova" w:cs="Times New Roman"/>
          <w:kern w:val="0"/>
          <w14:ligatures w14:val="none"/>
        </w:rPr>
      </w:pPr>
      <w:proofErr w:type="spellStart"/>
      <w:r w:rsidRPr="00B01620">
        <w:rPr>
          <w:rFonts w:ascii="Arial Nova" w:hAnsi="Arial Nova" w:cs="Times New Roman"/>
          <w:kern w:val="0"/>
          <w14:ligatures w14:val="none"/>
        </w:rPr>
        <w:t>Bronfenbrenner</w:t>
      </w:r>
      <w:proofErr w:type="spellEnd"/>
      <w:r w:rsidRPr="00B01620">
        <w:rPr>
          <w:rFonts w:ascii="Arial Nova" w:hAnsi="Arial Nova" w:cs="Times New Roman"/>
          <w:kern w:val="0"/>
          <w14:ligatures w14:val="none"/>
        </w:rPr>
        <w:t>, U. (1979) The ecology of human development. Cambridge, MA: Harvard University Press.</w:t>
      </w:r>
    </w:p>
    <w:p w14:paraId="36399DDB" w14:textId="77777777" w:rsidR="00B01620" w:rsidRPr="00B01620" w:rsidRDefault="00B01620" w:rsidP="00B01620">
      <w:pPr>
        <w:spacing w:after="0" w:line="240" w:lineRule="auto"/>
        <w:rPr>
          <w:rFonts w:ascii="Arial Nova" w:hAnsi="Arial Nova" w:cs="Times New Roman"/>
          <w:kern w:val="0"/>
          <w14:ligatures w14:val="none"/>
        </w:rPr>
      </w:pPr>
    </w:p>
    <w:p w14:paraId="5B69BD17" w14:textId="77777777" w:rsidR="00B01620" w:rsidRPr="00B01620" w:rsidRDefault="00B01620" w:rsidP="00B01620">
      <w:pPr>
        <w:spacing w:after="0" w:line="240" w:lineRule="auto"/>
        <w:rPr>
          <w:rFonts w:ascii="Arial Nova" w:hAnsi="Arial Nova" w:cs="Times New Roman"/>
          <w:kern w:val="0"/>
          <w14:ligatures w14:val="none"/>
        </w:rPr>
      </w:pPr>
      <w:r w:rsidRPr="00B01620">
        <w:rPr>
          <w:rFonts w:ascii="Arial Nova" w:hAnsi="Arial Nova" w:cs="Times New Roman"/>
          <w:kern w:val="0"/>
          <w14:ligatures w14:val="none"/>
        </w:rPr>
        <w:t xml:space="preserve">Gerhardt, S. (2021) The Science of Parenting. 2nd </w:t>
      </w:r>
      <w:proofErr w:type="spellStart"/>
      <w:r w:rsidRPr="00B01620">
        <w:rPr>
          <w:rFonts w:ascii="Arial Nova" w:hAnsi="Arial Nova" w:cs="Times New Roman"/>
          <w:kern w:val="0"/>
          <w14:ligatures w14:val="none"/>
        </w:rPr>
        <w:t>edn</w:t>
      </w:r>
      <w:proofErr w:type="spellEnd"/>
      <w:r w:rsidRPr="00B01620">
        <w:rPr>
          <w:rFonts w:ascii="Arial Nova" w:hAnsi="Arial Nova" w:cs="Times New Roman"/>
          <w:kern w:val="0"/>
          <w14:ligatures w14:val="none"/>
        </w:rPr>
        <w:t xml:space="preserve">. London: </w:t>
      </w:r>
      <w:proofErr w:type="spellStart"/>
      <w:r w:rsidRPr="00B01620">
        <w:rPr>
          <w:rFonts w:ascii="Arial Nova" w:hAnsi="Arial Nova" w:cs="Times New Roman"/>
          <w:kern w:val="0"/>
          <w14:ligatures w14:val="none"/>
        </w:rPr>
        <w:t>Dorling</w:t>
      </w:r>
      <w:proofErr w:type="spellEnd"/>
      <w:r w:rsidRPr="00B01620">
        <w:rPr>
          <w:rFonts w:ascii="Arial Nova" w:hAnsi="Arial Nova" w:cs="Times New Roman"/>
          <w:kern w:val="0"/>
          <w14:ligatures w14:val="none"/>
        </w:rPr>
        <w:t xml:space="preserve"> Kindersley.</w:t>
      </w:r>
    </w:p>
    <w:p w14:paraId="0287EFBB" w14:textId="77777777" w:rsidR="00B01620" w:rsidRPr="00B01620" w:rsidRDefault="00B01620" w:rsidP="00B01620">
      <w:pPr>
        <w:spacing w:after="0" w:line="240" w:lineRule="auto"/>
        <w:rPr>
          <w:rFonts w:ascii="Arial Nova" w:hAnsi="Arial Nova" w:cs="Times New Roman"/>
          <w:kern w:val="0"/>
          <w14:ligatures w14:val="none"/>
        </w:rPr>
      </w:pPr>
    </w:p>
    <w:p w14:paraId="34047A47" w14:textId="77777777" w:rsidR="00B01620" w:rsidRPr="00B01620" w:rsidRDefault="00B01620" w:rsidP="00B01620">
      <w:pPr>
        <w:spacing w:after="0" w:line="240" w:lineRule="auto"/>
        <w:rPr>
          <w:rFonts w:ascii="Arial Nova" w:hAnsi="Arial Nova" w:cs="Times New Roman"/>
          <w:kern w:val="0"/>
          <w14:ligatures w14:val="none"/>
        </w:rPr>
      </w:pPr>
      <w:r w:rsidRPr="00B01620">
        <w:rPr>
          <w:rFonts w:ascii="Arial Nova" w:hAnsi="Arial Nova" w:cs="Times New Roman"/>
          <w:kern w:val="0"/>
          <w14:ligatures w14:val="none"/>
        </w:rPr>
        <w:t>Howard-Jones, P. et al. (2022) ‘Neuroscience and learning: Implications for early childhood education’, Early Years, 42(1), pp. 4–18.</w:t>
      </w:r>
    </w:p>
    <w:p w14:paraId="2AD3C91E" w14:textId="77777777" w:rsidR="00B01620" w:rsidRPr="00B01620" w:rsidRDefault="00B01620" w:rsidP="00B01620">
      <w:pPr>
        <w:spacing w:after="0" w:line="240" w:lineRule="auto"/>
        <w:rPr>
          <w:rFonts w:ascii="Arial Nova" w:hAnsi="Arial Nova" w:cs="Times New Roman"/>
          <w:kern w:val="0"/>
          <w14:ligatures w14:val="none"/>
        </w:rPr>
      </w:pPr>
    </w:p>
    <w:p w14:paraId="19D74DC8" w14:textId="77777777" w:rsidR="00B01620" w:rsidRPr="00B01620" w:rsidRDefault="00B01620" w:rsidP="00B01620">
      <w:pPr>
        <w:spacing w:after="0" w:line="240" w:lineRule="auto"/>
        <w:rPr>
          <w:rFonts w:ascii="Arial Nova" w:hAnsi="Arial Nova" w:cs="Times New Roman"/>
          <w:kern w:val="0"/>
          <w14:ligatures w14:val="none"/>
        </w:rPr>
      </w:pPr>
      <w:proofErr w:type="spellStart"/>
      <w:r w:rsidRPr="00B01620">
        <w:rPr>
          <w:rFonts w:ascii="Arial Nova" w:hAnsi="Arial Nova" w:cs="Times New Roman"/>
          <w:kern w:val="0"/>
          <w14:ligatures w14:val="none"/>
        </w:rPr>
        <w:t>Leadbeater</w:t>
      </w:r>
      <w:proofErr w:type="spellEnd"/>
      <w:r w:rsidRPr="00B01620">
        <w:rPr>
          <w:rFonts w:ascii="Arial Nova" w:hAnsi="Arial Nova" w:cs="Times New Roman"/>
          <w:kern w:val="0"/>
          <w14:ligatures w14:val="none"/>
        </w:rPr>
        <w:t xml:space="preserve">, B. and </w:t>
      </w:r>
      <w:proofErr w:type="spellStart"/>
      <w:r w:rsidRPr="00B01620">
        <w:rPr>
          <w:rFonts w:ascii="Arial Nova" w:hAnsi="Arial Nova" w:cs="Times New Roman"/>
          <w:kern w:val="0"/>
          <w14:ligatures w14:val="none"/>
        </w:rPr>
        <w:t>Vagaro</w:t>
      </w:r>
      <w:proofErr w:type="spellEnd"/>
      <w:r w:rsidRPr="00B01620">
        <w:rPr>
          <w:rFonts w:ascii="Arial Nova" w:hAnsi="Arial Nova" w:cs="Times New Roman"/>
          <w:kern w:val="0"/>
          <w14:ligatures w14:val="none"/>
        </w:rPr>
        <w:t>, M. (2021) ‘Early intervention and long-term developmental outcomes’, Child Development Perspectives, 15(4), pp. 247–253.</w:t>
      </w:r>
    </w:p>
    <w:p w14:paraId="73CFA8E0" w14:textId="77777777" w:rsidR="00B01620" w:rsidRPr="00B01620" w:rsidRDefault="00B01620" w:rsidP="00B01620">
      <w:pPr>
        <w:spacing w:after="0" w:line="240" w:lineRule="auto"/>
        <w:rPr>
          <w:rFonts w:ascii="Arial Nova" w:hAnsi="Arial Nova" w:cs="Times New Roman"/>
          <w:kern w:val="0"/>
          <w14:ligatures w14:val="none"/>
        </w:rPr>
      </w:pPr>
    </w:p>
    <w:p w14:paraId="008E9490" w14:textId="77777777" w:rsidR="00B01620" w:rsidRPr="00B01620" w:rsidRDefault="00B01620" w:rsidP="00B01620">
      <w:pPr>
        <w:spacing w:after="0" w:line="240" w:lineRule="auto"/>
        <w:rPr>
          <w:rFonts w:ascii="Arial Nova" w:hAnsi="Arial Nova" w:cs="Times New Roman"/>
          <w:kern w:val="0"/>
          <w14:ligatures w14:val="none"/>
        </w:rPr>
      </w:pPr>
      <w:r w:rsidRPr="00B01620">
        <w:rPr>
          <w:rFonts w:ascii="Arial Nova" w:hAnsi="Arial Nova" w:cs="Times New Roman"/>
          <w:kern w:val="0"/>
          <w14:ligatures w14:val="none"/>
        </w:rPr>
        <w:t>Maslow, A. (1943) ‘A theory of human motivation’, Psychological Review, 50(4), pp. 370–396.</w:t>
      </w:r>
    </w:p>
    <w:p w14:paraId="78E5FD19" w14:textId="77777777" w:rsidR="00B01620" w:rsidRPr="00B01620" w:rsidRDefault="00B01620" w:rsidP="00B01620">
      <w:pPr>
        <w:spacing w:after="0" w:line="240" w:lineRule="auto"/>
        <w:rPr>
          <w:rFonts w:ascii="Arial Nova" w:hAnsi="Arial Nova" w:cs="Times New Roman"/>
          <w:kern w:val="0"/>
          <w14:ligatures w14:val="none"/>
        </w:rPr>
      </w:pPr>
    </w:p>
    <w:p w14:paraId="2A2BAF68" w14:textId="77777777" w:rsidR="00B01620" w:rsidRPr="00B01620" w:rsidRDefault="00B01620" w:rsidP="00B01620">
      <w:pPr>
        <w:spacing w:after="0" w:line="240" w:lineRule="auto"/>
        <w:rPr>
          <w:rFonts w:ascii="Arial Nova" w:hAnsi="Arial Nova" w:cs="Times New Roman"/>
          <w:kern w:val="0"/>
          <w14:ligatures w14:val="none"/>
        </w:rPr>
      </w:pPr>
      <w:proofErr w:type="spellStart"/>
      <w:r w:rsidRPr="00B01620">
        <w:rPr>
          <w:rFonts w:ascii="Arial Nova" w:hAnsi="Arial Nova" w:cs="Times New Roman"/>
          <w:kern w:val="0"/>
          <w14:ligatures w14:val="none"/>
        </w:rPr>
        <w:t>Melhuish</w:t>
      </w:r>
      <w:proofErr w:type="spellEnd"/>
      <w:r w:rsidRPr="00B01620">
        <w:rPr>
          <w:rFonts w:ascii="Arial Nova" w:hAnsi="Arial Nova" w:cs="Times New Roman"/>
          <w:kern w:val="0"/>
          <w14:ligatures w14:val="none"/>
        </w:rPr>
        <w:t>, E. (2019) ‘Early childhood environments and developmental outcomes’, European Journal of Education, 54(2), pp. 153–166.</w:t>
      </w:r>
    </w:p>
    <w:p w14:paraId="68F4E971" w14:textId="77777777" w:rsidR="00B01620" w:rsidRPr="00B01620" w:rsidRDefault="00B01620" w:rsidP="00B01620">
      <w:pPr>
        <w:spacing w:after="0" w:line="240" w:lineRule="auto"/>
        <w:rPr>
          <w:rFonts w:ascii="Arial Nova" w:hAnsi="Arial Nova" w:cs="Times New Roman"/>
          <w:kern w:val="0"/>
          <w14:ligatures w14:val="none"/>
        </w:rPr>
      </w:pPr>
    </w:p>
    <w:p w14:paraId="16AC8AE4" w14:textId="77777777" w:rsidR="00B01620" w:rsidRPr="00B01620" w:rsidRDefault="00B01620" w:rsidP="00B01620">
      <w:pPr>
        <w:spacing w:after="0" w:line="240" w:lineRule="auto"/>
        <w:rPr>
          <w:rFonts w:ascii="Arial Nova" w:hAnsi="Arial Nova" w:cs="Times New Roman"/>
          <w:kern w:val="0"/>
          <w14:ligatures w14:val="none"/>
        </w:rPr>
      </w:pPr>
      <w:r w:rsidRPr="00B01620">
        <w:rPr>
          <w:rFonts w:ascii="Arial Nova" w:hAnsi="Arial Nova" w:cs="Times New Roman"/>
          <w:kern w:val="0"/>
          <w14:ligatures w14:val="none"/>
        </w:rPr>
        <w:t>Piaget, J. (1952) The origins of intelligence in children. New York: International Universities Press.</w:t>
      </w:r>
    </w:p>
    <w:p w14:paraId="74590373" w14:textId="77777777" w:rsidR="00B01620" w:rsidRPr="00B01620" w:rsidRDefault="00B01620" w:rsidP="00B01620">
      <w:pPr>
        <w:spacing w:after="0" w:line="240" w:lineRule="auto"/>
        <w:rPr>
          <w:rFonts w:ascii="Arial Nova" w:hAnsi="Arial Nova" w:cs="Times New Roman"/>
          <w:kern w:val="0"/>
          <w14:ligatures w14:val="none"/>
        </w:rPr>
      </w:pPr>
    </w:p>
    <w:p w14:paraId="15E63C94" w14:textId="77777777" w:rsidR="00B01620" w:rsidRPr="00B01620" w:rsidRDefault="00B01620" w:rsidP="00B01620">
      <w:pPr>
        <w:spacing w:after="0" w:line="240" w:lineRule="auto"/>
        <w:rPr>
          <w:rFonts w:ascii="Arial Nova" w:hAnsi="Arial Nova" w:cs="Times New Roman"/>
          <w:kern w:val="0"/>
          <w14:ligatures w14:val="none"/>
        </w:rPr>
      </w:pPr>
      <w:proofErr w:type="spellStart"/>
      <w:r w:rsidRPr="00B01620">
        <w:rPr>
          <w:rFonts w:ascii="Arial Nova" w:hAnsi="Arial Nova" w:cs="Times New Roman"/>
          <w:kern w:val="0"/>
          <w14:ligatures w14:val="none"/>
        </w:rPr>
        <w:t>Siraj-Blatchford</w:t>
      </w:r>
      <w:proofErr w:type="spellEnd"/>
      <w:r w:rsidRPr="00B01620">
        <w:rPr>
          <w:rFonts w:ascii="Arial Nova" w:hAnsi="Arial Nova" w:cs="Times New Roman"/>
          <w:kern w:val="0"/>
          <w14:ligatures w14:val="none"/>
        </w:rPr>
        <w:t>, I., Taggart, B. and Pugh, G. (2023) Early Childhood Education and Care: Theory, Policy and Practice. London: SAGE.</w:t>
      </w:r>
    </w:p>
    <w:p w14:paraId="3CAEBF86" w14:textId="77777777" w:rsidR="00B01620" w:rsidRPr="00B01620" w:rsidRDefault="00B01620" w:rsidP="00B01620">
      <w:pPr>
        <w:spacing w:after="0" w:line="240" w:lineRule="auto"/>
        <w:rPr>
          <w:rFonts w:ascii="Arial Nova" w:hAnsi="Arial Nova" w:cs="Times New Roman"/>
          <w:kern w:val="0"/>
          <w14:ligatures w14:val="none"/>
        </w:rPr>
      </w:pPr>
    </w:p>
    <w:p w14:paraId="16F655A5" w14:textId="77777777" w:rsidR="00B01620" w:rsidRPr="00B01620" w:rsidRDefault="00B01620" w:rsidP="00B01620">
      <w:pPr>
        <w:spacing w:after="0" w:line="240" w:lineRule="auto"/>
        <w:rPr>
          <w:rFonts w:ascii="Arial Nova" w:hAnsi="Arial Nova" w:cs="Times New Roman"/>
          <w:kern w:val="0"/>
          <w14:ligatures w14:val="none"/>
        </w:rPr>
      </w:pPr>
      <w:proofErr w:type="spellStart"/>
      <w:r w:rsidRPr="00B01620">
        <w:rPr>
          <w:rFonts w:ascii="Arial Nova" w:hAnsi="Arial Nova" w:cs="Times New Roman"/>
          <w:kern w:val="0"/>
          <w14:ligatures w14:val="none"/>
        </w:rPr>
        <w:t>Vygotsky</w:t>
      </w:r>
      <w:proofErr w:type="spellEnd"/>
      <w:r w:rsidRPr="00B01620">
        <w:rPr>
          <w:rFonts w:ascii="Arial Nova" w:hAnsi="Arial Nova" w:cs="Times New Roman"/>
          <w:kern w:val="0"/>
          <w14:ligatures w14:val="none"/>
        </w:rPr>
        <w:t>, L. (1978) Mind in society: The development of higher psychological processes. Cambridge, MA: Harvard University Press.</w:t>
      </w:r>
    </w:p>
    <w:p w14:paraId="034045E1" w14:textId="77777777" w:rsidR="00B01620" w:rsidRPr="00B01620" w:rsidRDefault="00B01620" w:rsidP="00B01620">
      <w:pPr>
        <w:spacing w:after="0" w:line="240" w:lineRule="auto"/>
        <w:rPr>
          <w:rFonts w:ascii="Arial Nova" w:hAnsi="Arial Nova" w:cs="Times New Roman"/>
          <w:color w:val="000000"/>
          <w:kern w:val="0"/>
          <w14:ligatures w14:val="none"/>
        </w:rPr>
      </w:pPr>
    </w:p>
    <w:p w14:paraId="53C57F49" w14:textId="77777777" w:rsidR="00B01620" w:rsidRPr="00B01620" w:rsidRDefault="00B01620" w:rsidP="00B01620">
      <w:pPr>
        <w:spacing w:after="0" w:line="255" w:lineRule="auto"/>
        <w:ind w:left="-5" w:right="15" w:hanging="10"/>
        <w:rPr>
          <w:rFonts w:ascii="Arial Nova" w:eastAsia="Arial" w:hAnsi="Arial Nova" w:cs="Arial"/>
          <w:color w:val="000000"/>
        </w:rPr>
      </w:pPr>
    </w:p>
    <w:p w14:paraId="5AB0F65A" w14:textId="77777777" w:rsidR="00B01620" w:rsidRPr="00B01620" w:rsidRDefault="00B01620" w:rsidP="00B01620">
      <w:pPr>
        <w:spacing w:after="0" w:line="255" w:lineRule="auto"/>
        <w:ind w:left="-5" w:right="15" w:hanging="10"/>
        <w:rPr>
          <w:rFonts w:ascii="Arial Nova" w:eastAsia="Arial" w:hAnsi="Arial Nova" w:cs="Arial"/>
          <w:color w:val="000000"/>
        </w:rPr>
      </w:pPr>
    </w:p>
    <w:p w14:paraId="51E7BB94" w14:textId="77777777" w:rsidR="00B01620" w:rsidRPr="00B01620" w:rsidRDefault="00B01620" w:rsidP="00B01620">
      <w:pPr>
        <w:spacing w:after="0" w:line="255" w:lineRule="auto"/>
        <w:ind w:left="-5" w:right="15" w:hanging="10"/>
        <w:rPr>
          <w:rFonts w:ascii="Arial Nova" w:eastAsia="Arial" w:hAnsi="Arial Nova" w:cs="Arial"/>
          <w:color w:val="000000"/>
        </w:rPr>
      </w:pPr>
    </w:p>
    <w:p w14:paraId="4213F149" w14:textId="77777777" w:rsidR="00B01620" w:rsidRPr="00B01620" w:rsidRDefault="00B01620" w:rsidP="00B01620">
      <w:pPr>
        <w:spacing w:after="0" w:line="255" w:lineRule="auto"/>
        <w:ind w:left="-5" w:right="15" w:hanging="10"/>
        <w:rPr>
          <w:rFonts w:ascii="Arial Nova" w:eastAsia="Arial" w:hAnsi="Arial Nova" w:cs="Arial"/>
          <w:color w:val="000000"/>
        </w:rPr>
      </w:pPr>
    </w:p>
    <w:p w14:paraId="121C532A" w14:textId="77777777" w:rsidR="00B01620" w:rsidRPr="00B01620" w:rsidRDefault="00B01620" w:rsidP="00B01620">
      <w:pPr>
        <w:spacing w:after="0" w:line="255" w:lineRule="auto"/>
        <w:ind w:left="-5" w:right="15" w:hanging="10"/>
        <w:rPr>
          <w:rFonts w:ascii="Arial Nova" w:eastAsia="Arial" w:hAnsi="Arial Nova" w:cs="Arial"/>
          <w:color w:val="000000"/>
        </w:rPr>
      </w:pPr>
    </w:p>
    <w:p w14:paraId="63AF3D56" w14:textId="77777777" w:rsidR="00B01620" w:rsidRPr="00B01620" w:rsidRDefault="00B01620" w:rsidP="00B01620">
      <w:pPr>
        <w:spacing w:after="0" w:line="255" w:lineRule="auto"/>
        <w:ind w:left="-5" w:right="15" w:hanging="10"/>
        <w:rPr>
          <w:rFonts w:ascii="Arial Nova" w:eastAsia="Arial" w:hAnsi="Arial Nova" w:cs="Arial"/>
          <w:color w:val="000000"/>
        </w:rPr>
      </w:pPr>
    </w:p>
    <w:p w14:paraId="54D0E63B" w14:textId="77777777" w:rsidR="00B01620" w:rsidRPr="00B01620" w:rsidRDefault="00B01620" w:rsidP="00B01620">
      <w:pPr>
        <w:spacing w:after="0" w:line="255" w:lineRule="auto"/>
        <w:ind w:left="-5" w:right="15" w:hanging="10"/>
        <w:rPr>
          <w:rFonts w:ascii="Arial Nova" w:eastAsia="Arial" w:hAnsi="Arial Nova" w:cs="Arial"/>
          <w:color w:val="000000"/>
        </w:rPr>
      </w:pPr>
    </w:p>
    <w:p w14:paraId="6D1D450A" w14:textId="77777777" w:rsidR="00B01620" w:rsidRPr="00B01620" w:rsidRDefault="00B01620" w:rsidP="00B01620">
      <w:pPr>
        <w:spacing w:after="0" w:line="255" w:lineRule="auto"/>
        <w:ind w:left="-5" w:right="15" w:hanging="10"/>
        <w:rPr>
          <w:rFonts w:ascii="Arial Nova" w:eastAsia="Arial" w:hAnsi="Arial Nova" w:cs="Arial"/>
          <w:color w:val="000000"/>
        </w:rPr>
      </w:pPr>
    </w:p>
    <w:p w14:paraId="16EE8825" w14:textId="77777777" w:rsidR="00B01620" w:rsidRPr="00B01620" w:rsidRDefault="00B01620" w:rsidP="00B01620">
      <w:pPr>
        <w:spacing w:after="0" w:line="255" w:lineRule="auto"/>
        <w:ind w:left="-5" w:right="15" w:hanging="10"/>
        <w:rPr>
          <w:rFonts w:ascii="Arial Nova" w:eastAsia="Arial" w:hAnsi="Arial Nova" w:cs="Arial"/>
          <w:color w:val="000000"/>
        </w:rPr>
      </w:pPr>
    </w:p>
    <w:p w14:paraId="57E9C27D" w14:textId="77777777" w:rsidR="00B01620" w:rsidRPr="00B01620" w:rsidRDefault="00B01620" w:rsidP="00B01620">
      <w:pPr>
        <w:spacing w:after="0" w:line="255" w:lineRule="auto"/>
        <w:ind w:left="-5" w:right="15" w:hanging="10"/>
        <w:rPr>
          <w:rFonts w:ascii="Arial Nova" w:eastAsia="Arial" w:hAnsi="Arial Nova" w:cs="Arial"/>
          <w:color w:val="000000"/>
        </w:rPr>
      </w:pPr>
    </w:p>
    <w:p w14:paraId="3DD72774" w14:textId="77777777" w:rsidR="00B01620" w:rsidRPr="00B01620" w:rsidRDefault="00B01620" w:rsidP="00B01620">
      <w:pPr>
        <w:spacing w:after="0" w:line="255" w:lineRule="auto"/>
        <w:ind w:left="-5" w:right="15" w:hanging="10"/>
        <w:rPr>
          <w:rFonts w:ascii="Arial Nova" w:eastAsia="Arial" w:hAnsi="Arial Nova" w:cs="Arial"/>
          <w:color w:val="000000"/>
        </w:rPr>
      </w:pPr>
    </w:p>
    <w:p w14:paraId="02115227" w14:textId="77777777" w:rsidR="00B01620" w:rsidRPr="00B01620" w:rsidRDefault="00B01620" w:rsidP="00B01620">
      <w:pPr>
        <w:spacing w:after="0" w:line="255" w:lineRule="auto"/>
        <w:ind w:left="-5" w:right="15" w:hanging="10"/>
        <w:rPr>
          <w:rFonts w:ascii="Arial Nova" w:eastAsia="Arial" w:hAnsi="Arial Nova" w:cs="Arial"/>
          <w:color w:val="000000"/>
        </w:rPr>
      </w:pPr>
    </w:p>
    <w:p w14:paraId="6D8960CE" w14:textId="77777777" w:rsidR="00B01620" w:rsidRPr="00B01620" w:rsidRDefault="00B01620" w:rsidP="00B01620">
      <w:pPr>
        <w:spacing w:after="0" w:line="255" w:lineRule="auto"/>
        <w:ind w:left="-5" w:right="15" w:hanging="10"/>
        <w:rPr>
          <w:rFonts w:ascii="Arial Nova" w:eastAsia="Arial" w:hAnsi="Arial Nova" w:cs="Arial"/>
          <w:color w:val="000000"/>
        </w:rPr>
      </w:pPr>
    </w:p>
    <w:p w14:paraId="4A53B959" w14:textId="77777777" w:rsidR="00B01620" w:rsidRPr="00B01620" w:rsidRDefault="00B01620" w:rsidP="00B01620">
      <w:pPr>
        <w:spacing w:after="0" w:line="255" w:lineRule="auto"/>
        <w:ind w:left="-5" w:right="15" w:hanging="10"/>
        <w:rPr>
          <w:rFonts w:ascii="Arial Nova" w:eastAsia="Arial" w:hAnsi="Arial Nova" w:cs="Arial"/>
          <w:color w:val="000000"/>
        </w:rPr>
      </w:pPr>
    </w:p>
    <w:p w14:paraId="08FA5524" w14:textId="77777777" w:rsidR="00B01620" w:rsidRPr="00B01620" w:rsidRDefault="00B01620" w:rsidP="00B01620">
      <w:pPr>
        <w:spacing w:after="0" w:line="255" w:lineRule="auto"/>
        <w:ind w:left="-5" w:right="15" w:hanging="10"/>
        <w:rPr>
          <w:rFonts w:ascii="Arial Nova" w:eastAsia="Arial" w:hAnsi="Arial Nova" w:cs="Arial"/>
          <w:color w:val="000000"/>
        </w:rPr>
      </w:pPr>
    </w:p>
    <w:p w14:paraId="06A0F656" w14:textId="77777777" w:rsidR="00B01620" w:rsidRPr="00B01620" w:rsidRDefault="00B01620" w:rsidP="00B01620">
      <w:pPr>
        <w:spacing w:after="0" w:line="255" w:lineRule="auto"/>
        <w:ind w:left="-5" w:right="15" w:hanging="10"/>
        <w:rPr>
          <w:rFonts w:ascii="Arial Nova" w:eastAsia="Arial" w:hAnsi="Arial Nova" w:cs="Arial"/>
          <w:color w:val="000000"/>
        </w:rPr>
      </w:pPr>
    </w:p>
    <w:p w14:paraId="6816F3D1" w14:textId="77777777" w:rsidR="00B01620" w:rsidRPr="00B01620" w:rsidRDefault="00B01620" w:rsidP="00B01620">
      <w:pPr>
        <w:spacing w:after="0" w:line="255" w:lineRule="auto"/>
        <w:ind w:left="-5" w:right="15" w:hanging="10"/>
        <w:rPr>
          <w:rFonts w:ascii="Arial Nova" w:eastAsia="Arial" w:hAnsi="Arial Nova" w:cs="Arial"/>
          <w:color w:val="000000"/>
        </w:rPr>
      </w:pPr>
    </w:p>
    <w:p w14:paraId="53948A11" w14:textId="77777777" w:rsidR="00B01620" w:rsidRPr="00B01620" w:rsidRDefault="00B01620" w:rsidP="00B01620">
      <w:pPr>
        <w:spacing w:after="0" w:line="255" w:lineRule="auto"/>
        <w:ind w:left="-5" w:right="15" w:hanging="10"/>
        <w:rPr>
          <w:rFonts w:ascii="Arial Nova" w:eastAsia="Arial" w:hAnsi="Arial Nova" w:cs="Arial"/>
          <w:color w:val="000000"/>
        </w:rPr>
      </w:pPr>
    </w:p>
    <w:p w14:paraId="048192A9" w14:textId="77777777" w:rsidR="00B01620" w:rsidRPr="00B01620" w:rsidRDefault="00B01620" w:rsidP="00B01620">
      <w:pPr>
        <w:spacing w:after="0" w:line="255" w:lineRule="auto"/>
        <w:ind w:left="-5" w:right="15" w:hanging="10"/>
        <w:rPr>
          <w:rFonts w:ascii="Arial Nova" w:eastAsia="Arial" w:hAnsi="Arial Nova" w:cs="Arial"/>
          <w:color w:val="000000"/>
        </w:rPr>
      </w:pPr>
    </w:p>
    <w:p w14:paraId="79E400C2" w14:textId="77777777" w:rsidR="00B01620" w:rsidRPr="00B01620" w:rsidRDefault="00B01620" w:rsidP="00B01620">
      <w:pPr>
        <w:spacing w:after="0" w:line="255" w:lineRule="auto"/>
        <w:ind w:left="-5" w:right="15" w:hanging="10"/>
        <w:rPr>
          <w:rFonts w:ascii="Arial Nova" w:eastAsia="Arial" w:hAnsi="Arial Nova" w:cs="Arial"/>
          <w:color w:val="000000"/>
        </w:rPr>
      </w:pPr>
    </w:p>
    <w:p w14:paraId="3AFE087D" w14:textId="77777777" w:rsidR="00B01620" w:rsidRPr="00B01620" w:rsidRDefault="00B01620" w:rsidP="00B01620">
      <w:pPr>
        <w:spacing w:after="0" w:line="255" w:lineRule="auto"/>
        <w:ind w:left="-5" w:right="15" w:hanging="10"/>
        <w:rPr>
          <w:rFonts w:ascii="Arial Nova" w:eastAsia="Arial" w:hAnsi="Arial Nova" w:cs="Arial"/>
          <w:color w:val="000000"/>
        </w:rPr>
      </w:pPr>
      <w:r w:rsidRPr="00B01620">
        <w:rPr>
          <w:rFonts w:ascii="Arial Nova" w:eastAsia="Arial" w:hAnsi="Arial Nova" w:cs="Arial"/>
          <w:color w:val="000000"/>
        </w:rPr>
        <w:t>Component 3</w:t>
      </w:r>
    </w:p>
    <w:p w14:paraId="3E98808C" w14:textId="77777777" w:rsidR="00B01620" w:rsidRPr="00B01620" w:rsidRDefault="00B01620" w:rsidP="00B01620">
      <w:pPr>
        <w:spacing w:after="0" w:line="255" w:lineRule="auto"/>
        <w:ind w:left="-5" w:right="15" w:hanging="10"/>
        <w:rPr>
          <w:rFonts w:ascii="Arial Nova" w:eastAsia="Arial" w:hAnsi="Arial Nova" w:cs="Arial"/>
          <w:color w:val="000000"/>
        </w:rPr>
      </w:pPr>
    </w:p>
    <w:p w14:paraId="7B884C3A" w14:textId="77777777" w:rsidR="00B01620" w:rsidRPr="00B01620" w:rsidRDefault="00B01620" w:rsidP="00B01620">
      <w:pPr>
        <w:spacing w:after="236" w:line="255" w:lineRule="auto"/>
        <w:ind w:left="-5" w:hanging="10"/>
        <w:rPr>
          <w:rFonts w:ascii="Arial Nova" w:eastAsia="Arial" w:hAnsi="Arial Nova" w:cs="Arial"/>
          <w:color w:val="000000"/>
        </w:rPr>
      </w:pPr>
      <w:r w:rsidRPr="00B01620">
        <w:rPr>
          <w:rFonts w:ascii="Arial Nova" w:eastAsia="Arial" w:hAnsi="Arial Nova" w:cs="Arial"/>
          <w:color w:val="000000"/>
        </w:rPr>
        <w:t>Maslow’s Hierarchy of Needs continues to offer valuable insight into early childhood development, particularly within early years practice where children’s wellbeing, emotional security and learning are closely interconnected. Although formulated as a general theory of human motivation, Maslow’s model provides a conceptual foundation for understanding how children’s needs must be met systematically in order to support healthy development. This presents three detailed examples from early years practice that highlight Maslow’s significance, including an example focused explicitly on transitions, an area where children’s sense of safety and belonging is often most vulnerable. Through academic analysis and reference to contemporary literature, the essay demonstrates how Maslow’s model supports holistic and responsive practice.</w:t>
      </w:r>
    </w:p>
    <w:p w14:paraId="36E15750" w14:textId="77777777" w:rsidR="00B01620" w:rsidRPr="00B01620" w:rsidRDefault="00B01620" w:rsidP="00B01620">
      <w:pPr>
        <w:spacing w:after="236" w:line="255" w:lineRule="auto"/>
        <w:ind w:left="-5" w:hanging="10"/>
        <w:rPr>
          <w:rFonts w:ascii="Arial Nova" w:eastAsia="Arial" w:hAnsi="Arial Nova" w:cs="Arial"/>
          <w:color w:val="000000"/>
        </w:rPr>
      </w:pPr>
      <w:r w:rsidRPr="00B01620">
        <w:rPr>
          <w:rFonts w:ascii="Arial Nova" w:eastAsia="Arial" w:hAnsi="Arial Nova" w:cs="Arial"/>
          <w:color w:val="000000"/>
        </w:rPr>
        <w:t>The first example concerns the meeting of physiological needs to support engagement and learning. In early years settings, practitioners frequently observe that children’s cognitive and emotional capacities are directly influenced by their physical state. Maslow (1943) emphasised that physiological needs such as food, hydration, rest and physical comfort form the essential foundation upon which all higher-order development depends. A child who arrives at nursery tired or hungry may be unable to sustain attention, participate in activities or regulate their emotions effectively. Recent research supports this idea: insufficient nutrition and disrupted sleep patterns are associated with reduced concentration, slower information processing and increased irritability in young children (Howard-Jones et al., 2022). In practice, early years settings respond by offering breakfast clubs, flexible snack times and quiet spaces where children can rest. For example, a child who begins the day withdrawn or distressed may become noticeably more settled and engaged after receiving a healthy snack and reassurance from an adult. This change demonstrates Maslow’s principle that meeting basic physiological needs enhances children’s capacity for exploration, problem-solving and involvement in play. It also reinforces the view that these foundational needs must be secure before higher-level learning can occur.</w:t>
      </w:r>
    </w:p>
    <w:p w14:paraId="7DDF76D8" w14:textId="77777777" w:rsidR="00B01620" w:rsidRPr="00B01620" w:rsidRDefault="00B01620" w:rsidP="00B01620">
      <w:pPr>
        <w:spacing w:after="236" w:line="255" w:lineRule="auto"/>
        <w:ind w:left="-5" w:hanging="10"/>
        <w:rPr>
          <w:rFonts w:ascii="Arial Nova" w:eastAsia="Arial" w:hAnsi="Arial Nova" w:cs="Arial"/>
          <w:color w:val="000000"/>
        </w:rPr>
      </w:pPr>
      <w:r w:rsidRPr="00B01620">
        <w:rPr>
          <w:rFonts w:ascii="Arial Nova" w:eastAsia="Arial" w:hAnsi="Arial Nova" w:cs="Arial"/>
          <w:color w:val="000000"/>
        </w:rPr>
        <w:lastRenderedPageBreak/>
        <w:t>The second example highlights the importance of emotional safety and belonging, both central elements of Maslow’s hierarchy. Young children depend heavily on secure relationships to regulate their emotions, develop confidence and form a positive sense of self. Consistent, warm and attuned interactions from practitioners contribute significantly to children’s overall wellbeing (Gerhardt, 2021). In early years practice, this is reflected through the key person approach, which ensures that each child has a dedicated adult who builds a meaningful, trusting relationship with them. Consider a child who is initially anxious during drop-off and struggles to separate from their parent. The key person may offer physical comfort, maintain predictable routines and provide opportunities for low-pressure, nurturing play. Over time, as the child internalises a sense of safety and belonging, they become more confident in exploring the environment and interacting with peers. This development is consistent with Maslow’s assertion that love and belonging are essential needs that underpin children’s emotional stability and capacity for learning. Attachment research similarly highlights that children who experience secure, consistent relationships are more likely to engage positively with learning experiences and demonstrate strong socio-emotional skills (</w:t>
      </w:r>
      <w:proofErr w:type="spellStart"/>
      <w:r w:rsidRPr="00B01620">
        <w:rPr>
          <w:rFonts w:ascii="Arial Nova" w:eastAsia="Arial" w:hAnsi="Arial Nova" w:cs="Arial"/>
          <w:color w:val="000000"/>
        </w:rPr>
        <w:t>Bretherton</w:t>
      </w:r>
      <w:proofErr w:type="spellEnd"/>
      <w:r w:rsidRPr="00B01620">
        <w:rPr>
          <w:rFonts w:ascii="Arial Nova" w:eastAsia="Arial" w:hAnsi="Arial Nova" w:cs="Arial"/>
          <w:color w:val="000000"/>
        </w:rPr>
        <w:t>, 2020). Thus, Maslow’s model aligns closely with contemporary psychological theory and reinforces the central role of emotional safety in early years environments.</w:t>
      </w:r>
    </w:p>
    <w:p w14:paraId="00DF340F" w14:textId="5E08A1F4" w:rsidR="00B01620" w:rsidRPr="00B01620" w:rsidRDefault="00B01620" w:rsidP="00B01620">
      <w:pPr>
        <w:spacing w:after="236" w:line="255" w:lineRule="auto"/>
        <w:ind w:left="-5" w:hanging="10"/>
        <w:rPr>
          <w:rFonts w:ascii="Arial Nova" w:eastAsia="Arial" w:hAnsi="Arial Nova" w:cs="Arial"/>
          <w:color w:val="000000"/>
        </w:rPr>
      </w:pPr>
      <w:r w:rsidRPr="00B01620">
        <w:rPr>
          <w:rFonts w:ascii="Arial Nova" w:eastAsia="Arial" w:hAnsi="Arial Nova" w:cs="Arial"/>
          <w:color w:val="000000"/>
        </w:rPr>
        <w:t>The third example examines the significance of Maslow’s model in the context of transition</w:t>
      </w:r>
      <w:r w:rsidR="00835A8B">
        <w:rPr>
          <w:rFonts w:ascii="Arial Nova" w:eastAsia="Arial" w:hAnsi="Arial Nova" w:cs="Arial"/>
          <w:color w:val="000000"/>
        </w:rPr>
        <w:t>s, a</w:t>
      </w:r>
      <w:r w:rsidRPr="00B01620">
        <w:rPr>
          <w:rFonts w:ascii="Arial Nova" w:eastAsia="Arial" w:hAnsi="Arial Nova" w:cs="Arial"/>
          <w:color w:val="000000"/>
        </w:rPr>
        <w:t xml:space="preserve"> time when children may experience uncertainty, anxiety and disruption to their established sense of safety. Transitions, such as moving from one room to another within a setting or beginning school, can temporarily unsettle children and challenge their emotional security. Maslow’s framework assists practitioners in identifying which needs are most at risk during transitions and how to support them effectively. For instance, when a child moves from the toddler room to the preschool room, they may initially display clinginess, reluctance to engage, or withdrawal. These responses signal that the child’s safety and belonging needs</w:t>
      </w:r>
      <w:r w:rsidR="00835A8B">
        <w:rPr>
          <w:rFonts w:ascii="Arial Nova" w:eastAsia="Arial" w:hAnsi="Arial Nova" w:cs="Arial"/>
          <w:color w:val="000000"/>
        </w:rPr>
        <w:t xml:space="preserve">, </w:t>
      </w:r>
      <w:r w:rsidRPr="00B01620">
        <w:rPr>
          <w:rFonts w:ascii="Arial Nova" w:eastAsia="Arial" w:hAnsi="Arial Nova" w:cs="Arial"/>
          <w:color w:val="000000"/>
        </w:rPr>
        <w:t>central components of Maslow’s hierarchy</w:t>
      </w:r>
      <w:r w:rsidR="00835A8B">
        <w:rPr>
          <w:rFonts w:ascii="Arial Nova" w:eastAsia="Arial" w:hAnsi="Arial Nova" w:cs="Arial"/>
          <w:color w:val="000000"/>
        </w:rPr>
        <w:t xml:space="preserve">, </w:t>
      </w:r>
      <w:r w:rsidRPr="00B01620">
        <w:rPr>
          <w:rFonts w:ascii="Arial Nova" w:eastAsia="Arial" w:hAnsi="Arial Nova" w:cs="Arial"/>
          <w:color w:val="000000"/>
        </w:rPr>
        <w:t>have been disrupted. Early years practitioners typically respond by arranging gradual transitions, allowing the child to visit the new room with their existing key person, and ensuring that new staff members take time to build trust. Practitioners might also incorporate familiar routines, comfort objects or preferred activities into the new environment to reinforce continuity. Research demonstrates that well-planned transitions enhance children’s confidence, resilience and emotional wellbeing (</w:t>
      </w:r>
      <w:proofErr w:type="spellStart"/>
      <w:r w:rsidRPr="00B01620">
        <w:rPr>
          <w:rFonts w:ascii="Arial Nova" w:eastAsia="Arial" w:hAnsi="Arial Nova" w:cs="Arial"/>
          <w:color w:val="000000"/>
        </w:rPr>
        <w:t>Siraj-Blatchford</w:t>
      </w:r>
      <w:proofErr w:type="spellEnd"/>
      <w:r w:rsidRPr="00B01620">
        <w:rPr>
          <w:rFonts w:ascii="Arial Nova" w:eastAsia="Arial" w:hAnsi="Arial Nova" w:cs="Arial"/>
          <w:color w:val="000000"/>
        </w:rPr>
        <w:t xml:space="preserve"> et al., 2023). Through this lens, Maslow’s hierarchy helps practitioners recognise the underlying emotional impact of transitions and implement strategies that support stability, belonging and resilience.</w:t>
      </w:r>
    </w:p>
    <w:p w14:paraId="0DDCD308" w14:textId="77777777" w:rsidR="00B01620" w:rsidRPr="00B01620" w:rsidRDefault="00B01620" w:rsidP="00B01620">
      <w:pPr>
        <w:spacing w:after="236" w:line="255" w:lineRule="auto"/>
        <w:ind w:left="-5" w:hanging="10"/>
        <w:rPr>
          <w:rFonts w:ascii="Arial Nova" w:eastAsia="Arial" w:hAnsi="Arial Nova" w:cs="Arial"/>
          <w:color w:val="000000"/>
        </w:rPr>
      </w:pPr>
      <w:r w:rsidRPr="00B01620">
        <w:rPr>
          <w:rFonts w:ascii="Arial Nova" w:eastAsia="Arial" w:hAnsi="Arial Nova" w:cs="Arial"/>
          <w:color w:val="000000"/>
        </w:rPr>
        <w:t>Although Maslow’s hierarchy is highly influential, it is not without limitations. Critics argue that human needs do not always follow a strict linear order and that cultural and contextual variations shape children’s priorities differently (</w:t>
      </w:r>
      <w:proofErr w:type="spellStart"/>
      <w:r w:rsidRPr="00B01620">
        <w:rPr>
          <w:rFonts w:ascii="Arial Nova" w:eastAsia="Arial" w:hAnsi="Arial Nova" w:cs="Arial"/>
          <w:color w:val="000000"/>
        </w:rPr>
        <w:t>Melhuish</w:t>
      </w:r>
      <w:proofErr w:type="spellEnd"/>
      <w:r w:rsidRPr="00B01620">
        <w:rPr>
          <w:rFonts w:ascii="Arial Nova" w:eastAsia="Arial" w:hAnsi="Arial Nova" w:cs="Arial"/>
          <w:color w:val="000000"/>
        </w:rPr>
        <w:t xml:space="preserve">, 2019). Nonetheless, within early years practice, Maslow’s model is most effectively used </w:t>
      </w:r>
      <w:r w:rsidRPr="00B01620">
        <w:rPr>
          <w:rFonts w:ascii="Arial Nova" w:eastAsia="Arial" w:hAnsi="Arial Nova" w:cs="Arial"/>
          <w:color w:val="000000"/>
        </w:rPr>
        <w:lastRenderedPageBreak/>
        <w:t>as a reflective tool rather than a rigid sequence. It encourages practitioners to consider the complexity of children’s needs, to identify barriers to learning, and to adopt a holistic perspective that values wellbeing and emotional security. When combined with other theories—such as attachment theory, ecological systems theory and sociocultural perspectives—Maslow’s approach contributes to a nuanced understanding of children’s development and informs sensitive, child-centred practice.</w:t>
      </w:r>
    </w:p>
    <w:p w14:paraId="6B989A7E" w14:textId="77777777" w:rsidR="00B01620" w:rsidRPr="00B01620" w:rsidRDefault="00B01620" w:rsidP="00B01620">
      <w:pPr>
        <w:spacing w:after="236" w:line="255" w:lineRule="auto"/>
        <w:ind w:left="-5" w:hanging="10"/>
        <w:rPr>
          <w:rFonts w:ascii="Arial Nova" w:eastAsia="Arial" w:hAnsi="Arial Nova" w:cs="Arial"/>
          <w:color w:val="000000"/>
        </w:rPr>
      </w:pPr>
      <w:r w:rsidRPr="00B01620">
        <w:rPr>
          <w:rFonts w:ascii="Arial Nova" w:eastAsia="Arial" w:hAnsi="Arial Nova" w:cs="Arial"/>
          <w:color w:val="000000"/>
        </w:rPr>
        <w:t>In conclusion, Maslow’s Hierarchy of Needs remains a significant theoretical framework for understanding child development within early years practice. The three examples discussed—supporting physiological needs, fostering emotional safety and belonging, and managing transitions—demonstrate how Maslow’s model informs practical strategies that promote wellbeing, engagement and developmental progression. Although the hierarchy should not be viewed as absolute or universally applicable, it provides a meaningful structure for interpreting children’s experiences and guiding responsive early years pedagogy. Ultimately, Maslow’s model supports practitioners in creating nurturing, stable and developmentally enriching environments in which all children can thrive.</w:t>
      </w:r>
    </w:p>
    <w:p w14:paraId="586BCF24" w14:textId="77777777" w:rsidR="00B01620" w:rsidRPr="00B01620" w:rsidRDefault="00B01620" w:rsidP="00B01620">
      <w:pPr>
        <w:spacing w:after="236" w:line="255" w:lineRule="auto"/>
        <w:ind w:left="-5" w:hanging="10"/>
        <w:rPr>
          <w:rFonts w:ascii="Arial Nova" w:eastAsia="Arial" w:hAnsi="Arial Nova" w:cs="Arial"/>
          <w:color w:val="000000"/>
        </w:rPr>
      </w:pPr>
      <w:r w:rsidRPr="00B01620">
        <w:rPr>
          <w:rFonts w:ascii="Arial Nova" w:eastAsia="Arial" w:hAnsi="Arial Nova" w:cs="Arial"/>
          <w:color w:val="000000"/>
        </w:rPr>
        <w:t>References</w:t>
      </w:r>
    </w:p>
    <w:p w14:paraId="3AF687CC" w14:textId="77777777" w:rsidR="00B01620" w:rsidRPr="00B01620" w:rsidRDefault="00B01620" w:rsidP="00B01620">
      <w:pPr>
        <w:spacing w:after="0" w:line="240" w:lineRule="auto"/>
        <w:rPr>
          <w:rFonts w:ascii="Arial Nova" w:hAnsi="Arial Nova" w:cs="Times New Roman"/>
          <w:kern w:val="0"/>
          <w14:ligatures w14:val="none"/>
        </w:rPr>
      </w:pPr>
      <w:proofErr w:type="spellStart"/>
      <w:r w:rsidRPr="00B01620">
        <w:rPr>
          <w:rFonts w:ascii="Arial Nova" w:hAnsi="Arial Nova" w:cs="Times New Roman"/>
          <w:kern w:val="0"/>
          <w14:ligatures w14:val="none"/>
        </w:rPr>
        <w:t>Bretherton</w:t>
      </w:r>
      <w:proofErr w:type="spellEnd"/>
      <w:r w:rsidRPr="00B01620">
        <w:rPr>
          <w:rFonts w:ascii="Arial Nova" w:hAnsi="Arial Nova" w:cs="Times New Roman"/>
          <w:kern w:val="0"/>
          <w14:ligatures w14:val="none"/>
        </w:rPr>
        <w:t xml:space="preserve">, I. (2020) ‘Attachment theory and developmental psychology: A lifespan perspective’, </w:t>
      </w:r>
      <w:r w:rsidRPr="00B01620">
        <w:rPr>
          <w:rFonts w:ascii="Arial Nova" w:hAnsi="Arial Nova" w:cs="Times New Roman"/>
          <w:i/>
          <w:iCs/>
          <w:kern w:val="0"/>
          <w14:ligatures w14:val="none"/>
        </w:rPr>
        <w:t>Journal of Developmental Science</w:t>
      </w:r>
      <w:r w:rsidRPr="00B01620">
        <w:rPr>
          <w:rFonts w:ascii="Arial Nova" w:hAnsi="Arial Nova" w:cs="Times New Roman"/>
          <w:kern w:val="0"/>
          <w14:ligatures w14:val="none"/>
        </w:rPr>
        <w:t>, 23(2), pp. 1–12.</w:t>
      </w:r>
    </w:p>
    <w:p w14:paraId="1EC47048" w14:textId="77777777" w:rsidR="00B01620" w:rsidRPr="00B01620" w:rsidRDefault="00B01620" w:rsidP="00B01620">
      <w:pPr>
        <w:spacing w:after="0" w:line="240" w:lineRule="auto"/>
        <w:rPr>
          <w:rFonts w:ascii="Arial Nova" w:hAnsi="Arial Nova" w:cs="Times New Roman"/>
          <w:kern w:val="0"/>
          <w14:ligatures w14:val="none"/>
        </w:rPr>
      </w:pPr>
    </w:p>
    <w:p w14:paraId="71144575" w14:textId="77777777" w:rsidR="00B01620" w:rsidRPr="00B01620" w:rsidRDefault="00B01620" w:rsidP="00B01620">
      <w:pPr>
        <w:spacing w:after="0" w:line="240" w:lineRule="auto"/>
        <w:rPr>
          <w:rFonts w:ascii="Arial Nova" w:hAnsi="Arial Nova" w:cs="Times New Roman"/>
          <w:kern w:val="0"/>
          <w14:ligatures w14:val="none"/>
        </w:rPr>
      </w:pPr>
      <w:proofErr w:type="spellStart"/>
      <w:r w:rsidRPr="00B01620">
        <w:rPr>
          <w:rFonts w:ascii="Arial Nova" w:hAnsi="Arial Nova" w:cs="Times New Roman"/>
          <w:kern w:val="0"/>
          <w14:ligatures w14:val="none"/>
        </w:rPr>
        <w:t>Bronfenbrenner</w:t>
      </w:r>
      <w:proofErr w:type="spellEnd"/>
      <w:r w:rsidRPr="00B01620">
        <w:rPr>
          <w:rFonts w:ascii="Arial Nova" w:hAnsi="Arial Nova" w:cs="Times New Roman"/>
          <w:kern w:val="0"/>
          <w14:ligatures w14:val="none"/>
        </w:rPr>
        <w:t xml:space="preserve">, U. (1979) </w:t>
      </w:r>
      <w:r w:rsidRPr="00B01620">
        <w:rPr>
          <w:rFonts w:ascii="Arial Nova" w:hAnsi="Arial Nova" w:cs="Times New Roman"/>
          <w:i/>
          <w:iCs/>
          <w:kern w:val="0"/>
          <w14:ligatures w14:val="none"/>
        </w:rPr>
        <w:t>The ecology of human development</w:t>
      </w:r>
      <w:r w:rsidRPr="00B01620">
        <w:rPr>
          <w:rFonts w:ascii="Arial Nova" w:hAnsi="Arial Nova" w:cs="Times New Roman"/>
          <w:kern w:val="0"/>
          <w14:ligatures w14:val="none"/>
        </w:rPr>
        <w:t>. Cambridge, MA: Harvard University Press.</w:t>
      </w:r>
    </w:p>
    <w:p w14:paraId="31B98866" w14:textId="77777777" w:rsidR="00B01620" w:rsidRPr="00B01620" w:rsidRDefault="00B01620" w:rsidP="00B01620">
      <w:pPr>
        <w:spacing w:after="0" w:line="240" w:lineRule="auto"/>
        <w:rPr>
          <w:rFonts w:ascii="Arial Nova" w:hAnsi="Arial Nova" w:cs="Times New Roman"/>
          <w:kern w:val="0"/>
          <w14:ligatures w14:val="none"/>
        </w:rPr>
      </w:pPr>
    </w:p>
    <w:p w14:paraId="35B2844D" w14:textId="77777777" w:rsidR="00B01620" w:rsidRPr="00B01620" w:rsidRDefault="00B01620" w:rsidP="00B01620">
      <w:pPr>
        <w:spacing w:after="0" w:line="240" w:lineRule="auto"/>
        <w:rPr>
          <w:rFonts w:ascii="Arial Nova" w:hAnsi="Arial Nova" w:cs="Times New Roman"/>
          <w:kern w:val="0"/>
          <w14:ligatures w14:val="none"/>
        </w:rPr>
      </w:pPr>
      <w:r w:rsidRPr="00B01620">
        <w:rPr>
          <w:rFonts w:ascii="Arial Nova" w:hAnsi="Arial Nova" w:cs="Times New Roman"/>
          <w:kern w:val="0"/>
          <w14:ligatures w14:val="none"/>
        </w:rPr>
        <w:t xml:space="preserve">Gerhardt, S. (2021) </w:t>
      </w:r>
      <w:r w:rsidRPr="00B01620">
        <w:rPr>
          <w:rFonts w:ascii="Arial Nova" w:hAnsi="Arial Nova" w:cs="Times New Roman"/>
          <w:i/>
          <w:iCs/>
          <w:kern w:val="0"/>
          <w14:ligatures w14:val="none"/>
        </w:rPr>
        <w:t>The Science of Parenting</w:t>
      </w:r>
      <w:r w:rsidRPr="00B01620">
        <w:rPr>
          <w:rFonts w:ascii="Arial Nova" w:hAnsi="Arial Nova" w:cs="Times New Roman"/>
          <w:kern w:val="0"/>
          <w14:ligatures w14:val="none"/>
        </w:rPr>
        <w:t xml:space="preserve">. 2nd </w:t>
      </w:r>
      <w:proofErr w:type="spellStart"/>
      <w:r w:rsidRPr="00B01620">
        <w:rPr>
          <w:rFonts w:ascii="Arial Nova" w:hAnsi="Arial Nova" w:cs="Times New Roman"/>
          <w:kern w:val="0"/>
          <w14:ligatures w14:val="none"/>
        </w:rPr>
        <w:t>edn</w:t>
      </w:r>
      <w:proofErr w:type="spellEnd"/>
      <w:r w:rsidRPr="00B01620">
        <w:rPr>
          <w:rFonts w:ascii="Arial Nova" w:hAnsi="Arial Nova" w:cs="Times New Roman"/>
          <w:kern w:val="0"/>
          <w14:ligatures w14:val="none"/>
        </w:rPr>
        <w:t xml:space="preserve">. London: </w:t>
      </w:r>
      <w:proofErr w:type="spellStart"/>
      <w:r w:rsidRPr="00B01620">
        <w:rPr>
          <w:rFonts w:ascii="Arial Nova" w:hAnsi="Arial Nova" w:cs="Times New Roman"/>
          <w:kern w:val="0"/>
          <w14:ligatures w14:val="none"/>
        </w:rPr>
        <w:t>Dorling</w:t>
      </w:r>
      <w:proofErr w:type="spellEnd"/>
      <w:r w:rsidRPr="00B01620">
        <w:rPr>
          <w:rFonts w:ascii="Arial Nova" w:hAnsi="Arial Nova" w:cs="Times New Roman"/>
          <w:kern w:val="0"/>
          <w14:ligatures w14:val="none"/>
        </w:rPr>
        <w:t xml:space="preserve"> Kindersley.</w:t>
      </w:r>
    </w:p>
    <w:p w14:paraId="1C8A503F" w14:textId="77777777" w:rsidR="00B01620" w:rsidRPr="00B01620" w:rsidRDefault="00B01620" w:rsidP="00B01620">
      <w:pPr>
        <w:spacing w:after="0" w:line="240" w:lineRule="auto"/>
        <w:rPr>
          <w:rFonts w:ascii="Arial Nova" w:hAnsi="Arial Nova" w:cs="Times New Roman"/>
          <w:kern w:val="0"/>
          <w14:ligatures w14:val="none"/>
        </w:rPr>
      </w:pPr>
    </w:p>
    <w:p w14:paraId="0135454D" w14:textId="77777777" w:rsidR="00B01620" w:rsidRPr="00B01620" w:rsidRDefault="00B01620" w:rsidP="00B01620">
      <w:pPr>
        <w:spacing w:after="0" w:line="240" w:lineRule="auto"/>
        <w:rPr>
          <w:rFonts w:ascii="Arial Nova" w:hAnsi="Arial Nova" w:cs="Times New Roman"/>
          <w:kern w:val="0"/>
          <w14:ligatures w14:val="none"/>
        </w:rPr>
      </w:pPr>
      <w:r w:rsidRPr="00B01620">
        <w:rPr>
          <w:rFonts w:ascii="Arial Nova" w:hAnsi="Arial Nova" w:cs="Times New Roman"/>
          <w:kern w:val="0"/>
          <w14:ligatures w14:val="none"/>
        </w:rPr>
        <w:t xml:space="preserve">Howard-Jones, P. et al. (2022) ‘Neuroscience and learning: Implications for early childhood education’, </w:t>
      </w:r>
      <w:r w:rsidRPr="00B01620">
        <w:rPr>
          <w:rFonts w:ascii="Arial Nova" w:hAnsi="Arial Nova" w:cs="Times New Roman"/>
          <w:i/>
          <w:iCs/>
          <w:kern w:val="0"/>
          <w14:ligatures w14:val="none"/>
        </w:rPr>
        <w:t>Early Years</w:t>
      </w:r>
      <w:r w:rsidRPr="00B01620">
        <w:rPr>
          <w:rFonts w:ascii="Arial Nova" w:hAnsi="Arial Nova" w:cs="Times New Roman"/>
          <w:kern w:val="0"/>
          <w14:ligatures w14:val="none"/>
        </w:rPr>
        <w:t>, 42(1), pp. 4–18.</w:t>
      </w:r>
    </w:p>
    <w:p w14:paraId="73B0483A" w14:textId="77777777" w:rsidR="00B01620" w:rsidRPr="00B01620" w:rsidRDefault="00B01620" w:rsidP="00B01620">
      <w:pPr>
        <w:spacing w:after="0" w:line="240" w:lineRule="auto"/>
        <w:rPr>
          <w:rFonts w:ascii="Arial Nova" w:hAnsi="Arial Nova" w:cs="Times New Roman"/>
          <w:kern w:val="0"/>
          <w14:ligatures w14:val="none"/>
        </w:rPr>
      </w:pPr>
    </w:p>
    <w:p w14:paraId="4CCFCE2F" w14:textId="77777777" w:rsidR="00B01620" w:rsidRPr="00B01620" w:rsidRDefault="00B01620" w:rsidP="00B01620">
      <w:pPr>
        <w:spacing w:after="0" w:line="240" w:lineRule="auto"/>
        <w:rPr>
          <w:rFonts w:ascii="Arial Nova" w:hAnsi="Arial Nova" w:cs="Times New Roman"/>
          <w:kern w:val="0"/>
          <w14:ligatures w14:val="none"/>
        </w:rPr>
      </w:pPr>
      <w:proofErr w:type="spellStart"/>
      <w:r w:rsidRPr="00B01620">
        <w:rPr>
          <w:rFonts w:ascii="Arial Nova" w:hAnsi="Arial Nova" w:cs="Times New Roman"/>
          <w:kern w:val="0"/>
          <w14:ligatures w14:val="none"/>
        </w:rPr>
        <w:t>Leadbeater</w:t>
      </w:r>
      <w:proofErr w:type="spellEnd"/>
      <w:r w:rsidRPr="00B01620">
        <w:rPr>
          <w:rFonts w:ascii="Arial Nova" w:hAnsi="Arial Nova" w:cs="Times New Roman"/>
          <w:kern w:val="0"/>
          <w14:ligatures w14:val="none"/>
        </w:rPr>
        <w:t xml:space="preserve">, B. and </w:t>
      </w:r>
      <w:proofErr w:type="spellStart"/>
      <w:r w:rsidRPr="00B01620">
        <w:rPr>
          <w:rFonts w:ascii="Arial Nova" w:hAnsi="Arial Nova" w:cs="Times New Roman"/>
          <w:kern w:val="0"/>
          <w14:ligatures w14:val="none"/>
        </w:rPr>
        <w:t>Vagaro</w:t>
      </w:r>
      <w:proofErr w:type="spellEnd"/>
      <w:r w:rsidRPr="00B01620">
        <w:rPr>
          <w:rFonts w:ascii="Arial Nova" w:hAnsi="Arial Nova" w:cs="Times New Roman"/>
          <w:kern w:val="0"/>
          <w14:ligatures w14:val="none"/>
        </w:rPr>
        <w:t xml:space="preserve">, M. (2021) ‘Early intervention and long-term developmental outcomes’, </w:t>
      </w:r>
      <w:r w:rsidRPr="00B01620">
        <w:rPr>
          <w:rFonts w:ascii="Arial Nova" w:hAnsi="Arial Nova" w:cs="Times New Roman"/>
          <w:i/>
          <w:iCs/>
          <w:kern w:val="0"/>
          <w14:ligatures w14:val="none"/>
        </w:rPr>
        <w:t>Child Development Perspectives</w:t>
      </w:r>
      <w:r w:rsidRPr="00B01620">
        <w:rPr>
          <w:rFonts w:ascii="Arial Nova" w:hAnsi="Arial Nova" w:cs="Times New Roman"/>
          <w:kern w:val="0"/>
          <w14:ligatures w14:val="none"/>
        </w:rPr>
        <w:t>, 15(4), pp. 247–253.</w:t>
      </w:r>
    </w:p>
    <w:p w14:paraId="5B25C2B4" w14:textId="77777777" w:rsidR="00B01620" w:rsidRPr="00B01620" w:rsidRDefault="00B01620" w:rsidP="00B01620">
      <w:pPr>
        <w:spacing w:after="0" w:line="240" w:lineRule="auto"/>
        <w:rPr>
          <w:rFonts w:ascii="Arial Nova" w:hAnsi="Arial Nova" w:cs="Times New Roman"/>
          <w:kern w:val="0"/>
          <w14:ligatures w14:val="none"/>
        </w:rPr>
      </w:pPr>
    </w:p>
    <w:p w14:paraId="52AB673B" w14:textId="77777777" w:rsidR="00B01620" w:rsidRPr="00B01620" w:rsidRDefault="00B01620" w:rsidP="00B01620">
      <w:pPr>
        <w:spacing w:after="0" w:line="240" w:lineRule="auto"/>
        <w:rPr>
          <w:rFonts w:ascii="Arial Nova" w:hAnsi="Arial Nova" w:cs="Times New Roman"/>
          <w:kern w:val="0"/>
          <w14:ligatures w14:val="none"/>
        </w:rPr>
      </w:pPr>
      <w:r w:rsidRPr="00B01620">
        <w:rPr>
          <w:rFonts w:ascii="Arial Nova" w:hAnsi="Arial Nova" w:cs="Times New Roman"/>
          <w:kern w:val="0"/>
          <w14:ligatures w14:val="none"/>
        </w:rPr>
        <w:t xml:space="preserve">Maslow, A. (1943) ‘A theory of human motivation’, </w:t>
      </w:r>
      <w:r w:rsidRPr="00B01620">
        <w:rPr>
          <w:rFonts w:ascii="Arial Nova" w:hAnsi="Arial Nova" w:cs="Times New Roman"/>
          <w:i/>
          <w:iCs/>
          <w:kern w:val="0"/>
          <w14:ligatures w14:val="none"/>
        </w:rPr>
        <w:t>Psychological Review</w:t>
      </w:r>
      <w:r w:rsidRPr="00B01620">
        <w:rPr>
          <w:rFonts w:ascii="Arial Nova" w:hAnsi="Arial Nova" w:cs="Times New Roman"/>
          <w:kern w:val="0"/>
          <w14:ligatures w14:val="none"/>
        </w:rPr>
        <w:t>, 50(4), pp. 370–396.</w:t>
      </w:r>
    </w:p>
    <w:p w14:paraId="14A4153B" w14:textId="77777777" w:rsidR="00B01620" w:rsidRPr="00B01620" w:rsidRDefault="00B01620" w:rsidP="00B01620">
      <w:pPr>
        <w:spacing w:after="0" w:line="240" w:lineRule="auto"/>
        <w:rPr>
          <w:rFonts w:ascii="Arial Nova" w:hAnsi="Arial Nova" w:cs="Times New Roman"/>
          <w:kern w:val="0"/>
          <w14:ligatures w14:val="none"/>
        </w:rPr>
      </w:pPr>
    </w:p>
    <w:p w14:paraId="75CF4741" w14:textId="77777777" w:rsidR="00B01620" w:rsidRPr="00B01620" w:rsidRDefault="00B01620" w:rsidP="00B01620">
      <w:pPr>
        <w:spacing w:after="0" w:line="240" w:lineRule="auto"/>
        <w:rPr>
          <w:rFonts w:ascii="Arial Nova" w:hAnsi="Arial Nova" w:cs="Times New Roman"/>
          <w:kern w:val="0"/>
          <w14:ligatures w14:val="none"/>
        </w:rPr>
      </w:pPr>
      <w:proofErr w:type="spellStart"/>
      <w:r w:rsidRPr="00B01620">
        <w:rPr>
          <w:rFonts w:ascii="Arial Nova" w:hAnsi="Arial Nova" w:cs="Times New Roman"/>
          <w:kern w:val="0"/>
          <w14:ligatures w14:val="none"/>
        </w:rPr>
        <w:t>Melhuish</w:t>
      </w:r>
      <w:proofErr w:type="spellEnd"/>
      <w:r w:rsidRPr="00B01620">
        <w:rPr>
          <w:rFonts w:ascii="Arial Nova" w:hAnsi="Arial Nova" w:cs="Times New Roman"/>
          <w:kern w:val="0"/>
          <w14:ligatures w14:val="none"/>
        </w:rPr>
        <w:t xml:space="preserve">, E. (2019) ‘Early childhood environments and developmental outcomes’, </w:t>
      </w:r>
      <w:r w:rsidRPr="00B01620">
        <w:rPr>
          <w:rFonts w:ascii="Arial Nova" w:hAnsi="Arial Nova" w:cs="Times New Roman"/>
          <w:i/>
          <w:iCs/>
          <w:kern w:val="0"/>
          <w14:ligatures w14:val="none"/>
        </w:rPr>
        <w:t>European Journal of Education</w:t>
      </w:r>
      <w:r w:rsidRPr="00B01620">
        <w:rPr>
          <w:rFonts w:ascii="Arial Nova" w:hAnsi="Arial Nova" w:cs="Times New Roman"/>
          <w:kern w:val="0"/>
          <w14:ligatures w14:val="none"/>
        </w:rPr>
        <w:t>, 54(2), pp. 153–166.</w:t>
      </w:r>
    </w:p>
    <w:p w14:paraId="2BED8C1D" w14:textId="77777777" w:rsidR="00B01620" w:rsidRPr="00B01620" w:rsidRDefault="00B01620" w:rsidP="00B01620">
      <w:pPr>
        <w:spacing w:after="0" w:line="240" w:lineRule="auto"/>
        <w:rPr>
          <w:rFonts w:ascii="Arial Nova" w:hAnsi="Arial Nova" w:cs="Times New Roman"/>
          <w:kern w:val="0"/>
          <w14:ligatures w14:val="none"/>
        </w:rPr>
      </w:pPr>
    </w:p>
    <w:p w14:paraId="532505FB" w14:textId="77777777" w:rsidR="00B01620" w:rsidRPr="00B01620" w:rsidRDefault="00B01620" w:rsidP="00B01620">
      <w:pPr>
        <w:spacing w:after="0" w:line="240" w:lineRule="auto"/>
        <w:rPr>
          <w:rFonts w:ascii="Arial Nova" w:hAnsi="Arial Nova" w:cs="Times New Roman"/>
          <w:kern w:val="0"/>
          <w14:ligatures w14:val="none"/>
        </w:rPr>
      </w:pPr>
      <w:r w:rsidRPr="00B01620">
        <w:rPr>
          <w:rFonts w:ascii="Arial Nova" w:hAnsi="Arial Nova" w:cs="Times New Roman"/>
          <w:kern w:val="0"/>
          <w14:ligatures w14:val="none"/>
        </w:rPr>
        <w:t xml:space="preserve">Piaget, J. (1952) </w:t>
      </w:r>
      <w:r w:rsidRPr="00B01620">
        <w:rPr>
          <w:rFonts w:ascii="Arial Nova" w:hAnsi="Arial Nova" w:cs="Times New Roman"/>
          <w:i/>
          <w:iCs/>
          <w:kern w:val="0"/>
          <w14:ligatures w14:val="none"/>
        </w:rPr>
        <w:t>The origins of intelligence in children</w:t>
      </w:r>
      <w:r w:rsidRPr="00B01620">
        <w:rPr>
          <w:rFonts w:ascii="Arial Nova" w:hAnsi="Arial Nova" w:cs="Times New Roman"/>
          <w:kern w:val="0"/>
          <w14:ligatures w14:val="none"/>
        </w:rPr>
        <w:t>. New York: International Universities Press.</w:t>
      </w:r>
    </w:p>
    <w:p w14:paraId="4E635908" w14:textId="77777777" w:rsidR="00B01620" w:rsidRPr="00B01620" w:rsidRDefault="00B01620" w:rsidP="00B01620">
      <w:pPr>
        <w:spacing w:after="0" w:line="240" w:lineRule="auto"/>
        <w:rPr>
          <w:rFonts w:ascii="Arial Nova" w:hAnsi="Arial Nova" w:cs="Times New Roman"/>
          <w:kern w:val="0"/>
          <w14:ligatures w14:val="none"/>
        </w:rPr>
      </w:pPr>
    </w:p>
    <w:p w14:paraId="545B627E" w14:textId="77777777" w:rsidR="00B01620" w:rsidRPr="00B01620" w:rsidRDefault="00B01620" w:rsidP="00B01620">
      <w:pPr>
        <w:spacing w:after="0" w:line="240" w:lineRule="auto"/>
        <w:rPr>
          <w:rFonts w:ascii="Arial Nova" w:hAnsi="Arial Nova" w:cs="Times New Roman"/>
          <w:kern w:val="0"/>
          <w14:ligatures w14:val="none"/>
        </w:rPr>
      </w:pPr>
      <w:proofErr w:type="spellStart"/>
      <w:r w:rsidRPr="00B01620">
        <w:rPr>
          <w:rFonts w:ascii="Arial Nova" w:hAnsi="Arial Nova" w:cs="Times New Roman"/>
          <w:kern w:val="0"/>
          <w14:ligatures w14:val="none"/>
        </w:rPr>
        <w:lastRenderedPageBreak/>
        <w:t>Siraj-Blatchford</w:t>
      </w:r>
      <w:proofErr w:type="spellEnd"/>
      <w:r w:rsidRPr="00B01620">
        <w:rPr>
          <w:rFonts w:ascii="Arial Nova" w:hAnsi="Arial Nova" w:cs="Times New Roman"/>
          <w:kern w:val="0"/>
          <w14:ligatures w14:val="none"/>
        </w:rPr>
        <w:t xml:space="preserve">, I., Taggart, B. and Pugh, G. (2023) </w:t>
      </w:r>
      <w:r w:rsidRPr="00B01620">
        <w:rPr>
          <w:rFonts w:ascii="Arial Nova" w:hAnsi="Arial Nova" w:cs="Times New Roman"/>
          <w:i/>
          <w:iCs/>
          <w:kern w:val="0"/>
          <w14:ligatures w14:val="none"/>
        </w:rPr>
        <w:t>Early Childhood Education and Care: Theory, Policy and Practice</w:t>
      </w:r>
      <w:r w:rsidRPr="00B01620">
        <w:rPr>
          <w:rFonts w:ascii="Arial Nova" w:hAnsi="Arial Nova" w:cs="Times New Roman"/>
          <w:kern w:val="0"/>
          <w14:ligatures w14:val="none"/>
        </w:rPr>
        <w:t>. London: SAGE.</w:t>
      </w:r>
    </w:p>
    <w:p w14:paraId="50DE6CC4" w14:textId="77777777" w:rsidR="00B01620" w:rsidRPr="00B01620" w:rsidRDefault="00B01620" w:rsidP="00B01620">
      <w:pPr>
        <w:spacing w:after="0" w:line="240" w:lineRule="auto"/>
        <w:rPr>
          <w:rFonts w:ascii="Arial Nova" w:hAnsi="Arial Nova" w:cs="Times New Roman"/>
          <w:kern w:val="0"/>
          <w14:ligatures w14:val="none"/>
        </w:rPr>
      </w:pPr>
    </w:p>
    <w:p w14:paraId="7FFF71BE" w14:textId="77777777" w:rsidR="00B01620" w:rsidRPr="00B01620" w:rsidRDefault="00B01620" w:rsidP="00B01620">
      <w:pPr>
        <w:spacing w:after="0" w:line="240" w:lineRule="auto"/>
        <w:rPr>
          <w:rFonts w:ascii="Arial Nova" w:hAnsi="Arial Nova" w:cs="Times New Roman"/>
          <w:kern w:val="0"/>
          <w14:ligatures w14:val="none"/>
        </w:rPr>
      </w:pPr>
      <w:proofErr w:type="spellStart"/>
      <w:r w:rsidRPr="00B01620">
        <w:rPr>
          <w:rFonts w:ascii="Arial Nova" w:hAnsi="Arial Nova" w:cs="Times New Roman"/>
          <w:kern w:val="0"/>
          <w14:ligatures w14:val="none"/>
        </w:rPr>
        <w:t>Vygotsky</w:t>
      </w:r>
      <w:proofErr w:type="spellEnd"/>
      <w:r w:rsidRPr="00B01620">
        <w:rPr>
          <w:rFonts w:ascii="Arial Nova" w:hAnsi="Arial Nova" w:cs="Times New Roman"/>
          <w:kern w:val="0"/>
          <w14:ligatures w14:val="none"/>
        </w:rPr>
        <w:t xml:space="preserve">, L. (1978) </w:t>
      </w:r>
      <w:r w:rsidRPr="00B01620">
        <w:rPr>
          <w:rFonts w:ascii="Arial Nova" w:hAnsi="Arial Nova" w:cs="Times New Roman"/>
          <w:i/>
          <w:iCs/>
          <w:kern w:val="0"/>
          <w14:ligatures w14:val="none"/>
        </w:rPr>
        <w:t>Mind in society: The development of higher psychological processes</w:t>
      </w:r>
      <w:r w:rsidRPr="00B01620">
        <w:rPr>
          <w:rFonts w:ascii="Arial Nova" w:hAnsi="Arial Nova" w:cs="Times New Roman"/>
          <w:kern w:val="0"/>
          <w14:ligatures w14:val="none"/>
        </w:rPr>
        <w:t>. Cambridge, MA: Harvard University Press.</w:t>
      </w:r>
    </w:p>
    <w:p w14:paraId="05BB7E5D" w14:textId="77777777" w:rsidR="00B01620" w:rsidRPr="00B01620" w:rsidRDefault="00B01620" w:rsidP="00B01620">
      <w:pPr>
        <w:spacing w:after="236" w:line="255" w:lineRule="auto"/>
        <w:ind w:left="-5" w:hanging="10"/>
        <w:rPr>
          <w:rFonts w:ascii="Arial Nova" w:eastAsia="Arial" w:hAnsi="Arial Nova" w:cs="Arial"/>
          <w:color w:val="000000"/>
        </w:rPr>
      </w:pPr>
    </w:p>
    <w:p w14:paraId="04EB5E53" w14:textId="77777777" w:rsidR="00B01620" w:rsidRPr="00B01620" w:rsidRDefault="00B01620" w:rsidP="00B01620">
      <w:pPr>
        <w:spacing w:after="236" w:line="255" w:lineRule="auto"/>
        <w:ind w:left="-5" w:hanging="10"/>
        <w:rPr>
          <w:rFonts w:ascii="Arial Nova" w:eastAsia="Arial" w:hAnsi="Arial Nova" w:cs="Arial"/>
          <w:color w:val="000000"/>
        </w:rPr>
      </w:pPr>
    </w:p>
    <w:p w14:paraId="548E53E4" w14:textId="77777777" w:rsidR="00B01620" w:rsidRPr="00B01620" w:rsidRDefault="00B01620" w:rsidP="00B01620">
      <w:pPr>
        <w:spacing w:after="0" w:line="255" w:lineRule="auto"/>
        <w:ind w:left="-5" w:right="15" w:hanging="10"/>
        <w:rPr>
          <w:rFonts w:ascii="Arial Nova" w:eastAsia="Arial" w:hAnsi="Arial Nova" w:cs="Arial"/>
          <w:color w:val="000000"/>
        </w:rPr>
      </w:pPr>
    </w:p>
    <w:p w14:paraId="73354571" w14:textId="77777777" w:rsidR="00B01620" w:rsidRPr="00B01620" w:rsidRDefault="00B01620" w:rsidP="00B01620">
      <w:pPr>
        <w:spacing w:after="0" w:line="255" w:lineRule="auto"/>
        <w:ind w:left="-5" w:right="15" w:hanging="10"/>
        <w:rPr>
          <w:rFonts w:ascii="Arial Nova" w:eastAsia="Arial" w:hAnsi="Arial Nova" w:cs="Arial"/>
          <w:color w:val="000000"/>
        </w:rPr>
      </w:pPr>
    </w:p>
    <w:p w14:paraId="73BD8F2B" w14:textId="77777777" w:rsidR="00B01620" w:rsidRDefault="00B01620"/>
    <w:sectPr w:rsidR="00B01620" w:rsidSect="00B01620">
      <w:pgSz w:w="11906" w:h="16838"/>
      <w:pgMar w:top="1616" w:right="1560" w:bottom="1596" w:left="15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53026" w14:textId="77777777" w:rsidR="00DC40A2" w:rsidRDefault="00DC40A2" w:rsidP="00DC40A2">
      <w:pPr>
        <w:spacing w:after="0" w:line="240" w:lineRule="auto"/>
      </w:pPr>
      <w:r>
        <w:separator/>
      </w:r>
    </w:p>
  </w:endnote>
  <w:endnote w:type="continuationSeparator" w:id="0">
    <w:p w14:paraId="1942CDBA" w14:textId="77777777" w:rsidR="00DC40A2" w:rsidRDefault="00DC40A2" w:rsidP="00DC4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Nova">
    <w:panose1 w:val="020B0504020202020204"/>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2C669" w14:textId="77777777" w:rsidR="00DC40A2" w:rsidRDefault="00DC40A2" w:rsidP="00DC40A2">
      <w:pPr>
        <w:spacing w:after="0" w:line="240" w:lineRule="auto"/>
      </w:pPr>
      <w:r>
        <w:separator/>
      </w:r>
    </w:p>
  </w:footnote>
  <w:footnote w:type="continuationSeparator" w:id="0">
    <w:p w14:paraId="43DE0224" w14:textId="77777777" w:rsidR="00DC40A2" w:rsidRDefault="00DC40A2" w:rsidP="00DC40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620"/>
    <w:rsid w:val="00565F9D"/>
    <w:rsid w:val="00835A8B"/>
    <w:rsid w:val="009A70FC"/>
    <w:rsid w:val="00B01620"/>
    <w:rsid w:val="00DC4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BE2CA7"/>
  <w15:chartTrackingRefBased/>
  <w15:docId w15:val="{35AE4F56-49C5-DE46-B85A-C6DDF9533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16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16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16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16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16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16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16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16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16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16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16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16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16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16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16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16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16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1620"/>
    <w:rPr>
      <w:rFonts w:eastAsiaTheme="majorEastAsia" w:cstheme="majorBidi"/>
      <w:color w:val="272727" w:themeColor="text1" w:themeTint="D8"/>
    </w:rPr>
  </w:style>
  <w:style w:type="paragraph" w:styleId="Title">
    <w:name w:val="Title"/>
    <w:basedOn w:val="Normal"/>
    <w:next w:val="Normal"/>
    <w:link w:val="TitleChar"/>
    <w:uiPriority w:val="10"/>
    <w:qFormat/>
    <w:rsid w:val="00B016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16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16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16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1620"/>
    <w:pPr>
      <w:spacing w:before="160"/>
      <w:jc w:val="center"/>
    </w:pPr>
    <w:rPr>
      <w:i/>
      <w:iCs/>
      <w:color w:val="404040" w:themeColor="text1" w:themeTint="BF"/>
    </w:rPr>
  </w:style>
  <w:style w:type="character" w:customStyle="1" w:styleId="QuoteChar">
    <w:name w:val="Quote Char"/>
    <w:basedOn w:val="DefaultParagraphFont"/>
    <w:link w:val="Quote"/>
    <w:uiPriority w:val="29"/>
    <w:rsid w:val="00B01620"/>
    <w:rPr>
      <w:i/>
      <w:iCs/>
      <w:color w:val="404040" w:themeColor="text1" w:themeTint="BF"/>
    </w:rPr>
  </w:style>
  <w:style w:type="paragraph" w:styleId="ListParagraph">
    <w:name w:val="List Paragraph"/>
    <w:basedOn w:val="Normal"/>
    <w:uiPriority w:val="34"/>
    <w:qFormat/>
    <w:rsid w:val="00B01620"/>
    <w:pPr>
      <w:ind w:left="720"/>
      <w:contextualSpacing/>
    </w:pPr>
  </w:style>
  <w:style w:type="character" w:styleId="IntenseEmphasis">
    <w:name w:val="Intense Emphasis"/>
    <w:basedOn w:val="DefaultParagraphFont"/>
    <w:uiPriority w:val="21"/>
    <w:qFormat/>
    <w:rsid w:val="00B01620"/>
    <w:rPr>
      <w:i/>
      <w:iCs/>
      <w:color w:val="0F4761" w:themeColor="accent1" w:themeShade="BF"/>
    </w:rPr>
  </w:style>
  <w:style w:type="paragraph" w:styleId="IntenseQuote">
    <w:name w:val="Intense Quote"/>
    <w:basedOn w:val="Normal"/>
    <w:next w:val="Normal"/>
    <w:link w:val="IntenseQuoteChar"/>
    <w:uiPriority w:val="30"/>
    <w:qFormat/>
    <w:rsid w:val="00B016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1620"/>
    <w:rPr>
      <w:i/>
      <w:iCs/>
      <w:color w:val="0F4761" w:themeColor="accent1" w:themeShade="BF"/>
    </w:rPr>
  </w:style>
  <w:style w:type="character" w:styleId="IntenseReference">
    <w:name w:val="Intense Reference"/>
    <w:basedOn w:val="DefaultParagraphFont"/>
    <w:uiPriority w:val="32"/>
    <w:qFormat/>
    <w:rsid w:val="00B01620"/>
    <w:rPr>
      <w:b/>
      <w:bCs/>
      <w:smallCaps/>
      <w:color w:val="0F4761" w:themeColor="accent1" w:themeShade="BF"/>
      <w:spacing w:val="5"/>
    </w:rPr>
  </w:style>
  <w:style w:type="paragraph" w:customStyle="1" w:styleId="p1">
    <w:name w:val="p1"/>
    <w:basedOn w:val="Normal"/>
    <w:rsid w:val="00B01620"/>
    <w:pPr>
      <w:spacing w:after="0" w:line="240" w:lineRule="auto"/>
    </w:pPr>
    <w:rPr>
      <w:rFonts w:ascii="Helvetica" w:hAnsi="Helvetica" w:cs="Times New Roman"/>
      <w:color w:val="000000"/>
      <w:kern w:val="0"/>
      <w:sz w:val="15"/>
      <w:szCs w:val="15"/>
      <w14:ligatures w14:val="none"/>
    </w:rPr>
  </w:style>
  <w:style w:type="character" w:customStyle="1" w:styleId="s1">
    <w:name w:val="s1"/>
    <w:basedOn w:val="DefaultParagraphFont"/>
    <w:rsid w:val="00B01620"/>
    <w:rPr>
      <w:rFonts w:ascii="Helvetica" w:hAnsi="Helvetica" w:hint="default"/>
      <w:b w:val="0"/>
      <w:bCs w:val="0"/>
      <w:i w:val="0"/>
      <w:iCs w:val="0"/>
      <w:sz w:val="18"/>
      <w:szCs w:val="18"/>
    </w:rPr>
  </w:style>
  <w:style w:type="paragraph" w:styleId="EndnoteText">
    <w:name w:val="endnote text"/>
    <w:basedOn w:val="Normal"/>
    <w:link w:val="EndnoteTextChar"/>
    <w:uiPriority w:val="99"/>
    <w:semiHidden/>
    <w:unhideWhenUsed/>
    <w:rsid w:val="00DC40A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C40A2"/>
    <w:rPr>
      <w:sz w:val="20"/>
      <w:szCs w:val="20"/>
    </w:rPr>
  </w:style>
  <w:style w:type="character" w:styleId="EndnoteReference">
    <w:name w:val="endnote reference"/>
    <w:basedOn w:val="DefaultParagraphFont"/>
    <w:uiPriority w:val="99"/>
    <w:semiHidden/>
    <w:unhideWhenUsed/>
    <w:rsid w:val="00DC40A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3864</Words>
  <Characters>22025</Characters>
  <Application>Microsoft Office Word</Application>
  <DocSecurity>0</DocSecurity>
  <Lines>183</Lines>
  <Paragraphs>51</Paragraphs>
  <ScaleCrop>false</ScaleCrop>
  <Company/>
  <LinksUpToDate>false</LinksUpToDate>
  <CharactersWithSpaces>25838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Fry (2505762)</dc:creator>
  <cp:keywords/>
  <dc:description/>
  <cp:lastModifiedBy>Shannon Fry (2505762)</cp:lastModifiedBy>
  <cp:revision>2</cp:revision>
  <dcterms:created xsi:type="dcterms:W3CDTF">2025-12-07T22:59:00Z</dcterms:created>
  <dcterms:modified xsi:type="dcterms:W3CDTF">2025-12-07T22:59:00Z</dcterms:modified>
</cp:coreProperties>
</file>