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7313F0" w14:textId="77777777" w:rsidR="00FA2959" w:rsidRDefault="00FA2959" w:rsidP="00FA2959">
      <w:r>
        <w:t>Critical analysis of Nick Knowles Heritage Rescue</w:t>
      </w:r>
    </w:p>
    <w:p w14:paraId="01D0B8B4" w14:textId="77777777" w:rsidR="00FA2959" w:rsidRDefault="00FA2959" w:rsidP="00FA2959">
      <w:r>
        <w:t xml:space="preserve">The work presented here is the chosen documentary Nick Knowles Heritage Rescue. The episode that is referenced in season 2, episode 4, follows the host, Nick Knowles, and experts in the field of restoration as they repair and preserve features of Blenheim Palace. The main feature of the episode is the ceiling of the Green Writing room which is under threat of collapsing (Discovery+, n.d.). </w:t>
      </w:r>
      <w:r w:rsidRPr="00F818F1">
        <w:t xml:space="preserve">This essay provides a critical analysis of the documentary and how the presenter and all other contributors handle the heritage phenomenon </w:t>
      </w:r>
      <w:r>
        <w:t>it</w:t>
      </w:r>
      <w:r w:rsidRPr="00F818F1">
        <w:t xml:space="preserve"> explores</w:t>
      </w:r>
      <w:r>
        <w:t xml:space="preserve"> within it</w:t>
      </w:r>
      <w:r w:rsidRPr="00F818F1">
        <w:t>.</w:t>
      </w:r>
    </w:p>
    <w:p w14:paraId="3F4A950D" w14:textId="77777777" w:rsidR="00FA2959" w:rsidRDefault="00FA2959" w:rsidP="00FA2959">
      <w:r w:rsidRPr="00870D9D">
        <w:t>The idea of heritage is more of a contemporary approach to maintaining and preserving historically or culturally significant artefacts, usually for exhibition in museums or storage in archives for future generations</w:t>
      </w:r>
      <w:r w:rsidRPr="008C056C">
        <w:t>. With roots in Europe's 17th and 18th centuries</w:t>
      </w:r>
      <w:r>
        <w:t xml:space="preserve"> in Paris, Rome and Venice (Winter, 2014)</w:t>
      </w:r>
      <w:r w:rsidRPr="008C056C">
        <w:t xml:space="preserve">, heritage as we know it only emerged in the </w:t>
      </w:r>
      <w:r>
        <w:t>19th</w:t>
      </w:r>
      <w:r w:rsidRPr="008C056C">
        <w:t xml:space="preserve"> and 20th </w:t>
      </w:r>
      <w:r>
        <w:t xml:space="preserve">centuries </w:t>
      </w:r>
      <w:r w:rsidRPr="008C056C">
        <w:t>(Harrison, 2020).</w:t>
      </w:r>
      <w:r>
        <w:t xml:space="preserve"> </w:t>
      </w:r>
      <w:r w:rsidRPr="005067B2">
        <w:t xml:space="preserve">Given that the study of heritage is continually evolving, it </w:t>
      </w:r>
      <w:r>
        <w:t>can</w:t>
      </w:r>
      <w:r w:rsidRPr="005067B2">
        <w:t xml:space="preserve"> be challenging to coherently assign </w:t>
      </w:r>
      <w:r>
        <w:t>one</w:t>
      </w:r>
      <w:r w:rsidRPr="005067B2">
        <w:t xml:space="preserve"> specific definition to the notion of what heritage entails</w:t>
      </w:r>
      <w:r>
        <w:t>. T</w:t>
      </w:r>
      <w:r w:rsidRPr="005067B2">
        <w:t>he definition of heritage utilised in this analysis will be</w:t>
      </w:r>
      <w:r>
        <w:t xml:space="preserve"> as follows: </w:t>
      </w:r>
      <w:r w:rsidRPr="00165106">
        <w:t>Heritage is intended to maintain and preserve essential aspects of the past and lived experiences of many groups of people around the world</w:t>
      </w:r>
      <w:r>
        <w:t xml:space="preserve"> and stands as a record of historical developments and cultural identities through the ages.</w:t>
      </w:r>
    </w:p>
    <w:p w14:paraId="2B44EE64" w14:textId="77777777" w:rsidR="00FA2959" w:rsidRDefault="00FA2959" w:rsidP="00FA2959">
      <w:r>
        <w:t>Although not covered in this essay, heritage is as</w:t>
      </w:r>
      <w:r w:rsidRPr="00707C54">
        <w:t xml:space="preserve"> much environmental as it is </w:t>
      </w:r>
      <w:r>
        <w:t>social,</w:t>
      </w:r>
      <w:r w:rsidRPr="00707C54">
        <w:t xml:space="preserve"> </w:t>
      </w:r>
      <w:r>
        <w:t xml:space="preserve">observed by </w:t>
      </w:r>
      <w:r w:rsidRPr="003336AC">
        <w:t xml:space="preserve">heritage initiatives like the National Park movement from the 19th century </w:t>
      </w:r>
      <w:r>
        <w:t>that was</w:t>
      </w:r>
      <w:r w:rsidRPr="003336AC">
        <w:t xml:space="preserve"> created to preserve the terrain's mostly unaltered state so that everyone might enjoy the natural landscape as it is (DEFRA, 2010).</w:t>
      </w:r>
    </w:p>
    <w:p w14:paraId="0E7A3491" w14:textId="77777777" w:rsidR="00FA2959" w:rsidRDefault="00FA2959" w:rsidP="00FA2959">
      <w:r w:rsidRPr="004D4DB9">
        <w:t>The summary of the heritage phenomenon presented in this documentary explains the relevance of artefacts based on their ties with people and how it gives them importance rather than having an inherent or preconceived significance</w:t>
      </w:r>
      <w:r>
        <w:t>.</w:t>
      </w:r>
    </w:p>
    <w:p w14:paraId="013F6809" w14:textId="77777777" w:rsidR="00FA2959" w:rsidRDefault="00FA2959" w:rsidP="00FA2959">
      <w:r>
        <w:t xml:space="preserve">The documentary series explores Britain’s most exceptional buildings and focuses on the cultural heritage value that these places have. Knowles, the presenter, goes into detail on how and why this Palace has the significance it does. Many of the reasons presented in the documentary revolve around </w:t>
      </w:r>
      <w:r w:rsidRPr="006804F3">
        <w:t xml:space="preserve">the prominent figures connected to the </w:t>
      </w:r>
      <w:r>
        <w:t>Palace</w:t>
      </w:r>
      <w:r w:rsidRPr="006804F3">
        <w:t xml:space="preserve">, such as Winston Churchill, for whom there is an exhibition inside the palace and an emphasis on the </w:t>
      </w:r>
      <w:r>
        <w:t xml:space="preserve">Blenheim Palace website; </w:t>
      </w:r>
      <w:r w:rsidRPr="00CD0D7A">
        <w:t>John Vanbrugh and Nicholas Hawksmoor</w:t>
      </w:r>
      <w:r>
        <w:t xml:space="preserve">, the two architects who designed the building for John Churchill </w:t>
      </w:r>
      <w:r w:rsidRPr="000247D2">
        <w:t>the first Duke of Marlborough</w:t>
      </w:r>
      <w:r>
        <w:t xml:space="preserve"> who was then, as still is, considered a military hero of the time (Roeder, 2018). </w:t>
      </w:r>
      <w:r w:rsidRPr="00733149">
        <w:t>Another significant factor contributing to its perception of importance is the 1987 designation of the Palace and Park as a UNESCO World Historic Site (UNESCO, n.d.).</w:t>
      </w:r>
    </w:p>
    <w:p w14:paraId="7886CE13" w14:textId="77777777" w:rsidR="00FA2959" w:rsidRDefault="00FA2959" w:rsidP="00FA2959">
      <w:r w:rsidRPr="00646734">
        <w:t xml:space="preserve">The documentary's purpose is to demonstrate the value of preserving buildings and artefacts for future generations so that heritage is not lost to the passage of time. It also aims to show how the Palace is being repaired to </w:t>
      </w:r>
      <w:r>
        <w:t xml:space="preserve">educate and </w:t>
      </w:r>
      <w:r w:rsidRPr="00646734">
        <w:t>ensure its preservation for many more years.</w:t>
      </w:r>
    </w:p>
    <w:p w14:paraId="669CA091" w14:textId="77777777" w:rsidR="00FA2959" w:rsidRDefault="00FA2959" w:rsidP="00FA2959">
      <w:r>
        <w:t>As well as the personal connections to the building th</w:t>
      </w:r>
      <w:r w:rsidRPr="00E2004B">
        <w:t xml:space="preserve">roughout the documentary, the importance of the building </w:t>
      </w:r>
      <w:r>
        <w:t>are</w:t>
      </w:r>
      <w:r w:rsidRPr="00E2004B">
        <w:t xml:space="preserve"> </w:t>
      </w:r>
      <w:r>
        <w:t xml:space="preserve">also </w:t>
      </w:r>
      <w:r w:rsidRPr="00E2004B">
        <w:t xml:space="preserve">closely related to the monetary value of the location and the artefacts embedded in its history. </w:t>
      </w:r>
      <w:r>
        <w:t>Knowles</w:t>
      </w:r>
      <w:r w:rsidRPr="00E2004B">
        <w:t xml:space="preserve"> tells us at the start of the episode that the building cost £300,000 to construct, which is roughly equivalent to £17 million in today's money (Foss, 2022).</w:t>
      </w:r>
      <w:r>
        <w:t xml:space="preserve"> </w:t>
      </w:r>
    </w:p>
    <w:p w14:paraId="21C8D530" w14:textId="77777777" w:rsidR="00FA2959" w:rsidRDefault="00FA2959" w:rsidP="00FA2959">
      <w:r w:rsidRPr="007D6930">
        <w:t xml:space="preserve">The documentary primarily focuses on three different artefacts. The Green Reading room's ceiling </w:t>
      </w:r>
      <w:r>
        <w:t>is the main focus</w:t>
      </w:r>
      <w:r w:rsidRPr="007D6930">
        <w:t>, along with a tapestry inside that space that requires conservation work and Lady Rosemary</w:t>
      </w:r>
      <w:r>
        <w:t xml:space="preserve"> </w:t>
      </w:r>
      <w:r w:rsidRPr="009E6D65">
        <w:t>Mildred Spencer-Churchill</w:t>
      </w:r>
      <w:r>
        <w:t>’s</w:t>
      </w:r>
      <w:r w:rsidRPr="007D6930">
        <w:t xml:space="preserve"> </w:t>
      </w:r>
      <w:r>
        <w:t>dress</w:t>
      </w:r>
      <w:r w:rsidRPr="007D6930">
        <w:t>, which she wore to assist in holding Queen Elizabeth II's coronation procession in 1953</w:t>
      </w:r>
      <w:r>
        <w:t xml:space="preserve"> (Foss, 2022). </w:t>
      </w:r>
    </w:p>
    <w:p w14:paraId="30A7453D" w14:textId="77777777" w:rsidR="00FA2959" w:rsidRDefault="00FA2959" w:rsidP="00FA2959">
      <w:r w:rsidRPr="00114B6C">
        <w:lastRenderedPageBreak/>
        <w:t>Through all of the many scenarios, they maintain the same viewpoint regarding the application of heritag</w:t>
      </w:r>
      <w:r>
        <w:t>e and conservation. Despite the three artefacts being different from each other, the standard of preservation and care for each item does not change. We watch as the artisans and conservationists clean, repair and preserve the ceiling, the tapestry and the dress delicately in order to cause no more damage to the items. We also get to see how much of an immense project the work will be and how the need for restoring one part of the building can lead to a domino effect of conservation. It is noteworthy to mention that items shown in the documentary are in-situ. All of them are in context and a part of the history of the building, made for the Palace or are important items of the Spencer-Churchill family to showcase the history of the Palace and the family.</w:t>
      </w:r>
    </w:p>
    <w:p w14:paraId="1C1814D9" w14:textId="77777777" w:rsidR="00FA2959" w:rsidRDefault="00FA2959" w:rsidP="00FA2959">
      <w:r w:rsidRPr="00E31461">
        <w:t>The documentary's primary focus, as previously said, is on the Green Room ceiling, which is in danger of collapsing, and how they plan to restore it. There are several problems with the ceiling's preservation since</w:t>
      </w:r>
      <w:r>
        <w:t>,</w:t>
      </w:r>
      <w:r w:rsidRPr="00E31461">
        <w:t xml:space="preserve"> in order to fix it, the floor of the Sunderland </w:t>
      </w:r>
      <w:r>
        <w:t>room</w:t>
      </w:r>
      <w:r w:rsidRPr="00E31461">
        <w:t xml:space="preserve"> directly above would need to be removed.</w:t>
      </w:r>
      <w:r>
        <w:t xml:space="preserve"> </w:t>
      </w:r>
      <w:r w:rsidRPr="0010062D">
        <w:t>The Sunderland room's floor is made of parquet from the 1920s, which is a vintage element of the structure. After the ceiling conservation work is finished, the flooring will be replaced, but removing it now might harm an otherwise fairly undamaged historical feature.</w:t>
      </w:r>
      <w:r>
        <w:t xml:space="preserve"> </w:t>
      </w:r>
      <w:r w:rsidRPr="00E35D2A">
        <w:t xml:space="preserve">It is simple to suppose that in order to mend the ceiling, the artisans would have to raise it off the supports and secure it in its original state, but this is not the case. They first raised the floor tiles to reveal the ceiling beams for the Green Room, and after that, they fastened it in a way that the ceiling would remain hanging as is. It was preferable to leave it as is and attempt to limit any additional damage since if they tried to reconnect </w:t>
      </w:r>
      <w:r>
        <w:t xml:space="preserve">the whole ceiling, </w:t>
      </w:r>
      <w:r w:rsidRPr="00E35D2A">
        <w:t xml:space="preserve">it </w:t>
      </w:r>
      <w:r>
        <w:t>might</w:t>
      </w:r>
      <w:r w:rsidRPr="00E35D2A">
        <w:t xml:space="preserve"> lead to more issues.</w:t>
      </w:r>
      <w:r>
        <w:t xml:space="preserve"> Once this process was complete, the holes drilled into the ceiling that was needed for the supports were filled in and painted over.</w:t>
      </w:r>
    </w:p>
    <w:p w14:paraId="62E47A95" w14:textId="77777777" w:rsidR="00FA2959" w:rsidRDefault="00FA2959" w:rsidP="00FA2959">
      <w:r>
        <w:t xml:space="preserve">They used the opportunity of the ceiling repair, as well as the filming of the show, to also maintain one of the four cardinal virtue tapestries hung on the Green Room walls, three of which have been cleaned on previous occasions. </w:t>
      </w:r>
      <w:r w:rsidRPr="00963C65">
        <w:t>The justice tapestry, which has been hanging in the chamber for more than 100 years</w:t>
      </w:r>
      <w:r>
        <w:t>,</w:t>
      </w:r>
      <w:r w:rsidRPr="00963C65">
        <w:t xml:space="preserve"> requires a crew of six people to remove </w:t>
      </w:r>
      <w:r>
        <w:t xml:space="preserve">it </w:t>
      </w:r>
      <w:r w:rsidRPr="00963C65">
        <w:t>from the walls since it has</w:t>
      </w:r>
      <w:r>
        <w:t xml:space="preserve"> been</w:t>
      </w:r>
      <w:r w:rsidRPr="00963C65">
        <w:t xml:space="preserve"> </w:t>
      </w:r>
      <w:r>
        <w:t>pinned to the wall.</w:t>
      </w:r>
      <w:r w:rsidRPr="00963C65">
        <w:t xml:space="preserve"> Then, it is cleaned by a smaller team of two individuals who soak it with iodized water and detergent solution and use sponges to push out the dirt rather than rubbing it, which might harm the fabric.</w:t>
      </w:r>
    </w:p>
    <w:p w14:paraId="723F9758" w14:textId="77777777" w:rsidR="00FA2959" w:rsidRDefault="00FA2959" w:rsidP="00FA2959">
      <w:r>
        <w:t xml:space="preserve">The dress worn by Lady Rosemary was the most damaged item by far in the episode as, for many years was on display in direct sunlight, which caused the silk of the dress to shatter. This shattering in silk is caused by the UV rays in sunlight, speeding up chemical reactions between the salt inside of the silk and causing it to split (Liz, 2012). </w:t>
      </w:r>
      <w:r w:rsidRPr="00123853">
        <w:t>This is a good illustration of the significance of preserving historical artefacts in the appropriate conditions to aid in slowing down their eventual and unavoidable deterioration.</w:t>
      </w:r>
    </w:p>
    <w:p w14:paraId="0C9DF66B" w14:textId="77777777" w:rsidR="00FA2959" w:rsidRDefault="00FA2959" w:rsidP="00FA2959">
      <w:r w:rsidRPr="00746870">
        <w:t>With each illustration provided in this episode, it has been demonstrated how each individual object is handled completely separately under various circumstances because various objects with various compositions will require different levels of care depending on their materials.</w:t>
      </w:r>
      <w:r>
        <w:t xml:space="preserve"> The documentary was a relatively good representation of what heritage means to many people, preserving material culture from the past for the future.</w:t>
      </w:r>
    </w:p>
    <w:p w14:paraId="23032CA2" w14:textId="77777777" w:rsidR="00FA2959" w:rsidRDefault="00FA2959" w:rsidP="00FA2959">
      <w:r>
        <w:t>Although this was a critical analysis of the episode, it is important to look at the</w:t>
      </w:r>
      <w:r w:rsidRPr="00FD4666">
        <w:t xml:space="preserve"> documentary </w:t>
      </w:r>
      <w:r>
        <w:t>series</w:t>
      </w:r>
      <w:r w:rsidRPr="00FD4666">
        <w:t xml:space="preserve"> </w:t>
      </w:r>
      <w:r>
        <w:t xml:space="preserve">as a whole, and it is notable that the series has an </w:t>
      </w:r>
      <w:r w:rsidRPr="00FD4666">
        <w:t xml:space="preserve">understanding </w:t>
      </w:r>
      <w:r>
        <w:t>that</w:t>
      </w:r>
      <w:r w:rsidRPr="00FD4666">
        <w:t xml:space="preserve"> </w:t>
      </w:r>
      <w:r>
        <w:t>heritage</w:t>
      </w:r>
      <w:r w:rsidRPr="00FD4666">
        <w:t xml:space="preserve"> is largely Eurocentric and focuses mostly on society's upper classes.</w:t>
      </w:r>
      <w:r>
        <w:t xml:space="preserve"> </w:t>
      </w:r>
      <w:r w:rsidRPr="00714862">
        <w:t>It has been proven time and time again that historical preservation benefits those who can afford it, which frequently results in the loss of the cultural representation of the lower classes</w:t>
      </w:r>
      <w:r>
        <w:t xml:space="preserve"> (Dicks, 2015)</w:t>
      </w:r>
      <w:r w:rsidRPr="00714862">
        <w:t>.</w:t>
      </w:r>
      <w:r>
        <w:t xml:space="preserve"> Class politics is an important part of national </w:t>
      </w:r>
      <w:r>
        <w:lastRenderedPageBreak/>
        <w:t xml:space="preserve">heritage because there is often a disconnect. The upper class does not represent the lower classes in any shape or form. Shows and documentaries like the one presented here are no expectation of that. </w:t>
      </w:r>
      <w:r w:rsidRPr="00282BC3">
        <w:t>The property's owners, the Spencer-Churchill family, were granted a tax exemption in 1999 as a result of the park's grade 1 classification and UNESCO recognition (UNESCO, n.d.). This is unusual and continues to happen to many aristocratic families because what they own</w:t>
      </w:r>
      <w:r>
        <w:t xml:space="preserve"> and are involved with</w:t>
      </w:r>
      <w:r w:rsidRPr="00282BC3">
        <w:t xml:space="preserve"> is frequently viewed as culturally significant to the whole country while not truly being a representation of the masses</w:t>
      </w:r>
      <w:r>
        <w:t xml:space="preserve"> (Dicks, 2015). Although not intended, this</w:t>
      </w:r>
      <w:r w:rsidRPr="00CF4963">
        <w:t xml:space="preserve"> documentary</w:t>
      </w:r>
      <w:r>
        <w:t xml:space="preserve"> and many others of the same idea</w:t>
      </w:r>
      <w:r w:rsidRPr="00CF4963">
        <w:t xml:space="preserve"> reinforce the concept that things, artefacts, or in this case, stately buildings, need to be worthy of preservation, especially when there is a large amount of monetary value attached to them.</w:t>
      </w:r>
    </w:p>
    <w:p w14:paraId="4BD3FA73" w14:textId="77777777" w:rsidR="00FA2959" w:rsidRDefault="00FA2959" w:rsidP="00FA2959"/>
    <w:p w14:paraId="1E3BDF14" w14:textId="77777777" w:rsidR="00FA2959" w:rsidRDefault="00FA2959" w:rsidP="00FA2959">
      <w:r>
        <w:t xml:space="preserve">Bibliography </w:t>
      </w:r>
    </w:p>
    <w:p w14:paraId="79E9B8CF" w14:textId="77777777" w:rsidR="00FA2959" w:rsidRDefault="00FA2959" w:rsidP="00FA2959">
      <w:r>
        <w:t xml:space="preserve">DEFRA, (2010). English National Parks and the Broads. Available at: </w:t>
      </w:r>
      <w:hyperlink r:id="rId4" w:history="1">
        <w:r w:rsidRPr="00FA654B">
          <w:rPr>
            <w:rStyle w:val="Hyperlink"/>
          </w:rPr>
          <w:t>https://assets.publishing.service.gov.uk/government/uploads/system/uploads/attachment_data/file/221086/pb13387-vision-circular2010.pdf</w:t>
        </w:r>
      </w:hyperlink>
      <w:r>
        <w:t xml:space="preserve">  (Accessed 26</w:t>
      </w:r>
      <w:r w:rsidRPr="00161558">
        <w:rPr>
          <w:vertAlign w:val="superscript"/>
        </w:rPr>
        <w:t>th</w:t>
      </w:r>
      <w:r>
        <w:t xml:space="preserve"> October)</w:t>
      </w:r>
    </w:p>
    <w:p w14:paraId="1663E665" w14:textId="77777777" w:rsidR="00FA2959" w:rsidRDefault="00FA2959" w:rsidP="00FA2959">
      <w:r>
        <w:t xml:space="preserve">Dicks, B. (2015). </w:t>
      </w:r>
      <w:r w:rsidRPr="00945DD0">
        <w:t>Heritage and Social Class</w:t>
      </w:r>
      <w:r>
        <w:t xml:space="preserve">. Available at: </w:t>
      </w:r>
      <w:hyperlink r:id="rId5" w:history="1">
        <w:r w:rsidRPr="00FA654B">
          <w:rPr>
            <w:rStyle w:val="Hyperlink"/>
          </w:rPr>
          <w:t>https://www.researchgate.net/publication/299024406_Heritage_and_Social_Class</w:t>
        </w:r>
      </w:hyperlink>
      <w:r>
        <w:t xml:space="preserve"> (Accessed 26</w:t>
      </w:r>
      <w:r w:rsidRPr="00161558">
        <w:rPr>
          <w:vertAlign w:val="superscript"/>
        </w:rPr>
        <w:t>th</w:t>
      </w:r>
      <w:r>
        <w:t xml:space="preserve"> October)</w:t>
      </w:r>
    </w:p>
    <w:p w14:paraId="118A7AA6" w14:textId="77777777" w:rsidR="00FA2959" w:rsidRDefault="00FA2959" w:rsidP="00FA2959">
      <w:r>
        <w:t xml:space="preserve">Discovery+, (n.d.) Nick Knowles Heritage Rescue. Available at: </w:t>
      </w:r>
      <w:r w:rsidRPr="00706552">
        <w:t>discoveryplus.com/gb/show/nick-knowles-heritage-rescue</w:t>
      </w:r>
      <w:r>
        <w:t xml:space="preserve"> </w:t>
      </w:r>
      <w:bookmarkStart w:id="0" w:name="_Hlk118411753"/>
      <w:r>
        <w:t>(Accessed 26</w:t>
      </w:r>
      <w:r w:rsidRPr="00161558">
        <w:rPr>
          <w:vertAlign w:val="superscript"/>
        </w:rPr>
        <w:t>th</w:t>
      </w:r>
      <w:r>
        <w:t xml:space="preserve"> October)</w:t>
      </w:r>
      <w:bookmarkEnd w:id="0"/>
    </w:p>
    <w:p w14:paraId="088FF080" w14:textId="77777777" w:rsidR="00FA2959" w:rsidRPr="002B34D1" w:rsidRDefault="00FA2959" w:rsidP="00FA2959">
      <w:r w:rsidRPr="002B34D1">
        <w:t xml:space="preserve">Foss, C, J. (2022) Nick Knowles Heritage Rescue S02E04 Blenheim Palace. Available at: </w:t>
      </w:r>
      <w:hyperlink r:id="rId6" w:history="1">
        <w:r w:rsidRPr="00FA654B">
          <w:rPr>
            <w:rStyle w:val="Hyperlink"/>
          </w:rPr>
          <w:t>https://www.youtube.com/watch?v=UDdNMqnVd_g&amp;t=1749s&amp;ab_channel=CummingJfoss</w:t>
        </w:r>
      </w:hyperlink>
      <w:r>
        <w:t xml:space="preserve"> (Accessed 26</w:t>
      </w:r>
      <w:r w:rsidRPr="00161558">
        <w:rPr>
          <w:vertAlign w:val="superscript"/>
        </w:rPr>
        <w:t>th</w:t>
      </w:r>
      <w:r>
        <w:t xml:space="preserve"> October)</w:t>
      </w:r>
    </w:p>
    <w:p w14:paraId="150A08D6" w14:textId="77777777" w:rsidR="00FA2959" w:rsidRDefault="00FA2959" w:rsidP="00FA2959">
      <w:r w:rsidRPr="00A2052B">
        <w:t>Harrison,</w:t>
      </w:r>
      <w:r>
        <w:t xml:space="preserve"> R,</w:t>
      </w:r>
      <w:r w:rsidRPr="00A2052B">
        <w:t xml:space="preserve"> et al. </w:t>
      </w:r>
      <w:r>
        <w:t xml:space="preserve">(2020). </w:t>
      </w:r>
      <w:r w:rsidRPr="00A2052B">
        <w:t>Heritage Futures: Comparative Approaches to Natural and Cultural Heritage Practices. UCL Press</w:t>
      </w:r>
      <w:r>
        <w:t>,</w:t>
      </w:r>
      <w:r w:rsidRPr="00A2052B">
        <w:t xml:space="preserve"> JSTOR, </w:t>
      </w:r>
      <w:r>
        <w:t xml:space="preserve">Available at: </w:t>
      </w:r>
      <w:hyperlink r:id="rId7" w:history="1">
        <w:r w:rsidRPr="00FA654B">
          <w:rPr>
            <w:rStyle w:val="Hyperlink"/>
          </w:rPr>
          <w:t>https://doi.org/10.2307/j.ctv13xps9m. Accessed 3 Nov. 2022</w:t>
        </w:r>
      </w:hyperlink>
      <w:r w:rsidRPr="00A2052B">
        <w:t>.</w:t>
      </w:r>
      <w:r>
        <w:t xml:space="preserve"> (Accessed 26</w:t>
      </w:r>
      <w:r w:rsidRPr="00161558">
        <w:rPr>
          <w:vertAlign w:val="superscript"/>
        </w:rPr>
        <w:t>th</w:t>
      </w:r>
      <w:r>
        <w:t xml:space="preserve"> October)</w:t>
      </w:r>
    </w:p>
    <w:p w14:paraId="3D01C545" w14:textId="77777777" w:rsidR="00FA2959" w:rsidRDefault="00FA2959" w:rsidP="00FA2959">
      <w:r>
        <w:t xml:space="preserve">Joeslit, D. (2020). Heritage and debt. Available at: </w:t>
      </w:r>
      <w:hyperlink r:id="rId8" w:history="1">
        <w:r w:rsidRPr="00FA654B">
          <w:rPr>
            <w:rStyle w:val="Hyperlink"/>
          </w:rPr>
          <w:t>https://direct.mit.edu/octo/article/doi/10.1162/octo_a_00381/59424/Heritage-and-Debt</w:t>
        </w:r>
      </w:hyperlink>
      <w:r>
        <w:t xml:space="preserve"> (Accessed 26</w:t>
      </w:r>
      <w:r w:rsidRPr="00161558">
        <w:rPr>
          <w:vertAlign w:val="superscript"/>
        </w:rPr>
        <w:t>th</w:t>
      </w:r>
      <w:r>
        <w:t xml:space="preserve"> October)</w:t>
      </w:r>
    </w:p>
    <w:p w14:paraId="07F9C581" w14:textId="77777777" w:rsidR="00FA2959" w:rsidRDefault="00FA2959" w:rsidP="00FA2959">
      <w:r>
        <w:t xml:space="preserve">Liz, (2012). </w:t>
      </w:r>
      <w:r w:rsidRPr="00BE21BC">
        <w:t>Shattered Dreams: What Makes Antique Silk So Fragile?</w:t>
      </w:r>
      <w:r>
        <w:t xml:space="preserve">. Available at: </w:t>
      </w:r>
      <w:hyperlink r:id="rId9" w:history="1">
        <w:r w:rsidRPr="00FA654B">
          <w:rPr>
            <w:rStyle w:val="Hyperlink"/>
          </w:rPr>
          <w:t>https://thepragmaticcostumer.wordpress.com/2012/11/08/shattered-dreams-what-makes-antique-silk-so-fragile/</w:t>
        </w:r>
      </w:hyperlink>
      <w:r>
        <w:t xml:space="preserve"> (Accessed 26</w:t>
      </w:r>
      <w:r w:rsidRPr="00161558">
        <w:rPr>
          <w:vertAlign w:val="superscript"/>
        </w:rPr>
        <w:t>th</w:t>
      </w:r>
      <w:r>
        <w:t xml:space="preserve"> October)</w:t>
      </w:r>
    </w:p>
    <w:p w14:paraId="141AACC0" w14:textId="77777777" w:rsidR="00FA2959" w:rsidRDefault="00FA2959" w:rsidP="00FA2959">
      <w:r>
        <w:t xml:space="preserve">Roeder, T. (2018) “SCIPIO OR CRASSUS? THE CONTESTED HEROIC IMAGE OF JOHN CHURCHILL, 1ST DUKE OF MARLBOROUGH (1650-1722)” Journal of the Society for Army Historical Research 96 (2018), 1-20. Available at: </w:t>
      </w:r>
      <w:hyperlink r:id="rId10" w:history="1">
        <w:r w:rsidRPr="00FA654B">
          <w:rPr>
            <w:rStyle w:val="Hyperlink"/>
          </w:rPr>
          <w:t>https://core.ac.uk/download/pdf/96707171.pdf</w:t>
        </w:r>
      </w:hyperlink>
      <w:r>
        <w:t xml:space="preserve"> (Accessed 26</w:t>
      </w:r>
      <w:r w:rsidRPr="00161558">
        <w:rPr>
          <w:vertAlign w:val="superscript"/>
        </w:rPr>
        <w:t>th</w:t>
      </w:r>
      <w:r>
        <w:t xml:space="preserve"> October)</w:t>
      </w:r>
    </w:p>
    <w:p w14:paraId="5E61EEC8" w14:textId="77777777" w:rsidR="00FA2959" w:rsidRDefault="00FA2959" w:rsidP="00FA2959">
      <w:r>
        <w:t xml:space="preserve">UNESCO, (n.d.) </w:t>
      </w:r>
      <w:r w:rsidRPr="005440AD">
        <w:t>Blenheim Palace</w:t>
      </w:r>
      <w:r>
        <w:t xml:space="preserve">. Available at: </w:t>
      </w:r>
      <w:hyperlink r:id="rId11" w:history="1">
        <w:r w:rsidRPr="00FA654B">
          <w:rPr>
            <w:rStyle w:val="Hyperlink"/>
          </w:rPr>
          <w:t>https://whc.unesco.org/en/list/425/</w:t>
        </w:r>
      </w:hyperlink>
      <w:r>
        <w:t xml:space="preserve"> (Accessed 26</w:t>
      </w:r>
      <w:r w:rsidRPr="00161558">
        <w:rPr>
          <w:vertAlign w:val="superscript"/>
        </w:rPr>
        <w:t>th</w:t>
      </w:r>
      <w:r>
        <w:t xml:space="preserve"> October)</w:t>
      </w:r>
    </w:p>
    <w:p w14:paraId="6E124EDD" w14:textId="77777777" w:rsidR="00FA2959" w:rsidRDefault="00FA2959" w:rsidP="00FA2959">
      <w:r w:rsidRPr="006F179A">
        <w:t>Viejo-Rose</w:t>
      </w:r>
      <w:r>
        <w:t xml:space="preserve">, D. (2015). </w:t>
      </w:r>
      <w:r w:rsidRPr="00F97F8F">
        <w:t>Cultural heritage and memory: untangling the ties that bind</w:t>
      </w:r>
      <w:r>
        <w:t xml:space="preserve">”, </w:t>
      </w:r>
      <w:r w:rsidRPr="00503ACE">
        <w:t>Culture &amp; History Digital Journal</w:t>
      </w:r>
      <w:r>
        <w:t xml:space="preserve">, 4 (2). Available at: </w:t>
      </w:r>
      <w:hyperlink r:id="rId12" w:history="1">
        <w:r w:rsidRPr="00FA654B">
          <w:rPr>
            <w:rStyle w:val="Hyperlink"/>
          </w:rPr>
          <w:t>https://cultureandhistory.revistas.csic.es/index.php/cultureandhistory/article/view/83/296</w:t>
        </w:r>
      </w:hyperlink>
      <w:r>
        <w:t xml:space="preserve"> (Accessed 26</w:t>
      </w:r>
      <w:r w:rsidRPr="00161558">
        <w:rPr>
          <w:vertAlign w:val="superscript"/>
        </w:rPr>
        <w:t>th</w:t>
      </w:r>
      <w:r>
        <w:t xml:space="preserve"> October)</w:t>
      </w:r>
    </w:p>
    <w:p w14:paraId="4F6856D1" w14:textId="77777777" w:rsidR="00FA2959" w:rsidRDefault="00FA2959" w:rsidP="00FA2959">
      <w:r w:rsidRPr="00CE4171">
        <w:lastRenderedPageBreak/>
        <w:t>Willett</w:t>
      </w:r>
      <w:r>
        <w:t>, J. (2018). “</w:t>
      </w:r>
      <w:r w:rsidRPr="00CE4171">
        <w:t>1.5 Culture, Heritage, and the Politics of Becoming</w:t>
      </w:r>
      <w:r>
        <w:t xml:space="preserve">”, </w:t>
      </w:r>
      <w:r w:rsidRPr="00F4524D">
        <w:t>The Oxford Handbook of Public Heritage Theory and Practice</w:t>
      </w:r>
      <w:r>
        <w:t xml:space="preserve">, 79-90. Available at: </w:t>
      </w:r>
      <w:hyperlink r:id="rId13" w:history="1">
        <w:r w:rsidRPr="00FA654B">
          <w:rPr>
            <w:rStyle w:val="Hyperlink"/>
          </w:rPr>
          <w:t>https://academic.oup.com/edited-volume/34634/chapter-abstract/295075837?redirectedFrom=fulltext</w:t>
        </w:r>
      </w:hyperlink>
      <w:r>
        <w:t xml:space="preserve"> (Accessed 26</w:t>
      </w:r>
      <w:r w:rsidRPr="00161558">
        <w:rPr>
          <w:vertAlign w:val="superscript"/>
        </w:rPr>
        <w:t>th</w:t>
      </w:r>
      <w:r>
        <w:t xml:space="preserve"> October)</w:t>
      </w:r>
    </w:p>
    <w:p w14:paraId="70D7645E" w14:textId="77777777" w:rsidR="00FA2959" w:rsidRDefault="00FA2959" w:rsidP="00FA2959">
      <w:r>
        <w:t xml:space="preserve">Winter, T. (2012). “Beyond Eurocentrism? Heritage conservation and the politics of difference”, International Journal of Heritage Studies, iFirst article, 1–15. </w:t>
      </w:r>
    </w:p>
    <w:p w14:paraId="12325F31" w14:textId="77777777" w:rsidR="00FA2959" w:rsidRDefault="00FA2959" w:rsidP="00FA2959">
      <w:r>
        <w:t>Winter, T. (2014). “</w:t>
      </w:r>
      <w:r w:rsidRPr="007E2220">
        <w:t>Heritage studies and the privileging of theory</w:t>
      </w:r>
      <w:r>
        <w:t xml:space="preserve">”, International Journal of Heritage Studies, Vol. 20, No. 5, 556–572. Available at: </w:t>
      </w:r>
      <w:hyperlink r:id="rId14" w:history="1">
        <w:r w:rsidRPr="00FA654B">
          <w:rPr>
            <w:rStyle w:val="Hyperlink"/>
          </w:rPr>
          <w:t>http://dx.doi.org/10.1080/13527258.2013.798671</w:t>
        </w:r>
      </w:hyperlink>
      <w:r>
        <w:t xml:space="preserve"> (Accessed 26</w:t>
      </w:r>
      <w:r w:rsidRPr="00161558">
        <w:rPr>
          <w:vertAlign w:val="superscript"/>
        </w:rPr>
        <w:t>th</w:t>
      </w:r>
      <w:r>
        <w:t xml:space="preserve"> October)</w:t>
      </w:r>
    </w:p>
    <w:p w14:paraId="317A83CA" w14:textId="77777777" w:rsidR="00FA2959" w:rsidRDefault="00FA2959" w:rsidP="00FA2959"/>
    <w:p w14:paraId="5A5850B8" w14:textId="22B3BB0B" w:rsidR="002B2A82" w:rsidRDefault="002B2A82">
      <w:r>
        <w:t xml:space="preserve"> </w:t>
      </w:r>
    </w:p>
    <w:sectPr w:rsidR="002B2A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C26"/>
    <w:rsid w:val="00023006"/>
    <w:rsid w:val="00057AB6"/>
    <w:rsid w:val="000B084C"/>
    <w:rsid w:val="000B68E1"/>
    <w:rsid w:val="000C66C9"/>
    <w:rsid w:val="000E6213"/>
    <w:rsid w:val="000F3181"/>
    <w:rsid w:val="00116F75"/>
    <w:rsid w:val="00133502"/>
    <w:rsid w:val="001660D9"/>
    <w:rsid w:val="001B0020"/>
    <w:rsid w:val="001B5D84"/>
    <w:rsid w:val="001C729D"/>
    <w:rsid w:val="00220707"/>
    <w:rsid w:val="00263D41"/>
    <w:rsid w:val="00286BD5"/>
    <w:rsid w:val="002B2A82"/>
    <w:rsid w:val="002B4919"/>
    <w:rsid w:val="00303BC9"/>
    <w:rsid w:val="003A423F"/>
    <w:rsid w:val="003E1752"/>
    <w:rsid w:val="003E50D8"/>
    <w:rsid w:val="00400E1F"/>
    <w:rsid w:val="00404CBF"/>
    <w:rsid w:val="004C0A85"/>
    <w:rsid w:val="004D2772"/>
    <w:rsid w:val="004F0452"/>
    <w:rsid w:val="00533EF9"/>
    <w:rsid w:val="005638BD"/>
    <w:rsid w:val="00584B4D"/>
    <w:rsid w:val="006237B7"/>
    <w:rsid w:val="006266FC"/>
    <w:rsid w:val="00651C22"/>
    <w:rsid w:val="006A57B9"/>
    <w:rsid w:val="00766E99"/>
    <w:rsid w:val="007A7B6D"/>
    <w:rsid w:val="007B6E0A"/>
    <w:rsid w:val="007D6BA8"/>
    <w:rsid w:val="00834C26"/>
    <w:rsid w:val="008959FD"/>
    <w:rsid w:val="008C3558"/>
    <w:rsid w:val="008D65A2"/>
    <w:rsid w:val="00901913"/>
    <w:rsid w:val="00941C1E"/>
    <w:rsid w:val="009967FB"/>
    <w:rsid w:val="00A23BF8"/>
    <w:rsid w:val="00AD58C8"/>
    <w:rsid w:val="00AD7219"/>
    <w:rsid w:val="00AF38AB"/>
    <w:rsid w:val="00B60659"/>
    <w:rsid w:val="00B9081E"/>
    <w:rsid w:val="00BB0032"/>
    <w:rsid w:val="00BC2DDA"/>
    <w:rsid w:val="00BE3AF9"/>
    <w:rsid w:val="00BE7659"/>
    <w:rsid w:val="00C0073B"/>
    <w:rsid w:val="00C0190F"/>
    <w:rsid w:val="00C10FC1"/>
    <w:rsid w:val="00C65B0D"/>
    <w:rsid w:val="00C70E5E"/>
    <w:rsid w:val="00C9079B"/>
    <w:rsid w:val="00CA3FAD"/>
    <w:rsid w:val="00CB7B6F"/>
    <w:rsid w:val="00CE15B6"/>
    <w:rsid w:val="00CF2512"/>
    <w:rsid w:val="00D0102D"/>
    <w:rsid w:val="00D56724"/>
    <w:rsid w:val="00D778B4"/>
    <w:rsid w:val="00E62B93"/>
    <w:rsid w:val="00EA4154"/>
    <w:rsid w:val="00F24C06"/>
    <w:rsid w:val="00F47FAB"/>
    <w:rsid w:val="00FA29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1A6FD"/>
  <w15:chartTrackingRefBased/>
  <w15:docId w15:val="{669956DB-0170-4D73-BC3D-AED90A140E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295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295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rect.mit.edu/octo/article/doi/10.1162/octo_a_00381/59424/Heritage-and-Debt" TargetMode="External"/><Relationship Id="rId13" Type="http://schemas.openxmlformats.org/officeDocument/2006/relationships/hyperlink" Target="https://academic.oup.com/edited-volume/34634/chapter-abstract/295075837?redirectedFrom=fulltext" TargetMode="External"/><Relationship Id="rId3" Type="http://schemas.openxmlformats.org/officeDocument/2006/relationships/webSettings" Target="webSettings.xml"/><Relationship Id="rId7" Type="http://schemas.openxmlformats.org/officeDocument/2006/relationships/hyperlink" Target="https://doi.org/10.2307/j.ctv13xps9m.%20Accessed%203%20Nov.%202022" TargetMode="External"/><Relationship Id="rId12" Type="http://schemas.openxmlformats.org/officeDocument/2006/relationships/hyperlink" Target="https://cultureandhistory.revistas.csic.es/index.php/cultureandhistory/article/view/83/296"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youtube.com/watch?v=UDdNMqnVd_g&amp;t=1749s&amp;ab_channel=CummingJfoss" TargetMode="External"/><Relationship Id="rId11" Type="http://schemas.openxmlformats.org/officeDocument/2006/relationships/hyperlink" Target="https://whc.unesco.org/en/list/425/" TargetMode="External"/><Relationship Id="rId5" Type="http://schemas.openxmlformats.org/officeDocument/2006/relationships/hyperlink" Target="https://www.researchgate.net/publication/299024406_Heritage_and_Social_Class" TargetMode="External"/><Relationship Id="rId15" Type="http://schemas.openxmlformats.org/officeDocument/2006/relationships/fontTable" Target="fontTable.xml"/><Relationship Id="rId10" Type="http://schemas.openxmlformats.org/officeDocument/2006/relationships/hyperlink" Target="https://core.ac.uk/download/pdf/96707171.pdf" TargetMode="External"/><Relationship Id="rId4" Type="http://schemas.openxmlformats.org/officeDocument/2006/relationships/hyperlink" Target="https://assets.publishing.service.gov.uk/government/uploads/system/uploads/attachment_data/file/221086/pb13387-vision-circular2010.pdf" TargetMode="External"/><Relationship Id="rId9" Type="http://schemas.openxmlformats.org/officeDocument/2006/relationships/hyperlink" Target="https://thepragmaticcostumer.wordpress.com/2012/11/08/shattered-dreams-what-makes-antique-silk-so-fragile/" TargetMode="External"/><Relationship Id="rId14" Type="http://schemas.openxmlformats.org/officeDocument/2006/relationships/hyperlink" Target="http://dx.doi.org/10.1080/13527258.2013.7986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1401</TotalTime>
  <Pages>4</Pages>
  <Words>1879</Words>
  <Characters>10714</Characters>
  <Application>Microsoft Office Word</Application>
  <DocSecurity>0</DocSecurity>
  <Lines>89</Lines>
  <Paragraphs>25</Paragraphs>
  <ScaleCrop>false</ScaleCrop>
  <Company/>
  <LinksUpToDate>false</LinksUpToDate>
  <CharactersWithSpaces>12568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Chapman</dc:creator>
  <cp:keywords/>
  <dc:description/>
  <cp:lastModifiedBy>Hannah Chapman</cp:lastModifiedBy>
  <cp:revision>65</cp:revision>
  <dcterms:created xsi:type="dcterms:W3CDTF">2022-10-21T16:56:00Z</dcterms:created>
  <dcterms:modified xsi:type="dcterms:W3CDTF">2022-11-03T23:58:00Z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4e4d3ea5ab13daf329b2cb2ded6ae2faa795948c970f53217c2e22f82e045b46</vt:lpwstr>
  </property>
</Properties>
</file>