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94348" w14:textId="77777777" w:rsidR="009C0DF9" w:rsidRDefault="009C0DF9">
      <w:pPr>
        <w:jc w:val="center"/>
        <w:rPr>
          <w:rFonts w:ascii="Tahoma" w:eastAsia="Tahoma" w:hAnsi="Tahoma" w:cs="Tahoma"/>
          <w:b/>
          <w:u w:val="single"/>
        </w:rPr>
      </w:pPr>
    </w:p>
    <w:p w14:paraId="3A46F84C" w14:textId="77777777" w:rsidR="009C0DF9" w:rsidRDefault="009C0DF9">
      <w:pPr>
        <w:jc w:val="both"/>
        <w:rPr>
          <w:rFonts w:ascii="Tahoma" w:eastAsia="Tahoma" w:hAnsi="Tahoma" w:cs="Tahoma"/>
          <w:b/>
          <w:u w:val="single"/>
        </w:rPr>
      </w:pPr>
    </w:p>
    <w:p w14:paraId="4FB05EF7" w14:textId="77777777" w:rsidR="009C0DF9" w:rsidRDefault="009C0DF9">
      <w:pPr>
        <w:jc w:val="both"/>
        <w:rPr>
          <w:rFonts w:ascii="Tahoma" w:eastAsia="Tahoma" w:hAnsi="Tahoma" w:cs="Tahoma"/>
          <w:b/>
          <w:u w:val="single"/>
        </w:rPr>
      </w:pPr>
    </w:p>
    <w:p w14:paraId="3C37FE06" w14:textId="77777777" w:rsidR="009C0DF9" w:rsidRDefault="006E34AD">
      <w:pPr>
        <w:jc w:val="both"/>
        <w:rPr>
          <w:rFonts w:ascii="Tahoma" w:eastAsia="Tahoma" w:hAnsi="Tahoma" w:cs="Tahoma"/>
          <w:b/>
          <w:u w:val="single"/>
        </w:rPr>
      </w:pPr>
      <w:r>
        <w:rPr>
          <w:rFonts w:ascii="Tahoma" w:eastAsia="Tahoma" w:hAnsi="Tahoma" w:cs="Tahoma"/>
          <w:b/>
          <w:u w:val="single"/>
        </w:rPr>
        <w:t>LEVEL 4 – Student Journal (750 words)</w:t>
      </w:r>
    </w:p>
    <w:p w14:paraId="4B191348" w14:textId="77777777" w:rsidR="009C0DF9" w:rsidRDefault="009C0DF9">
      <w:pPr>
        <w:jc w:val="both"/>
        <w:rPr>
          <w:rFonts w:ascii="Tahoma" w:eastAsia="Tahoma" w:hAnsi="Tahoma" w:cs="Tahoma"/>
          <w:b/>
          <w:u w:val="single"/>
        </w:rPr>
      </w:pPr>
    </w:p>
    <w:p w14:paraId="1C05889A" w14:textId="77777777" w:rsidR="009C0DF9" w:rsidRDefault="006E34AD">
      <w:pPr>
        <w:jc w:val="both"/>
        <w:rPr>
          <w:rFonts w:ascii="Tahoma" w:eastAsia="Tahoma" w:hAnsi="Tahoma" w:cs="Tahoma"/>
        </w:rPr>
      </w:pPr>
      <w:r>
        <w:rPr>
          <w:rFonts w:ascii="Tahoma" w:eastAsia="Tahoma" w:hAnsi="Tahoma" w:cs="Tahoma"/>
        </w:rPr>
        <w:t>You are required to complete a journal entry to capture the learning experience and knowledge you have acquiring during a particular lecture.  You may choose from the following topics:</w:t>
      </w:r>
    </w:p>
    <w:p w14:paraId="1B562E73" w14:textId="77777777" w:rsidR="009C0DF9" w:rsidRDefault="009C0DF9">
      <w:pPr>
        <w:jc w:val="both"/>
        <w:rPr>
          <w:rFonts w:ascii="Tahoma" w:eastAsia="Tahoma" w:hAnsi="Tahoma" w:cs="Tahoma"/>
        </w:rPr>
      </w:pPr>
    </w:p>
    <w:p w14:paraId="5440B596" w14:textId="77777777" w:rsidR="009C0DF9" w:rsidRDefault="006E34AD">
      <w:pPr>
        <w:numPr>
          <w:ilvl w:val="0"/>
          <w:numId w:val="1"/>
        </w:numPr>
        <w:pBdr>
          <w:top w:val="nil"/>
          <w:left w:val="nil"/>
          <w:bottom w:val="nil"/>
          <w:right w:val="nil"/>
          <w:between w:val="nil"/>
        </w:pBdr>
        <w:rPr>
          <w:color w:val="000000"/>
        </w:rPr>
      </w:pPr>
      <w:r>
        <w:rPr>
          <w:rFonts w:ascii="ArialMT" w:eastAsia="ArialMT" w:hAnsi="ArialMT" w:cs="ArialMT"/>
          <w:color w:val="000000"/>
        </w:rPr>
        <w:t xml:space="preserve">Restaurant Roles and Responsibilities </w:t>
      </w:r>
    </w:p>
    <w:p w14:paraId="51832417" w14:textId="77777777" w:rsidR="009C0DF9" w:rsidRDefault="006E34AD">
      <w:pPr>
        <w:numPr>
          <w:ilvl w:val="0"/>
          <w:numId w:val="1"/>
        </w:numPr>
        <w:pBdr>
          <w:top w:val="nil"/>
          <w:left w:val="nil"/>
          <w:bottom w:val="nil"/>
          <w:right w:val="nil"/>
          <w:between w:val="nil"/>
        </w:pBdr>
        <w:rPr>
          <w:color w:val="000000"/>
        </w:rPr>
      </w:pPr>
      <w:r>
        <w:rPr>
          <w:rFonts w:ascii="ArialMT" w:eastAsia="ArialMT" w:hAnsi="ArialMT" w:cs="ArialMT"/>
          <w:color w:val="000000"/>
        </w:rPr>
        <w:t>Restaurant Management and Types</w:t>
      </w:r>
      <w:r>
        <w:rPr>
          <w:rFonts w:ascii="ArialMT" w:eastAsia="ArialMT" w:hAnsi="ArialMT" w:cs="ArialMT"/>
          <w:color w:val="000000"/>
        </w:rPr>
        <w:t xml:space="preserve"> of Service </w:t>
      </w:r>
    </w:p>
    <w:p w14:paraId="2F0C7613" w14:textId="77777777" w:rsidR="009C0DF9" w:rsidRDefault="009C0DF9">
      <w:pPr>
        <w:jc w:val="both"/>
        <w:rPr>
          <w:rFonts w:ascii="Tahoma" w:eastAsia="Tahoma" w:hAnsi="Tahoma" w:cs="Tahoma"/>
        </w:rPr>
      </w:pPr>
    </w:p>
    <w:p w14:paraId="0C1A8A14" w14:textId="77777777" w:rsidR="009C0DF9" w:rsidRDefault="006E34AD">
      <w:pPr>
        <w:jc w:val="both"/>
        <w:rPr>
          <w:rFonts w:ascii="Tahoma" w:eastAsia="Tahoma" w:hAnsi="Tahoma" w:cs="Tahoma"/>
        </w:rPr>
      </w:pPr>
      <w:r>
        <w:rPr>
          <w:rFonts w:ascii="Tahoma" w:eastAsia="Tahoma" w:hAnsi="Tahoma" w:cs="Tahoma"/>
        </w:rPr>
        <w:t xml:space="preserve">Consider the appropriate lectures. What was the topic and what have you learnt? Provide a </w:t>
      </w:r>
      <w:r>
        <w:rPr>
          <w:rFonts w:ascii="Tahoma" w:eastAsia="Tahoma" w:hAnsi="Tahoma" w:cs="Tahoma"/>
          <w:b/>
        </w:rPr>
        <w:t>brief summary</w:t>
      </w:r>
      <w:r>
        <w:rPr>
          <w:rFonts w:ascii="Tahoma" w:eastAsia="Tahoma" w:hAnsi="Tahoma" w:cs="Tahoma"/>
        </w:rPr>
        <w:t xml:space="preserve">. What </w:t>
      </w:r>
      <w:r>
        <w:rPr>
          <w:rFonts w:ascii="Tahoma" w:eastAsia="Tahoma" w:hAnsi="Tahoma" w:cs="Tahoma"/>
          <w:b/>
        </w:rPr>
        <w:t>new skills / knowledge have you acquired</w:t>
      </w:r>
      <w:r>
        <w:rPr>
          <w:rFonts w:ascii="Tahoma" w:eastAsia="Tahoma" w:hAnsi="Tahoma" w:cs="Tahoma"/>
        </w:rPr>
        <w:t xml:space="preserve">? How will you </w:t>
      </w:r>
      <w:r>
        <w:rPr>
          <w:rFonts w:ascii="Tahoma" w:eastAsia="Tahoma" w:hAnsi="Tahoma" w:cs="Tahoma"/>
          <w:b/>
        </w:rPr>
        <w:t>apply your knowledge in the future</w:t>
      </w:r>
      <w:r>
        <w:rPr>
          <w:rFonts w:ascii="Tahoma" w:eastAsia="Tahoma" w:hAnsi="Tahoma" w:cs="Tahoma"/>
        </w:rPr>
        <w:t xml:space="preserve">? What are your </w:t>
      </w:r>
      <w:r>
        <w:rPr>
          <w:rFonts w:ascii="Tahoma" w:eastAsia="Tahoma" w:hAnsi="Tahoma" w:cs="Tahoma"/>
          <w:b/>
        </w:rPr>
        <w:t>personal reflections</w:t>
      </w:r>
      <w:r>
        <w:rPr>
          <w:rFonts w:ascii="Tahoma" w:eastAsia="Tahoma" w:hAnsi="Tahoma" w:cs="Tahoma"/>
        </w:rPr>
        <w:t xml:space="preserve"> on the</w:t>
      </w:r>
      <w:r>
        <w:rPr>
          <w:rFonts w:ascii="Tahoma" w:eastAsia="Tahoma" w:hAnsi="Tahoma" w:cs="Tahoma"/>
        </w:rPr>
        <w:t xml:space="preserve"> subject? Why is this </w:t>
      </w:r>
      <w:r>
        <w:rPr>
          <w:rFonts w:ascii="Tahoma" w:eastAsia="Tahoma" w:hAnsi="Tahoma" w:cs="Tahoma"/>
          <w:b/>
        </w:rPr>
        <w:t>topic important within the industry</w:t>
      </w:r>
      <w:r>
        <w:rPr>
          <w:rFonts w:ascii="Tahoma" w:eastAsia="Tahoma" w:hAnsi="Tahoma" w:cs="Tahoma"/>
        </w:rPr>
        <w:t xml:space="preserve">? Provide </w:t>
      </w:r>
      <w:r>
        <w:rPr>
          <w:rFonts w:ascii="Tahoma" w:eastAsia="Tahoma" w:hAnsi="Tahoma" w:cs="Tahoma"/>
          <w:b/>
        </w:rPr>
        <w:t>evidence of further reading</w:t>
      </w:r>
      <w:r>
        <w:rPr>
          <w:rFonts w:ascii="Tahoma" w:eastAsia="Tahoma" w:hAnsi="Tahoma" w:cs="Tahoma"/>
        </w:rPr>
        <w:t>. Include a minimum of 5 references.</w:t>
      </w:r>
    </w:p>
    <w:p w14:paraId="712FC634" w14:textId="77777777" w:rsidR="009C0DF9" w:rsidRDefault="009C0DF9">
      <w:pPr>
        <w:rPr>
          <w:rFonts w:ascii="Tahoma" w:eastAsia="Tahoma" w:hAnsi="Tahoma" w:cs="Tahoma"/>
          <w:sz w:val="20"/>
          <w:szCs w:val="20"/>
        </w:rPr>
      </w:pPr>
    </w:p>
    <w:tbl>
      <w:tblPr>
        <w:tblStyle w:val="a"/>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7"/>
        <w:gridCol w:w="7195"/>
      </w:tblGrid>
      <w:tr w:rsidR="009C0DF9" w14:paraId="7A47BB22" w14:textId="77777777">
        <w:tc>
          <w:tcPr>
            <w:tcW w:w="3987" w:type="dxa"/>
            <w:shd w:val="clear" w:color="auto" w:fill="8DB3E2"/>
          </w:tcPr>
          <w:p w14:paraId="50D3A7C9" w14:textId="3049543D" w:rsidR="009C0DF9" w:rsidRDefault="006E34AD">
            <w:pPr>
              <w:rPr>
                <w:rFonts w:ascii="Tahoma" w:eastAsia="Tahoma" w:hAnsi="Tahoma" w:cs="Tahoma"/>
                <w:b/>
                <w:sz w:val="20"/>
                <w:szCs w:val="20"/>
              </w:rPr>
            </w:pPr>
            <w:r>
              <w:rPr>
                <w:rFonts w:ascii="Tahoma" w:eastAsia="Tahoma" w:hAnsi="Tahoma" w:cs="Tahoma"/>
                <w:b/>
                <w:sz w:val="20"/>
                <w:szCs w:val="20"/>
              </w:rPr>
              <w:t xml:space="preserve">Student Name: </w:t>
            </w:r>
            <w:proofErr w:type="spellStart"/>
            <w:r w:rsidR="00482FBD">
              <w:rPr>
                <w:rFonts w:ascii="Tahoma" w:eastAsia="Tahoma" w:hAnsi="Tahoma" w:cs="Tahoma"/>
                <w:b/>
                <w:sz w:val="20"/>
                <w:szCs w:val="20"/>
              </w:rPr>
              <w:t>Nadeige</w:t>
            </w:r>
            <w:proofErr w:type="spellEnd"/>
            <w:r w:rsidR="00482FBD">
              <w:rPr>
                <w:rFonts w:ascii="Tahoma" w:eastAsia="Tahoma" w:hAnsi="Tahoma" w:cs="Tahoma"/>
                <w:b/>
                <w:sz w:val="20"/>
                <w:szCs w:val="20"/>
              </w:rPr>
              <w:t xml:space="preserve"> Lewis</w:t>
            </w:r>
          </w:p>
          <w:p w14:paraId="62D89D43" w14:textId="77777777" w:rsidR="009C0DF9" w:rsidRDefault="009C0DF9">
            <w:pPr>
              <w:rPr>
                <w:rFonts w:ascii="Tahoma" w:eastAsia="Tahoma" w:hAnsi="Tahoma" w:cs="Tahoma"/>
                <w:b/>
                <w:sz w:val="20"/>
                <w:szCs w:val="20"/>
              </w:rPr>
            </w:pPr>
          </w:p>
          <w:p w14:paraId="2B160BFA" w14:textId="1D5F86F8" w:rsidR="009C0DF9" w:rsidRDefault="006E34AD">
            <w:pPr>
              <w:rPr>
                <w:rFonts w:ascii="Tahoma" w:eastAsia="Tahoma" w:hAnsi="Tahoma" w:cs="Tahoma"/>
                <w:b/>
                <w:sz w:val="20"/>
                <w:szCs w:val="20"/>
              </w:rPr>
            </w:pPr>
            <w:r>
              <w:rPr>
                <w:rFonts w:ascii="Tahoma" w:eastAsia="Tahoma" w:hAnsi="Tahoma" w:cs="Tahoma"/>
                <w:b/>
                <w:sz w:val="20"/>
                <w:szCs w:val="20"/>
              </w:rPr>
              <w:t xml:space="preserve">Student Number: </w:t>
            </w:r>
            <w:r w:rsidR="00482FBD">
              <w:rPr>
                <w:rFonts w:ascii="Tahoma" w:eastAsia="Tahoma" w:hAnsi="Tahoma" w:cs="Tahoma"/>
                <w:b/>
                <w:sz w:val="20"/>
                <w:szCs w:val="20"/>
              </w:rPr>
              <w:t>2126427</w:t>
            </w:r>
          </w:p>
          <w:p w14:paraId="07D63A3C" w14:textId="77777777" w:rsidR="009C0DF9" w:rsidRDefault="009C0DF9">
            <w:pPr>
              <w:rPr>
                <w:rFonts w:ascii="Tahoma" w:eastAsia="Tahoma" w:hAnsi="Tahoma" w:cs="Tahoma"/>
                <w:b/>
                <w:sz w:val="20"/>
                <w:szCs w:val="20"/>
              </w:rPr>
            </w:pPr>
          </w:p>
        </w:tc>
        <w:tc>
          <w:tcPr>
            <w:tcW w:w="7195" w:type="dxa"/>
            <w:shd w:val="clear" w:color="auto" w:fill="8DB3E2"/>
          </w:tcPr>
          <w:p w14:paraId="4084BD0E" w14:textId="038EBC3A" w:rsidR="009C0DF9" w:rsidRDefault="006E34AD">
            <w:pPr>
              <w:rPr>
                <w:rFonts w:ascii="Tahoma" w:eastAsia="Tahoma" w:hAnsi="Tahoma" w:cs="Tahoma"/>
                <w:b/>
                <w:sz w:val="20"/>
                <w:szCs w:val="20"/>
              </w:rPr>
            </w:pPr>
            <w:r>
              <w:rPr>
                <w:rFonts w:ascii="Tahoma" w:eastAsia="Tahoma" w:hAnsi="Tahoma" w:cs="Tahoma"/>
                <w:b/>
                <w:sz w:val="20"/>
                <w:szCs w:val="20"/>
              </w:rPr>
              <w:t xml:space="preserve">Module: </w:t>
            </w:r>
            <w:r w:rsidR="00482FBD">
              <w:rPr>
                <w:rFonts w:ascii="Tahoma" w:eastAsia="Tahoma" w:hAnsi="Tahoma" w:cs="Tahoma"/>
                <w:b/>
                <w:sz w:val="20"/>
                <w:szCs w:val="20"/>
              </w:rPr>
              <w:t>BMIH4002</w:t>
            </w:r>
          </w:p>
          <w:p w14:paraId="3F5590D6" w14:textId="77777777" w:rsidR="009C0DF9" w:rsidRDefault="009C0DF9">
            <w:pPr>
              <w:rPr>
                <w:rFonts w:ascii="Tahoma" w:eastAsia="Tahoma" w:hAnsi="Tahoma" w:cs="Tahoma"/>
                <w:b/>
                <w:sz w:val="20"/>
                <w:szCs w:val="20"/>
              </w:rPr>
            </w:pPr>
          </w:p>
          <w:p w14:paraId="50A237E9" w14:textId="47A8F32E" w:rsidR="009C0DF9" w:rsidRDefault="006E34AD">
            <w:pPr>
              <w:rPr>
                <w:rFonts w:ascii="Tahoma" w:eastAsia="Tahoma" w:hAnsi="Tahoma" w:cs="Tahoma"/>
                <w:b/>
                <w:sz w:val="20"/>
                <w:szCs w:val="20"/>
              </w:rPr>
            </w:pPr>
            <w:r>
              <w:rPr>
                <w:rFonts w:ascii="Tahoma" w:eastAsia="Tahoma" w:hAnsi="Tahoma" w:cs="Tahoma"/>
                <w:b/>
                <w:sz w:val="20"/>
                <w:szCs w:val="20"/>
              </w:rPr>
              <w:t xml:space="preserve">Lecturer: </w:t>
            </w:r>
            <w:r w:rsidR="00482FBD">
              <w:rPr>
                <w:rFonts w:ascii="Tahoma" w:eastAsia="Tahoma" w:hAnsi="Tahoma" w:cs="Tahoma"/>
                <w:b/>
                <w:sz w:val="20"/>
                <w:szCs w:val="20"/>
              </w:rPr>
              <w:t xml:space="preserve">Ffion </w:t>
            </w:r>
            <w:proofErr w:type="spellStart"/>
            <w:r w:rsidR="00482FBD">
              <w:rPr>
                <w:rFonts w:ascii="Tahoma" w:eastAsia="Tahoma" w:hAnsi="Tahoma" w:cs="Tahoma"/>
                <w:b/>
                <w:sz w:val="20"/>
                <w:szCs w:val="20"/>
              </w:rPr>
              <w:t>Cumberpatch</w:t>
            </w:r>
            <w:proofErr w:type="spellEnd"/>
          </w:p>
        </w:tc>
      </w:tr>
    </w:tbl>
    <w:p w14:paraId="2CE31139" w14:textId="77777777" w:rsidR="009C0DF9" w:rsidRDefault="009C0DF9">
      <w:pPr>
        <w:rPr>
          <w:rFonts w:ascii="Tahoma" w:eastAsia="Tahoma" w:hAnsi="Tahoma" w:cs="Tahoma"/>
          <w:sz w:val="20"/>
          <w:szCs w:val="20"/>
        </w:rPr>
      </w:pPr>
    </w:p>
    <w:tbl>
      <w:tblPr>
        <w:tblStyle w:val="a0"/>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3"/>
        <w:gridCol w:w="7199"/>
      </w:tblGrid>
      <w:tr w:rsidR="009C0DF9" w14:paraId="5121F265" w14:textId="77777777">
        <w:tc>
          <w:tcPr>
            <w:tcW w:w="3983" w:type="dxa"/>
            <w:shd w:val="clear" w:color="auto" w:fill="FBD5B5"/>
          </w:tcPr>
          <w:p w14:paraId="1E187394" w14:textId="77777777" w:rsidR="009C0DF9" w:rsidRDefault="006E34AD">
            <w:pPr>
              <w:spacing w:line="360" w:lineRule="auto"/>
              <w:rPr>
                <w:rFonts w:ascii="Arial" w:eastAsia="Arial" w:hAnsi="Arial" w:cs="Arial"/>
                <w:b/>
              </w:rPr>
            </w:pPr>
            <w:r>
              <w:rPr>
                <w:rFonts w:ascii="Arial" w:eastAsia="Arial" w:hAnsi="Arial" w:cs="Arial"/>
                <w:b/>
              </w:rPr>
              <w:t xml:space="preserve">Topic of choice: </w:t>
            </w:r>
          </w:p>
        </w:tc>
        <w:tc>
          <w:tcPr>
            <w:tcW w:w="7199" w:type="dxa"/>
            <w:shd w:val="clear" w:color="auto" w:fill="FBD5B5"/>
          </w:tcPr>
          <w:p w14:paraId="2B16AD43" w14:textId="77777777" w:rsidR="009C0DF9" w:rsidRDefault="006E34AD">
            <w:pPr>
              <w:spacing w:line="360" w:lineRule="auto"/>
              <w:rPr>
                <w:rFonts w:ascii="Arial" w:eastAsia="Arial" w:hAnsi="Arial" w:cs="Arial"/>
                <w:b/>
              </w:rPr>
            </w:pPr>
            <w:r>
              <w:rPr>
                <w:rFonts w:ascii="Arial" w:eastAsia="Arial" w:hAnsi="Arial" w:cs="Arial"/>
                <w:b/>
              </w:rPr>
              <w:t>RESTAURANT MANAGEMENT AND TYPES OF SERVICE</w:t>
            </w:r>
          </w:p>
          <w:p w14:paraId="2001BB88" w14:textId="77777777" w:rsidR="009C0DF9" w:rsidRDefault="009C0DF9">
            <w:pPr>
              <w:spacing w:line="360" w:lineRule="auto"/>
              <w:jc w:val="center"/>
              <w:rPr>
                <w:rFonts w:ascii="Arial" w:eastAsia="Arial" w:hAnsi="Arial" w:cs="Arial"/>
                <w:b/>
              </w:rPr>
            </w:pPr>
          </w:p>
          <w:p w14:paraId="7D842239" w14:textId="77777777" w:rsidR="009C0DF9" w:rsidRDefault="009C0DF9">
            <w:pPr>
              <w:spacing w:line="360" w:lineRule="auto"/>
              <w:jc w:val="center"/>
              <w:rPr>
                <w:rFonts w:ascii="Arial" w:eastAsia="Arial" w:hAnsi="Arial" w:cs="Arial"/>
                <w:b/>
              </w:rPr>
            </w:pPr>
          </w:p>
        </w:tc>
      </w:tr>
      <w:tr w:rsidR="009C0DF9" w14:paraId="4C836B03" w14:textId="77777777">
        <w:trPr>
          <w:trHeight w:val="2494"/>
        </w:trPr>
        <w:tc>
          <w:tcPr>
            <w:tcW w:w="11182" w:type="dxa"/>
            <w:gridSpan w:val="2"/>
          </w:tcPr>
          <w:p w14:paraId="1E5CF91D" w14:textId="77777777" w:rsidR="009C0DF9" w:rsidRDefault="006E34AD">
            <w:pPr>
              <w:spacing w:line="360" w:lineRule="auto"/>
              <w:jc w:val="both"/>
              <w:rPr>
                <w:rFonts w:ascii="Arial" w:eastAsia="Arial" w:hAnsi="Arial" w:cs="Arial"/>
              </w:rPr>
            </w:pPr>
            <w:r>
              <w:rPr>
                <w:rFonts w:ascii="Arial" w:eastAsia="Arial" w:hAnsi="Arial" w:cs="Arial"/>
              </w:rPr>
              <w:t xml:space="preserve">Manufacturing of food and beverages is one economic sector that has persisted and will continue to do so eternally. All companies and organizations that transform agricultural raw resources into consumer items </w:t>
            </w:r>
            <w:r>
              <w:rPr>
                <w:rFonts w:ascii="Arial" w:eastAsia="Arial" w:hAnsi="Arial" w:cs="Arial"/>
              </w:rPr>
              <w:t>are included in this economic sector. These are only a few examples of the businesses in this sector: cafeterias, restaurants, catering businesses, and food delivery services. Restaurants create food and offer dining experiences. So, overseeing a restauran</w:t>
            </w:r>
            <w:r>
              <w:rPr>
                <w:rFonts w:ascii="Arial" w:eastAsia="Arial" w:hAnsi="Arial" w:cs="Arial"/>
              </w:rPr>
              <w:t>t's daily operations is referred to as managing a restaurant. This ensures a smooth and efficient functioning and increases income.</w:t>
            </w:r>
          </w:p>
          <w:p w14:paraId="6FCDA101" w14:textId="77777777" w:rsidR="009C0DF9" w:rsidRDefault="006E34AD">
            <w:pPr>
              <w:spacing w:line="360" w:lineRule="auto"/>
              <w:jc w:val="both"/>
              <w:rPr>
                <w:rFonts w:ascii="Arial" w:eastAsia="Arial" w:hAnsi="Arial" w:cs="Arial"/>
              </w:rPr>
            </w:pPr>
            <w:r>
              <w:rPr>
                <w:rFonts w:ascii="Arial" w:eastAsia="Arial" w:hAnsi="Arial" w:cs="Arial"/>
              </w:rPr>
              <w:t>For the hospitality industry, the food and beverage services sector generate considerable earnings. Due to the significance of corporate events and a range of social and personal events, customers frequently employ catering services (Cook et al, 2022). The</w:t>
            </w:r>
            <w:r>
              <w:rPr>
                <w:rFonts w:ascii="Arial" w:eastAsia="Arial" w:hAnsi="Arial" w:cs="Arial"/>
              </w:rPr>
              <w:t xml:space="preserve"> main objective is to guarantee that the meal is of a high grade when it is provided, regardless of the kind of facilities or restaurant management system utilized. In this market, there are essentially four primary service types. They are the traditional </w:t>
            </w:r>
            <w:r>
              <w:rPr>
                <w:rFonts w:ascii="Arial" w:eastAsia="Arial" w:hAnsi="Arial" w:cs="Arial"/>
              </w:rPr>
              <w:t>food service, the commissary food service, the ready-made food service, and the assembly food delivery. When used, each service offers a unique set of benefits as well as drawbacks.</w:t>
            </w:r>
          </w:p>
          <w:p w14:paraId="3EA68A8A" w14:textId="77777777" w:rsidR="009C0DF9" w:rsidRDefault="006E34AD">
            <w:pPr>
              <w:spacing w:line="360" w:lineRule="auto"/>
              <w:jc w:val="both"/>
              <w:rPr>
                <w:rFonts w:ascii="Arial" w:eastAsia="Arial" w:hAnsi="Arial" w:cs="Arial"/>
              </w:rPr>
            </w:pPr>
            <w:r>
              <w:rPr>
                <w:rFonts w:ascii="Arial" w:eastAsia="Arial" w:hAnsi="Arial" w:cs="Arial"/>
              </w:rPr>
              <w:t>The first type of service that is offered by restaurant industry is tradit</w:t>
            </w:r>
            <w:r>
              <w:rPr>
                <w:rFonts w:ascii="Arial" w:eastAsia="Arial" w:hAnsi="Arial" w:cs="Arial"/>
              </w:rPr>
              <w:t xml:space="preserve">ional food service. Usually in this scenario the restaurant prepares the food in their kitchen and </w:t>
            </w:r>
            <w:proofErr w:type="gramStart"/>
            <w:r>
              <w:rPr>
                <w:rFonts w:ascii="Arial" w:eastAsia="Arial" w:hAnsi="Arial" w:cs="Arial"/>
              </w:rPr>
              <w:t>later on</w:t>
            </w:r>
            <w:proofErr w:type="gramEnd"/>
            <w:r>
              <w:rPr>
                <w:rFonts w:ascii="Arial" w:eastAsia="Arial" w:hAnsi="Arial" w:cs="Arial"/>
              </w:rPr>
              <w:t xml:space="preserve"> it is served on their dining area. Usually, the meal is cooked from scratch and the food is served as soon as it finishes cooking food stuff a few e</w:t>
            </w:r>
            <w:r>
              <w:rPr>
                <w:rFonts w:ascii="Arial" w:eastAsia="Arial" w:hAnsi="Arial" w:cs="Arial"/>
              </w:rPr>
              <w:t xml:space="preserve">xamples of such services are cafeteria dining hall restaurants even hostels. Usually in such restaurant structure there is a menu from which a customer can order their food and it will be served cold </w:t>
            </w:r>
            <w:r>
              <w:rPr>
                <w:rFonts w:ascii="Arial" w:eastAsia="Arial" w:hAnsi="Arial" w:cs="Arial"/>
              </w:rPr>
              <w:lastRenderedPageBreak/>
              <w:t>or hot (</w:t>
            </w:r>
            <w:proofErr w:type="spellStart"/>
            <w:r>
              <w:rPr>
                <w:rFonts w:ascii="Arial" w:eastAsia="Arial" w:hAnsi="Arial" w:cs="Arial"/>
              </w:rPr>
              <w:t>Kuntscher</w:t>
            </w:r>
            <w:proofErr w:type="spellEnd"/>
            <w:r>
              <w:rPr>
                <w:rFonts w:ascii="Arial" w:eastAsia="Arial" w:hAnsi="Arial" w:cs="Arial"/>
              </w:rPr>
              <w:t xml:space="preserve"> et al, 2022). Based on the preferences</w:t>
            </w:r>
            <w:r>
              <w:rPr>
                <w:rFonts w:ascii="Arial" w:eastAsia="Arial" w:hAnsi="Arial" w:cs="Arial"/>
              </w:rPr>
              <w:t xml:space="preserve"> of customer the chef can customize the food but within a certain limit. The greatest attribute of this type of service is that it allows a lot of flexibility for the chef as well as the customer. As the food is being prepared by the chef within the vicini</w:t>
            </w:r>
            <w:r>
              <w:rPr>
                <w:rFonts w:ascii="Arial" w:eastAsia="Arial" w:hAnsi="Arial" w:cs="Arial"/>
              </w:rPr>
              <w:t xml:space="preserve">ty there are hardly any transportation cost that the organisation </w:t>
            </w:r>
            <w:proofErr w:type="gramStart"/>
            <w:r>
              <w:rPr>
                <w:rFonts w:ascii="Arial" w:eastAsia="Arial" w:hAnsi="Arial" w:cs="Arial"/>
              </w:rPr>
              <w:t>has to</w:t>
            </w:r>
            <w:proofErr w:type="gramEnd"/>
            <w:r>
              <w:rPr>
                <w:rFonts w:ascii="Arial" w:eastAsia="Arial" w:hAnsi="Arial" w:cs="Arial"/>
              </w:rPr>
              <w:t xml:space="preserve"> bear. However, the greatest desert vantage of these food service type is that the organization </w:t>
            </w:r>
            <w:proofErr w:type="gramStart"/>
            <w:r>
              <w:rPr>
                <w:rFonts w:ascii="Arial" w:eastAsia="Arial" w:hAnsi="Arial" w:cs="Arial"/>
              </w:rPr>
              <w:t>has to</w:t>
            </w:r>
            <w:proofErr w:type="gramEnd"/>
            <w:r>
              <w:rPr>
                <w:rFonts w:ascii="Arial" w:eastAsia="Arial" w:hAnsi="Arial" w:cs="Arial"/>
              </w:rPr>
              <w:t xml:space="preserve"> have a storage or freezer section and a lot of time constructing such section bec</w:t>
            </w:r>
            <w:r>
              <w:rPr>
                <w:rFonts w:ascii="Arial" w:eastAsia="Arial" w:hAnsi="Arial" w:cs="Arial"/>
              </w:rPr>
              <w:t xml:space="preserve">omes costly. </w:t>
            </w:r>
          </w:p>
          <w:p w14:paraId="161DAE9F" w14:textId="77777777" w:rsidR="009C0DF9" w:rsidRDefault="006E34AD">
            <w:pPr>
              <w:spacing w:line="360" w:lineRule="auto"/>
              <w:jc w:val="both"/>
              <w:rPr>
                <w:rFonts w:ascii="Arial" w:eastAsia="Arial" w:hAnsi="Arial" w:cs="Arial"/>
              </w:rPr>
            </w:pPr>
            <w:r>
              <w:rPr>
                <w:rFonts w:ascii="Arial" w:eastAsia="Arial" w:hAnsi="Arial" w:cs="Arial"/>
              </w:rPr>
              <w:t>The second form of food service is commissary service. Usually in this form of service usually a restaurant has multiple functional area. The first one is a cooking functional area, then has a distribution function and a sales function. Usual</w:t>
            </w:r>
            <w:r>
              <w:rPr>
                <w:rFonts w:ascii="Arial" w:eastAsia="Arial" w:hAnsi="Arial" w:cs="Arial"/>
              </w:rPr>
              <w:t xml:space="preserve">ly, the food is basically cooked in the cooking functional area. They buy necessary </w:t>
            </w:r>
            <w:proofErr w:type="gramStart"/>
            <w:r>
              <w:rPr>
                <w:rFonts w:ascii="Arial" w:eastAsia="Arial" w:hAnsi="Arial" w:cs="Arial"/>
              </w:rPr>
              <w:t>ingredients</w:t>
            </w:r>
            <w:proofErr w:type="gramEnd"/>
            <w:r>
              <w:rPr>
                <w:rFonts w:ascii="Arial" w:eastAsia="Arial" w:hAnsi="Arial" w:cs="Arial"/>
              </w:rPr>
              <w:t xml:space="preserve"> and a primary version of the food is created. </w:t>
            </w:r>
            <w:proofErr w:type="gramStart"/>
            <w:r>
              <w:rPr>
                <w:rFonts w:ascii="Arial" w:eastAsia="Arial" w:hAnsi="Arial" w:cs="Arial"/>
              </w:rPr>
              <w:t>Later on</w:t>
            </w:r>
            <w:proofErr w:type="gramEnd"/>
            <w:r>
              <w:rPr>
                <w:rFonts w:ascii="Arial" w:eastAsia="Arial" w:hAnsi="Arial" w:cs="Arial"/>
              </w:rPr>
              <w:t>, the distribution functional area is responsible for distributing the foods to locations where it will be</w:t>
            </w:r>
            <w:r>
              <w:rPr>
                <w:rFonts w:ascii="Arial" w:eastAsia="Arial" w:hAnsi="Arial" w:cs="Arial"/>
              </w:rPr>
              <w:t xml:space="preserve"> sold. This form of service is often seen in bakery shops. This form of food service is comparatively complex and is costly. However, the biggest risk that this form of food service is exposed to is contamination. Not to mention the organization also needs</w:t>
            </w:r>
            <w:r>
              <w:rPr>
                <w:rFonts w:ascii="Arial" w:eastAsia="Arial" w:hAnsi="Arial" w:cs="Arial"/>
              </w:rPr>
              <w:t xml:space="preserve"> to identify the best to root that would minimize cost but maximize efficiency. The biggest advantage of it is that the quality of food is maintained and is same in every location (Goddard, 2020).</w:t>
            </w:r>
          </w:p>
          <w:p w14:paraId="0BC0BF1D" w14:textId="77777777" w:rsidR="009C0DF9" w:rsidRDefault="006E34AD">
            <w:pPr>
              <w:spacing w:line="360" w:lineRule="auto"/>
              <w:jc w:val="both"/>
              <w:rPr>
                <w:rFonts w:ascii="Arial" w:eastAsia="Arial" w:hAnsi="Arial" w:cs="Arial"/>
              </w:rPr>
            </w:pPr>
            <w:r>
              <w:rPr>
                <w:rFonts w:ascii="Arial" w:eastAsia="Arial" w:hAnsi="Arial" w:cs="Arial"/>
              </w:rPr>
              <w:t>The third form of food service is known as ready prepared f</w:t>
            </w:r>
            <w:r>
              <w:rPr>
                <w:rFonts w:ascii="Arial" w:eastAsia="Arial" w:hAnsi="Arial" w:cs="Arial"/>
              </w:rPr>
              <w:t>ood which is also known as cook-chill food service. Usually in this corner of food service restaurant usually cooks foods and preserves them in a chill or frozen state. Which becomes edible when a customer reheats before eating. Usually, it is very popular</w:t>
            </w:r>
            <w:r>
              <w:rPr>
                <w:rFonts w:ascii="Arial" w:eastAsia="Arial" w:hAnsi="Arial" w:cs="Arial"/>
              </w:rPr>
              <w:t xml:space="preserve"> in urban area because in modern world people have becomes show commercialised that they don’t have sufficient time to cook for themselves (Hobbs, 2020). The biggest advantage of this food service is that it requires hardly any additional cost except raw m</w:t>
            </w:r>
            <w:r>
              <w:rPr>
                <w:rFonts w:ascii="Arial" w:eastAsia="Arial" w:hAnsi="Arial" w:cs="Arial"/>
              </w:rPr>
              <w:t>aterials, cooking and packaging. The biggest disadvantage is that it has limited variety and low flexibility.</w:t>
            </w:r>
          </w:p>
          <w:p w14:paraId="7C707B98" w14:textId="77777777" w:rsidR="009C0DF9" w:rsidRDefault="006E34AD">
            <w:pPr>
              <w:spacing w:line="360" w:lineRule="auto"/>
              <w:jc w:val="both"/>
              <w:rPr>
                <w:rFonts w:ascii="Arial" w:eastAsia="Arial" w:hAnsi="Arial" w:cs="Arial"/>
              </w:rPr>
            </w:pPr>
            <w:r>
              <w:rPr>
                <w:rFonts w:ascii="Arial" w:eastAsia="Arial" w:hAnsi="Arial" w:cs="Arial"/>
              </w:rPr>
              <w:t>The final form of food service is the assembly method, which starts with partially or prepared items that can then be slightly modified or fully p</w:t>
            </w:r>
            <w:r>
              <w:rPr>
                <w:rFonts w:ascii="Arial" w:eastAsia="Arial" w:hAnsi="Arial" w:cs="Arial"/>
              </w:rPr>
              <w:t>repared before even being served. The distribution and servicing procedures are independent of the manufacturing process. Buying salad and making it at home is the ideal illustration of this kind of food service. The two main advantages of the assembly-ser</w:t>
            </w:r>
            <w:r>
              <w:rPr>
                <w:rFonts w:ascii="Arial" w:eastAsia="Arial" w:hAnsi="Arial" w:cs="Arial"/>
              </w:rPr>
              <w:t>ve foodservice system are comparatively lower cost of equipment and lower cost of labour. The biggest problem with this approach is the apparent loss of quality, though. The success of the sector depends on these four different service systems.</w:t>
            </w:r>
          </w:p>
          <w:p w14:paraId="0242820A" w14:textId="5571A165" w:rsidR="009C0DF9" w:rsidRDefault="006E34AD">
            <w:pPr>
              <w:spacing w:line="360" w:lineRule="auto"/>
              <w:jc w:val="both"/>
              <w:rPr>
                <w:rFonts w:ascii="Arial" w:eastAsia="Arial" w:hAnsi="Arial" w:cs="Arial"/>
              </w:rPr>
            </w:pPr>
            <w:bookmarkStart w:id="0" w:name="_gjdgxs" w:colFirst="0" w:colLast="0"/>
            <w:bookmarkEnd w:id="0"/>
            <w:r>
              <w:rPr>
                <w:rFonts w:ascii="Arial" w:eastAsia="Arial" w:hAnsi="Arial" w:cs="Arial"/>
              </w:rPr>
              <w:t>The food se</w:t>
            </w:r>
            <w:r>
              <w:rPr>
                <w:rFonts w:ascii="Arial" w:eastAsia="Arial" w:hAnsi="Arial" w:cs="Arial"/>
              </w:rPr>
              <w:t xml:space="preserve">rvice system that I was engaged in was commissary food service system. In this food service system, I was responsible for serving foods and preparing the finished foods on a plate or as a platter to customers. By engaging in this commissioner food service </w:t>
            </w:r>
            <w:r>
              <w:rPr>
                <w:rFonts w:ascii="Arial" w:eastAsia="Arial" w:hAnsi="Arial" w:cs="Arial"/>
              </w:rPr>
              <w:t xml:space="preserve">system, I was able to understand their process </w:t>
            </w:r>
            <w:r>
              <w:rPr>
                <w:rFonts w:ascii="Arial" w:eastAsia="Arial" w:hAnsi="Arial" w:cs="Arial"/>
              </w:rPr>
              <w:lastRenderedPageBreak/>
              <w:t>and how they were able to effectively deliver their products to different locations as well. I also understood that the brand value of the overall food chain dependant is how good and fresh the foods were. I a</w:t>
            </w:r>
            <w:r>
              <w:rPr>
                <w:rFonts w:ascii="Arial" w:eastAsia="Arial" w:hAnsi="Arial" w:cs="Arial"/>
              </w:rPr>
              <w:t xml:space="preserve">lso worked in multiple locations </w:t>
            </w:r>
            <w:r w:rsidR="00C63BE0">
              <w:rPr>
                <w:rFonts w:ascii="Arial" w:eastAsia="Arial" w:hAnsi="Arial" w:cs="Arial"/>
              </w:rPr>
              <w:t>which</w:t>
            </w:r>
            <w:r>
              <w:rPr>
                <w:rFonts w:ascii="Arial" w:eastAsia="Arial" w:hAnsi="Arial" w:cs="Arial"/>
              </w:rPr>
              <w:t xml:space="preserve"> allowed me to also acknowledge the quality control procedure. Due to their flexibility they also very effective in modern online food delivery system. From my perspective, commissary food delivery system is not only e</w:t>
            </w:r>
            <w:r>
              <w:rPr>
                <w:rFonts w:ascii="Arial" w:eastAsia="Arial" w:hAnsi="Arial" w:cs="Arial"/>
              </w:rPr>
              <w:t>ffective but also very profitable for the business as well.</w:t>
            </w:r>
          </w:p>
        </w:tc>
      </w:tr>
    </w:tbl>
    <w:p w14:paraId="68AD2077" w14:textId="77777777" w:rsidR="009C0DF9" w:rsidRDefault="009C0DF9">
      <w:pPr>
        <w:rPr>
          <w:rFonts w:ascii="Tahoma" w:eastAsia="Tahoma" w:hAnsi="Tahoma" w:cs="Tahoma"/>
          <w:b/>
        </w:rPr>
      </w:pPr>
    </w:p>
    <w:tbl>
      <w:tblPr>
        <w:tblStyle w:val="a1"/>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10"/>
        <w:gridCol w:w="272"/>
      </w:tblGrid>
      <w:tr w:rsidR="009C0DF9" w14:paraId="058564CD" w14:textId="77777777">
        <w:tc>
          <w:tcPr>
            <w:tcW w:w="10910" w:type="dxa"/>
            <w:shd w:val="clear" w:color="auto" w:fill="FBD5B5"/>
          </w:tcPr>
          <w:p w14:paraId="54C365EC" w14:textId="77777777" w:rsidR="009C0DF9" w:rsidRDefault="006E34AD">
            <w:pPr>
              <w:rPr>
                <w:rFonts w:ascii="Tahoma" w:eastAsia="Tahoma" w:hAnsi="Tahoma" w:cs="Tahoma"/>
                <w:b/>
                <w:sz w:val="20"/>
                <w:szCs w:val="20"/>
              </w:rPr>
            </w:pPr>
            <w:r>
              <w:rPr>
                <w:rFonts w:ascii="Tahoma" w:eastAsia="Tahoma" w:hAnsi="Tahoma" w:cs="Tahoma"/>
                <w:b/>
                <w:sz w:val="20"/>
                <w:szCs w:val="20"/>
              </w:rPr>
              <w:t>REFERENCE LIST (not included in word count)</w:t>
            </w:r>
          </w:p>
        </w:tc>
        <w:tc>
          <w:tcPr>
            <w:tcW w:w="272" w:type="dxa"/>
            <w:shd w:val="clear" w:color="auto" w:fill="FBD5B5"/>
          </w:tcPr>
          <w:p w14:paraId="6729EFC4" w14:textId="77777777" w:rsidR="009C0DF9" w:rsidRDefault="009C0DF9">
            <w:pPr>
              <w:jc w:val="center"/>
              <w:rPr>
                <w:rFonts w:ascii="Tahoma" w:eastAsia="Tahoma" w:hAnsi="Tahoma" w:cs="Tahoma"/>
                <w:b/>
                <w:sz w:val="20"/>
                <w:szCs w:val="20"/>
              </w:rPr>
            </w:pPr>
          </w:p>
          <w:p w14:paraId="4EE014A9" w14:textId="77777777" w:rsidR="009C0DF9" w:rsidRDefault="009C0DF9">
            <w:pPr>
              <w:jc w:val="center"/>
              <w:rPr>
                <w:rFonts w:ascii="Tahoma" w:eastAsia="Tahoma" w:hAnsi="Tahoma" w:cs="Tahoma"/>
                <w:b/>
                <w:sz w:val="20"/>
                <w:szCs w:val="20"/>
              </w:rPr>
            </w:pPr>
          </w:p>
        </w:tc>
      </w:tr>
      <w:tr w:rsidR="009C0DF9" w14:paraId="76933D76" w14:textId="77777777">
        <w:trPr>
          <w:trHeight w:val="2494"/>
        </w:trPr>
        <w:tc>
          <w:tcPr>
            <w:tcW w:w="11182" w:type="dxa"/>
            <w:gridSpan w:val="2"/>
          </w:tcPr>
          <w:p w14:paraId="6978B1EF" w14:textId="77777777" w:rsidR="009C0DF9" w:rsidRDefault="006E34AD">
            <w:pPr>
              <w:spacing w:line="360" w:lineRule="auto"/>
              <w:jc w:val="both"/>
              <w:rPr>
                <w:rFonts w:ascii="Arial" w:eastAsia="Arial" w:hAnsi="Arial" w:cs="Arial"/>
              </w:rPr>
            </w:pPr>
            <w:r>
              <w:rPr>
                <w:rFonts w:ascii="Arial" w:eastAsia="Arial" w:hAnsi="Arial" w:cs="Arial"/>
              </w:rPr>
              <w:t>Cook, N., Collins, J., Goodwin, D. and Porter, J., 2022. A systematic review of food waste audit methods in hospital foodservices: development of a consensus pathway food waste audit tool. Journal of Human Nutrition and Dietetics, 35(1), pp.68-80.</w:t>
            </w:r>
          </w:p>
          <w:p w14:paraId="564F1722" w14:textId="77777777" w:rsidR="009C0DF9" w:rsidRDefault="006E34AD">
            <w:pPr>
              <w:spacing w:line="360" w:lineRule="auto"/>
              <w:jc w:val="both"/>
              <w:rPr>
                <w:rFonts w:ascii="Arial" w:eastAsia="Arial" w:hAnsi="Arial" w:cs="Arial"/>
              </w:rPr>
            </w:pPr>
            <w:proofErr w:type="spellStart"/>
            <w:r>
              <w:rPr>
                <w:rFonts w:ascii="Arial" w:eastAsia="Arial" w:hAnsi="Arial" w:cs="Arial"/>
              </w:rPr>
              <w:t>Kuntsche</w:t>
            </w:r>
            <w:r>
              <w:rPr>
                <w:rFonts w:ascii="Arial" w:eastAsia="Arial" w:hAnsi="Arial" w:cs="Arial"/>
              </w:rPr>
              <w:t>r</w:t>
            </w:r>
            <w:proofErr w:type="spellEnd"/>
            <w:r>
              <w:rPr>
                <w:rFonts w:ascii="Arial" w:eastAsia="Arial" w:hAnsi="Arial" w:cs="Arial"/>
              </w:rPr>
              <w:t xml:space="preserve">, M., </w:t>
            </w:r>
            <w:proofErr w:type="spellStart"/>
            <w:r>
              <w:rPr>
                <w:rFonts w:ascii="Arial" w:eastAsia="Arial" w:hAnsi="Arial" w:cs="Arial"/>
              </w:rPr>
              <w:t>Goossens</w:t>
            </w:r>
            <w:proofErr w:type="spellEnd"/>
            <w:r>
              <w:rPr>
                <w:rFonts w:ascii="Arial" w:eastAsia="Arial" w:hAnsi="Arial" w:cs="Arial"/>
              </w:rPr>
              <w:t xml:space="preserve">, Y. and Schmidt, T., 2022. Food waste reduction in the food services sector–practical recommendations for courses of action. </w:t>
            </w:r>
            <w:proofErr w:type="spellStart"/>
            <w:r>
              <w:rPr>
                <w:rFonts w:ascii="Arial" w:eastAsia="Arial" w:hAnsi="Arial" w:cs="Arial"/>
              </w:rPr>
              <w:t>Ernährungs</w:t>
            </w:r>
            <w:proofErr w:type="spellEnd"/>
            <w:r>
              <w:rPr>
                <w:rFonts w:ascii="Arial" w:eastAsia="Arial" w:hAnsi="Arial" w:cs="Arial"/>
              </w:rPr>
              <w:t xml:space="preserve"> </w:t>
            </w:r>
            <w:proofErr w:type="spellStart"/>
            <w:r>
              <w:rPr>
                <w:rFonts w:ascii="Arial" w:eastAsia="Arial" w:hAnsi="Arial" w:cs="Arial"/>
              </w:rPr>
              <w:t>Umschau</w:t>
            </w:r>
            <w:proofErr w:type="spellEnd"/>
            <w:r>
              <w:rPr>
                <w:rFonts w:ascii="Arial" w:eastAsia="Arial" w:hAnsi="Arial" w:cs="Arial"/>
              </w:rPr>
              <w:t>, 69(2), pp.18-23.</w:t>
            </w:r>
          </w:p>
          <w:p w14:paraId="3337501D" w14:textId="77777777" w:rsidR="009C0DF9" w:rsidRDefault="006E34AD">
            <w:pPr>
              <w:spacing w:line="360" w:lineRule="auto"/>
              <w:jc w:val="both"/>
              <w:rPr>
                <w:rFonts w:ascii="Arial" w:eastAsia="Arial" w:hAnsi="Arial" w:cs="Arial"/>
              </w:rPr>
            </w:pPr>
            <w:r>
              <w:rPr>
                <w:rFonts w:ascii="Arial" w:eastAsia="Arial" w:hAnsi="Arial" w:cs="Arial"/>
              </w:rPr>
              <w:t>Goddard, E., 2020. The impact of COVID</w:t>
            </w:r>
            <w:r>
              <w:rPr>
                <w:rFonts w:ascii="Cambria Math" w:eastAsia="Cambria Math" w:hAnsi="Cambria Math" w:cs="Cambria Math"/>
              </w:rPr>
              <w:t>‐</w:t>
            </w:r>
            <w:r>
              <w:rPr>
                <w:rFonts w:ascii="Arial" w:eastAsia="Arial" w:hAnsi="Arial" w:cs="Arial"/>
              </w:rPr>
              <w:t>19 on food retail and food service in C</w:t>
            </w:r>
            <w:r>
              <w:rPr>
                <w:rFonts w:ascii="Arial" w:eastAsia="Arial" w:hAnsi="Arial" w:cs="Arial"/>
              </w:rPr>
              <w:t xml:space="preserve">anada: Preliminary assessment. Canadian Journal of Agricultural Economics/Revue </w:t>
            </w:r>
            <w:proofErr w:type="spellStart"/>
            <w:r>
              <w:rPr>
                <w:rFonts w:ascii="Arial" w:eastAsia="Arial" w:hAnsi="Arial" w:cs="Arial"/>
              </w:rPr>
              <w:t>canadienne</w:t>
            </w:r>
            <w:proofErr w:type="spellEnd"/>
            <w:r>
              <w:rPr>
                <w:rFonts w:ascii="Arial" w:eastAsia="Arial" w:hAnsi="Arial" w:cs="Arial"/>
              </w:rPr>
              <w:t xml:space="preserve"> </w:t>
            </w:r>
            <w:proofErr w:type="spellStart"/>
            <w:r>
              <w:rPr>
                <w:rFonts w:ascii="Arial" w:eastAsia="Arial" w:hAnsi="Arial" w:cs="Arial"/>
              </w:rPr>
              <w:t>d'agroeconomie</w:t>
            </w:r>
            <w:proofErr w:type="spellEnd"/>
            <w:r>
              <w:rPr>
                <w:rFonts w:ascii="Arial" w:eastAsia="Arial" w:hAnsi="Arial" w:cs="Arial"/>
              </w:rPr>
              <w:t>.</w:t>
            </w:r>
          </w:p>
          <w:p w14:paraId="6C093D6D" w14:textId="77777777" w:rsidR="009C0DF9" w:rsidRDefault="006E34AD">
            <w:pPr>
              <w:spacing w:line="360" w:lineRule="auto"/>
              <w:jc w:val="both"/>
              <w:rPr>
                <w:rFonts w:ascii="Arial" w:eastAsia="Arial" w:hAnsi="Arial" w:cs="Arial"/>
              </w:rPr>
            </w:pPr>
            <w:r>
              <w:rPr>
                <w:rFonts w:ascii="Arial" w:eastAsia="Arial" w:hAnsi="Arial" w:cs="Arial"/>
              </w:rPr>
              <w:t xml:space="preserve">Van </w:t>
            </w:r>
            <w:proofErr w:type="spellStart"/>
            <w:r>
              <w:rPr>
                <w:rFonts w:ascii="Arial" w:eastAsia="Arial" w:hAnsi="Arial" w:cs="Arial"/>
              </w:rPr>
              <w:t>Berkum</w:t>
            </w:r>
            <w:proofErr w:type="spellEnd"/>
            <w:r>
              <w:rPr>
                <w:rFonts w:ascii="Arial" w:eastAsia="Arial" w:hAnsi="Arial" w:cs="Arial"/>
              </w:rPr>
              <w:t xml:space="preserve">, S., </w:t>
            </w:r>
            <w:proofErr w:type="spellStart"/>
            <w:r>
              <w:rPr>
                <w:rFonts w:ascii="Arial" w:eastAsia="Arial" w:hAnsi="Arial" w:cs="Arial"/>
              </w:rPr>
              <w:t>Dengerink</w:t>
            </w:r>
            <w:proofErr w:type="spellEnd"/>
            <w:r>
              <w:rPr>
                <w:rFonts w:ascii="Arial" w:eastAsia="Arial" w:hAnsi="Arial" w:cs="Arial"/>
              </w:rPr>
              <w:t>, J. and Ruben, R., 2018. The food systems approach: sustainable solutions for a sufficient supply of healthy food (No. 2018</w:t>
            </w:r>
            <w:r>
              <w:rPr>
                <w:rFonts w:ascii="Arial" w:eastAsia="Arial" w:hAnsi="Arial" w:cs="Arial"/>
              </w:rPr>
              <w:t>-064). Wageningen Economic Research.</w:t>
            </w:r>
          </w:p>
          <w:p w14:paraId="39867715" w14:textId="77777777" w:rsidR="009C0DF9" w:rsidRDefault="006E34AD">
            <w:pPr>
              <w:spacing w:line="360" w:lineRule="auto"/>
              <w:jc w:val="both"/>
              <w:rPr>
                <w:rFonts w:ascii="Arial" w:eastAsia="Arial" w:hAnsi="Arial" w:cs="Arial"/>
              </w:rPr>
            </w:pPr>
            <w:r>
              <w:rPr>
                <w:rFonts w:ascii="Arial" w:eastAsia="Arial" w:hAnsi="Arial" w:cs="Arial"/>
              </w:rPr>
              <w:t>Hobbs, J.E., 2020. Food supply chains during the COVID</w:t>
            </w:r>
            <w:r>
              <w:rPr>
                <w:rFonts w:ascii="Cambria Math" w:eastAsia="Cambria Math" w:hAnsi="Cambria Math" w:cs="Cambria Math"/>
              </w:rPr>
              <w:t>‐</w:t>
            </w:r>
            <w:r>
              <w:rPr>
                <w:rFonts w:ascii="Arial" w:eastAsia="Arial" w:hAnsi="Arial" w:cs="Arial"/>
              </w:rPr>
              <w:t xml:space="preserve">19 pandemic. Canadian Journal of Agricultural Economics/Revue </w:t>
            </w:r>
            <w:proofErr w:type="spellStart"/>
            <w:r>
              <w:rPr>
                <w:rFonts w:ascii="Arial" w:eastAsia="Arial" w:hAnsi="Arial" w:cs="Arial"/>
              </w:rPr>
              <w:t>canadienne</w:t>
            </w:r>
            <w:proofErr w:type="spellEnd"/>
            <w:r>
              <w:rPr>
                <w:rFonts w:ascii="Arial" w:eastAsia="Arial" w:hAnsi="Arial" w:cs="Arial"/>
              </w:rPr>
              <w:t xml:space="preserve"> </w:t>
            </w:r>
            <w:proofErr w:type="spellStart"/>
            <w:r>
              <w:rPr>
                <w:rFonts w:ascii="Arial" w:eastAsia="Arial" w:hAnsi="Arial" w:cs="Arial"/>
              </w:rPr>
              <w:t>d'agroeconomie</w:t>
            </w:r>
            <w:proofErr w:type="spellEnd"/>
            <w:r>
              <w:rPr>
                <w:rFonts w:ascii="Arial" w:eastAsia="Arial" w:hAnsi="Arial" w:cs="Arial"/>
              </w:rPr>
              <w:t>, 68(2), pp.171-176.</w:t>
            </w:r>
          </w:p>
        </w:tc>
      </w:tr>
    </w:tbl>
    <w:p w14:paraId="09A9DA19" w14:textId="77777777" w:rsidR="009C0DF9" w:rsidRDefault="009C0DF9">
      <w:pPr>
        <w:rPr>
          <w:rFonts w:ascii="Tahoma" w:eastAsia="Tahoma" w:hAnsi="Tahoma" w:cs="Tahoma"/>
          <w:b/>
        </w:rPr>
      </w:pPr>
    </w:p>
    <w:p w14:paraId="542098DE" w14:textId="77777777" w:rsidR="009C0DF9" w:rsidRDefault="009C0DF9">
      <w:pPr>
        <w:rPr>
          <w:rFonts w:ascii="Tahoma" w:eastAsia="Tahoma" w:hAnsi="Tahoma" w:cs="Tahoma"/>
          <w:b/>
        </w:rPr>
      </w:pPr>
    </w:p>
    <w:p w14:paraId="019567CD" w14:textId="77777777" w:rsidR="009C0DF9" w:rsidRDefault="009C0DF9">
      <w:pPr>
        <w:rPr>
          <w:rFonts w:ascii="Tahoma" w:eastAsia="Tahoma" w:hAnsi="Tahoma" w:cs="Tahoma"/>
          <w:b/>
        </w:rPr>
      </w:pPr>
    </w:p>
    <w:p w14:paraId="5BBBCD35" w14:textId="77777777" w:rsidR="009C0DF9" w:rsidRDefault="009C0DF9">
      <w:pPr>
        <w:rPr>
          <w:rFonts w:ascii="Tahoma" w:eastAsia="Tahoma" w:hAnsi="Tahoma" w:cs="Tahoma"/>
          <w:b/>
        </w:rPr>
      </w:pPr>
    </w:p>
    <w:p w14:paraId="4EBC4AC3" w14:textId="77777777" w:rsidR="009C0DF9" w:rsidRDefault="009C0DF9">
      <w:pPr>
        <w:rPr>
          <w:rFonts w:ascii="Tahoma" w:eastAsia="Tahoma" w:hAnsi="Tahoma" w:cs="Tahoma"/>
          <w:b/>
        </w:rPr>
      </w:pPr>
    </w:p>
    <w:p w14:paraId="288CFE59" w14:textId="77777777" w:rsidR="009C0DF9" w:rsidRDefault="009C0DF9">
      <w:pPr>
        <w:rPr>
          <w:rFonts w:ascii="Tahoma" w:eastAsia="Tahoma" w:hAnsi="Tahoma" w:cs="Tahoma"/>
          <w:b/>
        </w:rPr>
      </w:pPr>
    </w:p>
    <w:p w14:paraId="44065833" w14:textId="77777777" w:rsidR="009C0DF9" w:rsidRDefault="009C0DF9">
      <w:pPr>
        <w:rPr>
          <w:rFonts w:ascii="Tahoma" w:eastAsia="Tahoma" w:hAnsi="Tahoma" w:cs="Tahoma"/>
          <w:b/>
        </w:rPr>
      </w:pPr>
    </w:p>
    <w:sectPr w:rsidR="009C0DF9">
      <w:headerReference w:type="default" r:id="rId7"/>
      <w:footerReference w:type="default" r:id="rId8"/>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F2129" w14:textId="77777777" w:rsidR="00000000" w:rsidRDefault="006E34AD">
      <w:r>
        <w:separator/>
      </w:r>
    </w:p>
  </w:endnote>
  <w:endnote w:type="continuationSeparator" w:id="0">
    <w:p w14:paraId="467141D9" w14:textId="77777777" w:rsidR="00000000" w:rsidRDefault="006E3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24B2E" w14:textId="77777777" w:rsidR="009C0DF9" w:rsidRDefault="006E34AD">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482FBD">
      <w:rPr>
        <w:noProof/>
        <w:color w:val="000000"/>
      </w:rPr>
      <w:t>1</w:t>
    </w:r>
    <w:r>
      <w:rPr>
        <w:color w:val="000000"/>
      </w:rPr>
      <w:fldChar w:fldCharType="end"/>
    </w:r>
  </w:p>
  <w:p w14:paraId="4C9ACC66" w14:textId="77777777" w:rsidR="009C0DF9" w:rsidRDefault="009C0DF9">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27B63" w14:textId="77777777" w:rsidR="00000000" w:rsidRDefault="006E34AD">
      <w:r>
        <w:separator/>
      </w:r>
    </w:p>
  </w:footnote>
  <w:footnote w:type="continuationSeparator" w:id="0">
    <w:p w14:paraId="05A6995B" w14:textId="77777777" w:rsidR="00000000" w:rsidRDefault="006E3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B13E4" w14:textId="77777777" w:rsidR="009C0DF9" w:rsidRDefault="006E34AD">
    <w:pPr>
      <w:pBdr>
        <w:top w:val="nil"/>
        <w:left w:val="nil"/>
        <w:bottom w:val="nil"/>
        <w:right w:val="nil"/>
        <w:between w:val="nil"/>
      </w:pBdr>
      <w:tabs>
        <w:tab w:val="center" w:pos="4153"/>
        <w:tab w:val="right" w:pos="8306"/>
      </w:tabs>
      <w:jc w:val="right"/>
      <w:rPr>
        <w:rFonts w:ascii="Calibri" w:eastAsia="Calibri" w:hAnsi="Calibri" w:cs="Calibri"/>
        <w:color w:val="000000"/>
      </w:rPr>
    </w:pPr>
    <w:r>
      <w:rPr>
        <w:rFonts w:ascii="Calibri" w:eastAsia="Calibri" w:hAnsi="Calibri" w:cs="Calibri"/>
        <w:noProof/>
        <w:color w:val="000000"/>
      </w:rPr>
      <w:drawing>
        <wp:anchor distT="0" distB="0" distL="114300" distR="114300" simplePos="0" relativeHeight="251658240" behindDoc="0" locked="0" layoutInCell="1" hidden="0" allowOverlap="1" wp14:anchorId="0EF3D258" wp14:editId="3AD927C0">
          <wp:simplePos x="0" y="0"/>
          <wp:positionH relativeFrom="margin">
            <wp:posOffset>1380</wp:posOffset>
          </wp:positionH>
          <wp:positionV relativeFrom="margin">
            <wp:posOffset>-357614</wp:posOffset>
          </wp:positionV>
          <wp:extent cx="2303780" cy="765175"/>
          <wp:effectExtent l="0" t="0" r="0" b="0"/>
          <wp:wrapSquare wrapText="bothSides" distT="0" distB="0" distL="114300" distR="114300"/>
          <wp:docPr id="1" name="image1.png" descr="uwtsd-logo-bilingual"/>
          <wp:cNvGraphicFramePr/>
          <a:graphic xmlns:a="http://schemas.openxmlformats.org/drawingml/2006/main">
            <a:graphicData uri="http://schemas.openxmlformats.org/drawingml/2006/picture">
              <pic:pic xmlns:pic="http://schemas.openxmlformats.org/drawingml/2006/picture">
                <pic:nvPicPr>
                  <pic:cNvPr id="0" name="image1.png" descr="uwtsd-logo-bilingual"/>
                  <pic:cNvPicPr preferRelativeResize="0"/>
                </pic:nvPicPr>
                <pic:blipFill>
                  <a:blip r:embed="rId1"/>
                  <a:srcRect/>
                  <a:stretch>
                    <a:fillRect/>
                  </a:stretch>
                </pic:blipFill>
                <pic:spPr>
                  <a:xfrm>
                    <a:off x="0" y="0"/>
                    <a:ext cx="2303780" cy="765175"/>
                  </a:xfrm>
                  <a:prstGeom prst="rect">
                    <a:avLst/>
                  </a:prstGeom>
                  <a:ln/>
                </pic:spPr>
              </pic:pic>
            </a:graphicData>
          </a:graphic>
        </wp:anchor>
      </w:drawing>
    </w:r>
    <w:r>
      <w:rPr>
        <w:rFonts w:ascii="Calibri" w:eastAsia="Calibri" w:hAnsi="Calibri" w:cs="Calibri"/>
        <w:color w:val="000000"/>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FE34F8"/>
    <w:multiLevelType w:val="multilevel"/>
    <w:tmpl w:val="B3C07E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505443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DF9"/>
    <w:rsid w:val="00482FBD"/>
    <w:rsid w:val="006E34AD"/>
    <w:rsid w:val="009C0DF9"/>
    <w:rsid w:val="00C63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0CF5B1"/>
  <w15:docId w15:val="{E7104C38-846B-9349-A2D4-F5F93292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1104</Words>
  <Characters>6295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Nadeige Lewis (2126427)</cp:lastModifiedBy>
  <cp:revision>2</cp:revision>
  <dcterms:created xsi:type="dcterms:W3CDTF">2022-10-28T17:42:00Z</dcterms:created>
  <dcterms:modified xsi:type="dcterms:W3CDTF">2022-10-28T17:42:00Z</dcterms:modified>
</cp:coreProperties>
</file>