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F364C" w14:textId="77777777" w:rsidR="00345A18" w:rsidRDefault="00345A18">
      <w:pPr>
        <w:spacing w:line="360" w:lineRule="auto"/>
        <w:jc w:val="both"/>
        <w:rPr>
          <w:rFonts w:ascii="Arial" w:hAnsi="Arial" w:cs="Arial"/>
        </w:rPr>
      </w:pPr>
    </w:p>
    <w:p w14:paraId="6892F453" w14:textId="77777777" w:rsidR="00345A18" w:rsidRDefault="00000000">
      <w:pPr>
        <w:spacing w:line="360" w:lineRule="auto"/>
        <w:jc w:val="both"/>
      </w:pPr>
      <w:r>
        <w:rPr>
          <w:rFonts w:ascii="Arial" w:hAnsi="Arial" w:cs="Arial"/>
          <w:b/>
          <w:bCs/>
          <w:noProof/>
        </w:rPr>
        <w:drawing>
          <wp:anchor distT="0" distB="0" distL="114300" distR="114300" simplePos="0" relativeHeight="251659264" behindDoc="0" locked="0" layoutInCell="1" allowOverlap="1" wp14:anchorId="6FE6E795" wp14:editId="084F28C8">
            <wp:simplePos x="0" y="0"/>
            <wp:positionH relativeFrom="column">
              <wp:align>left</wp:align>
            </wp:positionH>
            <wp:positionV relativeFrom="paragraph">
              <wp:align>top</wp:align>
            </wp:positionV>
            <wp:extent cx="2209803" cy="742950"/>
            <wp:effectExtent l="0" t="0" r="0" b="0"/>
            <wp:wrapSquare wrapText="bothSides"/>
            <wp:docPr id="1290295031"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09803" cy="742950"/>
                    </a:xfrm>
                    <a:prstGeom prst="rect">
                      <a:avLst/>
                    </a:prstGeom>
                    <a:noFill/>
                    <a:ln>
                      <a:noFill/>
                      <a:prstDash/>
                    </a:ln>
                  </pic:spPr>
                </pic:pic>
              </a:graphicData>
            </a:graphic>
          </wp:anchor>
        </w:drawing>
      </w:r>
      <w:r>
        <w:rPr>
          <w:rFonts w:ascii="Arial" w:hAnsi="Arial" w:cs="Arial"/>
        </w:rPr>
        <w:br/>
      </w:r>
    </w:p>
    <w:p w14:paraId="68B3F183" w14:textId="77777777" w:rsidR="00345A18" w:rsidRDefault="00345A18">
      <w:pPr>
        <w:spacing w:line="360" w:lineRule="auto"/>
        <w:jc w:val="both"/>
        <w:rPr>
          <w:rFonts w:ascii="Arial" w:hAnsi="Arial" w:cs="Arial"/>
        </w:rPr>
      </w:pPr>
    </w:p>
    <w:p w14:paraId="5A4514DE" w14:textId="77777777" w:rsidR="00345A18" w:rsidRDefault="00000000">
      <w:pPr>
        <w:spacing w:line="360" w:lineRule="auto"/>
        <w:rPr>
          <w:rFonts w:ascii="Arial" w:hAnsi="Arial" w:cs="Arial"/>
          <w:sz w:val="22"/>
          <w:szCs w:val="22"/>
        </w:rPr>
      </w:pPr>
      <w:r>
        <w:rPr>
          <w:rFonts w:ascii="Arial" w:hAnsi="Arial" w:cs="Arial"/>
          <w:sz w:val="22"/>
          <w:szCs w:val="22"/>
        </w:rPr>
        <w:t>Applied Leadership and Management in the Workplace</w:t>
      </w:r>
      <w:r>
        <w:rPr>
          <w:rFonts w:ascii="Arial" w:hAnsi="Arial" w:cs="Arial"/>
          <w:sz w:val="22"/>
          <w:szCs w:val="22"/>
        </w:rPr>
        <w:br/>
        <w:t xml:space="preserve">Module Assignment Submission </w:t>
      </w:r>
      <w:r>
        <w:rPr>
          <w:rFonts w:ascii="Arial" w:hAnsi="Arial" w:cs="Arial"/>
          <w:sz w:val="22"/>
          <w:szCs w:val="22"/>
        </w:rPr>
        <w:br/>
      </w:r>
      <w:r>
        <w:rPr>
          <w:rFonts w:ascii="Arial" w:hAnsi="Arial" w:cs="Arial"/>
          <w:sz w:val="22"/>
          <w:szCs w:val="22"/>
        </w:rPr>
        <w:br/>
      </w:r>
    </w:p>
    <w:tbl>
      <w:tblPr>
        <w:tblW w:w="8784" w:type="dxa"/>
        <w:tblCellMar>
          <w:left w:w="10" w:type="dxa"/>
          <w:right w:w="10" w:type="dxa"/>
        </w:tblCellMar>
        <w:tblLook w:val="0000" w:firstRow="0" w:lastRow="0" w:firstColumn="0" w:lastColumn="0" w:noHBand="0" w:noVBand="0"/>
      </w:tblPr>
      <w:tblGrid>
        <w:gridCol w:w="2016"/>
        <w:gridCol w:w="6768"/>
      </w:tblGrid>
      <w:tr w:rsidR="00345A18" w14:paraId="46425768" w14:textId="77777777">
        <w:tblPrEx>
          <w:tblCellMar>
            <w:top w:w="0" w:type="dxa"/>
            <w:bottom w:w="0" w:type="dxa"/>
          </w:tblCellMar>
        </w:tblPrEx>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273E602B" w14:textId="77777777" w:rsidR="00345A18" w:rsidRDefault="00000000">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EFC0B18" w14:textId="77777777" w:rsidR="00345A18" w:rsidRDefault="00000000">
            <w:pPr>
              <w:spacing w:line="360" w:lineRule="auto"/>
              <w:jc w:val="both"/>
              <w:rPr>
                <w:rFonts w:ascii="Arial" w:hAnsi="Arial" w:cs="Arial"/>
              </w:rPr>
            </w:pPr>
            <w:r>
              <w:rPr>
                <w:rFonts w:ascii="Arial" w:hAnsi="Arial" w:cs="Arial"/>
              </w:rPr>
              <w:t>Kelly Keefe </w:t>
            </w:r>
          </w:p>
        </w:tc>
      </w:tr>
      <w:tr w:rsidR="00345A18" w14:paraId="6C04D4A0" w14:textId="77777777">
        <w:tblPrEx>
          <w:tblCellMar>
            <w:top w:w="0" w:type="dxa"/>
            <w:bottom w:w="0" w:type="dxa"/>
          </w:tblCellMar>
        </w:tblPrEx>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A2019C1" w14:textId="77777777" w:rsidR="00345A18" w:rsidRDefault="00000000">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C88ED4F" w14:textId="77777777" w:rsidR="00345A18" w:rsidRDefault="00000000">
            <w:pPr>
              <w:spacing w:line="360" w:lineRule="auto"/>
              <w:jc w:val="both"/>
              <w:rPr>
                <w:rFonts w:ascii="Arial" w:hAnsi="Arial" w:cs="Arial"/>
              </w:rPr>
            </w:pPr>
            <w:r>
              <w:rPr>
                <w:rFonts w:ascii="Arial" w:hAnsi="Arial" w:cs="Arial"/>
              </w:rPr>
              <w:t>2318120</w:t>
            </w:r>
          </w:p>
        </w:tc>
      </w:tr>
      <w:tr w:rsidR="00345A18" w14:paraId="2C9B190C" w14:textId="77777777">
        <w:tblPrEx>
          <w:tblCellMar>
            <w:top w:w="0" w:type="dxa"/>
            <w:bottom w:w="0" w:type="dxa"/>
          </w:tblCellMar>
        </w:tblPrEx>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105DF1AB" w14:textId="77777777" w:rsidR="00345A18" w:rsidRDefault="00000000">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F0CE431" w14:textId="77777777" w:rsidR="00345A18" w:rsidRDefault="00000000">
            <w:pPr>
              <w:spacing w:line="360" w:lineRule="auto"/>
              <w:jc w:val="both"/>
              <w:rPr>
                <w:rFonts w:ascii="Arial" w:hAnsi="Arial" w:cs="Arial"/>
              </w:rPr>
            </w:pPr>
            <w:r>
              <w:rPr>
                <w:rFonts w:ascii="Arial" w:hAnsi="Arial" w:cs="Arial"/>
              </w:rPr>
              <w:t>BMSK5010</w:t>
            </w:r>
          </w:p>
        </w:tc>
      </w:tr>
      <w:tr w:rsidR="00345A18" w14:paraId="5A8A701A" w14:textId="77777777">
        <w:tblPrEx>
          <w:tblCellMar>
            <w:top w:w="0" w:type="dxa"/>
            <w:bottom w:w="0" w:type="dxa"/>
          </w:tblCellMar>
        </w:tblPrEx>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551CB4E7" w14:textId="77777777" w:rsidR="00345A18" w:rsidRDefault="00000000">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954F010" w14:textId="77777777" w:rsidR="00345A18" w:rsidRDefault="00000000">
            <w:pPr>
              <w:spacing w:line="360" w:lineRule="auto"/>
              <w:jc w:val="both"/>
              <w:rPr>
                <w:rFonts w:ascii="Arial" w:hAnsi="Arial" w:cs="Arial"/>
              </w:rPr>
            </w:pPr>
            <w:r>
              <w:rPr>
                <w:rFonts w:ascii="Arial" w:hAnsi="Arial" w:cs="Arial"/>
              </w:rPr>
              <w:t xml:space="preserve">Developing the Learning Organisation </w:t>
            </w:r>
          </w:p>
        </w:tc>
      </w:tr>
    </w:tbl>
    <w:p w14:paraId="0BFB6A91" w14:textId="77777777" w:rsidR="00345A18" w:rsidRDefault="00345A18">
      <w:pPr>
        <w:spacing w:line="360" w:lineRule="auto"/>
        <w:jc w:val="both"/>
        <w:rPr>
          <w:rFonts w:ascii="Arial" w:hAnsi="Arial" w:cs="Arial"/>
        </w:rPr>
      </w:pPr>
    </w:p>
    <w:p w14:paraId="4733FD57" w14:textId="77777777" w:rsidR="00345A18" w:rsidRDefault="00000000">
      <w:pPr>
        <w:spacing w:line="360" w:lineRule="auto"/>
        <w:jc w:val="both"/>
      </w:pPr>
      <w:r>
        <w:rPr>
          <w:rFonts w:ascii="Arial" w:hAnsi="Arial" w:cs="Arial"/>
          <w:b/>
          <w:bCs/>
        </w:rPr>
        <w:t>Statement of Confirmation of Authenticity</w:t>
      </w:r>
    </w:p>
    <w:p w14:paraId="308AC314" w14:textId="77777777" w:rsidR="00345A18" w:rsidRDefault="00000000">
      <w:pPr>
        <w:spacing w:line="360" w:lineRule="auto"/>
        <w:jc w:val="both"/>
        <w:rPr>
          <w:rFonts w:ascii="Arial" w:hAnsi="Arial" w:cs="Arial"/>
          <w:sz w:val="22"/>
          <w:szCs w:val="22"/>
        </w:rPr>
      </w:pPr>
      <w:r>
        <w:rPr>
          <w:rFonts w:ascii="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66AB340" w14:textId="77777777" w:rsidR="00345A18" w:rsidRDefault="00000000">
      <w:pPr>
        <w:spacing w:line="360" w:lineRule="auto"/>
        <w:jc w:val="both"/>
        <w:rPr>
          <w:rFonts w:ascii="Arial" w:hAnsi="Arial" w:cs="Arial"/>
          <w:sz w:val="22"/>
          <w:szCs w:val="22"/>
        </w:rPr>
      </w:pPr>
      <w:r>
        <w:rPr>
          <w:rFonts w:ascii="Arial" w:hAnsi="Arial" w:cs="Arial"/>
          <w:sz w:val="22"/>
          <w:szCs w:val="22"/>
        </w:rPr>
        <w:t>Attention is drawn to the plagiarism and unfair practice policies of both the University and of ILM.</w:t>
      </w:r>
    </w:p>
    <w:p w14:paraId="566B880C" w14:textId="77777777" w:rsidR="00345A18" w:rsidRDefault="00000000">
      <w:pPr>
        <w:rPr>
          <w:rFonts w:ascii="Arial" w:hAnsi="Arial" w:cs="Arial"/>
        </w:rPr>
      </w:pPr>
      <w:r>
        <w:rPr>
          <w:rFonts w:ascii="Arial" w:hAnsi="Arial" w:cs="Arial"/>
        </w:rPr>
        <w:br/>
      </w:r>
    </w:p>
    <w:p w14:paraId="764F207A" w14:textId="77777777" w:rsidR="00345A18" w:rsidRDefault="00345A18">
      <w:pPr>
        <w:rPr>
          <w:rFonts w:ascii="Arial" w:hAnsi="Arial" w:cs="Arial"/>
        </w:rPr>
      </w:pPr>
    </w:p>
    <w:p w14:paraId="549DECA5" w14:textId="77777777" w:rsidR="00345A18" w:rsidRDefault="00345A18">
      <w:pPr>
        <w:rPr>
          <w:rFonts w:ascii="Arial" w:hAnsi="Arial" w:cs="Arial"/>
        </w:rPr>
      </w:pPr>
    </w:p>
    <w:p w14:paraId="498C4763" w14:textId="77777777" w:rsidR="00345A18" w:rsidRDefault="00345A18">
      <w:pPr>
        <w:rPr>
          <w:rFonts w:ascii="Arial" w:hAnsi="Arial" w:cs="Arial"/>
        </w:rPr>
      </w:pPr>
    </w:p>
    <w:p w14:paraId="259B8BD1" w14:textId="77777777" w:rsidR="00345A18" w:rsidRDefault="00345A18">
      <w:pPr>
        <w:rPr>
          <w:rFonts w:ascii="Arial" w:hAnsi="Arial" w:cs="Arial"/>
        </w:rPr>
      </w:pPr>
    </w:p>
    <w:p w14:paraId="5B4F8526" w14:textId="77777777" w:rsidR="00345A18" w:rsidRDefault="00345A18">
      <w:pPr>
        <w:rPr>
          <w:rFonts w:ascii="Arial" w:hAnsi="Arial" w:cs="Arial"/>
        </w:rPr>
      </w:pPr>
    </w:p>
    <w:p w14:paraId="14B3F3CD" w14:textId="77777777" w:rsidR="00345A18" w:rsidRDefault="00345A18">
      <w:pPr>
        <w:rPr>
          <w:rFonts w:ascii="Arial" w:hAnsi="Arial" w:cs="Arial"/>
        </w:rPr>
      </w:pPr>
    </w:p>
    <w:p w14:paraId="569CAFA7" w14:textId="77777777" w:rsidR="00345A18" w:rsidRDefault="00345A18">
      <w:pPr>
        <w:rPr>
          <w:rFonts w:ascii="Arial" w:hAnsi="Arial" w:cs="Arial"/>
        </w:rPr>
      </w:pPr>
    </w:p>
    <w:p w14:paraId="540B6BA3" w14:textId="77777777" w:rsidR="00345A18" w:rsidRDefault="00345A18">
      <w:pPr>
        <w:rPr>
          <w:rFonts w:ascii="Arial" w:hAnsi="Arial" w:cs="Arial"/>
        </w:rPr>
      </w:pPr>
    </w:p>
    <w:p w14:paraId="552D417A" w14:textId="77777777" w:rsidR="00345A18" w:rsidRDefault="00345A18">
      <w:pPr>
        <w:rPr>
          <w:rFonts w:ascii="Arial" w:hAnsi="Arial" w:cs="Arial"/>
        </w:rPr>
      </w:pPr>
    </w:p>
    <w:p w14:paraId="4435C96D" w14:textId="77777777" w:rsidR="00345A18" w:rsidRDefault="00345A18">
      <w:pPr>
        <w:rPr>
          <w:rFonts w:ascii="Arial" w:hAnsi="Arial" w:cs="Arial"/>
        </w:rPr>
      </w:pPr>
    </w:p>
    <w:p w14:paraId="5E7D27D9" w14:textId="77777777" w:rsidR="00345A18" w:rsidRDefault="00345A18">
      <w:pPr>
        <w:rPr>
          <w:rFonts w:ascii="Arial" w:hAnsi="Arial" w:cs="Arial"/>
        </w:rPr>
      </w:pPr>
    </w:p>
    <w:p w14:paraId="026E9417" w14:textId="77777777" w:rsidR="00345A18" w:rsidRDefault="00345A18">
      <w:pPr>
        <w:rPr>
          <w:rFonts w:ascii="Arial" w:hAnsi="Arial" w:cs="Arial"/>
        </w:rPr>
      </w:pPr>
    </w:p>
    <w:p w14:paraId="6733EB2E" w14:textId="77777777" w:rsidR="00345A18" w:rsidRDefault="00345A18">
      <w:pPr>
        <w:rPr>
          <w:rFonts w:ascii="Arial" w:hAnsi="Arial" w:cs="Arial"/>
        </w:rPr>
      </w:pPr>
    </w:p>
    <w:p w14:paraId="4DD21FBA" w14:textId="77777777" w:rsidR="00345A18" w:rsidRDefault="00345A18">
      <w:pPr>
        <w:rPr>
          <w:rFonts w:ascii="Arial" w:hAnsi="Arial" w:cs="Arial"/>
        </w:rPr>
      </w:pPr>
    </w:p>
    <w:p w14:paraId="1117EF26" w14:textId="77777777" w:rsidR="00345A18" w:rsidRDefault="00345A18">
      <w:pPr>
        <w:rPr>
          <w:rFonts w:ascii="Arial" w:hAnsi="Arial" w:cs="Arial"/>
        </w:rPr>
      </w:pPr>
    </w:p>
    <w:p w14:paraId="5E3E50B5" w14:textId="79720D04" w:rsidR="00345A18" w:rsidRDefault="006537E0">
      <w:pPr>
        <w:rPr>
          <w:rFonts w:ascii="Arial" w:hAnsi="Arial" w:cs="Arial"/>
        </w:rPr>
      </w:pPr>
      <w:r>
        <w:rPr>
          <w:rFonts w:ascii="Arial" w:hAnsi="Arial" w:cs="Arial"/>
        </w:rPr>
        <w:t>Critically assess against organisation</w:t>
      </w:r>
    </w:p>
    <w:p w14:paraId="35A9C081" w14:textId="5FF8C913" w:rsidR="006537E0" w:rsidRDefault="006537E0">
      <w:pPr>
        <w:rPr>
          <w:rFonts w:ascii="Arial" w:hAnsi="Arial" w:cs="Arial"/>
        </w:rPr>
      </w:pPr>
      <w:r>
        <w:rPr>
          <w:rFonts w:ascii="Arial" w:hAnsi="Arial" w:cs="Arial"/>
        </w:rPr>
        <w:t xml:space="preserve">Manage individual </w:t>
      </w:r>
    </w:p>
    <w:p w14:paraId="45E37914" w14:textId="251B3A87" w:rsidR="006537E0" w:rsidRDefault="006537E0">
      <w:pPr>
        <w:rPr>
          <w:rFonts w:ascii="Arial" w:hAnsi="Arial" w:cs="Arial"/>
        </w:rPr>
      </w:pPr>
      <w:r>
        <w:rPr>
          <w:rFonts w:ascii="Arial" w:hAnsi="Arial" w:cs="Arial"/>
        </w:rPr>
        <w:t>Critically evaluate models etc and tools to use</w:t>
      </w:r>
    </w:p>
    <w:p w14:paraId="5E8EDE1A" w14:textId="122357A0" w:rsidR="006537E0" w:rsidRDefault="006537E0">
      <w:pPr>
        <w:rPr>
          <w:rFonts w:ascii="Arial" w:hAnsi="Arial" w:cs="Arial"/>
        </w:rPr>
      </w:pPr>
      <w:r>
        <w:rPr>
          <w:rFonts w:ascii="Arial" w:hAnsi="Arial" w:cs="Arial"/>
        </w:rPr>
        <w:t xml:space="preserve">People developing haven’t got the skills set, if they react with emotions. </w:t>
      </w:r>
    </w:p>
    <w:p w14:paraId="17AB09AC" w14:textId="77777777" w:rsidR="00345A18" w:rsidRDefault="00345A18">
      <w:pPr>
        <w:rPr>
          <w:rFonts w:ascii="Arial" w:hAnsi="Arial" w:cs="Arial"/>
        </w:rPr>
      </w:pPr>
    </w:p>
    <w:p w14:paraId="179EBDC4" w14:textId="77777777" w:rsidR="00345A18" w:rsidRDefault="00345A18">
      <w:pPr>
        <w:rPr>
          <w:rFonts w:ascii="Arial" w:hAnsi="Arial" w:cs="Arial"/>
        </w:rPr>
      </w:pPr>
    </w:p>
    <w:p w14:paraId="3FE2B71C" w14:textId="77777777" w:rsidR="00345A18" w:rsidRDefault="00345A18">
      <w:pPr>
        <w:rPr>
          <w:rFonts w:ascii="Arial" w:hAnsi="Arial" w:cs="Arial"/>
        </w:rPr>
      </w:pPr>
    </w:p>
    <w:p w14:paraId="77977BC5" w14:textId="77777777" w:rsidR="00345A18" w:rsidRDefault="00345A18">
      <w:pPr>
        <w:rPr>
          <w:rFonts w:ascii="Arial" w:hAnsi="Arial" w:cs="Arial"/>
        </w:rPr>
      </w:pPr>
    </w:p>
    <w:p w14:paraId="0974232A" w14:textId="77777777" w:rsidR="00345A18" w:rsidRDefault="00345A18">
      <w:pPr>
        <w:rPr>
          <w:rFonts w:ascii="Arial" w:hAnsi="Arial" w:cs="Arial"/>
        </w:rPr>
      </w:pPr>
    </w:p>
    <w:p w14:paraId="4775B9A1" w14:textId="77777777" w:rsidR="00345A18" w:rsidRDefault="00345A18">
      <w:pPr>
        <w:rPr>
          <w:rFonts w:ascii="Arial" w:hAnsi="Arial" w:cs="Arial"/>
        </w:rPr>
      </w:pPr>
    </w:p>
    <w:p w14:paraId="0A5F383F" w14:textId="77777777" w:rsidR="00345A18" w:rsidRDefault="00345A18">
      <w:pPr>
        <w:rPr>
          <w:rFonts w:ascii="Arial" w:hAnsi="Arial" w:cs="Arial"/>
        </w:rPr>
      </w:pPr>
    </w:p>
    <w:p w14:paraId="01FD8BCD" w14:textId="77777777" w:rsidR="00345A18" w:rsidRDefault="00345A18">
      <w:pPr>
        <w:rPr>
          <w:rFonts w:ascii="Arial" w:hAnsi="Arial" w:cs="Arial"/>
        </w:rPr>
      </w:pPr>
    </w:p>
    <w:p w14:paraId="76E8F2D0" w14:textId="77777777" w:rsidR="00345A18" w:rsidRDefault="00345A18">
      <w:pPr>
        <w:rPr>
          <w:rFonts w:ascii="Arial" w:hAnsi="Arial" w:cs="Arial"/>
        </w:rPr>
      </w:pPr>
    </w:p>
    <w:p w14:paraId="61B8105F" w14:textId="77777777" w:rsidR="00345A18" w:rsidRDefault="00345A18">
      <w:pPr>
        <w:rPr>
          <w:rFonts w:ascii="Arial" w:hAnsi="Arial" w:cs="Arial"/>
        </w:rPr>
      </w:pPr>
    </w:p>
    <w:p w14:paraId="6D58F230" w14:textId="77777777" w:rsidR="00345A18" w:rsidRDefault="00345A18">
      <w:pPr>
        <w:rPr>
          <w:rFonts w:ascii="Arial" w:hAnsi="Arial" w:cs="Arial"/>
        </w:rPr>
      </w:pPr>
    </w:p>
    <w:p w14:paraId="085007F0" w14:textId="77777777" w:rsidR="00345A18" w:rsidRDefault="00345A18">
      <w:pPr>
        <w:rPr>
          <w:rFonts w:ascii="Arial" w:hAnsi="Arial" w:cs="Arial"/>
        </w:rPr>
      </w:pPr>
    </w:p>
    <w:p w14:paraId="014D3644" w14:textId="77777777" w:rsidR="00345A18" w:rsidRDefault="00345A18">
      <w:pPr>
        <w:rPr>
          <w:rFonts w:ascii="Arial" w:hAnsi="Arial" w:cs="Arial"/>
        </w:rPr>
      </w:pPr>
    </w:p>
    <w:p w14:paraId="0A278B66" w14:textId="77777777" w:rsidR="00345A18" w:rsidRDefault="00345A18">
      <w:pPr>
        <w:spacing w:before="100" w:after="100" w:line="360" w:lineRule="auto"/>
        <w:jc w:val="both"/>
        <w:rPr>
          <w:rFonts w:ascii="Arial" w:eastAsia="Times New Roman" w:hAnsi="Arial" w:cs="Arial"/>
          <w:b/>
          <w:bCs/>
          <w:color w:val="0F4761"/>
          <w:sz w:val="40"/>
          <w:szCs w:val="40"/>
        </w:rPr>
      </w:pPr>
    </w:p>
    <w:p w14:paraId="2A1B807B" w14:textId="77777777" w:rsidR="00345A18" w:rsidRDefault="00345A18">
      <w:pPr>
        <w:spacing w:before="100" w:after="100" w:line="360" w:lineRule="auto"/>
        <w:jc w:val="both"/>
        <w:rPr>
          <w:rFonts w:ascii="Arial" w:eastAsia="Times New Roman" w:hAnsi="Arial" w:cs="Arial"/>
          <w:b/>
          <w:bCs/>
          <w:color w:val="0F4761"/>
          <w:sz w:val="40"/>
          <w:szCs w:val="40"/>
        </w:rPr>
      </w:pPr>
    </w:p>
    <w:p w14:paraId="7C1CA50A" w14:textId="77777777" w:rsidR="00345A18" w:rsidRDefault="00345A18"/>
    <w:p w14:paraId="71F47B96" w14:textId="77777777" w:rsidR="00345A18" w:rsidRDefault="00000000">
      <w:pPr>
        <w:pStyle w:val="Title"/>
      </w:pPr>
      <w:r>
        <w:t>Developing Relationships and Workplace Achievement</w:t>
      </w:r>
    </w:p>
    <w:p w14:paraId="4B3610F8" w14:textId="77777777" w:rsidR="00345A18" w:rsidRDefault="00000000">
      <w:pPr>
        <w:pStyle w:val="Heading2"/>
        <w:numPr>
          <w:ilvl w:val="0"/>
          <w:numId w:val="1"/>
        </w:numPr>
      </w:pPr>
      <w:r>
        <w:t xml:space="preserve">Executive Summary </w:t>
      </w:r>
    </w:p>
    <w:p w14:paraId="7435CE16" w14:textId="77777777" w:rsidR="00345A18" w:rsidRDefault="00345A18"/>
    <w:p w14:paraId="4F301395" w14:textId="77777777" w:rsidR="00345A18" w:rsidRDefault="00000000">
      <w:pPr>
        <w:pStyle w:val="Heading2"/>
        <w:numPr>
          <w:ilvl w:val="0"/>
          <w:numId w:val="1"/>
        </w:numPr>
      </w:pPr>
      <w:r>
        <w:t xml:space="preserve">Introduction  </w:t>
      </w:r>
    </w:p>
    <w:p w14:paraId="026C230F" w14:textId="77777777" w:rsidR="00345A18" w:rsidRDefault="00000000">
      <w:pPr>
        <w:pStyle w:val="Heading2"/>
        <w:numPr>
          <w:ilvl w:val="0"/>
          <w:numId w:val="1"/>
        </w:numPr>
      </w:pPr>
      <w:r>
        <w:t>Critically Assessing the Potential Benefits to the Organisation of Developing Individuals in the Workplace</w:t>
      </w:r>
    </w:p>
    <w:p w14:paraId="0989A775" w14:textId="77777777" w:rsidR="00345A18" w:rsidRDefault="00000000">
      <w:r>
        <w:t>Employee development is vital for organisational sustainability and provides a competitive advantage within fast paced environments. Organisations that develop their employees effectively, often outperform those who do not. This section critically assesses some of the benefits with developing employees within the aesthetic salon, situates them in theory and examines challenges as well as conditions for realising these benefits (</w:t>
      </w:r>
      <w:proofErr w:type="spellStart"/>
      <w:r>
        <w:t>Alerasoul</w:t>
      </w:r>
      <w:proofErr w:type="spellEnd"/>
      <w:r>
        <w:t xml:space="preserve"> </w:t>
      </w:r>
      <w:r w:rsidRPr="00443E89">
        <w:rPr>
          <w:i/>
          <w:iCs/>
        </w:rPr>
        <w:t>Et al</w:t>
      </w:r>
      <w:r>
        <w:t xml:space="preserve">., 2022). </w:t>
      </w:r>
    </w:p>
    <w:p w14:paraId="00E9DF0B" w14:textId="77777777" w:rsidR="00345A18" w:rsidRDefault="00000000">
      <w:pPr>
        <w:pStyle w:val="Heading3"/>
      </w:pPr>
      <w:r>
        <w:t>3.1 Learning Organisations</w:t>
      </w:r>
    </w:p>
    <w:p w14:paraId="271E618F" w14:textId="77777777" w:rsidR="00345A18" w:rsidRDefault="00000000">
      <w:r>
        <w:t>A learning organisation is when there is continuous learning that is embedded into an organisations culture, that enables employees and teams to adapt and improve within their role. Recent studies confirm that organisations with strong learning ethics possess a greater ability to innovate and adapt to change. Research suggests that organisational performance is improved as a result (</w:t>
      </w:r>
      <w:proofErr w:type="spellStart"/>
      <w:r>
        <w:t>Alerasoul</w:t>
      </w:r>
      <w:proofErr w:type="spellEnd"/>
      <w:r>
        <w:t xml:space="preserve"> </w:t>
      </w:r>
      <w:r w:rsidRPr="00443E89">
        <w:rPr>
          <w:i/>
          <w:iCs/>
        </w:rPr>
        <w:t>Et al</w:t>
      </w:r>
      <w:r>
        <w:t>., 2022).</w:t>
      </w:r>
    </w:p>
    <w:p w14:paraId="53917ADA" w14:textId="77777777" w:rsidR="00345A18" w:rsidRDefault="00000000">
      <w:r>
        <w:t xml:space="preserve">For example, </w:t>
      </w:r>
      <w:proofErr w:type="spellStart"/>
      <w:r>
        <w:t>Alerasoul</w:t>
      </w:r>
      <w:proofErr w:type="spellEnd"/>
      <w:r>
        <w:t xml:space="preserve"> (2022) discusses how learning orientation positively influences innovation and performance particularly in volatile organisational environments. This may suggest that developing individuals isn’t just regarding skill-building, it’s about embedding mindsets and systems that allow adaptation (</w:t>
      </w:r>
      <w:proofErr w:type="spellStart"/>
      <w:r>
        <w:t>Alerasoul</w:t>
      </w:r>
      <w:proofErr w:type="spellEnd"/>
      <w:r>
        <w:t xml:space="preserve"> </w:t>
      </w:r>
      <w:r w:rsidRPr="00443E89">
        <w:rPr>
          <w:i/>
          <w:iCs/>
        </w:rPr>
        <w:t>Et al</w:t>
      </w:r>
      <w:r>
        <w:t>., 2022).</w:t>
      </w:r>
    </w:p>
    <w:p w14:paraId="0F22DBB8" w14:textId="77777777" w:rsidR="00345A18" w:rsidRDefault="00000000">
      <w:pPr>
        <w:pStyle w:val="Heading3"/>
      </w:pPr>
      <w:r>
        <w:t>3.2 Benefits to Business Development &amp; Organisational Growth</w:t>
      </w:r>
    </w:p>
    <w:p w14:paraId="4753EDD2" w14:textId="7FFDA9B0" w:rsidR="00345A18" w:rsidRDefault="00000000">
      <w:r>
        <w:t xml:space="preserve">There is a strong link between employee development and business growth with organisations investing in learning to build resilience in the face of disruptions such as technological change and market volatility. For instance, Zeshan (2024) finds that employee-oriented digitalisation, alongside human </w:t>
      </w:r>
      <w:r w:rsidR="00443E89">
        <w:t xml:space="preserve">resource </w:t>
      </w:r>
      <w:r>
        <w:t xml:space="preserve">development (HRD), enhances future competencies of staff, which in turn supports adaptability and competitive edge (Zeshan </w:t>
      </w:r>
      <w:r w:rsidRPr="00443E89">
        <w:rPr>
          <w:i/>
          <w:iCs/>
        </w:rPr>
        <w:t>Et al</w:t>
      </w:r>
      <w:r>
        <w:t>., 2025).</w:t>
      </w:r>
    </w:p>
    <w:p w14:paraId="79D7722B" w14:textId="77777777" w:rsidR="00345A18" w:rsidRDefault="00000000">
      <w:r>
        <w:lastRenderedPageBreak/>
        <w:t xml:space="preserve">Continued professional development (CPD) is recognised as the key to retaining employees, for example, Petersen (2024) found that access to training and development opportunities can contribute to workers’ staying in their roles and helping to reduce staff turnover. Within the salon, CPD may increase employee confidence, improve retention, enhance skills and create new revenue streams through expanded treatment options and credibility. </w:t>
      </w:r>
    </w:p>
    <w:p w14:paraId="5943D681" w14:textId="77777777" w:rsidR="00345A18" w:rsidRDefault="00000000">
      <w:pPr>
        <w:pStyle w:val="Heading3"/>
      </w:pPr>
      <w:r>
        <w:t>3.3 Specific Organisational Benefits</w:t>
      </w:r>
    </w:p>
    <w:p w14:paraId="1A88E882" w14:textId="77777777" w:rsidR="00345A18" w:rsidRDefault="00000000">
      <w:pPr>
        <w:tabs>
          <w:tab w:val="left" w:pos="720"/>
        </w:tabs>
      </w:pPr>
      <w:r>
        <w:t xml:space="preserve">From workplace observation, several clear benefits within the organisation improves retention and employee commitment. </w:t>
      </w:r>
      <w:proofErr w:type="spellStart"/>
      <w:r>
        <w:t>Alajlani</w:t>
      </w:r>
      <w:proofErr w:type="spellEnd"/>
      <w:r>
        <w:t xml:space="preserve"> and </w:t>
      </w:r>
      <w:proofErr w:type="spellStart"/>
      <w:r>
        <w:t>Yesufu</w:t>
      </w:r>
      <w:proofErr w:type="spellEnd"/>
      <w:r>
        <w:t xml:space="preserve"> (2021) carried out research that demonstrated how human resource (HR) practices including training and development are positively linked with employee retention. Similarly, </w:t>
      </w:r>
      <w:proofErr w:type="spellStart"/>
      <w:r>
        <w:t>Batmomolin</w:t>
      </w:r>
      <w:proofErr w:type="spellEnd"/>
      <w:r>
        <w:t xml:space="preserve"> (2023) discusses how employer branding through development improves organisational identification and retention. Therefore, it could be argued that without learning and development, it may be difficult to retain employees at all. Enhanced employee performance and skills development studies indicate that development leads to improved competencies, better ability to adapt to digital tools and changing job demands. Piwowar-</w:t>
      </w:r>
      <w:proofErr w:type="spellStart"/>
      <w:r>
        <w:t>Sulej</w:t>
      </w:r>
      <w:proofErr w:type="spellEnd"/>
      <w:r>
        <w:t xml:space="preserve"> (2024) also discussed how organisations that use development have a better workforce and are more likely to be prepared for future tasks. </w:t>
      </w:r>
      <w:proofErr w:type="spellStart"/>
      <w:r>
        <w:t>Alerasoul</w:t>
      </w:r>
      <w:proofErr w:type="spellEnd"/>
      <w:r>
        <w:t xml:space="preserve"> (2022) shows that learning orientation correlates with innovation outcomes. Similarly, the British Council (2025) argued that a learning culture can help organisations navigate change, innovation and help to achieve goals in uncertain environments (Corporate English Solutions., 2025). From workplace experience, maintaining a skilled workforce can help organisations avoid costs of repeated hiring and poor employee performance due to any skill gaps. In addition, the employee is likely to benefit, feeling valued and by being invested in. </w:t>
      </w:r>
    </w:p>
    <w:p w14:paraId="114C8E4F" w14:textId="77777777" w:rsidR="00345A18" w:rsidRDefault="00000000">
      <w:pPr>
        <w:pStyle w:val="Heading3"/>
      </w:pPr>
      <w:r>
        <w:t>3.4 Critical Perspective: Challenges and Conditions</w:t>
      </w:r>
    </w:p>
    <w:p w14:paraId="40FC2053" w14:textId="13E88E73" w:rsidR="00345A18" w:rsidRDefault="00000000">
      <w:r>
        <w:t>Several barriers and challenges may hinder employee development, including resource constraints such as limited time, financial pressure or lack of managerial support</w:t>
      </w:r>
      <w:r w:rsidR="00443E89">
        <w:t xml:space="preserve"> </w:t>
      </w:r>
      <w:r w:rsidR="00443E89">
        <w:t>(</w:t>
      </w:r>
      <w:r w:rsidR="00443E89" w:rsidRPr="00771E49">
        <w:t>Al Shamari</w:t>
      </w:r>
      <w:r w:rsidR="00443E89">
        <w:t xml:space="preserve">., </w:t>
      </w:r>
      <w:r w:rsidR="00443E89" w:rsidRPr="00771E49">
        <w:t>2022)</w:t>
      </w:r>
      <w:r>
        <w:t>. Not all organisations have spare capital to fund for resources, especially small</w:t>
      </w:r>
      <w:r>
        <w:rPr>
          <w:rFonts w:ascii="Cambria Math" w:hAnsi="Cambria Math" w:cs="Cambria Math"/>
        </w:rPr>
        <w:t>‐</w:t>
      </w:r>
      <w:r>
        <w:t>to</w:t>
      </w:r>
      <w:r>
        <w:rPr>
          <w:rFonts w:ascii="Cambria Math" w:hAnsi="Cambria Math" w:cs="Cambria Math"/>
        </w:rPr>
        <w:t>‐</w:t>
      </w:r>
      <w:r>
        <w:t xml:space="preserve">medium enterprises. If development initiatives are not aligned with the organisation’s strategy, skills developed may not be suitable or valued, making this a waste. Sometimes developing employees makes them more attractive to others and can potentially increase turnover for other organisations, if they leave. It would be important for organisations to improve their retention strategy with the aim to prevent this. Employees may be resistant to change, limiting communication, lack of psychological safety, where organisations will need to create trust and gather feedback to improve. Without proper metrics or evaluation of the learning outcomes, it is difficult to assess impact. </w:t>
      </w:r>
      <w:proofErr w:type="spellStart"/>
      <w:r>
        <w:t>Alerasoul</w:t>
      </w:r>
      <w:proofErr w:type="spellEnd"/>
      <w:r>
        <w:t xml:space="preserve"> (2022), emphasises measurement and auditing as key to improving the learning organisation. Within the salon, feedback is gathered through </w:t>
      </w:r>
      <w:r>
        <w:lastRenderedPageBreak/>
        <w:t xml:space="preserve">regular weekly discussions that are documented and easily accessible via Google docs. An open communication environment is encouraged between staff members where opinions that help to evaluate employee development and training, are encouraged in a professional manner. </w:t>
      </w:r>
    </w:p>
    <w:p w14:paraId="2370EFC3" w14:textId="79BEF248" w:rsidR="00345A18" w:rsidRDefault="00000000">
      <w:pPr>
        <w:pStyle w:val="Heading3"/>
      </w:pPr>
      <w:r>
        <w:t>3.5 Implications for Practice</w:t>
      </w:r>
    </w:p>
    <w:p w14:paraId="3EAADCFD" w14:textId="5705C7B9" w:rsidR="00345A18" w:rsidRDefault="00000000">
      <w:r>
        <w:t>The manager may focus on their own leadership skills, to support employees to feedback and specialist techniques within their field (</w:t>
      </w:r>
      <w:proofErr w:type="spellStart"/>
      <w:r>
        <w:t>Schiuma</w:t>
      </w:r>
      <w:proofErr w:type="spellEnd"/>
      <w:r>
        <w:t xml:space="preserve"> </w:t>
      </w:r>
      <w:r w:rsidRPr="00443E89">
        <w:rPr>
          <w:i/>
          <w:iCs/>
        </w:rPr>
        <w:t>et al</w:t>
      </w:r>
      <w:r>
        <w:t xml:space="preserve">., 2022). The manager could also look at creating CPD programmes in line with the organisations growth plans, creating flexible and supporting with new industry trends, such as the Russian Lip filler technique or managing complications (Kroumpouzos., </w:t>
      </w:r>
      <w:r w:rsidRPr="00443E89">
        <w:rPr>
          <w:i/>
          <w:iCs/>
        </w:rPr>
        <w:t>et al</w:t>
      </w:r>
      <w:r>
        <w:t xml:space="preserve"> 2023). Training should focus on the organisations needs and growth, therefore the manager might think about including training such as industry specific skills as well as transferable skills to support its growth, help to make employees feel secure and safe within their role and focus on retaining its current staff force in order for the revenue to be strategically budgeted in line with goals (Yousaf</w:t>
      </w:r>
      <w:r w:rsidR="00443E89">
        <w:t>.,</w:t>
      </w:r>
      <w:r>
        <w:t xml:space="preserve"> 2022). </w:t>
      </w:r>
    </w:p>
    <w:p w14:paraId="3BECA4E3" w14:textId="77777777" w:rsidR="00345A18" w:rsidRDefault="00000000">
      <w:r>
        <w:t xml:space="preserve">In summary, developing employees can help to generate benefits such as increased retention, enhances skills, innovation and align with organisational strategy. Any growth may encounter barriers where the manager can consider overcoming any resource limitations or client satisfaction by obtaining feedback through discussions and progress reviews.   </w:t>
      </w:r>
    </w:p>
    <w:p w14:paraId="007E5D2E" w14:textId="77777777" w:rsidR="00345A18" w:rsidRDefault="00000000">
      <w:pPr>
        <w:pStyle w:val="ListParagraph"/>
        <w:numPr>
          <w:ilvl w:val="0"/>
          <w:numId w:val="1"/>
        </w:numPr>
        <w:rPr>
          <w:rFonts w:ascii="Aptos Display" w:eastAsia="Times New Roman" w:hAnsi="Aptos Display"/>
          <w:color w:val="0F4761"/>
          <w:sz w:val="32"/>
          <w:szCs w:val="32"/>
        </w:rPr>
      </w:pPr>
      <w:r>
        <w:rPr>
          <w:rFonts w:ascii="Aptos Display" w:eastAsia="Times New Roman" w:hAnsi="Aptos Display"/>
          <w:color w:val="0F4761"/>
          <w:sz w:val="32"/>
          <w:szCs w:val="32"/>
        </w:rPr>
        <w:t>Managing an Individual’s Expectations in Respect of Personal Development</w:t>
      </w:r>
    </w:p>
    <w:p w14:paraId="0AC9507B" w14:textId="3D1BF9B7" w:rsidR="00345A18" w:rsidRDefault="00000000">
      <w:r>
        <w:t>To get employees to commit, stay motivated and stay with the company, it's important to manage their expectations for personal development. A mind map can be a useful tool that may help to highlight expectations surrounding training, highlighted by Gossack</w:t>
      </w:r>
      <w:r>
        <w:rPr>
          <w:rFonts w:ascii="Cambria Math" w:hAnsi="Cambria Math" w:cs="Cambria Math"/>
        </w:rPr>
        <w:t>‐</w:t>
      </w:r>
      <w:r>
        <w:t xml:space="preserve">Keenan (2020). </w:t>
      </w:r>
      <w:r w:rsidR="00443E89">
        <w:t xml:space="preserve">Erdos </w:t>
      </w:r>
      <w:r w:rsidR="00443E89">
        <w:t>(</w:t>
      </w:r>
      <w:r w:rsidR="00443E89">
        <w:t>2023)</w:t>
      </w:r>
      <w:r w:rsidR="00443E89">
        <w:t xml:space="preserve"> notes how it is a</w:t>
      </w:r>
      <w:r w:rsidR="00443E89">
        <w:t xml:space="preserve"> </w:t>
      </w:r>
      <w:r>
        <w:t>legal necessity under the UK Data Protection Act 2018</w:t>
      </w:r>
      <w:r w:rsidR="00443E89">
        <w:t xml:space="preserve">, </w:t>
      </w:r>
      <w:r>
        <w:t>specifically around mandatory training such as health and safety. When employees develop within their role and are recognised for their achievements through support and resources provided, they are more likely to remain loyal to the organisation. Conversely, if expectations are unmet, this can lead to disengagement or conflict within the organisation (Bharadwaj, 2023). This may pose a risk where the employees’ expertise is directly linked with retention, providing an opportunity for the manager to upskill employees, support them to adapt to new treatments, technologies, client needs and personal development, which is essential.</w:t>
      </w:r>
    </w:p>
    <w:p w14:paraId="68213CF3" w14:textId="77777777" w:rsidR="00345A18" w:rsidRDefault="00000000">
      <w:pPr>
        <w:pStyle w:val="Heading3"/>
      </w:pPr>
      <w:r>
        <w:t>4.1 Aligning Organisational Needs with Career Expectations</w:t>
      </w:r>
    </w:p>
    <w:p w14:paraId="5E2C1972" w14:textId="6646E8BC" w:rsidR="00345A18" w:rsidRDefault="00000000">
      <w:r>
        <w:t xml:space="preserve">When it comes to personal growth, employees usually think about what they want in their current role, skill improvement and recognition. Cao (2025) indicates that </w:t>
      </w:r>
      <w:r>
        <w:lastRenderedPageBreak/>
        <w:t xml:space="preserve">individuals exhibit more commitment when their ambitions are </w:t>
      </w:r>
      <w:r w:rsidR="00771E49">
        <w:t>aligned</w:t>
      </w:r>
      <w:r>
        <w:t xml:space="preserve"> with corporate goals. For instance, within the aesthetic salon the practitioner may wish to focus on more advanced treatments like skin boosters or facial contouring. If the salon's goal is to add more high-end treatment services, this could be a win-win situation for both the employee and the salon, as the employee would feel invested in and the salon would get a new source of income. However, </w:t>
      </w:r>
      <w:r w:rsidR="00AD4CB9" w:rsidRPr="00AD4CB9">
        <w:t>Chen</w:t>
      </w:r>
      <w:r w:rsidR="00AD4CB9">
        <w:t xml:space="preserve"> </w:t>
      </w:r>
      <w:r w:rsidR="00AD4CB9" w:rsidRPr="00AD4CB9">
        <w:rPr>
          <w:i/>
          <w:iCs/>
        </w:rPr>
        <w:t>et al.</w:t>
      </w:r>
      <w:r w:rsidR="00AD4CB9">
        <w:t xml:space="preserve"> </w:t>
      </w:r>
      <w:r w:rsidR="00AD4CB9" w:rsidRPr="00AD4CB9">
        <w:t>(2025</w:t>
      </w:r>
      <w:r w:rsidR="00500F90">
        <w:t xml:space="preserve">) </w:t>
      </w:r>
      <w:r w:rsidR="00500F90" w:rsidRPr="00AD4CB9">
        <w:t>friction</w:t>
      </w:r>
      <w:r>
        <w:t xml:space="preserve"> can occur when individual ambitions don't match up with the organisation's goals. For example, if an employee wants to complete training that isn't profitable, such as an art degree, managing expectations will be key through discussions, assessments and feedback provided to the employee. This might help keep trust and avoid frustration by setting realistic goals and keeping up with communication (Beardmore et al., 2024). As stated in Employment Studies (2025), managers understand the need of developing employee talent but emphasise the necessity of realism to prevent setting unattainable expectations (</w:t>
      </w:r>
      <w:proofErr w:type="spellStart"/>
      <w:r>
        <w:t>Pohlan</w:t>
      </w:r>
      <w:proofErr w:type="spellEnd"/>
      <w:r>
        <w:t xml:space="preserve"> &amp; Steffes, 2024). </w:t>
      </w:r>
    </w:p>
    <w:p w14:paraId="5CD9006E" w14:textId="77777777" w:rsidR="00345A18" w:rsidRDefault="00000000">
      <w:pPr>
        <w:pStyle w:val="Heading3"/>
      </w:pPr>
      <w:r>
        <w:t>4.2 The Role of Organisational Structures</w:t>
      </w:r>
    </w:p>
    <w:p w14:paraId="0BF269E2" w14:textId="7B25A4EF" w:rsidR="00345A18" w:rsidRDefault="00000000">
      <w:r>
        <w:t xml:space="preserve">An organisation is structure in a way to help to shape how employees perceive development opportunities, career progression and focus on how employees </w:t>
      </w:r>
      <w:r w:rsidR="00771E49">
        <w:t xml:space="preserve">might </w:t>
      </w:r>
      <w:r>
        <w:t xml:space="preserve">follow formal promotion pathways (Currie </w:t>
      </w:r>
      <w:r w:rsidRPr="00684994">
        <w:rPr>
          <w:i/>
          <w:iCs/>
        </w:rPr>
        <w:t>Et el</w:t>
      </w:r>
      <w:r>
        <w:t>., 2025). In small businesses, such as an aesthetic salon, a structure could help to create opportunities for further development</w:t>
      </w:r>
      <w:r w:rsidR="00771E49">
        <w:t>, such as learning new skills</w:t>
      </w:r>
      <w:r>
        <w:t>. The salon manager may consider advertising this development as a promotion and an offer to broadening expertise. For example, offering training in both clinical techniques and customer service, allowing employees to lead on new service launches or social media campaigns, by creating mini leadership roles like becoming a</w:t>
      </w:r>
      <w:r w:rsidR="00771E49">
        <w:t xml:space="preserve">n </w:t>
      </w:r>
      <w:r>
        <w:t>ambassador</w:t>
      </w:r>
      <w:r w:rsidR="00771E49">
        <w:t xml:space="preserve"> or a training mentor in a </w:t>
      </w:r>
      <w:r w:rsidR="00033508">
        <w:t>specific treatment</w:t>
      </w:r>
      <w:r w:rsidR="00771E49">
        <w:t>.</w:t>
      </w:r>
      <w:r>
        <w:t xml:space="preserve"> This</w:t>
      </w:r>
      <w:r w:rsidR="00033508">
        <w:t xml:space="preserve"> helps to </w:t>
      </w:r>
      <w:r>
        <w:t>widens the definition of career progression, ensuring expectations remain realistic within a small team</w:t>
      </w:r>
      <w:r w:rsidR="00033508">
        <w:t xml:space="preserve"> (</w:t>
      </w:r>
      <w:r w:rsidR="00033508" w:rsidRPr="00033508">
        <w:t xml:space="preserve">Von der </w:t>
      </w:r>
      <w:proofErr w:type="spellStart"/>
      <w:r w:rsidR="00033508" w:rsidRPr="00033508">
        <w:t>Lühe</w:t>
      </w:r>
      <w:proofErr w:type="spellEnd"/>
      <w:r w:rsidR="00033508">
        <w:t xml:space="preserve"> et al., 2025)</w:t>
      </w:r>
      <w:r w:rsidR="00684994">
        <w:t>.</w:t>
      </w:r>
    </w:p>
    <w:p w14:paraId="6DD4C87C" w14:textId="77777777" w:rsidR="00345A18" w:rsidRDefault="00000000">
      <w:pPr>
        <w:pStyle w:val="Heading3"/>
      </w:pPr>
      <w:r>
        <w:t>4.3 Appraisals, Assessment and Feedback</w:t>
      </w:r>
    </w:p>
    <w:p w14:paraId="171C1E88" w14:textId="77777777" w:rsidR="00345A18" w:rsidRDefault="00000000">
      <w:r>
        <w:t xml:space="preserve">Appraisals, assessment and feedback are helpful tools to manage expectations in an organisation that support employee performance, helps enable managers to provide constructive feedback (CIPD, 2023). In the aesthetic salon, appraisals may help to structure and develop the organisations goals against employee skills, allowing the employee to discuss their own goals and expectations.  Ang (2025) notes how feedback should be a two-way process, where employees can voice their ambitions or concerns and this helps to prevent unrealistic expectations such as an employee completing a degree within a completely different field, not benefiting the organisation. </w:t>
      </w:r>
    </w:p>
    <w:p w14:paraId="2CCC0706" w14:textId="77777777" w:rsidR="00345A18" w:rsidRDefault="00000000">
      <w:pPr>
        <w:pStyle w:val="Heading3"/>
      </w:pPr>
      <w:r>
        <w:t>4.4 Conflict and Skills Development</w:t>
      </w:r>
    </w:p>
    <w:p w14:paraId="2A362CD3" w14:textId="77777777" w:rsidR="00345A18" w:rsidRDefault="00000000">
      <w:r>
        <w:t xml:space="preserve">When expectations are not met, this may cause conflict if a promise to upskill does not materialise, or if they feel that bias has played a role in allocation. Research indicates </w:t>
      </w:r>
      <w:r>
        <w:lastRenderedPageBreak/>
        <w:t>that unmet employee expectations are a major cause of disengagement within the workplace (</w:t>
      </w:r>
      <w:proofErr w:type="spellStart"/>
      <w:r>
        <w:t>Alrashidi</w:t>
      </w:r>
      <w:proofErr w:type="spellEnd"/>
      <w:r>
        <w:t xml:space="preserve"> </w:t>
      </w:r>
      <w:r w:rsidRPr="00684994">
        <w:rPr>
          <w:i/>
          <w:iCs/>
        </w:rPr>
        <w:t>et al</w:t>
      </w:r>
      <w:r>
        <w:t xml:space="preserve">., 2023). The salon manager can mitigate this risk by creating transparency, clearly explaining criteria for training opportunities, as well as carrying out performance reviews and imbedding a skills matrix into their policy and procedures. Equity, ensuring fair access to CPD, not just favouring senior or more vocal staff. </w:t>
      </w:r>
    </w:p>
    <w:p w14:paraId="7B62649A" w14:textId="77777777" w:rsidR="00345A18" w:rsidRDefault="00000000">
      <w:r>
        <w:t>Embedding these practices in the salon may help to create a culture of fairness and psychological safety and encouraging collaboration rather than competition among staff. Maslow's hierarchy of needs both affects the psychological state of employees, but it also affects their satisfaction (Mason., 2025).</w:t>
      </w:r>
    </w:p>
    <w:p w14:paraId="08BA72DE" w14:textId="77777777" w:rsidR="00345A18" w:rsidRDefault="00000000">
      <w:pPr>
        <w:pStyle w:val="Heading3"/>
        <w:numPr>
          <w:ilvl w:val="1"/>
          <w:numId w:val="2"/>
        </w:numPr>
      </w:pPr>
      <w:r>
        <w:t>Practical Suggestions for the Aesthetic Salon</w:t>
      </w:r>
    </w:p>
    <w:p w14:paraId="73D55921" w14:textId="77777777" w:rsidR="00345A18" w:rsidRDefault="00000000">
      <w:pPr>
        <w:tabs>
          <w:tab w:val="left" w:pos="720"/>
        </w:tabs>
      </w:pPr>
      <w:r>
        <w:t xml:space="preserve">When managing expectations, the aesthetic salon may look to create development reviews and set this as a workplace process that is mandatory, covering several objectives in line with the business goals and growth plans, such as skills, aspirations, expectations and SMART targets to help the employee improve (Adams., 2022). This may provide an opportunity for the manager to introduce a skill matrix, demonstrating current skill set as a junior to advanced and specialist status which can also support to motivate the employee to maximise their potential and remain focused on reaching their achievements.  Implementing regular team meetings can support employees’ opinions to be voiced and encourage an open communication policy. With continuous feedback, this may help to address any unrealistic expectations and help to integrate CPD training where employees can continuously grow. </w:t>
      </w:r>
    </w:p>
    <w:p w14:paraId="5AC946D1" w14:textId="77777777" w:rsidR="00345A18" w:rsidRDefault="00000000">
      <w:pPr>
        <w:tabs>
          <w:tab w:val="left" w:pos="720"/>
        </w:tabs>
      </w:pPr>
      <w:r>
        <w:t xml:space="preserve">To conclude, overall managing employee expectations is essential with balancing ambitions with the salon’s realities. Open communication, structures appraisals and clear organisation pathways for growth can all help to reduce conflict and help to create a culture of trust. Creating development plans, providing clear criteria within training and providing access to CPD are all tools that can be utilised. The aesthetic salon should look to grow rapidly, aligning aspirations with strategic goals that ensures employee retention, motivation, where clients benefit from new treatments and the business sustains its competitive advantage. </w:t>
      </w:r>
    </w:p>
    <w:p w14:paraId="76AE9544" w14:textId="77777777" w:rsidR="00345A18" w:rsidRDefault="00000000">
      <w:pPr>
        <w:pStyle w:val="Heading2"/>
        <w:numPr>
          <w:ilvl w:val="0"/>
          <w:numId w:val="1"/>
        </w:numPr>
      </w:pPr>
      <w:r>
        <w:t>Critically Evaluating Development Vehicles</w:t>
      </w:r>
    </w:p>
    <w:p w14:paraId="22A14DA3" w14:textId="7D0E5FFF" w:rsidR="00345A18" w:rsidRDefault="00000000">
      <w:r>
        <w:t xml:space="preserve">Development vehicles are methods on how an organisation can upskill, gain knowledge and support development, often chosen on factors such as size, resources, funds available and employee expectations (CIPD, 2023). It is important to consider if the vehicle chosen is cost effective and whether they algin with client’s expectations or allowing the organisation to adapt to the industry changes. </w:t>
      </w:r>
    </w:p>
    <w:p w14:paraId="248E0240" w14:textId="2FC2F45D" w:rsidR="00500F90" w:rsidRDefault="00500F90" w:rsidP="00500F90">
      <w:pPr>
        <w:pStyle w:val="Heading3"/>
        <w:numPr>
          <w:ilvl w:val="1"/>
          <w:numId w:val="6"/>
        </w:numPr>
      </w:pPr>
      <w:r>
        <w:t>Models</w:t>
      </w:r>
    </w:p>
    <w:p w14:paraId="279FEEE1" w14:textId="77777777" w:rsidR="00500F90" w:rsidRPr="00500F90" w:rsidRDefault="00500F90" w:rsidP="00500F90"/>
    <w:p w14:paraId="59936CA5" w14:textId="026B59BF" w:rsidR="00500F90" w:rsidRPr="00500F90" w:rsidRDefault="00500F90" w:rsidP="00500F90">
      <w:pPr>
        <w:pStyle w:val="Heading3"/>
      </w:pPr>
      <w:r>
        <w:lastRenderedPageBreak/>
        <w:t xml:space="preserve">5.2 </w:t>
      </w:r>
      <w:r w:rsidR="00000000">
        <w:t>Formal Training and Qualifications</w:t>
      </w:r>
    </w:p>
    <w:p w14:paraId="6707F1DB" w14:textId="4EA26C17" w:rsidR="00345A18" w:rsidRDefault="00000000" w:rsidP="00A634F3">
      <w:pPr>
        <w:tabs>
          <w:tab w:val="left" w:pos="720"/>
        </w:tabs>
      </w:pPr>
      <w:r>
        <w:t xml:space="preserve">To fully support the organisation, the manager may consider their reputation and how formal training and credible qualification support client retention, staff retention and remain one of the most recognised vehicles for development. Within Aesthetics, treatments include dermal fillers and botulinum toxin, where infection control and patient safety are classed as important and a legal requirement, to work within the industry. Formal training ensures regulatory compliance and enhances credibility with clients.  Härmä (2023) notes that regulated CPD can contribute to both employability and organisational trustworthiness. For an aesthetic salon, over-reliance on formal qualifications can be costly and risk employee dissatisfaction when employee expectations are not met. Therefore, the manager may look to adopt the cost benefit analysis to support cost effective decision making in training and development. </w:t>
      </w:r>
    </w:p>
    <w:p w14:paraId="36D644E9" w14:textId="77777777" w:rsidR="00345A18" w:rsidRDefault="00000000">
      <w:pPr>
        <w:pStyle w:val="Heading3"/>
      </w:pPr>
      <w:r>
        <w:t>5.2 Coaching and Mentoring</w:t>
      </w:r>
    </w:p>
    <w:p w14:paraId="551E7D21" w14:textId="027C7E85" w:rsidR="00345A18" w:rsidRDefault="00000000">
      <w:r>
        <w:t xml:space="preserve">Coaching and mentoring can provide personalised growth opportunities such as mentoring has been shown to support employee confidence and retention, particularly in professions requiring both technical and interpersonal skills (Cao </w:t>
      </w:r>
      <w:r w:rsidRPr="00684994">
        <w:rPr>
          <w:i/>
          <w:iCs/>
        </w:rPr>
        <w:t>et al</w:t>
      </w:r>
      <w:r>
        <w:t xml:space="preserve">., 2025). Experienced practitioners are resourceful as mentors to junior practitioners, guiding them in clinical techniques and soft skills such as handling difficult clients or stock control. Implementing coaching within areas such as improving consultation skills or upselling retail products is a solid vehicle within development as this can help to provide feedback on the job, however coaching and mentoring depend heavily on the skills and commitment of the mentor. In small salons, where senior staff may already carry heavy workloads, formalising this process may be challenging without reducing productivity, however, embedding mentoring informally into daily practice can create a culture of continuous learning at little financial cost (Deng </w:t>
      </w:r>
      <w:r w:rsidR="00684994">
        <w:t>&amp;</w:t>
      </w:r>
      <w:r>
        <w:t xml:space="preserve"> Turner., 2024).</w:t>
      </w:r>
    </w:p>
    <w:p w14:paraId="0DB336B4" w14:textId="77777777" w:rsidR="00345A18" w:rsidRDefault="00000000">
      <w:pPr>
        <w:pStyle w:val="Heading3"/>
      </w:pPr>
      <w:r>
        <w:t>5.3 E-Learning and Digital Platforms</w:t>
      </w:r>
    </w:p>
    <w:p w14:paraId="2F465775" w14:textId="50A19512" w:rsidR="00345A18" w:rsidRDefault="00000000">
      <w:r>
        <w:t>Other vehicles include E-learning platforms which offer flexibility, affordability and accessibility which may support aesthetics training to get online CPD modules, webinars or virtual conferences, that are increasingly common (</w:t>
      </w:r>
      <w:proofErr w:type="spellStart"/>
      <w:r>
        <w:t>Alrashidi</w:t>
      </w:r>
      <w:proofErr w:type="spellEnd"/>
      <w:r>
        <w:t xml:space="preserve"> </w:t>
      </w:r>
      <w:r w:rsidRPr="00684994">
        <w:rPr>
          <w:i/>
          <w:iCs/>
        </w:rPr>
        <w:t>et al</w:t>
      </w:r>
      <w:r>
        <w:t>., 2023). These also allow employees to access them anywhere where they have online access and helps to engage with up-to-date knowledge at their own pace, reducing disruption to salon operations and the salon could subscribe to an e-learning platform that specialises within aesthetics and beauty. This could be combined with micro-learning short, focused sessions accessible on mobile devices to make training more engaging. While cost-effective, e-learning risks becoming a tick-box exercise if not reinforced with practical, hands-on training. For a profession grounded in client-facing treatments, digital learning should be seen as complementary rather than a substitute.</w:t>
      </w:r>
    </w:p>
    <w:p w14:paraId="3895E298" w14:textId="67BE9EDF" w:rsidR="00345A18" w:rsidRDefault="00000000">
      <w:pPr>
        <w:pStyle w:val="Heading3"/>
      </w:pPr>
      <w:r>
        <w:lastRenderedPageBreak/>
        <w:t xml:space="preserve">5.4 Job </w:t>
      </w:r>
      <w:r w:rsidR="00500F90">
        <w:t>shadowing</w:t>
      </w:r>
      <w:r>
        <w:t xml:space="preserve"> and Assignments</w:t>
      </w:r>
    </w:p>
    <w:p w14:paraId="6922B8CF" w14:textId="77777777" w:rsidR="00345A18" w:rsidRDefault="00000000">
      <w:r>
        <w:t xml:space="preserve">Job rotation and assignments allow employees to gain broader skills by temporarily taking on different roles or responsibilities. Research suggests that such experiential learning can build adaptability and encourage collaboration across teams (Bharadwaj., 2023). In the salon context, this could include allowing junior staff to shadow consultations, rotating staff between treatment delivery and client-facing reception roles or assigning responsibility for promoting a new treatment or leading a client care initiative. Job rotation allows for holistic understanding of the business but may initially reduce efficiency if employees lack experience in their new roles. To mitigate this, rotations should be structured and supported by feedback mechanisms that could be captured from forms, discussions or anonymously. If the salon manager enforces regular reviews, this would be a good opportunity to obtain feedback. </w:t>
      </w:r>
    </w:p>
    <w:p w14:paraId="7418C3FF" w14:textId="77777777" w:rsidR="00345A18" w:rsidRDefault="00000000">
      <w:pPr>
        <w:pStyle w:val="Heading3"/>
      </w:pPr>
      <w:r>
        <w:t>5.5 External Development Opportunities</w:t>
      </w:r>
    </w:p>
    <w:p w14:paraId="19619876" w14:textId="6EE20B22" w:rsidR="00345A18" w:rsidRDefault="00000000">
      <w:r>
        <w:t>Participation in industry events, conferences and professional networks is another valuable development vehicle. These opportunities expose staff to innovations and strengthen the salon’s employer brand by positioning it as forward-thinking. According to CIPD (2023), networking also enhances employee engagement by promoting a sense of professional identity. For example, employees could attend the Aesthetics Conference &amp; Exhibition (ACE., 2025) in London to explore new technologies and connect with peers.</w:t>
      </w:r>
      <w:r>
        <w:br/>
        <w:t xml:space="preserve">Overall, managing individual expectations is essential to balancing employee ambitions with the salon’s business growth goals. Open communication, structured appraisals, and clear organisational pathways for growth can reduce conflict and encourage a culture of trust. In practice, this means creating development plans, transparent criteria for training opportunities and inclusive access to CPD. For an aesthetic salon, where the industry evolves rapidly, aligning career aspirations with strategic goals ensures staff remain motivated, clients benefit from new </w:t>
      </w:r>
      <w:r w:rsidR="00684994">
        <w:t>treatments,</w:t>
      </w:r>
      <w:r>
        <w:t xml:space="preserve"> and the business sustains its competitive advantage.</w:t>
      </w:r>
    </w:p>
    <w:p w14:paraId="5022B252" w14:textId="7674AF72" w:rsidR="00345A18" w:rsidRDefault="00000000">
      <w:pPr>
        <w:pStyle w:val="Heading2"/>
        <w:numPr>
          <w:ilvl w:val="0"/>
          <w:numId w:val="1"/>
        </w:numPr>
      </w:pPr>
      <w:r>
        <w:t xml:space="preserve">Development Plan  </w:t>
      </w:r>
    </w:p>
    <w:p w14:paraId="2BA463F2" w14:textId="77777777" w:rsidR="00345A18" w:rsidRDefault="00000000">
      <w:pPr>
        <w:pStyle w:val="Heading2"/>
        <w:numPr>
          <w:ilvl w:val="0"/>
          <w:numId w:val="1"/>
        </w:numPr>
      </w:pPr>
      <w:r>
        <w:t xml:space="preserve">Better Workplace Relationships &amp; Collaboration </w:t>
      </w:r>
    </w:p>
    <w:p w14:paraId="5C9B1281" w14:textId="77777777" w:rsidR="00345A18" w:rsidRDefault="00345A18"/>
    <w:p w14:paraId="4421C5AA" w14:textId="77777777" w:rsidR="00345A18" w:rsidRDefault="00345A18"/>
    <w:p w14:paraId="5EA8ECB0" w14:textId="77777777" w:rsidR="00345A18" w:rsidRDefault="00000000">
      <w:pPr>
        <w:numPr>
          <w:ilvl w:val="0"/>
          <w:numId w:val="4"/>
        </w:numPr>
      </w:pPr>
      <w:r>
        <w:rPr>
          <w:b/>
          <w:bCs/>
        </w:rPr>
        <w:t>Learning Organisation benefits</w:t>
      </w:r>
      <w:r>
        <w:t xml:space="preserve"> – open communication, shared vision, improved morale.</w:t>
      </w:r>
    </w:p>
    <w:p w14:paraId="118D054A" w14:textId="77777777" w:rsidR="00345A18" w:rsidRDefault="00000000">
      <w:pPr>
        <w:numPr>
          <w:ilvl w:val="0"/>
          <w:numId w:val="4"/>
        </w:numPr>
      </w:pPr>
      <w:r>
        <w:rPr>
          <w:b/>
          <w:bCs/>
        </w:rPr>
        <w:t>Conflict &amp; Skills</w:t>
      </w:r>
      <w:r>
        <w:t xml:space="preserve"> – how development reduces disputes.</w:t>
      </w:r>
    </w:p>
    <w:p w14:paraId="6A10AA31" w14:textId="77777777" w:rsidR="00345A18" w:rsidRDefault="00000000">
      <w:pPr>
        <w:numPr>
          <w:ilvl w:val="0"/>
          <w:numId w:val="4"/>
        </w:numPr>
      </w:pPr>
      <w:r>
        <w:rPr>
          <w:b/>
          <w:bCs/>
        </w:rPr>
        <w:t>Team Cohesion</w:t>
      </w:r>
      <w:r>
        <w:t xml:space="preserve"> – psychological safety, trust, feedback culture.</w:t>
      </w:r>
    </w:p>
    <w:p w14:paraId="1C5E107D" w14:textId="77777777" w:rsidR="00345A18" w:rsidRDefault="00000000">
      <w:pPr>
        <w:pStyle w:val="Heading2"/>
        <w:numPr>
          <w:ilvl w:val="0"/>
          <w:numId w:val="1"/>
        </w:numPr>
      </w:pPr>
      <w:r>
        <w:lastRenderedPageBreak/>
        <w:t>Conclusion &amp; Recommendations (300–400 words)</w:t>
      </w:r>
    </w:p>
    <w:p w14:paraId="5FAB5A75" w14:textId="77777777" w:rsidR="00345A18" w:rsidRDefault="00000000">
      <w:pPr>
        <w:numPr>
          <w:ilvl w:val="0"/>
          <w:numId w:val="5"/>
        </w:numPr>
      </w:pPr>
      <w:r>
        <w:t>Summarise benefits, challenges, and strategies.</w:t>
      </w:r>
    </w:p>
    <w:p w14:paraId="4BBA2C8B" w14:textId="77777777" w:rsidR="00345A18" w:rsidRDefault="00000000">
      <w:pPr>
        <w:numPr>
          <w:ilvl w:val="0"/>
          <w:numId w:val="5"/>
        </w:numPr>
      </w:pPr>
      <w:r>
        <w:t>Recommend CPD frameworks, appraisals, and supportive organisational structures.</w:t>
      </w:r>
    </w:p>
    <w:p w14:paraId="404BBBDE" w14:textId="77777777" w:rsidR="00345A18" w:rsidRDefault="00000000">
      <w:r>
        <w:t xml:space="preserve"> </w:t>
      </w:r>
    </w:p>
    <w:p w14:paraId="347318A7" w14:textId="77777777" w:rsidR="00345A18" w:rsidRDefault="00000000">
      <w:pPr>
        <w:pStyle w:val="Heading2"/>
        <w:numPr>
          <w:ilvl w:val="0"/>
          <w:numId w:val="1"/>
        </w:numPr>
      </w:pPr>
      <w:r>
        <w:t xml:space="preserve">References </w:t>
      </w:r>
    </w:p>
    <w:p w14:paraId="3E8592D0" w14:textId="77777777" w:rsidR="00345A18" w:rsidRDefault="00000000">
      <w:pPr>
        <w:ind w:left="720" w:hanging="720"/>
      </w:pPr>
      <w:proofErr w:type="spellStart"/>
      <w:r>
        <w:t>Alerasoul</w:t>
      </w:r>
      <w:proofErr w:type="spellEnd"/>
      <w:r>
        <w:t xml:space="preserve">, S. A., </w:t>
      </w:r>
      <w:proofErr w:type="spellStart"/>
      <w:r>
        <w:t>Afeltra</w:t>
      </w:r>
      <w:proofErr w:type="spellEnd"/>
      <w:r>
        <w:t xml:space="preserve">, G., Hakala, H., Minelli, E., &amp; Strozzi, F. (2022). Organisational learning, learning organisation, and learning orientation: An integrative review and framework. Human Resource Management Review, 32(3), Article 100854. </w:t>
      </w:r>
      <w:hyperlink r:id="rId8" w:history="1">
        <w:r>
          <w:rPr>
            <w:rStyle w:val="Hyperlink"/>
          </w:rPr>
          <w:t>https://doi.org/10.1016/j.hrmr.2021.100854</w:t>
        </w:r>
      </w:hyperlink>
    </w:p>
    <w:p w14:paraId="255E0EBB" w14:textId="77777777" w:rsidR="00345A18" w:rsidRDefault="00000000">
      <w:pPr>
        <w:ind w:left="720" w:hanging="720"/>
      </w:pPr>
      <w:r>
        <w:t xml:space="preserve">Zeshan, M., Rasool, S., </w:t>
      </w:r>
      <w:proofErr w:type="spellStart"/>
      <w:r>
        <w:t>Cerchione</w:t>
      </w:r>
      <w:proofErr w:type="spellEnd"/>
      <w:r>
        <w:t xml:space="preserve">, R., </w:t>
      </w:r>
      <w:proofErr w:type="spellStart"/>
      <w:r>
        <w:t>Centobelli</w:t>
      </w:r>
      <w:proofErr w:type="spellEnd"/>
      <w:r>
        <w:t xml:space="preserve">, P., &amp; Morelli, M. (2025). The impact of digitalization on CSR commitment: The role of human resource management system and employee autonomy. Corporate Social-Responsibility and Environmental Management, 32(2), 1618–1630. </w:t>
      </w:r>
      <w:hyperlink r:id="rId9" w:history="1">
        <w:r>
          <w:rPr>
            <w:rStyle w:val="Hyperlink"/>
          </w:rPr>
          <w:t>https://doi.org/10.1002/csr.3021</w:t>
        </w:r>
      </w:hyperlink>
    </w:p>
    <w:p w14:paraId="2467D541" w14:textId="77777777" w:rsidR="00345A18" w:rsidRDefault="00000000">
      <w:pPr>
        <w:ind w:left="720" w:hanging="720"/>
      </w:pPr>
      <w:r>
        <w:t xml:space="preserve">Petersen, J. A., Bray, L., &amp; Østergaard, D. (2024). Continuing professional development </w:t>
      </w:r>
      <w:proofErr w:type="gramStart"/>
      <w:r>
        <w:t>( CPD</w:t>
      </w:r>
      <w:proofErr w:type="gramEnd"/>
      <w:r>
        <w:t xml:space="preserve"> ) for </w:t>
      </w:r>
      <w:proofErr w:type="spellStart"/>
      <w:r>
        <w:t>anesthetists</w:t>
      </w:r>
      <w:proofErr w:type="spellEnd"/>
      <w:r>
        <w:t xml:space="preserve">: A systematic review. Acta </w:t>
      </w:r>
      <w:proofErr w:type="spellStart"/>
      <w:r>
        <w:t>Anaesthesiologica</w:t>
      </w:r>
      <w:proofErr w:type="spellEnd"/>
      <w:r>
        <w:t xml:space="preserve"> Scandinavica, 68(1), 2–15. </w:t>
      </w:r>
      <w:hyperlink r:id="rId10" w:history="1">
        <w:r>
          <w:rPr>
            <w:rStyle w:val="Hyperlink"/>
          </w:rPr>
          <w:t>https://doi.org/10.1111/aas.14306</w:t>
        </w:r>
      </w:hyperlink>
    </w:p>
    <w:p w14:paraId="3E6CF6BB" w14:textId="77777777" w:rsidR="00345A18" w:rsidRDefault="00000000">
      <w:pPr>
        <w:ind w:left="720" w:hanging="720"/>
      </w:pPr>
      <w:proofErr w:type="spellStart"/>
      <w:r>
        <w:t>Alajlani</w:t>
      </w:r>
      <w:proofErr w:type="spellEnd"/>
      <w:r>
        <w:t xml:space="preserve">, S., &amp; </w:t>
      </w:r>
      <w:proofErr w:type="spellStart"/>
      <w:r>
        <w:t>Yesufu</w:t>
      </w:r>
      <w:proofErr w:type="spellEnd"/>
      <w:r>
        <w:t xml:space="preserve">, L. O. (2022). The impact of human resource practices on employee retention: A study of three private higher educational institutions in the United Arab Emirates. SA Journal of Human Resource Management, 20(1), e1–e10. </w:t>
      </w:r>
      <w:hyperlink r:id="rId11" w:history="1">
        <w:r>
          <w:rPr>
            <w:rStyle w:val="Hyperlink"/>
          </w:rPr>
          <w:t>https://doi.org/10.4102/sajhrm.v20i0.1823</w:t>
        </w:r>
      </w:hyperlink>
    </w:p>
    <w:p w14:paraId="75422EC9" w14:textId="77777777" w:rsidR="00345A18" w:rsidRDefault="00000000">
      <w:pPr>
        <w:ind w:left="720" w:hanging="720"/>
      </w:pPr>
      <w:proofErr w:type="spellStart"/>
      <w:r>
        <w:t>Batmomolin</w:t>
      </w:r>
      <w:proofErr w:type="spellEnd"/>
      <w:r>
        <w:t xml:space="preserve">, A. M. D., </w:t>
      </w:r>
      <w:proofErr w:type="spellStart"/>
      <w:r>
        <w:t>Supriatna</w:t>
      </w:r>
      <w:proofErr w:type="spellEnd"/>
      <w:r>
        <w:t xml:space="preserve">, D., </w:t>
      </w:r>
      <w:proofErr w:type="spellStart"/>
      <w:r>
        <w:t>Hananto</w:t>
      </w:r>
      <w:proofErr w:type="spellEnd"/>
      <w:r>
        <w:t xml:space="preserve">, T., </w:t>
      </w:r>
      <w:proofErr w:type="spellStart"/>
      <w:r>
        <w:t>Tanuwijaya</w:t>
      </w:r>
      <w:proofErr w:type="spellEnd"/>
      <w:r>
        <w:t xml:space="preserve">, J., &amp; Sadana, S. M. S. (2022). Mediating Role of Intrapreneurship Competency and Affective Commitment in the Influence of Training and Development on Employees’ Innovative </w:t>
      </w:r>
      <w:proofErr w:type="spellStart"/>
      <w:r>
        <w:t>Behavior</w:t>
      </w:r>
      <w:proofErr w:type="spellEnd"/>
      <w:r>
        <w:t>. </w:t>
      </w:r>
      <w:proofErr w:type="spellStart"/>
      <w:r>
        <w:t>Calitatea</w:t>
      </w:r>
      <w:proofErr w:type="spellEnd"/>
      <w:r>
        <w:t xml:space="preserve">, 23(191), 70–79. </w:t>
      </w:r>
      <w:hyperlink r:id="rId12" w:history="1">
        <w:r>
          <w:rPr>
            <w:rStyle w:val="Hyperlink"/>
          </w:rPr>
          <w:t>https://doi.org/10.47750/QAS/23.191.09</w:t>
        </w:r>
      </w:hyperlink>
    </w:p>
    <w:p w14:paraId="0709C078" w14:textId="77777777" w:rsidR="00345A18" w:rsidRDefault="00000000">
      <w:pPr>
        <w:ind w:left="720" w:hanging="720"/>
      </w:pPr>
      <w:r>
        <w:t xml:space="preserve">Corporate English Solutions., (2025) Why a learning culture is vital for success in your organisation in 2025. </w:t>
      </w:r>
      <w:hyperlink r:id="rId13" w:history="1">
        <w:r>
          <w:rPr>
            <w:rStyle w:val="Hyperlink"/>
          </w:rPr>
          <w:t>https://corporate.britishcouncil.org/insights/why-learning-culture-vital-success-your-organisation</w:t>
        </w:r>
      </w:hyperlink>
    </w:p>
    <w:p w14:paraId="1C29815B" w14:textId="77777777" w:rsidR="00345A18" w:rsidRDefault="00000000">
      <w:pPr>
        <w:ind w:left="720" w:hanging="720"/>
      </w:pPr>
      <w:r>
        <w:t xml:space="preserve">Katarzyna Piwowar-Sulej, Jana Blštáková, Lenka Ližbetinová, Branislav Zagorsek; The impact of digitalization on employees' future competencies: has human resource development a conditional role </w:t>
      </w:r>
      <w:proofErr w:type="gramStart"/>
      <w:r>
        <w:t>here?.</w:t>
      </w:r>
      <w:proofErr w:type="gramEnd"/>
      <w:r>
        <w:t> Journal of Organizational Change Management 16 December 2024; 37 (8): 36–52. </w:t>
      </w:r>
      <w:hyperlink r:id="rId14" w:history="1">
        <w:r>
          <w:rPr>
            <w:rStyle w:val="Hyperlink"/>
          </w:rPr>
          <w:t>https://doi.org/10.1108/JOCM-10-2023-0426</w:t>
        </w:r>
      </w:hyperlink>
    </w:p>
    <w:p w14:paraId="7F5437A7" w14:textId="77777777" w:rsidR="00345A18" w:rsidRDefault="00000000">
      <w:pPr>
        <w:ind w:left="720" w:hanging="720"/>
      </w:pPr>
      <w:proofErr w:type="spellStart"/>
      <w:r>
        <w:lastRenderedPageBreak/>
        <w:t>Alrashidi</w:t>
      </w:r>
      <w:proofErr w:type="spellEnd"/>
      <w:r>
        <w:t xml:space="preserve">, N. A., </w:t>
      </w:r>
      <w:proofErr w:type="spellStart"/>
      <w:r>
        <w:t>Lagura</w:t>
      </w:r>
      <w:proofErr w:type="spellEnd"/>
      <w:r>
        <w:t xml:space="preserve">, G. A. L., &amp; Celdran, M. C. B. (2023). Utilization of the dimensions of learning organization for enhanced hospital performance. Frontiers in Communication, 8, Article 1189234. </w:t>
      </w:r>
      <w:hyperlink r:id="rId15" w:history="1">
        <w:r>
          <w:rPr>
            <w:rStyle w:val="Hyperlink"/>
          </w:rPr>
          <w:t>https://doi.org/10.3389/fcomm.2023.1189234</w:t>
        </w:r>
      </w:hyperlink>
      <w:r>
        <w:t xml:space="preserve"> </w:t>
      </w:r>
    </w:p>
    <w:p w14:paraId="5CE7F954" w14:textId="77777777" w:rsidR="00345A18" w:rsidRDefault="00000000">
      <w:pPr>
        <w:ind w:left="720" w:hanging="720"/>
      </w:pPr>
      <w:r>
        <w:t xml:space="preserve">Bharadwaj, S. (2023). Influence of training and development interventions on employee retention – An employer brand-based agenda. LBS Journal of Management &amp; Research, 21(2), 157–170. </w:t>
      </w:r>
      <w:hyperlink r:id="rId16" w:history="1">
        <w:r>
          <w:rPr>
            <w:rStyle w:val="Hyperlink"/>
          </w:rPr>
          <w:t>https://doi.org/10.1108/LBSJMR-12-2022-0080</w:t>
        </w:r>
      </w:hyperlink>
      <w:r>
        <w:t xml:space="preserve"> </w:t>
      </w:r>
    </w:p>
    <w:p w14:paraId="4A54E880" w14:textId="77777777" w:rsidR="00345A18" w:rsidRDefault="00000000">
      <w:pPr>
        <w:ind w:left="720" w:hanging="720"/>
      </w:pPr>
      <w:r>
        <w:t xml:space="preserve">Cao, T. H. V., Chai, D. S., Nguyen, L. P., Nguyen, H. T. H., Han, C. S. H., &amp; Park, S. (2025). Learning organization and employee performance: The mediating role of job satisfaction in the Vietnamese context. The Learning Organization, 32(7), 53–73. </w:t>
      </w:r>
      <w:hyperlink r:id="rId17" w:history="1">
        <w:r>
          <w:rPr>
            <w:rStyle w:val="Hyperlink"/>
          </w:rPr>
          <w:t>https://doi.org/10.1108/TLO-09-2023-0177</w:t>
        </w:r>
      </w:hyperlink>
      <w:r>
        <w:t xml:space="preserve"> </w:t>
      </w:r>
    </w:p>
    <w:p w14:paraId="3668604D" w14:textId="77777777" w:rsidR="00345A18" w:rsidRDefault="00000000">
      <w:pPr>
        <w:ind w:left="720" w:hanging="720"/>
      </w:pPr>
      <w:r>
        <w:t xml:space="preserve">Chartered Institute of Personnel and Development. (2023). Learning and skills at work survey 2023. </w:t>
      </w:r>
      <w:hyperlink r:id="rId18" w:history="1">
        <w:r>
          <w:rPr>
            <w:rStyle w:val="Hyperlink"/>
          </w:rPr>
          <w:t>https://www.cipd.org/</w:t>
        </w:r>
      </w:hyperlink>
      <w:r>
        <w:t xml:space="preserve"> </w:t>
      </w:r>
    </w:p>
    <w:p w14:paraId="5D432FBB" w14:textId="77777777" w:rsidR="00345A18" w:rsidRDefault="00000000">
      <w:pPr>
        <w:ind w:left="720" w:hanging="720"/>
      </w:pPr>
      <w:r>
        <w:t xml:space="preserve">Härmä, M., &amp; </w:t>
      </w:r>
      <w:proofErr w:type="spellStart"/>
      <w:r>
        <w:t>Toppinen</w:t>
      </w:r>
      <w:proofErr w:type="spellEnd"/>
      <w:r>
        <w:t xml:space="preserve">-Tanner, S. (2023). The role of continuing professional training or development in maintaining current employment: A systematic review. Healthcare, 11(21), 2900. </w:t>
      </w:r>
      <w:hyperlink r:id="rId19" w:history="1">
        <w:r>
          <w:rPr>
            <w:rStyle w:val="Hyperlink"/>
          </w:rPr>
          <w:t>https://doi.org/10.3390/healthcare11212900</w:t>
        </w:r>
      </w:hyperlink>
      <w:r>
        <w:t xml:space="preserve"> </w:t>
      </w:r>
    </w:p>
    <w:p w14:paraId="758AF6E4" w14:textId="77777777" w:rsidR="00345A18" w:rsidRDefault="00000000">
      <w:pPr>
        <w:ind w:left="720" w:hanging="720"/>
      </w:pPr>
      <w:proofErr w:type="spellStart"/>
      <w:r>
        <w:t>Alrashidi</w:t>
      </w:r>
      <w:proofErr w:type="spellEnd"/>
      <w:r>
        <w:t xml:space="preserve">, N. A., </w:t>
      </w:r>
      <w:proofErr w:type="spellStart"/>
      <w:r>
        <w:t>Lagura</w:t>
      </w:r>
      <w:proofErr w:type="spellEnd"/>
      <w:r>
        <w:t xml:space="preserve">, G. A. L., &amp; Celdran, M. C. B. (2023). Utilization of the dimensions of learning organization for enhanced hospital performance. Frontiers in Communication, 8, Article 1189234. </w:t>
      </w:r>
      <w:hyperlink r:id="rId20" w:history="1">
        <w:r>
          <w:rPr>
            <w:rStyle w:val="Hyperlink"/>
          </w:rPr>
          <w:t>https://doi.org/10.3389/fcomm.2023.1189234</w:t>
        </w:r>
      </w:hyperlink>
      <w:r>
        <w:t xml:space="preserve"> </w:t>
      </w:r>
    </w:p>
    <w:p w14:paraId="6F2E807C" w14:textId="77777777" w:rsidR="00345A18" w:rsidRDefault="00000000">
      <w:pPr>
        <w:ind w:left="720" w:hanging="720"/>
      </w:pPr>
      <w:r>
        <w:t xml:space="preserve">Bharadwaj, S. (2023). Influence of training and development interventions on employee retention – An employer brand-based agenda. LBS Journal of Management &amp; Research, 21(2), 157–170. </w:t>
      </w:r>
      <w:hyperlink r:id="rId21" w:history="1">
        <w:r>
          <w:rPr>
            <w:rStyle w:val="Hyperlink"/>
          </w:rPr>
          <w:t>https://doi.org/10.1108/LBSJMR-12-2022-0080</w:t>
        </w:r>
      </w:hyperlink>
      <w:r>
        <w:t xml:space="preserve"> </w:t>
      </w:r>
    </w:p>
    <w:p w14:paraId="66041865" w14:textId="77777777" w:rsidR="00345A18" w:rsidRDefault="00000000">
      <w:pPr>
        <w:ind w:left="720" w:hanging="720"/>
      </w:pPr>
      <w:r>
        <w:t xml:space="preserve">Cao, T. H. V., Chai, D. S., Nguyen, L. P., Nguyen, H. T. H., Han, C. S. H., &amp; Park, S. (2025). Learning organization and employee performance: The mediating role of job satisfaction in the Vietnamese context. The Learning Organization, 32(7), 53–73. </w:t>
      </w:r>
      <w:hyperlink r:id="rId22" w:history="1">
        <w:r>
          <w:rPr>
            <w:rStyle w:val="Hyperlink"/>
          </w:rPr>
          <w:t>https://doi.org/10.1108/TLO-09-2023-0177</w:t>
        </w:r>
      </w:hyperlink>
      <w:r>
        <w:t xml:space="preserve"> </w:t>
      </w:r>
    </w:p>
    <w:p w14:paraId="4628C491" w14:textId="77777777" w:rsidR="00345A18" w:rsidRDefault="00000000">
      <w:pPr>
        <w:ind w:left="720" w:hanging="720"/>
      </w:pPr>
      <w:r>
        <w:t xml:space="preserve">Chartered Institute of Personnel and Development. (2023). Learning and skills at work survey 2023. </w:t>
      </w:r>
      <w:hyperlink r:id="rId23" w:history="1">
        <w:r>
          <w:rPr>
            <w:rStyle w:val="Hyperlink"/>
          </w:rPr>
          <w:t>https://www.cipd.org/uk/knowledge/reports/learning-at-work/</w:t>
        </w:r>
      </w:hyperlink>
    </w:p>
    <w:p w14:paraId="2509BB68" w14:textId="77777777" w:rsidR="00345A18" w:rsidRDefault="00000000">
      <w:r>
        <w:t xml:space="preserve">Härmä, M., &amp; </w:t>
      </w:r>
      <w:proofErr w:type="spellStart"/>
      <w:r>
        <w:t>Toppinen</w:t>
      </w:r>
      <w:proofErr w:type="spellEnd"/>
      <w:r>
        <w:t xml:space="preserve">-Tanner, S. (2023). The role of continuing professional training or development in maintaining current employment: A systematic review. Healthcare, 11(21), 2900. </w:t>
      </w:r>
      <w:hyperlink r:id="rId24" w:history="1">
        <w:r>
          <w:rPr>
            <w:rStyle w:val="Hyperlink"/>
          </w:rPr>
          <w:t>https://doi.org/10.3390/healthcare11212900</w:t>
        </w:r>
      </w:hyperlink>
      <w:r>
        <w:t xml:space="preserve"> </w:t>
      </w:r>
    </w:p>
    <w:p w14:paraId="01673843" w14:textId="77777777" w:rsidR="00345A18" w:rsidRDefault="00000000">
      <w:pPr>
        <w:ind w:left="720" w:hanging="720"/>
      </w:pPr>
      <w:proofErr w:type="spellStart"/>
      <w:r>
        <w:t>Pohlan</w:t>
      </w:r>
      <w:proofErr w:type="spellEnd"/>
      <w:r>
        <w:t xml:space="preserve">, L., &amp; Steffes, S. (2025). Performance evaluations and employee turnover intentions: Empirical evidence from linked employer–employee data. Industrial Relations (Berkeley), 64(3), 395–433. </w:t>
      </w:r>
      <w:hyperlink r:id="rId25" w:history="1">
        <w:r>
          <w:rPr>
            <w:rStyle w:val="Hyperlink"/>
          </w:rPr>
          <w:t>https://doi.org/10.1111/irel.12379</w:t>
        </w:r>
      </w:hyperlink>
    </w:p>
    <w:p w14:paraId="6FE60DA5" w14:textId="77777777" w:rsidR="00345A18" w:rsidRDefault="00000000">
      <w:pPr>
        <w:ind w:left="720" w:hanging="720"/>
      </w:pPr>
      <w:r>
        <w:lastRenderedPageBreak/>
        <w:t xml:space="preserve">Yousaf, M., Khan, M. M., &amp; Paracha, A. T. (2022). Effects of Inclusive Leadership on Quality of Care: The Mediating Role of Psychological Safety Climate and Perceived Workgroup Inclusion. Healthcare (Basel), 10(11), 2258. </w:t>
      </w:r>
      <w:hyperlink r:id="rId26" w:history="1">
        <w:r>
          <w:rPr>
            <w:rStyle w:val="Hyperlink"/>
          </w:rPr>
          <w:t>https://doi.org/10.3390/healthcare10112258</w:t>
        </w:r>
      </w:hyperlink>
    </w:p>
    <w:p w14:paraId="67A672B1" w14:textId="77777777" w:rsidR="00345A18" w:rsidRDefault="00000000">
      <w:pPr>
        <w:ind w:left="720" w:hanging="720"/>
      </w:pPr>
      <w:r>
        <w:t xml:space="preserve">Shet, S. V. (2024). A VUCA-ready workforce: exploring employee competencies and learning and development implications. Personnel Review, 53(3), 674–703. </w:t>
      </w:r>
      <w:hyperlink r:id="rId27" w:history="1">
        <w:r>
          <w:rPr>
            <w:rStyle w:val="Hyperlink"/>
          </w:rPr>
          <w:t>https://doi.org/10.1108/PR-10-2023-0873</w:t>
        </w:r>
      </w:hyperlink>
    </w:p>
    <w:p w14:paraId="778AF080" w14:textId="77777777" w:rsidR="00345A18" w:rsidRDefault="00000000">
      <w:pPr>
        <w:ind w:left="720" w:hanging="720"/>
      </w:pPr>
      <w:r>
        <w:t xml:space="preserve">Erdos, D. (2023). The UK GDPR, the immigration exception and Brexit: Interrogating “Open Rights Group v Secretary of State for the Home Department” and its aftermath. Modern Law Review, 86(3), 785–800. </w:t>
      </w:r>
      <w:hyperlink r:id="rId28" w:history="1">
        <w:r>
          <w:rPr>
            <w:rStyle w:val="Hyperlink"/>
          </w:rPr>
          <w:t>https://doi.org/10.1111/1468-2230.12784</w:t>
        </w:r>
      </w:hyperlink>
    </w:p>
    <w:p w14:paraId="28395689" w14:textId="77777777" w:rsidR="00345A18" w:rsidRDefault="00000000">
      <w:pPr>
        <w:ind w:left="720" w:hanging="720"/>
      </w:pPr>
      <w:r>
        <w:t xml:space="preserve">Currie, G., </w:t>
      </w:r>
      <w:proofErr w:type="spellStart"/>
      <w:r>
        <w:t>Bharatan</w:t>
      </w:r>
      <w:proofErr w:type="spellEnd"/>
      <w:r>
        <w:t xml:space="preserve">, I., Mahesh, S., &amp; Miller, R. (2025). Supporting New Ways of Working for Social Workers Through High Performance Work Practices: Sustaining Professional Identity. Human Resource Management, 64(2), 503–521. </w:t>
      </w:r>
      <w:hyperlink r:id="rId29" w:history="1">
        <w:r>
          <w:rPr>
            <w:rStyle w:val="Hyperlink"/>
          </w:rPr>
          <w:t>https://doi.org/10.1002/hrm.22271</w:t>
        </w:r>
      </w:hyperlink>
    </w:p>
    <w:p w14:paraId="3AB99F4F" w14:textId="77777777" w:rsidR="00345A18" w:rsidRDefault="00000000">
      <w:pPr>
        <w:ind w:left="720" w:hanging="720"/>
      </w:pPr>
      <w:r>
        <w:t xml:space="preserve">Ang, L., Grenier, J., </w:t>
      </w:r>
      <w:proofErr w:type="spellStart"/>
      <w:r>
        <w:t>Harmey</w:t>
      </w:r>
      <w:proofErr w:type="spellEnd"/>
      <w:r>
        <w:t xml:space="preserve">, S., James, F., &amp; Prendergast, M. (2025). Supporting early years professional development to enhance high-quality conversational interactions in early childhood care and education settings: the </w:t>
      </w:r>
      <w:proofErr w:type="spellStart"/>
      <w:r>
        <w:t>ShREC</w:t>
      </w:r>
      <w:proofErr w:type="spellEnd"/>
      <w:r>
        <w:t xml:space="preserve"> approach.</w:t>
      </w:r>
    </w:p>
    <w:p w14:paraId="7E2175DC" w14:textId="77777777" w:rsidR="00345A18" w:rsidRDefault="00000000">
      <w:pPr>
        <w:ind w:left="720" w:hanging="720"/>
      </w:pPr>
      <w:r>
        <w:t xml:space="preserve">Adams, C. T. (2022). Business Planning Strategies to Sustain Hair Salons (Order No. 28966554). Available from ProQuest Dissertations &amp; Theses Global. (2635249596). </w:t>
      </w:r>
      <w:hyperlink r:id="rId30" w:history="1">
        <w:r>
          <w:rPr>
            <w:rStyle w:val="Hyperlink"/>
          </w:rPr>
          <w:t>https://www.proquest.com/dissertations-theses/business-planning-strategies-sustain-hair-salons/docview/2635249596/se-2</w:t>
        </w:r>
      </w:hyperlink>
    </w:p>
    <w:p w14:paraId="64B362CB" w14:textId="77777777" w:rsidR="00345A18" w:rsidRDefault="00000000">
      <w:pPr>
        <w:ind w:left="720" w:hanging="720"/>
      </w:pPr>
      <w:r>
        <w:t>Deng, C., &amp; Turner, N. (2024). Identifying key mentor characteristics for successful workplace mentoring relationships and programmes. </w:t>
      </w:r>
      <w:r>
        <w:rPr>
          <w:i/>
          <w:iCs/>
        </w:rPr>
        <w:t>Personnel Review</w:t>
      </w:r>
      <w:r>
        <w:t>, </w:t>
      </w:r>
      <w:r>
        <w:rPr>
          <w:i/>
          <w:iCs/>
        </w:rPr>
        <w:t>53</w:t>
      </w:r>
      <w:r>
        <w:t xml:space="preserve">(2), 580–604. </w:t>
      </w:r>
      <w:hyperlink r:id="rId31" w:history="1">
        <w:r>
          <w:rPr>
            <w:rStyle w:val="Hyperlink"/>
          </w:rPr>
          <w:t>https://doi.org/10.1108/PR-08-2022-0535</w:t>
        </w:r>
      </w:hyperlink>
    </w:p>
    <w:p w14:paraId="50E1F8E9" w14:textId="77777777" w:rsidR="00345A18" w:rsidRDefault="00000000">
      <w:pPr>
        <w:ind w:left="720" w:hanging="720"/>
      </w:pPr>
      <w:r>
        <w:t xml:space="preserve">Aesthetics Conference &amp; Exhibition. (2025) Empowering the Medical Aesthetics community. </w:t>
      </w:r>
      <w:hyperlink r:id="rId32" w:history="1">
        <w:r>
          <w:rPr>
            <w:rStyle w:val="Hyperlink"/>
          </w:rPr>
          <w:t>https://www.aestheticsconference.com/</w:t>
        </w:r>
      </w:hyperlink>
    </w:p>
    <w:p w14:paraId="0816E375" w14:textId="77777777" w:rsidR="00345A18" w:rsidRDefault="00000000">
      <w:pPr>
        <w:ind w:left="720" w:hanging="720"/>
      </w:pPr>
      <w:r>
        <w:t xml:space="preserve">CIPD. (2023). High-performing teams: An evidence review. Chartered Institute of Personnel and Development. </w:t>
      </w:r>
      <w:hyperlink r:id="rId33" w:history="1">
        <w:r>
          <w:rPr>
            <w:rStyle w:val="Hyperlink"/>
          </w:rPr>
          <w:t>https://www.cipd.org/uk/knowledge/evidence-reviews/high-performing-teams</w:t>
        </w:r>
      </w:hyperlink>
    </w:p>
    <w:p w14:paraId="7120A6B0" w14:textId="77777777" w:rsidR="00345A18" w:rsidRDefault="00000000">
      <w:pPr>
        <w:ind w:left="720" w:hanging="720"/>
      </w:pPr>
      <w:r>
        <w:t xml:space="preserve">CIPD. (2024). </w:t>
      </w:r>
      <w:r>
        <w:rPr>
          <w:i/>
          <w:iCs/>
        </w:rPr>
        <w:t>Performance management: An introduction</w:t>
      </w:r>
      <w:r>
        <w:t xml:space="preserve">. Chartered Institute of Personnel and Development. </w:t>
      </w:r>
      <w:hyperlink r:id="rId34" w:history="1">
        <w:r>
          <w:rPr>
            <w:rStyle w:val="Hyperlink"/>
          </w:rPr>
          <w:t>https://www.cipd.org/uk/knowledge/factsheets/performance-factsheet</w:t>
        </w:r>
      </w:hyperlink>
    </w:p>
    <w:p w14:paraId="0CA7AE11" w14:textId="77777777" w:rsidR="00345A18" w:rsidRDefault="00000000">
      <w:pPr>
        <w:ind w:left="720" w:hanging="720"/>
      </w:pPr>
      <w:r>
        <w:lastRenderedPageBreak/>
        <w:t xml:space="preserve">CIPD. (2024). </w:t>
      </w:r>
      <w:r>
        <w:rPr>
          <w:i/>
          <w:iCs/>
        </w:rPr>
        <w:t>Trust and psychological safety: An evidence review</w:t>
      </w:r>
      <w:r>
        <w:t xml:space="preserve">. Chartered Institute of Personnel and Development. </w:t>
      </w:r>
      <w:hyperlink r:id="rId35" w:history="1">
        <w:r>
          <w:rPr>
            <w:rStyle w:val="Hyperlink"/>
          </w:rPr>
          <w:t>https://www.cipd.org/uk/knowledge/evidence-reviews/trust-psychological-safety</w:t>
        </w:r>
      </w:hyperlink>
    </w:p>
    <w:p w14:paraId="17CD8D08" w14:textId="77777777" w:rsidR="00345A18" w:rsidRDefault="00000000">
      <w:pPr>
        <w:ind w:left="720" w:hanging="720"/>
      </w:pPr>
      <w:r>
        <w:t xml:space="preserve">CIPD. (2024c). </w:t>
      </w:r>
      <w:r>
        <w:rPr>
          <w:i/>
          <w:iCs/>
        </w:rPr>
        <w:t>Continuing professional development (CPD): An introduction</w:t>
      </w:r>
      <w:r>
        <w:t xml:space="preserve">. Chartered Institute of Personnel and Development. </w:t>
      </w:r>
      <w:hyperlink r:id="rId36" w:history="1">
        <w:r>
          <w:rPr>
            <w:rStyle w:val="Hyperlink"/>
          </w:rPr>
          <w:t>https://www.cipd.org/uk/knowledge/factsheets/continuing-professional-development</w:t>
        </w:r>
      </w:hyperlink>
    </w:p>
    <w:p w14:paraId="43A830FE" w14:textId="77777777" w:rsidR="00345A18" w:rsidRDefault="00000000">
      <w:pPr>
        <w:ind w:left="720" w:hanging="720"/>
      </w:pPr>
      <w:r>
        <w:t xml:space="preserve">CIPD. (2024d). </w:t>
      </w:r>
      <w:r>
        <w:rPr>
          <w:i/>
          <w:iCs/>
        </w:rPr>
        <w:t>Psychological safety at work</w:t>
      </w:r>
      <w:r>
        <w:t xml:space="preserve">. Chartered Institute of Personnel and Development. </w:t>
      </w:r>
      <w:hyperlink r:id="rId37" w:history="1">
        <w:r>
          <w:rPr>
            <w:rStyle w:val="Hyperlink"/>
          </w:rPr>
          <w:t>https://www.cipd.org/uk/knowledge/factsheets/psychological-safety</w:t>
        </w:r>
      </w:hyperlink>
    </w:p>
    <w:p w14:paraId="266C45E2" w14:textId="77777777" w:rsidR="00345A18" w:rsidRDefault="00000000">
      <w:pPr>
        <w:ind w:left="720" w:hanging="720"/>
      </w:pPr>
      <w:r>
        <w:t xml:space="preserve">McKinsey &amp; Company. (2023). </w:t>
      </w:r>
      <w:r>
        <w:rPr>
          <w:i/>
          <w:iCs/>
        </w:rPr>
        <w:t>Psychological safety and the critical role of leadership development</w:t>
      </w:r>
      <w:r>
        <w:t xml:space="preserve">. McKinsey &amp; Company. </w:t>
      </w:r>
      <w:hyperlink r:id="rId38" w:history="1">
        <w:r>
          <w:rPr>
            <w:rStyle w:val="Hyperlink"/>
          </w:rPr>
          <w:t>https://www.mckinsey.com/capabilities/people-and-organizational-performance/our-insights/psychological-safety-and-the-critical-role-of-leadership-development</w:t>
        </w:r>
      </w:hyperlink>
    </w:p>
    <w:p w14:paraId="22C1BF21" w14:textId="77777777" w:rsidR="00345A18" w:rsidRDefault="00000000">
      <w:pPr>
        <w:ind w:left="720" w:hanging="720"/>
      </w:pPr>
      <w:r>
        <w:rPr>
          <w:shd w:val="clear" w:color="auto" w:fill="FFFF00"/>
        </w:rPr>
        <w:t xml:space="preserve">Choo, C. W. (2023). </w:t>
      </w:r>
      <w:r>
        <w:rPr>
          <w:i/>
          <w:iCs/>
          <w:shd w:val="clear" w:color="auto" w:fill="FFFF00"/>
        </w:rPr>
        <w:t>The knowing organization: How organizations use information to construct meaning, create knowledge, and make decisions</w:t>
      </w:r>
      <w:r>
        <w:rPr>
          <w:shd w:val="clear" w:color="auto" w:fill="FFFF00"/>
        </w:rPr>
        <w:t xml:space="preserve"> (3rd ed.). Oxford University Press.</w:t>
      </w:r>
      <w:r>
        <w:t xml:space="preserve"> Relooked at and check the others. </w:t>
      </w:r>
    </w:p>
    <w:p w14:paraId="7DCE0829" w14:textId="77777777" w:rsidR="00345A18" w:rsidRDefault="00000000">
      <w:pPr>
        <w:ind w:left="720" w:hanging="720"/>
      </w:pPr>
      <w:r>
        <w:t>Gossack</w:t>
      </w:r>
      <w:r>
        <w:rPr>
          <w:rFonts w:ascii="Cambria Math" w:hAnsi="Cambria Math" w:cs="Cambria Math"/>
        </w:rPr>
        <w:t>‐</w:t>
      </w:r>
      <w:r>
        <w:t>Keenan, K., De Wit, K., Gardiner, E., Turcotte, M., Chan, T. M., &amp; Santen, S. (2020). Showing Your Thinking: Using Mind Maps to Understand the Gaps Between Experienced Emergency Physicians and Their Students.</w:t>
      </w:r>
      <w:r>
        <w:rPr>
          <w:rFonts w:cs="Aptos"/>
        </w:rPr>
        <w:t> </w:t>
      </w:r>
      <w:r>
        <w:rPr>
          <w:i/>
          <w:iCs/>
        </w:rPr>
        <w:t>AEM Education and Training</w:t>
      </w:r>
      <w:r>
        <w:t>, </w:t>
      </w:r>
      <w:r>
        <w:rPr>
          <w:i/>
          <w:iCs/>
        </w:rPr>
        <w:t>4</w:t>
      </w:r>
      <w:r>
        <w:t xml:space="preserve">(1), 54–63. </w:t>
      </w:r>
      <w:hyperlink r:id="rId39" w:history="1">
        <w:r>
          <w:rPr>
            <w:rStyle w:val="Hyperlink"/>
          </w:rPr>
          <w:t>https://doi.org/10.1002/aet2.10379</w:t>
        </w:r>
      </w:hyperlink>
    </w:p>
    <w:p w14:paraId="641C0F6B" w14:textId="05DB231E" w:rsidR="00345A18" w:rsidRDefault="00000000">
      <w:pPr>
        <w:ind w:left="720" w:hanging="720"/>
      </w:pPr>
      <w:r>
        <w:t xml:space="preserve">Beardmore, C., England, A., Cruwys, C., &amp; </w:t>
      </w:r>
      <w:proofErr w:type="spellStart"/>
      <w:r>
        <w:t>Carrié</w:t>
      </w:r>
      <w:proofErr w:type="spellEnd"/>
      <w:r>
        <w:t>, D. (2024). How can effective communication help radiographers meet the expectations of patients—COMMUNICATION—a joint statement by the ESR &amp; EFRS. </w:t>
      </w:r>
      <w:r>
        <w:rPr>
          <w:i/>
          <w:iCs/>
        </w:rPr>
        <w:t>Insights into Imaging</w:t>
      </w:r>
      <w:r>
        <w:t>, </w:t>
      </w:r>
      <w:r>
        <w:rPr>
          <w:i/>
          <w:iCs/>
        </w:rPr>
        <w:t>15</w:t>
      </w:r>
      <w:r>
        <w:t xml:space="preserve">(1), Article 300. </w:t>
      </w:r>
      <w:hyperlink r:id="rId40" w:history="1">
        <w:r w:rsidR="00771E49" w:rsidRPr="00606AE7">
          <w:rPr>
            <w:rStyle w:val="Hyperlink"/>
          </w:rPr>
          <w:t>https://doi.org/10.1186/s13244-024-01868-5</w:t>
        </w:r>
      </w:hyperlink>
    </w:p>
    <w:p w14:paraId="29E3B48D" w14:textId="268A2707" w:rsidR="00771E49" w:rsidRDefault="00771E49">
      <w:pPr>
        <w:ind w:left="720" w:hanging="720"/>
      </w:pPr>
      <w:r w:rsidRPr="00771E49">
        <w:t>Al Shamari, D. (2022). Challenges and barriers to e-learning experienced by trainers and training coordinators in the Ministry of Health in Saudi Arabia during the COVID-19 crisis. </w:t>
      </w:r>
      <w:proofErr w:type="spellStart"/>
      <w:r w:rsidRPr="00771E49">
        <w:rPr>
          <w:i/>
          <w:iCs/>
        </w:rPr>
        <w:t>PloS</w:t>
      </w:r>
      <w:proofErr w:type="spellEnd"/>
      <w:r w:rsidRPr="00771E49">
        <w:rPr>
          <w:i/>
          <w:iCs/>
        </w:rPr>
        <w:t xml:space="preserve"> One</w:t>
      </w:r>
      <w:r w:rsidRPr="00771E49">
        <w:t>, </w:t>
      </w:r>
      <w:r w:rsidRPr="00771E49">
        <w:rPr>
          <w:i/>
          <w:iCs/>
        </w:rPr>
        <w:t>17</w:t>
      </w:r>
      <w:r w:rsidRPr="00771E49">
        <w:t xml:space="preserve">(10), e0274816. </w:t>
      </w:r>
      <w:hyperlink r:id="rId41" w:history="1">
        <w:r w:rsidRPr="00606AE7">
          <w:rPr>
            <w:rStyle w:val="Hyperlink"/>
          </w:rPr>
          <w:t>https://doi.org/10.1371/journal.pone.0274816</w:t>
        </w:r>
      </w:hyperlink>
    </w:p>
    <w:p w14:paraId="19EC1232" w14:textId="5733C2C6" w:rsidR="00AD4CB9" w:rsidRDefault="00AD4CB9">
      <w:pPr>
        <w:ind w:left="720" w:hanging="720"/>
      </w:pPr>
      <w:r w:rsidRPr="00AD4CB9">
        <w:t>Chen, M., Martins, T. S., Zhang, L., &amp; Dong, H. (2025). Digital Transformation in Project Management: A Systematic Review and Research Agenda. </w:t>
      </w:r>
      <w:r w:rsidRPr="00AD4CB9">
        <w:rPr>
          <w:i/>
          <w:iCs/>
        </w:rPr>
        <w:t>Systems (Basel)</w:t>
      </w:r>
      <w:r w:rsidRPr="00AD4CB9">
        <w:t>, </w:t>
      </w:r>
      <w:r w:rsidRPr="00AD4CB9">
        <w:rPr>
          <w:i/>
          <w:iCs/>
        </w:rPr>
        <w:t>13</w:t>
      </w:r>
      <w:r w:rsidRPr="00AD4CB9">
        <w:t xml:space="preserve">(8), 625. </w:t>
      </w:r>
      <w:hyperlink r:id="rId42" w:history="1">
        <w:r w:rsidRPr="00606AE7">
          <w:rPr>
            <w:rStyle w:val="Hyperlink"/>
          </w:rPr>
          <w:t>https://doi.org/10.3390/systems13080625</w:t>
        </w:r>
      </w:hyperlink>
    </w:p>
    <w:p w14:paraId="171653E4" w14:textId="627EEDDF" w:rsidR="00AD4CB9" w:rsidRDefault="00AD4CB9">
      <w:pPr>
        <w:ind w:left="720" w:hanging="720"/>
      </w:pPr>
      <w:r w:rsidRPr="00AD4CB9">
        <w:t>Piwowar-</w:t>
      </w:r>
      <w:proofErr w:type="spellStart"/>
      <w:r w:rsidRPr="00AD4CB9">
        <w:t>Sulej</w:t>
      </w:r>
      <w:proofErr w:type="spellEnd"/>
      <w:r w:rsidRPr="00AD4CB9">
        <w:t xml:space="preserve">, K., &amp; </w:t>
      </w:r>
      <w:proofErr w:type="spellStart"/>
      <w:r w:rsidRPr="00AD4CB9">
        <w:t>Bąk</w:t>
      </w:r>
      <w:proofErr w:type="spellEnd"/>
      <w:r w:rsidRPr="00AD4CB9">
        <w:t>-Grabowska, D. (2024). Developing future competencies of people employed in non-standard forms of employment: employers’ and employees’ perspective. </w:t>
      </w:r>
      <w:r w:rsidRPr="00AD4CB9">
        <w:rPr>
          <w:i/>
          <w:iCs/>
        </w:rPr>
        <w:t>Personnel Review</w:t>
      </w:r>
      <w:r w:rsidRPr="00AD4CB9">
        <w:t>, </w:t>
      </w:r>
      <w:r w:rsidRPr="00AD4CB9">
        <w:rPr>
          <w:i/>
          <w:iCs/>
        </w:rPr>
        <w:t>53</w:t>
      </w:r>
      <w:r w:rsidRPr="00AD4CB9">
        <w:t>(3), 721–742. https://doi.org/10.1108/PR-10-2023-0841</w:t>
      </w:r>
    </w:p>
    <w:p w14:paraId="0D3274A0" w14:textId="77777777" w:rsidR="00AD4CB9" w:rsidRDefault="00AD4CB9">
      <w:pPr>
        <w:ind w:left="720" w:hanging="720"/>
      </w:pPr>
    </w:p>
    <w:p w14:paraId="4DC40B7D" w14:textId="77777777" w:rsidR="00771E49" w:rsidRDefault="00771E49">
      <w:pPr>
        <w:ind w:left="720" w:hanging="720"/>
      </w:pPr>
    </w:p>
    <w:p w14:paraId="238865E6" w14:textId="77777777" w:rsidR="00345A18" w:rsidRDefault="00345A18">
      <w:pPr>
        <w:ind w:left="720" w:hanging="720"/>
      </w:pPr>
    </w:p>
    <w:p w14:paraId="42B9DCDB" w14:textId="77777777" w:rsidR="00345A18" w:rsidRDefault="00345A18">
      <w:pPr>
        <w:ind w:left="720" w:hanging="720"/>
      </w:pPr>
    </w:p>
    <w:p w14:paraId="6F5A8F27" w14:textId="77777777" w:rsidR="00345A18" w:rsidRDefault="00345A18">
      <w:pPr>
        <w:ind w:left="720" w:hanging="720"/>
      </w:pPr>
    </w:p>
    <w:p w14:paraId="0032C3F5" w14:textId="77777777" w:rsidR="00345A18" w:rsidRDefault="00345A18">
      <w:pPr>
        <w:ind w:left="720" w:hanging="720"/>
      </w:pPr>
    </w:p>
    <w:p w14:paraId="369439FD" w14:textId="77777777" w:rsidR="00345A18" w:rsidRDefault="00345A18">
      <w:pPr>
        <w:ind w:left="720" w:hanging="720"/>
      </w:pPr>
    </w:p>
    <w:p w14:paraId="6F816A49" w14:textId="77777777" w:rsidR="00345A18" w:rsidRDefault="00345A18">
      <w:pPr>
        <w:ind w:left="720" w:hanging="720"/>
      </w:pPr>
    </w:p>
    <w:p w14:paraId="52D776C4" w14:textId="77777777" w:rsidR="00345A18" w:rsidRDefault="00345A18">
      <w:pPr>
        <w:ind w:left="720" w:hanging="720"/>
      </w:pPr>
    </w:p>
    <w:p w14:paraId="2EF42DF9" w14:textId="77777777" w:rsidR="00345A18" w:rsidRDefault="00345A18">
      <w:pPr>
        <w:ind w:left="720" w:hanging="720"/>
      </w:pPr>
    </w:p>
    <w:p w14:paraId="68946B18" w14:textId="77777777" w:rsidR="00345A18" w:rsidRDefault="00345A18">
      <w:pPr>
        <w:ind w:left="720" w:hanging="720"/>
        <w:rPr>
          <w:b/>
          <w:bCs/>
        </w:rPr>
      </w:pPr>
    </w:p>
    <w:p w14:paraId="20DD560E" w14:textId="77777777" w:rsidR="00345A18" w:rsidRDefault="00345A18">
      <w:pPr>
        <w:ind w:left="720" w:hanging="720"/>
      </w:pPr>
    </w:p>
    <w:p w14:paraId="663B24DC" w14:textId="77777777" w:rsidR="00345A18" w:rsidRDefault="00345A18">
      <w:pPr>
        <w:ind w:left="720" w:hanging="720"/>
      </w:pPr>
    </w:p>
    <w:p w14:paraId="0601FA98" w14:textId="77777777" w:rsidR="00345A18" w:rsidRDefault="00345A18">
      <w:pPr>
        <w:ind w:left="720" w:hanging="720"/>
      </w:pPr>
    </w:p>
    <w:p w14:paraId="14F75790" w14:textId="77777777" w:rsidR="00345A18" w:rsidRDefault="00345A18">
      <w:pPr>
        <w:ind w:left="720" w:hanging="720"/>
      </w:pPr>
    </w:p>
    <w:sectPr w:rsidR="00345A1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F452A" w14:textId="77777777" w:rsidR="00264DDC" w:rsidRDefault="00264DDC">
      <w:pPr>
        <w:spacing w:after="0" w:line="240" w:lineRule="auto"/>
      </w:pPr>
      <w:r>
        <w:separator/>
      </w:r>
    </w:p>
  </w:endnote>
  <w:endnote w:type="continuationSeparator" w:id="0">
    <w:p w14:paraId="1FED8C0A" w14:textId="77777777" w:rsidR="00264DDC" w:rsidRDefault="00264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22971" w14:textId="77777777" w:rsidR="00264DDC" w:rsidRDefault="00264DDC">
      <w:pPr>
        <w:spacing w:after="0" w:line="240" w:lineRule="auto"/>
      </w:pPr>
      <w:r>
        <w:rPr>
          <w:color w:val="000000"/>
        </w:rPr>
        <w:separator/>
      </w:r>
    </w:p>
  </w:footnote>
  <w:footnote w:type="continuationSeparator" w:id="0">
    <w:p w14:paraId="4FDA9443" w14:textId="77777777" w:rsidR="00264DDC" w:rsidRDefault="00264D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452EA"/>
    <w:multiLevelType w:val="multilevel"/>
    <w:tmpl w:val="57361D72"/>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148D2025"/>
    <w:multiLevelType w:val="multilevel"/>
    <w:tmpl w:val="E064E61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23C86772"/>
    <w:multiLevelType w:val="multilevel"/>
    <w:tmpl w:val="A1B62F58"/>
    <w:lvl w:ilvl="0">
      <w:start w:val="5"/>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E4955BF"/>
    <w:multiLevelType w:val="multilevel"/>
    <w:tmpl w:val="99E69888"/>
    <w:lvl w:ilvl="0">
      <w:start w:val="5"/>
      <w:numFmt w:val="decimal"/>
      <w:lvlText w:val="%1"/>
      <w:lvlJc w:val="left"/>
      <w:pPr>
        <w:ind w:left="380" w:hanging="38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4" w15:restartNumberingAfterBreak="0">
    <w:nsid w:val="3E2E27DE"/>
    <w:multiLevelType w:val="multilevel"/>
    <w:tmpl w:val="4CEEB22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4AE61F7D"/>
    <w:multiLevelType w:val="multilevel"/>
    <w:tmpl w:val="84A64C6A"/>
    <w:lvl w:ilvl="0">
      <w:start w:val="4"/>
      <w:numFmt w:val="decimal"/>
      <w:lvlText w:val="%1"/>
      <w:lvlJc w:val="left"/>
      <w:pPr>
        <w:ind w:left="380" w:hanging="380"/>
      </w:pPr>
    </w:lvl>
    <w:lvl w:ilvl="1">
      <w:start w:val="5"/>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num w:numId="1" w16cid:durableId="26486924">
    <w:abstractNumId w:val="0"/>
  </w:num>
  <w:num w:numId="2" w16cid:durableId="1750537424">
    <w:abstractNumId w:val="5"/>
  </w:num>
  <w:num w:numId="3" w16cid:durableId="117990667">
    <w:abstractNumId w:val="3"/>
  </w:num>
  <w:num w:numId="4" w16cid:durableId="162624184">
    <w:abstractNumId w:val="1"/>
  </w:num>
  <w:num w:numId="5" w16cid:durableId="1647129030">
    <w:abstractNumId w:val="4"/>
  </w:num>
  <w:num w:numId="6" w16cid:durableId="1620528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45A18"/>
    <w:rsid w:val="00033508"/>
    <w:rsid w:val="0016661D"/>
    <w:rsid w:val="00264DDC"/>
    <w:rsid w:val="00345A18"/>
    <w:rsid w:val="00443E89"/>
    <w:rsid w:val="00500F90"/>
    <w:rsid w:val="006537E0"/>
    <w:rsid w:val="00684994"/>
    <w:rsid w:val="00771E49"/>
    <w:rsid w:val="00885DCF"/>
    <w:rsid w:val="00A634F3"/>
    <w:rsid w:val="00AD4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2910A"/>
  <w15:docId w15:val="{0B7E798F-0D1E-4349-AAB9-958F9E4CC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rPr>
      <w:b/>
      <w:bCs/>
    </w:rPr>
  </w:style>
  <w:style w:type="paragraph" w:styleId="NormalWeb">
    <w:name w:val="Normal (Web)"/>
    <w:basedOn w:val="Normal"/>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rporate.britishcouncil.org/insights/why-learning-culture-vital-success-your-organisation" TargetMode="External"/><Relationship Id="rId18" Type="http://schemas.openxmlformats.org/officeDocument/2006/relationships/hyperlink" Target="https://www.cipd.org/" TargetMode="External"/><Relationship Id="rId26" Type="http://schemas.openxmlformats.org/officeDocument/2006/relationships/hyperlink" Target="https://doi.org/10.3390/healthcare10112258" TargetMode="External"/><Relationship Id="rId39" Type="http://schemas.openxmlformats.org/officeDocument/2006/relationships/hyperlink" Target="https://doi.org/10.1002/aet2.10379" TargetMode="External"/><Relationship Id="rId21" Type="http://schemas.openxmlformats.org/officeDocument/2006/relationships/hyperlink" Target="https://doi.org/10.1108/LBSJMR-12-2022-0080" TargetMode="External"/><Relationship Id="rId34" Type="http://schemas.openxmlformats.org/officeDocument/2006/relationships/hyperlink" Target="https://www.cipd.org/uk/knowledge/factsheets/performance-factsheet?utm_source=chatgpt.com" TargetMode="External"/><Relationship Id="rId42" Type="http://schemas.openxmlformats.org/officeDocument/2006/relationships/hyperlink" Target="https://doi.org/10.3390/systems1308062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08/LBSJMR-12-2022-0080" TargetMode="External"/><Relationship Id="rId20" Type="http://schemas.openxmlformats.org/officeDocument/2006/relationships/hyperlink" Target="https://doi.org/10.3389/fcomm.2023.1189234" TargetMode="External"/><Relationship Id="rId29" Type="http://schemas.openxmlformats.org/officeDocument/2006/relationships/hyperlink" Target="https://doi.org/10.1002/hrm.22271" TargetMode="External"/><Relationship Id="rId41" Type="http://schemas.openxmlformats.org/officeDocument/2006/relationships/hyperlink" Target="https://doi.org/10.1371/journal.pone.02748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102/sajhrm.v20i0.1823" TargetMode="External"/><Relationship Id="rId24" Type="http://schemas.openxmlformats.org/officeDocument/2006/relationships/hyperlink" Target="https://doi.org/10.3390/healthcare11212900" TargetMode="External"/><Relationship Id="rId32" Type="http://schemas.openxmlformats.org/officeDocument/2006/relationships/hyperlink" Target="https://www.aestheticsconference.com/" TargetMode="External"/><Relationship Id="rId37" Type="http://schemas.openxmlformats.org/officeDocument/2006/relationships/hyperlink" Target="https://www.cipd.org/uk/knowledge/factsheets/psychological-safety" TargetMode="External"/><Relationship Id="rId40" Type="http://schemas.openxmlformats.org/officeDocument/2006/relationships/hyperlink" Target="https://doi.org/10.1186/s13244-024-01868-5" TargetMode="External"/><Relationship Id="rId5" Type="http://schemas.openxmlformats.org/officeDocument/2006/relationships/footnotes" Target="footnotes.xml"/><Relationship Id="rId15" Type="http://schemas.openxmlformats.org/officeDocument/2006/relationships/hyperlink" Target="https://doi.org/10.3389/fcomm.2023.1189234" TargetMode="External"/><Relationship Id="rId23" Type="http://schemas.openxmlformats.org/officeDocument/2006/relationships/hyperlink" Target="https://www.cipd.org/uk/knowledge/reports/learning-at-work/" TargetMode="External"/><Relationship Id="rId28" Type="http://schemas.openxmlformats.org/officeDocument/2006/relationships/hyperlink" Target="https://doi.org/10.1111/1468-2230.12784" TargetMode="External"/><Relationship Id="rId36" Type="http://schemas.openxmlformats.org/officeDocument/2006/relationships/hyperlink" Target="https://www.cipd.org/uk/knowledge/factsheets/continuing-professional-development" TargetMode="External"/><Relationship Id="rId10" Type="http://schemas.openxmlformats.org/officeDocument/2006/relationships/hyperlink" Target="https://doi.org/10.1111/aas.14306" TargetMode="External"/><Relationship Id="rId19" Type="http://schemas.openxmlformats.org/officeDocument/2006/relationships/hyperlink" Target="https://doi.org/10.3390/healthcare11212900" TargetMode="External"/><Relationship Id="rId31" Type="http://schemas.openxmlformats.org/officeDocument/2006/relationships/hyperlink" Target="https://doi.org/10.1108/PR-08-2022-0535"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2/csr.3021" TargetMode="External"/><Relationship Id="rId14" Type="http://schemas.openxmlformats.org/officeDocument/2006/relationships/hyperlink" Target="https://doi.org/10.1108/JOCM-10-2023-0426" TargetMode="External"/><Relationship Id="rId22" Type="http://schemas.openxmlformats.org/officeDocument/2006/relationships/hyperlink" Target="https://doi.org/10.1108/TLO-09-2023-0177" TargetMode="External"/><Relationship Id="rId27" Type="http://schemas.openxmlformats.org/officeDocument/2006/relationships/hyperlink" Target="https://doi.org/10.1108/PR-10-2023-0873" TargetMode="External"/><Relationship Id="rId30" Type="http://schemas.openxmlformats.org/officeDocument/2006/relationships/hyperlink" Target="https://www.proquest.com/dissertations-theses/business-planning-strategies-sustain-hair-salons/docview/2635249596/se-2" TargetMode="External"/><Relationship Id="rId35" Type="http://schemas.openxmlformats.org/officeDocument/2006/relationships/hyperlink" Target="https://www.cipd.org/uk/knowledge/evidence-reviews/trust-psychological-safety?utm_source=chatgpt.com" TargetMode="External"/><Relationship Id="rId43" Type="http://schemas.openxmlformats.org/officeDocument/2006/relationships/fontTable" Target="fontTable.xml"/><Relationship Id="rId8" Type="http://schemas.openxmlformats.org/officeDocument/2006/relationships/hyperlink" Target="https://doi.org/10.1016/j.hrmr.2021.100854" TargetMode="External"/><Relationship Id="rId3" Type="http://schemas.openxmlformats.org/officeDocument/2006/relationships/settings" Target="settings.xml"/><Relationship Id="rId12" Type="http://schemas.openxmlformats.org/officeDocument/2006/relationships/hyperlink" Target="https://doi.org/10.47750/QAS/23.191.09" TargetMode="External"/><Relationship Id="rId17" Type="http://schemas.openxmlformats.org/officeDocument/2006/relationships/hyperlink" Target="https://doi.org/10.1108/TLO-09-2023-0177" TargetMode="External"/><Relationship Id="rId25" Type="http://schemas.openxmlformats.org/officeDocument/2006/relationships/hyperlink" Target="https://doi.org/10.1111/irel.12379" TargetMode="External"/><Relationship Id="rId33" Type="http://schemas.openxmlformats.org/officeDocument/2006/relationships/hyperlink" Target="https://www.cipd.org/uk/knowledge/evidence-reviews/high-performing-teams?utm_source=chatgpt.com" TargetMode="External"/><Relationship Id="rId38" Type="http://schemas.openxmlformats.org/officeDocument/2006/relationships/hyperlink" Target="https://www.mckinsey.com/capabilities/people-and-organizational-performance/our-insights/psychological-safety-and-the-critical-role-of-leadership-development?utm_source=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14</Pages>
  <Words>4715</Words>
  <Characters>26878</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dc:description/>
  <cp:lastModifiedBy>Kelly Keefe (2318120)</cp:lastModifiedBy>
  <cp:revision>2</cp:revision>
  <dcterms:created xsi:type="dcterms:W3CDTF">2025-10-05T10:59:00Z</dcterms:created>
  <dcterms:modified xsi:type="dcterms:W3CDTF">2025-10-05T10:59:00Z</dcterms:modified>
</cp:coreProperties>
</file>