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D9292D" w:rsidRPr="00697CDF" w:rsidRDefault="00D9292D" w:rsidP="00697CDF">
      <w:pPr>
        <w:spacing w:after="800" w:line="360" w:lineRule="auto"/>
        <w:rPr>
          <w:rFonts w:ascii="Abadi" w:hAnsi="Abadi"/>
          <w:sz w:val="24"/>
          <w:szCs w:val="24"/>
        </w:rPr>
      </w:pPr>
    </w:p>
    <w:p w14:paraId="00000002" w14:textId="77777777" w:rsidR="00D9292D" w:rsidRDefault="00000000">
      <w:pPr>
        <w:spacing w:after="100" w:line="360" w:lineRule="auto"/>
        <w:jc w:val="center"/>
      </w:pPr>
      <w:r>
        <w:rPr>
          <w:rFonts w:ascii="Arial" w:eastAsia="Arial" w:hAnsi="Arial" w:cs="Arial"/>
          <w:b/>
          <w:bCs/>
          <w:sz w:val="36"/>
          <w:szCs w:val="36"/>
        </w:rPr>
        <w:t>UWTSD BIRMINGHAM</w:t>
      </w:r>
    </w:p>
    <w:p w14:paraId="00000003" w14:textId="77777777" w:rsidR="00D9292D" w:rsidRDefault="00000000">
      <w:pPr>
        <w:spacing w:after="100" w:line="360" w:lineRule="auto"/>
        <w:jc w:val="center"/>
      </w:pPr>
      <w:r>
        <w:rPr>
          <w:rFonts w:ascii="Arial" w:eastAsia="Arial" w:hAnsi="Arial" w:cs="Arial"/>
          <w:sz w:val="22"/>
          <w:szCs w:val="22"/>
        </w:rPr>
        <w:t>University of Wales Trinity Saint David Birmingham</w:t>
      </w:r>
    </w:p>
    <w:p w14:paraId="00000004" w14:textId="77777777" w:rsidR="00D9292D" w:rsidRDefault="00D9292D">
      <w:pPr>
        <w:spacing w:after="600"/>
      </w:pPr>
    </w:p>
    <w:p w14:paraId="00000005" w14:textId="77777777" w:rsidR="00D9292D" w:rsidRDefault="00000000">
      <w:pPr>
        <w:spacing w:after="100" w:line="360" w:lineRule="auto"/>
        <w:jc w:val="center"/>
      </w:pPr>
      <w:r>
        <w:rPr>
          <w:rFonts w:ascii="Arial" w:eastAsia="Arial" w:hAnsi="Arial" w:cs="Arial"/>
          <w:b/>
          <w:bCs/>
          <w:sz w:val="22"/>
          <w:szCs w:val="22"/>
        </w:rPr>
        <w:t>Module: Digital Skills and Research Methods</w:t>
      </w:r>
    </w:p>
    <w:p w14:paraId="00000006" w14:textId="77777777" w:rsidR="00D9292D" w:rsidRDefault="00000000">
      <w:pPr>
        <w:spacing w:after="100" w:line="360" w:lineRule="auto"/>
        <w:jc w:val="center"/>
      </w:pPr>
      <w:r>
        <w:rPr>
          <w:rFonts w:ascii="Arial" w:eastAsia="Arial" w:hAnsi="Arial" w:cs="Arial"/>
          <w:b/>
          <w:bCs/>
          <w:sz w:val="22"/>
          <w:szCs w:val="22"/>
        </w:rPr>
        <w:t>Module Code: LCHS4007</w:t>
      </w:r>
    </w:p>
    <w:p w14:paraId="00000007" w14:textId="77777777" w:rsidR="00D9292D" w:rsidRDefault="00D9292D">
      <w:pPr>
        <w:spacing w:after="600"/>
      </w:pPr>
    </w:p>
    <w:p w14:paraId="00000008" w14:textId="77777777" w:rsidR="00D9292D" w:rsidRDefault="00000000">
      <w:pPr>
        <w:spacing w:after="100" w:line="360" w:lineRule="auto"/>
        <w:jc w:val="center"/>
      </w:pPr>
      <w:r>
        <w:rPr>
          <w:rFonts w:ascii="Arial" w:eastAsia="Arial" w:hAnsi="Arial" w:cs="Arial"/>
          <w:b/>
          <w:bCs/>
          <w:sz w:val="28"/>
          <w:szCs w:val="28"/>
        </w:rPr>
        <w:t>Assessment Component 2: Research Literacy –</w:t>
      </w:r>
    </w:p>
    <w:p w14:paraId="00000009" w14:textId="77777777" w:rsidR="00D9292D" w:rsidRDefault="00000000">
      <w:pPr>
        <w:spacing w:after="100" w:line="360" w:lineRule="auto"/>
        <w:jc w:val="center"/>
      </w:pPr>
      <w:r>
        <w:rPr>
          <w:rFonts w:ascii="Arial" w:eastAsia="Arial" w:hAnsi="Arial" w:cs="Arial"/>
          <w:b/>
          <w:bCs/>
          <w:sz w:val="28"/>
          <w:szCs w:val="28"/>
        </w:rPr>
        <w:t>Learning How to Read a Research Paper</w:t>
      </w:r>
    </w:p>
    <w:p w14:paraId="0000000A" w14:textId="77777777" w:rsidR="00D9292D" w:rsidRDefault="00D9292D">
      <w:pPr>
        <w:spacing w:after="900"/>
      </w:pPr>
    </w:p>
    <w:p w14:paraId="0000000B" w14:textId="1626FA45" w:rsidR="00D9292D" w:rsidRDefault="00000000">
      <w:pPr>
        <w:spacing w:after="100" w:line="360" w:lineRule="auto"/>
        <w:jc w:val="center"/>
      </w:pPr>
      <w:r>
        <w:rPr>
          <w:rFonts w:ascii="Arial" w:eastAsia="Arial" w:hAnsi="Arial" w:cs="Arial"/>
          <w:sz w:val="22"/>
          <w:szCs w:val="22"/>
        </w:rPr>
        <w:t>Submitted by:</w:t>
      </w:r>
      <w:r w:rsidR="00697CDF">
        <w:rPr>
          <w:rFonts w:ascii="Arial" w:eastAsia="Arial" w:hAnsi="Arial" w:cs="Arial"/>
          <w:sz w:val="22"/>
          <w:szCs w:val="22"/>
        </w:rPr>
        <w:t xml:space="preserve"> NAYAB BILAL</w:t>
      </w:r>
    </w:p>
    <w:p w14:paraId="0000000C" w14:textId="107D0567" w:rsidR="00D9292D" w:rsidRDefault="00000000">
      <w:pPr>
        <w:spacing w:after="100" w:line="360" w:lineRule="auto"/>
        <w:jc w:val="center"/>
      </w:pPr>
      <w:r>
        <w:rPr>
          <w:rFonts w:ascii="Arial" w:eastAsia="Arial" w:hAnsi="Arial" w:cs="Arial"/>
          <w:sz w:val="22"/>
          <w:szCs w:val="22"/>
        </w:rPr>
        <w:t xml:space="preserve">Name of the student: </w:t>
      </w:r>
      <w:r w:rsidR="00697CDF">
        <w:rPr>
          <w:rFonts w:ascii="Arial" w:eastAsia="Arial" w:hAnsi="Arial" w:cs="Arial"/>
          <w:sz w:val="22"/>
          <w:szCs w:val="22"/>
        </w:rPr>
        <w:t>NAYAB BILAL</w:t>
      </w:r>
    </w:p>
    <w:p w14:paraId="0000000D" w14:textId="2150B26A" w:rsidR="00D9292D" w:rsidRDefault="00000000">
      <w:pPr>
        <w:spacing w:after="100" w:line="360" w:lineRule="auto"/>
        <w:jc w:val="center"/>
      </w:pPr>
      <w:r>
        <w:rPr>
          <w:rFonts w:ascii="Arial" w:eastAsia="Arial" w:hAnsi="Arial" w:cs="Arial"/>
          <w:sz w:val="22"/>
          <w:szCs w:val="22"/>
        </w:rPr>
        <w:t xml:space="preserve">ID number: </w:t>
      </w:r>
      <w:r w:rsidR="00697CDF">
        <w:rPr>
          <w:rFonts w:ascii="Arial" w:eastAsia="Arial" w:hAnsi="Arial" w:cs="Arial"/>
          <w:sz w:val="22"/>
          <w:szCs w:val="22"/>
        </w:rPr>
        <w:t>2535409</w:t>
      </w:r>
    </w:p>
    <w:p w14:paraId="0000000E" w14:textId="77777777" w:rsidR="00D9292D" w:rsidRDefault="00D9292D">
      <w:pPr>
        <w:spacing w:after="500"/>
      </w:pPr>
    </w:p>
    <w:p w14:paraId="0000000F" w14:textId="77777777" w:rsidR="00D9292D" w:rsidRDefault="00000000">
      <w:pPr>
        <w:spacing w:after="100" w:line="360" w:lineRule="auto"/>
        <w:jc w:val="center"/>
      </w:pPr>
      <w:r>
        <w:rPr>
          <w:rFonts w:ascii="Arial" w:eastAsia="Arial" w:hAnsi="Arial" w:cs="Arial"/>
          <w:sz w:val="22"/>
          <w:szCs w:val="22"/>
        </w:rPr>
        <w:t>Submitted to:</w:t>
      </w:r>
    </w:p>
    <w:p w14:paraId="00000010" w14:textId="77777777" w:rsidR="00D9292D" w:rsidRDefault="00000000">
      <w:pPr>
        <w:spacing w:after="100" w:line="360" w:lineRule="auto"/>
        <w:jc w:val="center"/>
      </w:pPr>
      <w:r>
        <w:rPr>
          <w:rFonts w:ascii="Arial" w:eastAsia="Arial" w:hAnsi="Arial" w:cs="Arial"/>
          <w:sz w:val="22"/>
          <w:szCs w:val="22"/>
        </w:rPr>
        <w:t>Name of the lecturer: Dr. Masud Siddiqui</w:t>
      </w:r>
    </w:p>
    <w:p w14:paraId="00000011" w14:textId="77777777" w:rsidR="00D9292D" w:rsidRDefault="00D9292D">
      <w:pPr>
        <w:spacing w:after="500"/>
      </w:pPr>
    </w:p>
    <w:p w14:paraId="00000012" w14:textId="28D4841D" w:rsidR="00D9292D" w:rsidRDefault="00000000">
      <w:pPr>
        <w:spacing w:after="100" w:line="360" w:lineRule="auto"/>
        <w:jc w:val="center"/>
      </w:pPr>
      <w:r>
        <w:rPr>
          <w:rFonts w:ascii="Arial" w:eastAsia="Arial" w:hAnsi="Arial" w:cs="Arial"/>
          <w:sz w:val="22"/>
          <w:szCs w:val="22"/>
        </w:rPr>
        <w:t>Submitted on:</w:t>
      </w:r>
    </w:p>
    <w:p w14:paraId="00000013" w14:textId="7E0ABBF2" w:rsidR="00D9292D" w:rsidRDefault="00000000">
      <w:pPr>
        <w:spacing w:after="100" w:line="360" w:lineRule="auto"/>
        <w:jc w:val="center"/>
      </w:pPr>
      <w:r>
        <w:rPr>
          <w:rFonts w:ascii="Arial" w:eastAsia="Arial" w:hAnsi="Arial" w:cs="Arial"/>
          <w:sz w:val="22"/>
          <w:szCs w:val="22"/>
        </w:rPr>
        <w:t>Date: _</w:t>
      </w:r>
      <w:r w:rsidR="00697CDF">
        <w:rPr>
          <w:rFonts w:ascii="Arial" w:eastAsia="Arial" w:hAnsi="Arial" w:cs="Arial"/>
          <w:sz w:val="22"/>
          <w:szCs w:val="22"/>
        </w:rPr>
        <w:t>1</w:t>
      </w:r>
      <w:r w:rsidR="00D23ED4">
        <w:rPr>
          <w:rFonts w:ascii="Arial" w:eastAsia="Arial" w:hAnsi="Arial" w:cs="Arial"/>
          <w:sz w:val="22"/>
          <w:szCs w:val="22"/>
        </w:rPr>
        <w:t>3</w:t>
      </w:r>
      <w:r w:rsidR="00697CDF">
        <w:rPr>
          <w:rFonts w:ascii="Arial" w:eastAsia="Arial" w:hAnsi="Arial" w:cs="Arial"/>
          <w:sz w:val="22"/>
          <w:szCs w:val="22"/>
        </w:rPr>
        <w:t>/07/2026</w:t>
      </w:r>
    </w:p>
    <w:p w14:paraId="00000014" w14:textId="77777777" w:rsidR="00D9292D" w:rsidRDefault="00D9292D">
      <w:pPr>
        <w:pageBreakBefore/>
      </w:pPr>
    </w:p>
    <w:p w14:paraId="00000015" w14:textId="77777777" w:rsidR="00D9292D" w:rsidRDefault="00000000">
      <w:pPr>
        <w:pStyle w:val="Heading1"/>
        <w:spacing w:before="300" w:after="200" w:line="360" w:lineRule="auto"/>
      </w:pPr>
      <w:r>
        <w:rPr>
          <w:rFonts w:ascii="Arial" w:eastAsia="Arial" w:hAnsi="Arial" w:cs="Arial"/>
          <w:b/>
          <w:bCs/>
          <w:sz w:val="26"/>
          <w:szCs w:val="26"/>
        </w:rPr>
        <w:t>Table of Contents</w:t>
      </w:r>
    </w:p>
    <w:p w14:paraId="00000016" w14:textId="77777777" w:rsidR="00D9292D" w:rsidRDefault="00000000">
      <w:pPr>
        <w:tabs>
          <w:tab w:val="right" w:pos="9026"/>
        </w:tabs>
        <w:spacing w:after="150" w:line="360" w:lineRule="auto"/>
      </w:pPr>
      <w:r>
        <w:rPr>
          <w:rFonts w:ascii="Arial" w:eastAsia="Arial" w:hAnsi="Arial" w:cs="Arial"/>
          <w:sz w:val="22"/>
          <w:szCs w:val="22"/>
        </w:rPr>
        <w:t>Section 1: Introducing the Research Paper and Topic Development</w:t>
      </w:r>
      <w:r>
        <w:rPr>
          <w:rFonts w:ascii="Arial" w:eastAsia="Arial" w:hAnsi="Arial" w:cs="Arial"/>
          <w:sz w:val="22"/>
          <w:szCs w:val="22"/>
        </w:rPr>
        <w:tab/>
        <w:t>3</w:t>
      </w:r>
    </w:p>
    <w:p w14:paraId="00000017" w14:textId="77777777" w:rsidR="00D9292D" w:rsidRDefault="00000000">
      <w:pPr>
        <w:tabs>
          <w:tab w:val="right" w:pos="9026"/>
        </w:tabs>
        <w:spacing w:after="150" w:line="360" w:lineRule="auto"/>
      </w:pPr>
      <w:r>
        <w:rPr>
          <w:rFonts w:ascii="Arial" w:eastAsia="Arial" w:hAnsi="Arial" w:cs="Arial"/>
          <w:sz w:val="22"/>
          <w:szCs w:val="22"/>
        </w:rPr>
        <w:t>Section 2: Understanding the Purpose and Research Question</w:t>
      </w:r>
      <w:r>
        <w:rPr>
          <w:rFonts w:ascii="Arial" w:eastAsia="Arial" w:hAnsi="Arial" w:cs="Arial"/>
          <w:sz w:val="22"/>
          <w:szCs w:val="22"/>
        </w:rPr>
        <w:tab/>
        <w:t>4</w:t>
      </w:r>
    </w:p>
    <w:p w14:paraId="00000018" w14:textId="77777777" w:rsidR="00D9292D" w:rsidRDefault="00000000">
      <w:pPr>
        <w:tabs>
          <w:tab w:val="right" w:pos="9026"/>
        </w:tabs>
        <w:spacing w:after="150" w:line="360" w:lineRule="auto"/>
      </w:pPr>
      <w:r>
        <w:rPr>
          <w:rFonts w:ascii="Arial" w:eastAsia="Arial" w:hAnsi="Arial" w:cs="Arial"/>
          <w:sz w:val="22"/>
          <w:szCs w:val="22"/>
        </w:rPr>
        <w:t>Section 3: Understanding the Research Methods</w:t>
      </w:r>
      <w:r>
        <w:rPr>
          <w:rFonts w:ascii="Arial" w:eastAsia="Arial" w:hAnsi="Arial" w:cs="Arial"/>
          <w:sz w:val="22"/>
          <w:szCs w:val="22"/>
        </w:rPr>
        <w:tab/>
        <w:t>4</w:t>
      </w:r>
    </w:p>
    <w:p w14:paraId="00000019" w14:textId="77777777" w:rsidR="00D9292D" w:rsidRDefault="00000000">
      <w:pPr>
        <w:tabs>
          <w:tab w:val="right" w:pos="9026"/>
        </w:tabs>
        <w:spacing w:after="150" w:line="360" w:lineRule="auto"/>
      </w:pPr>
      <w:r>
        <w:rPr>
          <w:rFonts w:ascii="Arial" w:eastAsia="Arial" w:hAnsi="Arial" w:cs="Arial"/>
          <w:sz w:val="22"/>
          <w:szCs w:val="22"/>
        </w:rPr>
        <w:t>Section 4: Conclusion</w:t>
      </w:r>
      <w:r>
        <w:rPr>
          <w:rFonts w:ascii="Arial" w:eastAsia="Arial" w:hAnsi="Arial" w:cs="Arial"/>
          <w:sz w:val="22"/>
          <w:szCs w:val="22"/>
        </w:rPr>
        <w:tab/>
        <w:t>6</w:t>
      </w:r>
    </w:p>
    <w:p w14:paraId="0000001A" w14:textId="77777777" w:rsidR="00D9292D" w:rsidRDefault="00000000">
      <w:pPr>
        <w:tabs>
          <w:tab w:val="right" w:pos="9026"/>
        </w:tabs>
        <w:spacing w:after="150" w:line="360" w:lineRule="auto"/>
      </w:pPr>
      <w:r>
        <w:rPr>
          <w:rFonts w:ascii="Arial" w:eastAsia="Arial" w:hAnsi="Arial" w:cs="Arial"/>
          <w:sz w:val="22"/>
          <w:szCs w:val="22"/>
        </w:rPr>
        <w:t>References</w:t>
      </w:r>
      <w:r>
        <w:rPr>
          <w:rFonts w:ascii="Arial" w:eastAsia="Arial" w:hAnsi="Arial" w:cs="Arial"/>
          <w:sz w:val="22"/>
          <w:szCs w:val="22"/>
        </w:rPr>
        <w:tab/>
        <w:t>7</w:t>
      </w:r>
    </w:p>
    <w:p w14:paraId="0000001B" w14:textId="77777777" w:rsidR="00D9292D" w:rsidRDefault="00D9292D">
      <w:pPr>
        <w:pageBreakBefore/>
      </w:pPr>
    </w:p>
    <w:p w14:paraId="0000001C" w14:textId="77777777" w:rsidR="00D9292D" w:rsidRDefault="00000000">
      <w:pPr>
        <w:pStyle w:val="Heading1"/>
        <w:spacing w:before="300" w:after="200" w:line="360" w:lineRule="auto"/>
      </w:pPr>
      <w:r>
        <w:rPr>
          <w:rFonts w:ascii="Arial" w:eastAsia="Arial" w:hAnsi="Arial" w:cs="Arial"/>
          <w:b/>
          <w:bCs/>
          <w:sz w:val="26"/>
          <w:szCs w:val="26"/>
        </w:rPr>
        <w:t>Section 1: Introducing the Research Paper and Topic Development</w:t>
      </w:r>
    </w:p>
    <w:p w14:paraId="0000001D" w14:textId="77777777" w:rsidR="00D9292D" w:rsidRDefault="00000000">
      <w:pPr>
        <w:pStyle w:val="Heading1"/>
        <w:spacing w:before="300" w:after="200" w:line="360" w:lineRule="auto"/>
        <w:ind w:firstLine="720"/>
        <w:rPr>
          <w:rFonts w:ascii="Arial" w:eastAsia="Arial" w:hAnsi="Arial" w:cs="Arial"/>
          <w:color w:val="000000"/>
          <w:sz w:val="22"/>
          <w:szCs w:val="22"/>
        </w:rPr>
      </w:pPr>
      <w:r>
        <w:rPr>
          <w:rFonts w:ascii="Arial" w:eastAsia="Arial" w:hAnsi="Arial" w:cs="Arial"/>
          <w:color w:val="000000"/>
          <w:sz w:val="22"/>
          <w:szCs w:val="22"/>
        </w:rPr>
        <w:t xml:space="preserve">This report is for a research paper titled: </w:t>
      </w:r>
      <w:r>
        <w:rPr>
          <w:rFonts w:ascii="Arial" w:eastAsia="Arial" w:hAnsi="Arial" w:cs="Arial"/>
          <w:i/>
          <w:iCs/>
          <w:color w:val="000000"/>
          <w:sz w:val="22"/>
          <w:szCs w:val="22"/>
        </w:rPr>
        <w:t>'She didn't know how to go back':</w:t>
      </w:r>
      <w:r>
        <w:rPr>
          <w:rFonts w:ascii="Arial" w:eastAsia="Arial" w:hAnsi="Arial" w:cs="Arial"/>
          <w:color w:val="000000"/>
          <w:sz w:val="22"/>
          <w:szCs w:val="22"/>
        </w:rPr>
        <w:t xml:space="preserve"> School attendance issues during the COVID-19 pandemic – A multiple stakeholder qualitative study with parents and professionals. This paper has been authored by Brontë McDonald, Kathryn J. Lester and Daniel Michelson, and published in the British Journal of Educational Psychology in 2023 (McDonald et al., 2023).</w:t>
      </w:r>
    </w:p>
    <w:p w14:paraId="0000001E" w14:textId="77777777" w:rsidR="00D9292D" w:rsidRDefault="00000000">
      <w:pPr>
        <w:pStyle w:val="Heading1"/>
        <w:spacing w:before="300" w:after="200" w:line="360" w:lineRule="auto"/>
        <w:ind w:firstLine="720"/>
        <w:rPr>
          <w:rFonts w:ascii="Arial" w:eastAsia="Arial" w:hAnsi="Arial" w:cs="Arial"/>
          <w:color w:val="000000"/>
          <w:sz w:val="22"/>
          <w:szCs w:val="22"/>
        </w:rPr>
      </w:pPr>
      <w:r>
        <w:rPr>
          <w:rFonts w:ascii="Arial" w:eastAsia="Arial" w:hAnsi="Arial" w:cs="Arial"/>
          <w:color w:val="000000"/>
          <w:sz w:val="22"/>
          <w:szCs w:val="22"/>
        </w:rPr>
        <w:t>School attendance issues (SAPI) with primary school aged children present during and following the COVID-19 pandemic in the south of England are discussed. SAPs are situations where a child has difficulty attending school regularly, either by being absent or arriving late, or being removed from school. The authors were interested in how the pandemic (including school closures, new safety rules, and impacted routines) affected children who were already having a hard time going to school and children who were now having new attendance difficulties. The study also explored types of support parents and professionals saw as needed moving forward.</w:t>
      </w:r>
    </w:p>
    <w:p w14:paraId="0000001F" w14:textId="77777777" w:rsidR="00D9292D" w:rsidRDefault="00000000">
      <w:pPr>
        <w:pStyle w:val="Heading1"/>
        <w:spacing w:before="300" w:after="200" w:line="360" w:lineRule="auto"/>
        <w:ind w:firstLine="720"/>
        <w:rPr>
          <w:rFonts w:ascii="Arial" w:eastAsia="Arial" w:hAnsi="Arial" w:cs="Arial"/>
          <w:color w:val="000000"/>
          <w:sz w:val="22"/>
          <w:szCs w:val="22"/>
        </w:rPr>
      </w:pPr>
      <w:r>
        <w:rPr>
          <w:rFonts w:ascii="Arial" w:eastAsia="Arial" w:hAnsi="Arial" w:cs="Arial"/>
          <w:color w:val="000000"/>
          <w:sz w:val="22"/>
          <w:szCs w:val="22"/>
        </w:rPr>
        <w:t>The research is focused on primary school children but the data collection is targeted on the adults around them: parents (mainly mothers) whose children are experiencing SAPs; and professionals working with primary aged children including headteachers, class teachers, educational psychologists, Education Mental Health Practitioners (EMHPs), SEN coordinators (SENCOs) and attendance officers. The location of all participants was in East Sussex, West Sussex and Brighton and Hove.</w:t>
      </w:r>
    </w:p>
    <w:p w14:paraId="00000020" w14:textId="77777777" w:rsidR="00D9292D" w:rsidRDefault="00000000">
      <w:pPr>
        <w:pStyle w:val="Heading1"/>
        <w:spacing w:before="300" w:after="200" w:line="360" w:lineRule="auto"/>
        <w:ind w:firstLine="720"/>
        <w:rPr>
          <w:rFonts w:ascii="Arial" w:eastAsia="Arial" w:hAnsi="Arial" w:cs="Arial"/>
          <w:color w:val="000000"/>
          <w:sz w:val="22"/>
          <w:szCs w:val="22"/>
        </w:rPr>
      </w:pPr>
      <w:r>
        <w:rPr>
          <w:rFonts w:ascii="Arial" w:eastAsia="Arial" w:hAnsi="Arial" w:cs="Arial"/>
          <w:color w:val="000000"/>
          <w:sz w:val="22"/>
          <w:szCs w:val="22"/>
        </w:rPr>
        <w:t>The topic has a strong relevance to health and social care in the UK as it is associated with life outcomes, child wellbeing and mental health, which are all aspects of school attendance. After the pandemic, the rate of persistent absence in England increased significantly, and children who had special educational needs (SEN) and/or had existing worries were particularly affected. Poor attendance has also been linked to lower academic outcomes, social isolation and an increased burden on family relationships and mental health care systems, which were already under strain during and since the pandemic, and have long waiting lists and limited capacity. Knowing the practical, real-life context of SAPs – beyond the numbers – enables health, education and social care staff to create more compassionate and effective support for families instead of relying on punitive measures for attendance.</w:t>
      </w:r>
    </w:p>
    <w:p w14:paraId="00000021" w14:textId="77777777" w:rsidR="00D9292D" w:rsidRDefault="00000000">
      <w:pPr>
        <w:pStyle w:val="Heading1"/>
        <w:spacing w:before="300" w:after="200" w:line="360" w:lineRule="auto"/>
      </w:pPr>
      <w:r>
        <w:rPr>
          <w:rFonts w:ascii="Arial" w:eastAsia="Arial" w:hAnsi="Arial" w:cs="Arial"/>
          <w:b/>
          <w:bCs/>
          <w:sz w:val="26"/>
          <w:szCs w:val="26"/>
        </w:rPr>
        <w:lastRenderedPageBreak/>
        <w:t>Section 2: Understanding the Purpose and Research Question</w:t>
      </w:r>
    </w:p>
    <w:p w14:paraId="00000022" w14:textId="77777777" w:rsidR="00D9292D" w:rsidRDefault="00000000">
      <w:pPr>
        <w:pStyle w:val="Heading1"/>
        <w:spacing w:before="300" w:after="200" w:line="360" w:lineRule="auto"/>
        <w:ind w:firstLine="720"/>
        <w:rPr>
          <w:rFonts w:ascii="Arial" w:eastAsia="Arial" w:hAnsi="Arial" w:cs="Arial"/>
          <w:color w:val="000000"/>
          <w:sz w:val="22"/>
          <w:szCs w:val="22"/>
        </w:rPr>
      </w:pPr>
      <w:r>
        <w:rPr>
          <w:rFonts w:ascii="Arial" w:eastAsia="Arial" w:hAnsi="Arial" w:cs="Arial"/>
          <w:color w:val="000000"/>
          <w:sz w:val="22"/>
          <w:szCs w:val="22"/>
        </w:rPr>
        <w:t>The purpose of the study was to discuss, from a multiplicative standpoint, how SAPs were presented to children in primary school during the COVID-19 pandemic and to recommend ways to implement interventions in the community. Three broad research questions were explored: What are factors associated with SAPs during the pandemic? What formal and informal sources of support have been made available to families and how effective do these sources of support being found? What additional approaches could support children and families affected by SAPs, and how feasible would these be to implement? (McDonald et al., 2023).</w:t>
      </w:r>
    </w:p>
    <w:p w14:paraId="00000023" w14:textId="77777777" w:rsidR="00D9292D" w:rsidRDefault="00000000">
      <w:pPr>
        <w:pStyle w:val="Heading1"/>
        <w:spacing w:before="300" w:after="200" w:line="360" w:lineRule="auto"/>
      </w:pPr>
      <w:r>
        <w:rPr>
          <w:rFonts w:ascii="Arial" w:eastAsia="Arial" w:hAnsi="Arial" w:cs="Arial"/>
          <w:b/>
          <w:bCs/>
          <w:sz w:val="26"/>
          <w:szCs w:val="26"/>
        </w:rPr>
        <w:t>Section 3: Understanding the Research Methods</w:t>
      </w:r>
    </w:p>
    <w:p w14:paraId="00000024" w14:textId="77777777" w:rsidR="00D9292D" w:rsidRDefault="00000000">
      <w:pPr>
        <w:spacing w:before="200" w:after="150" w:line="360" w:lineRule="auto"/>
      </w:pPr>
      <w:r>
        <w:rPr>
          <w:rFonts w:ascii="Arial" w:eastAsia="Arial" w:hAnsi="Arial" w:cs="Arial"/>
          <w:b/>
          <w:bCs/>
          <w:i/>
          <w:iCs/>
          <w:sz w:val="22"/>
          <w:szCs w:val="22"/>
        </w:rPr>
        <w:t>Quantitative, qualitative, and mixed-methods research</w:t>
      </w:r>
    </w:p>
    <w:p w14:paraId="00000025" w14:textId="77777777" w:rsidR="00D9292D" w:rsidRDefault="00000000">
      <w:pPr>
        <w:spacing w:before="200" w:after="150" w:line="360" w:lineRule="auto"/>
        <w:ind w:firstLine="720"/>
        <w:rPr>
          <w:rFonts w:ascii="Arial" w:eastAsia="Arial" w:hAnsi="Arial" w:cs="Arial"/>
          <w:sz w:val="22"/>
          <w:szCs w:val="22"/>
        </w:rPr>
      </w:pPr>
      <w:r>
        <w:rPr>
          <w:rFonts w:ascii="Arial" w:eastAsia="Arial" w:hAnsi="Arial" w:cs="Arial"/>
          <w:sz w:val="22"/>
          <w:szCs w:val="22"/>
        </w:rPr>
        <w:t>The three general ways of research needs to be defined before assessing the methods adopted in this paper. Quantitative research aims to gather numerical data or scores, rates, or survey responses that can be statistically analysed to detect patterns, test relationships, and generalise results to a larger population (Rana &amp; Chimoriya, 2025). Qualitative research, on other hand, focuses on understanding people's experiences, opinions and meaning of what they think is happening. It usually involves collecting non-numerical data, such as interview transcripts or written accounts, and looking for themes and patterns within this data (Renjith et al., 2021). Mixed-methods research is a combination of quantitative and qualitative research methods that are both conducted simultaneously or planned systematically within a single study, where the numerical data and the personal one support and enhance each other (Rana &amp; Chimoriya, 2025).</w:t>
      </w:r>
    </w:p>
    <w:p w14:paraId="00000026" w14:textId="77777777" w:rsidR="00D9292D" w:rsidRDefault="00000000">
      <w:pPr>
        <w:spacing w:before="200" w:after="150" w:line="360" w:lineRule="auto"/>
      </w:pPr>
      <w:r>
        <w:rPr>
          <w:rFonts w:ascii="Arial" w:eastAsia="Arial" w:hAnsi="Arial" w:cs="Arial"/>
          <w:b/>
          <w:bCs/>
          <w:i/>
          <w:iCs/>
          <w:sz w:val="22"/>
          <w:szCs w:val="22"/>
        </w:rPr>
        <w:t>The approach used in this study</w:t>
      </w:r>
    </w:p>
    <w:p w14:paraId="00000027" w14:textId="77777777" w:rsidR="00D9292D" w:rsidRDefault="00000000">
      <w:pPr>
        <w:spacing w:before="200" w:after="150" w:line="360" w:lineRule="auto"/>
        <w:ind w:firstLine="720"/>
        <w:rPr>
          <w:rFonts w:ascii="Arial" w:eastAsia="Arial" w:hAnsi="Arial" w:cs="Arial"/>
          <w:sz w:val="22"/>
          <w:szCs w:val="22"/>
        </w:rPr>
      </w:pPr>
      <w:r>
        <w:rPr>
          <w:rFonts w:ascii="Arial" w:eastAsia="Arial" w:hAnsi="Arial" w:cs="Arial"/>
          <w:sz w:val="22"/>
          <w:szCs w:val="22"/>
        </w:rPr>
        <w:t xml:space="preserve">The paper by McDonald et al. (2023) is a qualitative research paper. A few statistics about attendance are stated as context but the actual data gathered from the participants consisted of non-numerical data: written open-ended responses and narrative oral data. Two phases of a qualitative design were followed. The parent and professional questionnaires were administered online and consisted of open-ended free-text questions as opposed to closed questions during Phase 1, allowing participants to express their experiences in their own terms. In Phase 2, a smaller number of parents and professionals participated in semi-structured interviews, around 45 to 60 minutes in length to enable the researchers to explore the issues raised in Phase 1 in more detail. The researchers were interested in knowing </w:t>
      </w:r>
      <w:r>
        <w:rPr>
          <w:rFonts w:ascii="Arial" w:eastAsia="Arial" w:hAnsi="Arial" w:cs="Arial"/>
          <w:sz w:val="22"/>
          <w:szCs w:val="22"/>
        </w:rPr>
        <w:lastRenderedPageBreak/>
        <w:t>what was happening in the life of SAPs, rather than merely quantifying the prevalence, and so, a qualitative approach was deemed appropriate.</w:t>
      </w:r>
    </w:p>
    <w:p w14:paraId="00000028" w14:textId="77777777" w:rsidR="00D9292D" w:rsidRDefault="00000000">
      <w:pPr>
        <w:spacing w:before="200" w:after="150" w:line="360" w:lineRule="auto"/>
      </w:pPr>
      <w:r>
        <w:rPr>
          <w:rFonts w:ascii="Arial" w:eastAsia="Arial" w:hAnsi="Arial" w:cs="Arial"/>
          <w:b/>
          <w:bCs/>
          <w:i/>
          <w:iCs/>
          <w:sz w:val="22"/>
          <w:szCs w:val="22"/>
        </w:rPr>
        <w:t>Primary and secondary data</w:t>
      </w:r>
    </w:p>
    <w:p w14:paraId="00000029" w14:textId="77777777" w:rsidR="00D9292D" w:rsidRDefault="00000000">
      <w:pPr>
        <w:spacing w:before="200" w:after="150" w:line="360" w:lineRule="auto"/>
        <w:ind w:firstLine="720"/>
        <w:rPr>
          <w:rFonts w:ascii="Arial" w:eastAsia="Arial" w:hAnsi="Arial" w:cs="Arial"/>
          <w:sz w:val="22"/>
          <w:szCs w:val="22"/>
        </w:rPr>
      </w:pPr>
      <w:r>
        <w:rPr>
          <w:rFonts w:ascii="Arial" w:eastAsia="Arial" w:hAnsi="Arial" w:cs="Arial"/>
          <w:sz w:val="22"/>
          <w:szCs w:val="22"/>
        </w:rPr>
        <w:t>Primary data is information that is gathered by the researchers for the specific purpose of their study, whereas Secondary data is the information already gathered and used by researchers for a different purpose, e.g., government statistics or already published research (Rana &amp; Chimoriya, 2025). The surveys and interviews with parents and professionals are examples of primary data sources because they are those that have been collected by the research team specifically for this study. For the purposes of context, the national data on attendance provided in the introduction to this report are examples of secondary data as their collection occurred for a different purpose to this study – that is, for routine monitoring which was not done for this study.</w:t>
      </w:r>
    </w:p>
    <w:p w14:paraId="0000002A" w14:textId="77777777" w:rsidR="00D9292D" w:rsidRDefault="00000000">
      <w:pPr>
        <w:spacing w:before="200" w:after="150" w:line="360" w:lineRule="auto"/>
      </w:pPr>
      <w:r>
        <w:rPr>
          <w:rFonts w:ascii="Arial" w:eastAsia="Arial" w:hAnsi="Arial" w:cs="Arial"/>
          <w:b/>
          <w:bCs/>
          <w:i/>
          <w:iCs/>
          <w:sz w:val="22"/>
          <w:szCs w:val="22"/>
        </w:rPr>
        <w:t>Data collection</w:t>
      </w:r>
    </w:p>
    <w:p w14:paraId="0000002B" w14:textId="77777777" w:rsidR="00D9292D" w:rsidRDefault="00000000">
      <w:pPr>
        <w:spacing w:before="200" w:after="150" w:line="360" w:lineRule="auto"/>
        <w:ind w:firstLine="720"/>
        <w:rPr>
          <w:rFonts w:ascii="Arial" w:eastAsia="Arial" w:hAnsi="Arial" w:cs="Arial"/>
          <w:sz w:val="22"/>
          <w:szCs w:val="22"/>
        </w:rPr>
      </w:pPr>
      <w:r>
        <w:rPr>
          <w:rFonts w:ascii="Arial" w:eastAsia="Arial" w:hAnsi="Arial" w:cs="Arial"/>
          <w:sz w:val="22"/>
          <w:szCs w:val="22"/>
        </w:rPr>
        <w:t>Phase 1 data is gathered by way of online qualitative surveys in spring 2021. Twenty-nine parents of children attending the primary schools and 19 professionals in primary education answered six open-ended questions regarding their understanding of the nature of the school attendance difficulties, the reasons for these difficulties and the support that had, or had not, been useful. Phase 2 was in-depth interviews with 22 participants (10 parents and 12 professionals) of which some had also completed the Phase 1 survey and some had joined the study at Phase 2. Interviews were conducted via telephone or Zoom video call and were recorded and verbatim transcribed to avoid losing or misremembering words of the interviewee(s).</w:t>
      </w:r>
    </w:p>
    <w:p w14:paraId="0000002C" w14:textId="77777777" w:rsidR="00D9292D" w:rsidRDefault="00000000">
      <w:pPr>
        <w:spacing w:before="200" w:after="150" w:line="360" w:lineRule="auto"/>
      </w:pPr>
      <w:r>
        <w:rPr>
          <w:rFonts w:ascii="Arial" w:eastAsia="Arial" w:hAnsi="Arial" w:cs="Arial"/>
          <w:b/>
          <w:bCs/>
          <w:i/>
          <w:iCs/>
          <w:sz w:val="22"/>
          <w:szCs w:val="22"/>
        </w:rPr>
        <w:t>Data analysis</w:t>
      </w:r>
    </w:p>
    <w:p w14:paraId="0000002D" w14:textId="77777777" w:rsidR="00D9292D" w:rsidRDefault="00000000">
      <w:pPr>
        <w:pStyle w:val="Heading1"/>
        <w:spacing w:before="300" w:after="200" w:line="360" w:lineRule="auto"/>
        <w:ind w:firstLine="720"/>
        <w:rPr>
          <w:rFonts w:ascii="Arial" w:eastAsia="Arial" w:hAnsi="Arial" w:cs="Arial"/>
          <w:color w:val="000000"/>
          <w:sz w:val="22"/>
          <w:szCs w:val="22"/>
        </w:rPr>
      </w:pPr>
      <w:r>
        <w:rPr>
          <w:rFonts w:ascii="Arial" w:eastAsia="Arial" w:hAnsi="Arial" w:cs="Arial"/>
          <w:color w:val="000000"/>
          <w:sz w:val="22"/>
          <w:szCs w:val="22"/>
        </w:rPr>
        <w:t xml:space="preserve">Thematic framework analysis was used to analyse the survey and interview data using a structured approach, which is a widely used method in health and social care research (McDonald et al., 2023, as cited in Gale et al., 2013). This included several stages: repeated reading of the data, creating a structure of categories according to the research questions and initial impressions of the data, sorting the data by the categories (indexing), structuring the data in a more manageable, visual way (charting), and finally, thematic consolidation to create a general picture (mapping, interpretation). The analysis was a combination of both a deductive approach, in which the framework was driven by the research questions and an inductive approach, in which new themes were allowed to emerge directly from what the participants said. This led to 3 broad themes: factors affecting </w:t>
      </w:r>
      <w:r>
        <w:rPr>
          <w:rFonts w:ascii="Arial" w:eastAsia="Arial" w:hAnsi="Arial" w:cs="Arial"/>
          <w:color w:val="000000"/>
          <w:sz w:val="22"/>
          <w:szCs w:val="22"/>
        </w:rPr>
        <w:lastRenderedPageBreak/>
        <w:t>SAPs such as worries about COVID, new school rules and need to catch up at school; actions taken in response to SAPs such as working with the family at home, accommodating a child's distress, and peer support for parents; and needs for further support such as re-establishing connections with school staff, earlier intervention and peer support for parents.</w:t>
      </w:r>
    </w:p>
    <w:p w14:paraId="0000002E" w14:textId="77777777" w:rsidR="00D9292D" w:rsidRDefault="00000000">
      <w:pPr>
        <w:pStyle w:val="Heading1"/>
        <w:spacing w:before="300" w:after="200" w:line="360" w:lineRule="auto"/>
      </w:pPr>
      <w:r>
        <w:rPr>
          <w:rFonts w:ascii="Arial" w:eastAsia="Arial" w:hAnsi="Arial" w:cs="Arial"/>
          <w:b/>
          <w:bCs/>
          <w:sz w:val="26"/>
          <w:szCs w:val="26"/>
        </w:rPr>
        <w:t>Section 4: Conclusion</w:t>
      </w:r>
    </w:p>
    <w:p w14:paraId="0000002F" w14:textId="77777777" w:rsidR="00D9292D" w:rsidRDefault="00000000">
      <w:pPr>
        <w:pStyle w:val="Heading1"/>
        <w:spacing w:before="300" w:after="200" w:line="360" w:lineRule="auto"/>
        <w:ind w:firstLine="720"/>
        <w:rPr>
          <w:rFonts w:ascii="Arial" w:eastAsia="Arial" w:hAnsi="Arial" w:cs="Arial"/>
          <w:color w:val="000000"/>
          <w:sz w:val="22"/>
          <w:szCs w:val="22"/>
        </w:rPr>
      </w:pPr>
      <w:r>
        <w:rPr>
          <w:rFonts w:ascii="Arial" w:eastAsia="Arial" w:hAnsi="Arial" w:cs="Arial"/>
          <w:color w:val="000000"/>
          <w:sz w:val="22"/>
          <w:szCs w:val="22"/>
        </w:rPr>
        <w:t xml:space="preserve">The qualitative study by McDonald et al. (2023) into attendance issues in schools during the COVID-19 pandemic has been divided into its main components. The paper discussed the reasons why children in primary school in Sussex were not attending school on a regular basis and emphasised the anxiety around COVID, disrupted routines, academic pressure and the quality of home-school relationships as key factors. Data collection was conducted by using a two-phase qualitative design where primary data were collected using open-ended surveys and semi-structured interviews were used after the primary data were collected and then analysed using thematic framework analysis. The findings clearly highlighted the importance of early, non-judgemental and collaborative support for families, not punishment for attendance, which aligns with broader UK evidence of the links between children's mental health, SEN and school absence (Connolly et al., 2023; Centre for Mental Health &amp; CYPMHC, 2024; Office for National Statistics, 2023). </w:t>
      </w:r>
    </w:p>
    <w:p w14:paraId="00000030" w14:textId="77777777" w:rsidR="00D9292D" w:rsidRDefault="00000000">
      <w:pPr>
        <w:pStyle w:val="Heading1"/>
        <w:spacing w:before="300" w:after="200" w:line="360" w:lineRule="auto"/>
        <w:ind w:firstLine="720"/>
        <w:rPr>
          <w:rFonts w:ascii="Arial" w:eastAsia="Arial" w:hAnsi="Arial" w:cs="Arial"/>
          <w:color w:val="000000"/>
          <w:sz w:val="22"/>
          <w:szCs w:val="22"/>
        </w:rPr>
      </w:pPr>
      <w:r>
        <w:rPr>
          <w:rFonts w:ascii="Arial" w:eastAsia="Arial" w:hAnsi="Arial" w:cs="Arial"/>
          <w:color w:val="000000"/>
          <w:sz w:val="22"/>
          <w:szCs w:val="22"/>
        </w:rPr>
        <w:t>I have found that critically working through this paper has enhanced my critical reading skills in the research, not just looking at the conclusion. I am now more confident in identifying the difference between qualitative and quantitative approaches, understanding why a particular approach is suitable to a particular research question and the difference between primary and secondary data. I have also gained an appreciation of how the sampling, context and analytic approach in a study may impact the extent to which its results can be generalised to other contexts. The skills that I am developing in this research will benefit my future academic tasks, where I will need to assess research, as well as future practice in health and social care, where I will need to consider the research as a base for making decisions that cannot be made based on assumptions.</w:t>
      </w:r>
    </w:p>
    <w:p w14:paraId="00000031" w14:textId="77777777" w:rsidR="00D9292D" w:rsidRDefault="00D9292D">
      <w:pPr>
        <w:pStyle w:val="Heading1"/>
        <w:spacing w:before="300" w:after="200" w:line="360" w:lineRule="auto"/>
        <w:rPr>
          <w:rFonts w:ascii="Arial" w:eastAsia="Arial" w:hAnsi="Arial" w:cs="Arial"/>
          <w:color w:val="000000"/>
          <w:sz w:val="22"/>
          <w:szCs w:val="22"/>
        </w:rPr>
      </w:pPr>
    </w:p>
    <w:p w14:paraId="00000032" w14:textId="77777777" w:rsidR="00D9292D" w:rsidRDefault="00D9292D">
      <w:pPr>
        <w:pStyle w:val="Heading1"/>
        <w:spacing w:before="300" w:after="200" w:line="360" w:lineRule="auto"/>
        <w:rPr>
          <w:rFonts w:ascii="Arial" w:eastAsia="Arial" w:hAnsi="Arial" w:cs="Arial"/>
          <w:color w:val="000000"/>
          <w:sz w:val="22"/>
          <w:szCs w:val="22"/>
        </w:rPr>
      </w:pPr>
    </w:p>
    <w:p w14:paraId="00000033" w14:textId="77777777" w:rsidR="00D9292D" w:rsidRDefault="00D9292D">
      <w:pPr>
        <w:pStyle w:val="Heading1"/>
        <w:spacing w:before="300" w:after="200" w:line="360" w:lineRule="auto"/>
        <w:rPr>
          <w:rFonts w:ascii="Arial" w:eastAsia="Arial" w:hAnsi="Arial" w:cs="Arial"/>
          <w:color w:val="000000"/>
          <w:sz w:val="22"/>
          <w:szCs w:val="22"/>
        </w:rPr>
      </w:pPr>
    </w:p>
    <w:p w14:paraId="00000034" w14:textId="77777777" w:rsidR="00D9292D" w:rsidRDefault="00D9292D">
      <w:pPr>
        <w:pStyle w:val="Heading1"/>
        <w:spacing w:before="300" w:after="200" w:line="360" w:lineRule="auto"/>
        <w:rPr>
          <w:rFonts w:ascii="Arial" w:eastAsia="Arial" w:hAnsi="Arial" w:cs="Arial"/>
          <w:color w:val="000000"/>
          <w:sz w:val="22"/>
          <w:szCs w:val="22"/>
        </w:rPr>
      </w:pPr>
    </w:p>
    <w:p w14:paraId="00000035" w14:textId="77777777" w:rsidR="00D9292D" w:rsidRDefault="00000000">
      <w:pPr>
        <w:pStyle w:val="Heading1"/>
        <w:spacing w:before="300" w:after="200" w:line="360" w:lineRule="auto"/>
      </w:pPr>
      <w:r>
        <w:rPr>
          <w:rFonts w:ascii="Arial" w:eastAsia="Arial" w:hAnsi="Arial" w:cs="Arial"/>
          <w:b/>
          <w:bCs/>
          <w:sz w:val="26"/>
          <w:szCs w:val="26"/>
        </w:rPr>
        <w:lastRenderedPageBreak/>
        <w:t>References</w:t>
      </w:r>
    </w:p>
    <w:p w14:paraId="00000036" w14:textId="77777777" w:rsidR="00D9292D" w:rsidRDefault="00000000">
      <w:pPr>
        <w:spacing w:after="200" w:line="360" w:lineRule="auto"/>
        <w:ind w:left="720" w:hanging="720"/>
      </w:pPr>
      <w:r>
        <w:rPr>
          <w:rFonts w:ascii="Arial" w:eastAsia="Arial" w:hAnsi="Arial" w:cs="Arial"/>
          <w:sz w:val="22"/>
          <w:szCs w:val="22"/>
        </w:rPr>
        <w:t xml:space="preserve">Centre for Mental Health &amp; Children and Young People's Mental Health Coalition. (2024). Not in school: The mental health barriers to school attendance. </w:t>
      </w:r>
      <w:hyperlink r:id="rId6">
        <w:r w:rsidR="00D9292D">
          <w:rPr>
            <w:rFonts w:ascii="Arial" w:eastAsia="Arial" w:hAnsi="Arial" w:cs="Arial"/>
            <w:color w:val="0563C1"/>
            <w:sz w:val="22"/>
            <w:szCs w:val="22"/>
            <w:u w:val="single"/>
          </w:rPr>
          <w:t>https://www.centreformentalhealth.org.uk/wp-content/uploads/2024/04/CentreforMH_NotInSchool.pdf</w:t>
        </w:r>
      </w:hyperlink>
      <w:r>
        <w:rPr>
          <w:rFonts w:ascii="Arial" w:eastAsia="Arial" w:hAnsi="Arial" w:cs="Arial"/>
          <w:sz w:val="22"/>
          <w:szCs w:val="22"/>
        </w:rPr>
        <w:t xml:space="preserve"> </w:t>
      </w:r>
    </w:p>
    <w:p w14:paraId="00000037" w14:textId="77777777" w:rsidR="00D9292D" w:rsidRDefault="00000000">
      <w:pPr>
        <w:spacing w:after="200" w:line="360" w:lineRule="auto"/>
        <w:ind w:left="720" w:hanging="720"/>
      </w:pPr>
      <w:r>
        <w:rPr>
          <w:rFonts w:ascii="Arial" w:eastAsia="Arial" w:hAnsi="Arial" w:cs="Arial"/>
          <w:sz w:val="22"/>
          <w:szCs w:val="22"/>
        </w:rPr>
        <w:t xml:space="preserve">Connolly, S. E., Constable, H. L., &amp; Mullally, S. L. (2023). School distress and the school attendance crisis: A story dominated by neurodivergence and unmet need. Frontiers in Psychiatry, 14, Article 1237052. </w:t>
      </w:r>
      <w:hyperlink r:id="rId7">
        <w:r w:rsidR="00D9292D">
          <w:rPr>
            <w:rFonts w:ascii="Arial" w:eastAsia="Arial" w:hAnsi="Arial" w:cs="Arial"/>
            <w:color w:val="0563C1"/>
            <w:sz w:val="22"/>
            <w:szCs w:val="22"/>
            <w:u w:val="single"/>
          </w:rPr>
          <w:t>https://doi.org/10.3389/fpsyt.2023.1237052</w:t>
        </w:r>
      </w:hyperlink>
      <w:r>
        <w:rPr>
          <w:rFonts w:ascii="Arial" w:eastAsia="Arial" w:hAnsi="Arial" w:cs="Arial"/>
          <w:sz w:val="22"/>
          <w:szCs w:val="22"/>
        </w:rPr>
        <w:t xml:space="preserve"> </w:t>
      </w:r>
    </w:p>
    <w:p w14:paraId="00000038" w14:textId="77777777" w:rsidR="00D9292D" w:rsidRDefault="00000000">
      <w:pPr>
        <w:spacing w:after="200" w:line="360" w:lineRule="auto"/>
        <w:ind w:left="720" w:hanging="720"/>
      </w:pPr>
      <w:r>
        <w:rPr>
          <w:rFonts w:ascii="Arial" w:eastAsia="Arial" w:hAnsi="Arial" w:cs="Arial"/>
          <w:sz w:val="22"/>
          <w:szCs w:val="22"/>
        </w:rPr>
        <w:t xml:space="preserve">McDonald, B., Lester, K. J., &amp; Michelson, D. (2023). 'She didn't know how to go back': School attendance problems in the context of the COVID-19 pandemic—A multiple stakeholder qualitative study with parents and professionals. British Journal of Educational Psychology, 93, 386–401. </w:t>
      </w:r>
      <w:hyperlink r:id="rId8">
        <w:r w:rsidR="00D9292D">
          <w:rPr>
            <w:rFonts w:ascii="Arial" w:eastAsia="Arial" w:hAnsi="Arial" w:cs="Arial"/>
            <w:color w:val="0563C1"/>
            <w:sz w:val="22"/>
            <w:szCs w:val="22"/>
            <w:u w:val="single"/>
          </w:rPr>
          <w:t>https://doi.org/10.1111/bjep.12562</w:t>
        </w:r>
      </w:hyperlink>
      <w:r>
        <w:rPr>
          <w:rFonts w:ascii="Arial" w:eastAsia="Arial" w:hAnsi="Arial" w:cs="Arial"/>
          <w:sz w:val="22"/>
          <w:szCs w:val="22"/>
        </w:rPr>
        <w:t xml:space="preserve"> </w:t>
      </w:r>
    </w:p>
    <w:p w14:paraId="00000039" w14:textId="77777777" w:rsidR="00D9292D" w:rsidRDefault="00000000">
      <w:pPr>
        <w:spacing w:after="200" w:line="360" w:lineRule="auto"/>
        <w:ind w:left="720" w:hanging="720"/>
      </w:pPr>
      <w:r>
        <w:rPr>
          <w:rFonts w:ascii="Arial" w:eastAsia="Arial" w:hAnsi="Arial" w:cs="Arial"/>
          <w:sz w:val="22"/>
          <w:szCs w:val="22"/>
        </w:rPr>
        <w:t xml:space="preserve">Office for National Statistics. (2023). Child mental ill health and absence from school, England. </w:t>
      </w:r>
      <w:hyperlink r:id="rId9">
        <w:r w:rsidR="00D9292D">
          <w:rPr>
            <w:rFonts w:ascii="Arial" w:eastAsia="Arial" w:hAnsi="Arial" w:cs="Arial"/>
            <w:color w:val="0563C1"/>
            <w:sz w:val="22"/>
            <w:szCs w:val="22"/>
            <w:u w:val="single"/>
          </w:rPr>
          <w:t>https://www.ons.gov.uk/peoplepopulationandcommunity/healthandsocialcare/childhealth/articles/childmentalillhealthandabsencefromschoolengland/2021to2022</w:t>
        </w:r>
      </w:hyperlink>
      <w:r>
        <w:rPr>
          <w:rFonts w:ascii="Arial" w:eastAsia="Arial" w:hAnsi="Arial" w:cs="Arial"/>
          <w:sz w:val="22"/>
          <w:szCs w:val="22"/>
        </w:rPr>
        <w:t xml:space="preserve"> </w:t>
      </w:r>
    </w:p>
    <w:p w14:paraId="0000003A" w14:textId="77777777" w:rsidR="00D9292D" w:rsidRDefault="00000000">
      <w:pPr>
        <w:spacing w:after="200" w:line="360" w:lineRule="auto"/>
        <w:ind w:left="720" w:hanging="720"/>
      </w:pPr>
      <w:r>
        <w:rPr>
          <w:rFonts w:ascii="Arial" w:eastAsia="Arial" w:hAnsi="Arial" w:cs="Arial"/>
          <w:sz w:val="22"/>
          <w:szCs w:val="22"/>
        </w:rPr>
        <w:t xml:space="preserve">Rana, K., &amp; Chimoriya, R. (2025). A guide to a mixed-methods approach to healthcare research. Encyclopedia, 5(2), Article 51. </w:t>
      </w:r>
      <w:hyperlink r:id="rId10">
        <w:r w:rsidR="00D9292D">
          <w:rPr>
            <w:rFonts w:ascii="Arial" w:eastAsia="Arial" w:hAnsi="Arial" w:cs="Arial"/>
            <w:color w:val="0563C1"/>
            <w:sz w:val="22"/>
            <w:szCs w:val="22"/>
            <w:u w:val="single"/>
          </w:rPr>
          <w:t>https://doi.org/10.3390/encyclopedia5020051</w:t>
        </w:r>
      </w:hyperlink>
      <w:r>
        <w:rPr>
          <w:rFonts w:ascii="Arial" w:eastAsia="Arial" w:hAnsi="Arial" w:cs="Arial"/>
          <w:sz w:val="22"/>
          <w:szCs w:val="22"/>
        </w:rPr>
        <w:t xml:space="preserve"> </w:t>
      </w:r>
    </w:p>
    <w:p w14:paraId="0000003B" w14:textId="77777777" w:rsidR="00D9292D" w:rsidRDefault="00000000">
      <w:pPr>
        <w:spacing w:after="200" w:line="360" w:lineRule="auto"/>
        <w:ind w:left="720" w:hanging="720"/>
      </w:pPr>
      <w:r>
        <w:rPr>
          <w:rFonts w:ascii="Arial" w:eastAsia="Arial" w:hAnsi="Arial" w:cs="Arial"/>
          <w:sz w:val="22"/>
          <w:szCs w:val="22"/>
        </w:rPr>
        <w:t xml:space="preserve">Renjith, V., Yesodharan, R., Noronha, J. A., Ladd, E., &amp; George, A. (2021). Qualitative methods in health care research. International Journal of Preventive Medicine, 12, Article 20. </w:t>
      </w:r>
      <w:hyperlink r:id="rId11">
        <w:r w:rsidR="00D9292D">
          <w:rPr>
            <w:rFonts w:ascii="Arial" w:eastAsia="Arial" w:hAnsi="Arial" w:cs="Arial"/>
            <w:color w:val="0563C1"/>
            <w:sz w:val="22"/>
            <w:szCs w:val="22"/>
            <w:u w:val="single"/>
          </w:rPr>
          <w:t>https://doi.org/10.4103/ijpvm.IJPVM_321_19</w:t>
        </w:r>
      </w:hyperlink>
      <w:r>
        <w:rPr>
          <w:rFonts w:ascii="Arial" w:eastAsia="Arial" w:hAnsi="Arial" w:cs="Arial"/>
          <w:sz w:val="22"/>
          <w:szCs w:val="22"/>
        </w:rPr>
        <w:t xml:space="preserve"> </w:t>
      </w:r>
    </w:p>
    <w:sectPr w:rsidR="00D9292D">
      <w:headerReference w:type="default" r:id="rId12"/>
      <w:footerReference w:type="default" r:id="rId1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9701F" w14:textId="77777777" w:rsidR="00315254" w:rsidRDefault="00315254">
      <w:r>
        <w:separator/>
      </w:r>
    </w:p>
  </w:endnote>
  <w:endnote w:type="continuationSeparator" w:id="0">
    <w:p w14:paraId="0C5019E6" w14:textId="77777777" w:rsidR="00315254" w:rsidRDefault="00315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CFAD633D-4B63-4390-BD1A-7C426189274F}"/>
  </w:font>
  <w:font w:name="Abadi">
    <w:charset w:val="00"/>
    <w:family w:val="swiss"/>
    <w:pitch w:val="variable"/>
    <w:sig w:usb0="80000003" w:usb1="00000000" w:usb2="00000000" w:usb3="00000000" w:csb0="00000093" w:csb1="00000000"/>
    <w:embedRegular r:id="rId2" w:fontKey="{3F2C2B50-C5E0-4230-B90F-C58FADB8A39C}"/>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A53F9509-8D6C-4B38-8CE6-EF2E1504DE8D}"/>
  </w:font>
  <w:font w:name="Cambria">
    <w:panose1 w:val="02040503050406030204"/>
    <w:charset w:val="00"/>
    <w:family w:val="roman"/>
    <w:pitch w:val="variable"/>
    <w:sig w:usb0="E00006FF" w:usb1="420024FF" w:usb2="02000000" w:usb3="00000000" w:csb0="0000019F" w:csb1="00000000"/>
    <w:embedRegular r:id="rId4" w:fontKey="{184D35CF-9C09-4D68-8598-B474BDB4444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D" w14:textId="7599E16C" w:rsidR="00D9292D" w:rsidRDefault="00000000">
    <w:pPr>
      <w:jc w:val="center"/>
    </w:pPr>
    <w:r>
      <w:rPr>
        <w:rFonts w:ascii="Arial" w:eastAsia="Arial" w:hAnsi="Arial" w:cs="Arial"/>
        <w:sz w:val="18"/>
        <w:szCs w:val="18"/>
      </w:rPr>
      <w:t xml:space="preserve">Page </w:t>
    </w:r>
    <w:r>
      <w:rPr>
        <w:rFonts w:ascii="Arial" w:eastAsia="Arial" w:hAnsi="Arial" w:cs="Arial"/>
        <w:sz w:val="18"/>
        <w:szCs w:val="18"/>
      </w:rPr>
      <w:fldChar w:fldCharType="begin"/>
    </w:r>
    <w:r>
      <w:rPr>
        <w:rFonts w:ascii="Arial" w:eastAsia="Arial" w:hAnsi="Arial" w:cs="Arial"/>
        <w:sz w:val="18"/>
        <w:szCs w:val="18"/>
      </w:rPr>
      <w:instrText>PAGE</w:instrText>
    </w:r>
    <w:r>
      <w:rPr>
        <w:rFonts w:ascii="Arial" w:eastAsia="Arial" w:hAnsi="Arial" w:cs="Arial"/>
        <w:sz w:val="18"/>
        <w:szCs w:val="18"/>
      </w:rPr>
      <w:fldChar w:fldCharType="separate"/>
    </w:r>
    <w:r w:rsidR="00697CDF">
      <w:rPr>
        <w:rFonts w:ascii="Arial" w:eastAsia="Arial" w:hAnsi="Arial" w:cs="Arial"/>
        <w:noProof/>
        <w:sz w:val="18"/>
        <w:szCs w:val="18"/>
      </w:rPr>
      <w:t>1</w:t>
    </w:r>
    <w:r>
      <w:rPr>
        <w:rFonts w:ascii="Arial" w:eastAsia="Arial" w:hAnsi="Arial" w:cs="Arial"/>
        <w:sz w:val="18"/>
        <w:szCs w:val="18"/>
      </w:rPr>
      <w:fldChar w:fldCharType="end"/>
    </w:r>
    <w:r>
      <w:rPr>
        <w:rFonts w:ascii="Arial" w:eastAsia="Arial" w:hAnsi="Arial" w:cs="Arial"/>
        <w:sz w:val="18"/>
        <w:szCs w:val="18"/>
      </w:rPr>
      <w:t xml:space="preserve"> of </w:t>
    </w:r>
    <w:r>
      <w:rPr>
        <w:rFonts w:ascii="Arial" w:eastAsia="Arial" w:hAnsi="Arial" w:cs="Arial"/>
        <w:sz w:val="18"/>
        <w:szCs w:val="18"/>
      </w:rPr>
      <w:fldChar w:fldCharType="begin"/>
    </w:r>
    <w:r>
      <w:rPr>
        <w:rFonts w:ascii="Arial" w:eastAsia="Arial" w:hAnsi="Arial" w:cs="Arial"/>
        <w:sz w:val="18"/>
        <w:szCs w:val="18"/>
      </w:rPr>
      <w:instrText>NUMPAGES</w:instrText>
    </w:r>
    <w:r>
      <w:rPr>
        <w:rFonts w:ascii="Arial" w:eastAsia="Arial" w:hAnsi="Arial" w:cs="Arial"/>
        <w:sz w:val="18"/>
        <w:szCs w:val="18"/>
      </w:rPr>
      <w:fldChar w:fldCharType="separate"/>
    </w:r>
    <w:r w:rsidR="00697CDF">
      <w:rPr>
        <w:rFonts w:ascii="Arial" w:eastAsia="Arial" w:hAnsi="Arial" w:cs="Arial"/>
        <w:noProof/>
        <w:sz w:val="18"/>
        <w:szCs w:val="18"/>
      </w:rPr>
      <w:t>2</w:t>
    </w:r>
    <w:r>
      <w:rPr>
        <w:rFonts w:ascii="Arial" w:eastAsia="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27A2A" w14:textId="77777777" w:rsidR="00315254" w:rsidRDefault="00315254">
      <w:r>
        <w:separator/>
      </w:r>
    </w:p>
  </w:footnote>
  <w:footnote w:type="continuationSeparator" w:id="0">
    <w:p w14:paraId="2B08B905" w14:textId="77777777" w:rsidR="00315254" w:rsidRDefault="003152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C" w14:textId="77777777" w:rsidR="00D9292D" w:rsidRDefault="00000000">
    <w:pPr>
      <w:jc w:val="right"/>
    </w:pPr>
    <w:r>
      <w:rPr>
        <w:rFonts w:ascii="Arial" w:eastAsia="Arial" w:hAnsi="Arial" w:cs="Arial"/>
        <w:i/>
        <w:iCs/>
        <w:sz w:val="18"/>
        <w:szCs w:val="18"/>
      </w:rPr>
      <w:t>LCHS4007 – Research Literacy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92D"/>
    <w:rsid w:val="000E3C2B"/>
    <w:rsid w:val="0012729E"/>
    <w:rsid w:val="0028480E"/>
    <w:rsid w:val="00315254"/>
    <w:rsid w:val="00385574"/>
    <w:rsid w:val="00697CDF"/>
    <w:rsid w:val="00D23ED4"/>
    <w:rsid w:val="00D92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41FD3"/>
  <w15:docId w15:val="{31ABD3D7-DA6B-4E16-9277-4C379293E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semiHidden/>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111/bjep.12562"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doi.org/10.3389/fpsyt.2023.1237052"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entreformentalhealth.org.uk/wp-content/uploads/2024/04/CentreforMH_NotInSchool.pdf" TargetMode="External"/><Relationship Id="rId11" Type="http://schemas.openxmlformats.org/officeDocument/2006/relationships/hyperlink" Target="https://doi.org/10.4103/ijpvm.IJPVM_321_19"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doi.org/10.3390/encyclopedia5020051" TargetMode="External"/><Relationship Id="rId4" Type="http://schemas.openxmlformats.org/officeDocument/2006/relationships/footnotes" Target="footnotes.xml"/><Relationship Id="rId9" Type="http://schemas.openxmlformats.org/officeDocument/2006/relationships/hyperlink" Target="https://www.ons.gov.uk/peoplepopulationandcommunity/healthandsocialcare/childhealth/articles/childmentalillhealthandabsencefromschoolengland/2021to2022"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1869</Words>
  <Characters>10656</Characters>
  <Application>Microsoft Office Word</Application>
  <DocSecurity>0</DocSecurity>
  <Lines>88</Lines>
  <Paragraphs>24</Paragraphs>
  <ScaleCrop>false</ScaleCrop>
  <Company/>
  <LinksUpToDate>false</LinksUpToDate>
  <CharactersWithSpaces>12501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Nayab Bilal (2535409)</cp:lastModifiedBy>
  <cp:revision>4</cp:revision>
  <dcterms:created xsi:type="dcterms:W3CDTF">2026-07-10T09:11:00Z</dcterms:created>
  <dcterms:modified xsi:type="dcterms:W3CDTF">2026-07-12T20:01:00Z</dcterms:modified>
</cp:coreProperties>
</file>