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50D10" w14:textId="5B4CBD57" w:rsidR="004F7ECB" w:rsidRDefault="00A93B57">
      <w:r>
        <w:t xml:space="preserve">  </w:t>
      </w:r>
      <w:r w:rsidR="0020625D">
        <w:t xml:space="preserve">Ritual acts can be defined in </w:t>
      </w:r>
      <w:r w:rsidR="00F663B7">
        <w:t xml:space="preserve">several </w:t>
      </w:r>
      <w:r w:rsidR="0020625D">
        <w:t xml:space="preserve">ways, relating to the criteria that the act fulfils. </w:t>
      </w:r>
      <w:r w:rsidR="00992375">
        <w:t xml:space="preserve">Several definitions and classifications are offered by scholars. </w:t>
      </w:r>
      <w:proofErr w:type="spellStart"/>
      <w:r w:rsidR="00992375">
        <w:t>Tambiah</w:t>
      </w:r>
      <w:proofErr w:type="spellEnd"/>
      <w:r w:rsidR="00992375">
        <w:t xml:space="preserve"> offers the term ritual as referring to a ‘culturally constructed system of symbolic communication’.</w:t>
      </w:r>
      <w:r w:rsidR="00992375">
        <w:rPr>
          <w:rStyle w:val="FootnoteReference"/>
        </w:rPr>
        <w:footnoteReference w:id="1"/>
      </w:r>
      <w:r w:rsidR="00992375">
        <w:t xml:space="preserve"> </w:t>
      </w:r>
      <w:r w:rsidR="00F663B7">
        <w:t>Typically, the acts involve a combination of physical movements</w:t>
      </w:r>
      <w:r w:rsidR="005C096B">
        <w:t xml:space="preserve"> </w:t>
      </w:r>
      <w:r w:rsidR="00C429EA">
        <w:t>and communicative techniques such as chanting or prayer. These actions are often repeated, either as a whole routine</w:t>
      </w:r>
      <w:r w:rsidR="000824E2">
        <w:t>,</w:t>
      </w:r>
      <w:r w:rsidR="00C429EA">
        <w:t xml:space="preserve"> looped a predetermined number of times</w:t>
      </w:r>
      <w:r w:rsidR="000824E2">
        <w:t>,</w:t>
      </w:r>
      <w:r w:rsidR="00C429EA">
        <w:t xml:space="preserve"> or the routine is repeated at </w:t>
      </w:r>
      <w:r w:rsidR="00B12102">
        <w:t>a designated</w:t>
      </w:r>
      <w:r w:rsidR="00C429EA">
        <w:t xml:space="preserve"> time</w:t>
      </w:r>
      <w:r w:rsidR="00B12102">
        <w:t xml:space="preserve"> regularly. </w:t>
      </w:r>
      <w:r w:rsidR="00992375">
        <w:t xml:space="preserve">Simply, rituals are formulaic </w:t>
      </w:r>
      <w:r w:rsidR="00B619E8">
        <w:t>(</w:t>
      </w:r>
      <w:r w:rsidR="00992375">
        <w:t>rather than spontaneous</w:t>
      </w:r>
      <w:r w:rsidR="00B619E8">
        <w:t>)</w:t>
      </w:r>
      <w:r w:rsidR="00992375">
        <w:t>, prescribed and formalised. Alexander denotes there is a transformative power of a ritual performance which provides an alternative context</w:t>
      </w:r>
      <w:r w:rsidR="00B619E8">
        <w:t xml:space="preserve"> to the otherwise ordinary surroundings/objects</w:t>
      </w:r>
      <w:r w:rsidR="00992375">
        <w:t>.</w:t>
      </w:r>
      <w:r w:rsidR="00992375">
        <w:rPr>
          <w:rStyle w:val="FootnoteReference"/>
        </w:rPr>
        <w:footnoteReference w:id="2"/>
      </w:r>
      <w:r w:rsidR="00992375">
        <w:t xml:space="preserve"> </w:t>
      </w:r>
      <w:r w:rsidR="004F7ECB">
        <w:t xml:space="preserve">The ceremony is not intended for entertainment purposes but functions to invoke a form of change directed at the community or the individual. </w:t>
      </w:r>
      <w:r w:rsidR="00712E08">
        <w:t>Rituals are not exclusive to religious activity, but the term is often considered in conjunction with a religious context</w:t>
      </w:r>
      <w:r w:rsidR="00B619E8">
        <w:t>, particularly from an archaeological perspective</w:t>
      </w:r>
      <w:r w:rsidR="00712E08">
        <w:t xml:space="preserve">. </w:t>
      </w:r>
    </w:p>
    <w:p w14:paraId="473E9880" w14:textId="2925735E" w:rsidR="00BF0D8B" w:rsidRDefault="00A93B57" w:rsidP="00B619E8">
      <w:r>
        <w:t xml:space="preserve">  </w:t>
      </w:r>
      <w:r w:rsidR="00CA1BA1">
        <w:t>Archaeolog</w:t>
      </w:r>
      <w:r w:rsidR="00095C80">
        <w:t>ical</w:t>
      </w:r>
      <w:r w:rsidR="00CA1BA1">
        <w:t xml:space="preserve"> sites of Minoan antiquity discovered in Crete in the twentieth century </w:t>
      </w:r>
      <w:r w:rsidR="00914759">
        <w:t>have been considered to be one of the best sources of information regarding social and cultural life in Bronze Age Crete.</w:t>
      </w:r>
      <w:r w:rsidR="00914759">
        <w:rPr>
          <w:rStyle w:val="FootnoteReference"/>
        </w:rPr>
        <w:footnoteReference w:id="3"/>
      </w:r>
      <w:r w:rsidR="00914759">
        <w:t xml:space="preserve"> </w:t>
      </w:r>
      <w:r w:rsidR="00543EC2">
        <w:t xml:space="preserve">While there were natural rural sanctuaries consisting of caves and chasms, some development was made to establish monumental building on the elevated landscapes of mountains with an association to religious cult practices. </w:t>
      </w:r>
      <w:r w:rsidR="00914759">
        <w:t>This is generally accepted with Evans’ original understanding of the temple/palace structures as the location of the highest political or religious authority.</w:t>
      </w:r>
      <w:r w:rsidR="00914759">
        <w:rPr>
          <w:rStyle w:val="FootnoteReference"/>
        </w:rPr>
        <w:footnoteReference w:id="4"/>
      </w:r>
      <w:r w:rsidR="00914759">
        <w:t xml:space="preserve"> </w:t>
      </w:r>
      <w:r w:rsidR="006C67D3">
        <w:t>Palace culture gave rise to new religious rituals and the use of votives made of a variety of materials that indicated status with elite offerings made of bronze or lead.</w:t>
      </w:r>
      <w:r w:rsidR="006C67D3">
        <w:rPr>
          <w:rStyle w:val="FootnoteReference"/>
        </w:rPr>
        <w:footnoteReference w:id="5"/>
      </w:r>
      <w:r w:rsidR="006C67D3">
        <w:t xml:space="preserve"> </w:t>
      </w:r>
      <w:r w:rsidR="00914759">
        <w:t xml:space="preserve">At Mount </w:t>
      </w:r>
      <w:proofErr w:type="spellStart"/>
      <w:r w:rsidR="00914759">
        <w:t>Juktas</w:t>
      </w:r>
      <w:proofErr w:type="spellEnd"/>
      <w:r w:rsidR="00914759">
        <w:t>,</w:t>
      </w:r>
      <w:r w:rsidR="006230BA">
        <w:t xml:space="preserve"> remains of a peak sanctuary</w:t>
      </w:r>
      <w:r w:rsidR="00543EC2">
        <w:t xml:space="preserve"> have been excavated to uncover the history behind the setting and artefacts</w:t>
      </w:r>
      <w:r w:rsidR="006D6D12">
        <w:t>.</w:t>
      </w:r>
    </w:p>
    <w:p w14:paraId="430DBE84" w14:textId="3106A4A6" w:rsidR="00B619E8" w:rsidRDefault="00A93B57" w:rsidP="00B619E8">
      <w:r>
        <w:t xml:space="preserve">  </w:t>
      </w:r>
      <w:proofErr w:type="spellStart"/>
      <w:r w:rsidR="00585EC6">
        <w:t>Schoep</w:t>
      </w:r>
      <w:proofErr w:type="spellEnd"/>
      <w:r w:rsidR="00585EC6">
        <w:t xml:space="preserve"> details features of peak sanctuaries, including the steep cliff face of Mount </w:t>
      </w:r>
      <w:proofErr w:type="spellStart"/>
      <w:r w:rsidR="00585EC6">
        <w:t>Juktas</w:t>
      </w:r>
      <w:proofErr w:type="spellEnd"/>
      <w:r w:rsidR="00585EC6">
        <w:t xml:space="preserve"> being a natural attraction for a peak sanctuary due to the high cliff marking a drop from which would cause certain death, leading to a link with the afterlife.</w:t>
      </w:r>
      <w:r w:rsidR="00585EC6">
        <w:rPr>
          <w:rStyle w:val="FootnoteReference"/>
        </w:rPr>
        <w:footnoteReference w:id="6"/>
      </w:r>
      <w:r w:rsidR="00585EC6">
        <w:t xml:space="preserve"> Mount </w:t>
      </w:r>
      <w:proofErr w:type="spellStart"/>
      <w:r w:rsidR="00585EC6">
        <w:t>Juktas</w:t>
      </w:r>
      <w:proofErr w:type="spellEnd"/>
      <w:r w:rsidR="00585EC6">
        <w:t xml:space="preserve"> is aligned north to south but faces to the east with an altar</w:t>
      </w:r>
      <w:r w:rsidR="006D6D12">
        <w:t>, a prominent symbol of ritual action.</w:t>
      </w:r>
      <w:r w:rsidR="00585EC6">
        <w:t xml:space="preserve"> </w:t>
      </w:r>
      <w:r w:rsidR="006D6D12">
        <w:t>W</w:t>
      </w:r>
      <w:r w:rsidR="00673DA1">
        <w:t xml:space="preserve">ithin </w:t>
      </w:r>
      <w:r w:rsidR="006D6D12">
        <w:t xml:space="preserve">the sanctuary some of </w:t>
      </w:r>
      <w:r w:rsidR="00673DA1">
        <w:t>the oldest artefacts from a peak sanctuary</w:t>
      </w:r>
      <w:r w:rsidR="006D6D12">
        <w:t xml:space="preserve"> have been found</w:t>
      </w:r>
      <w:r w:rsidR="00673DA1">
        <w:t>.</w:t>
      </w:r>
      <w:r w:rsidR="00673DA1">
        <w:rPr>
          <w:rStyle w:val="FootnoteReference"/>
        </w:rPr>
        <w:footnoteReference w:id="7"/>
      </w:r>
      <w:r w:rsidR="00CD137D">
        <w:t xml:space="preserve"> </w:t>
      </w:r>
      <w:r w:rsidR="006D6D12">
        <w:t>A</w:t>
      </w:r>
      <w:r w:rsidR="00B619E8">
        <w:t xml:space="preserve">s noted by Adams, </w:t>
      </w:r>
      <w:r w:rsidR="006D6D12">
        <w:t xml:space="preserve">the </w:t>
      </w:r>
      <w:r w:rsidR="001F34C2">
        <w:t xml:space="preserve">different types </w:t>
      </w:r>
      <w:r w:rsidR="006D6D12">
        <w:t xml:space="preserve">of artefacts found at </w:t>
      </w:r>
      <w:proofErr w:type="spellStart"/>
      <w:r w:rsidR="006D6D12">
        <w:t>Juktas</w:t>
      </w:r>
      <w:proofErr w:type="spellEnd"/>
      <w:r w:rsidR="006D6D12">
        <w:t xml:space="preserve"> </w:t>
      </w:r>
      <w:r w:rsidR="00B619E8">
        <w:t>includ</w:t>
      </w:r>
      <w:r w:rsidR="006D6D12">
        <w:t xml:space="preserve">e </w:t>
      </w:r>
      <w:r w:rsidR="00B619E8">
        <w:t xml:space="preserve">(but </w:t>
      </w:r>
      <w:r w:rsidR="006D6D12">
        <w:t xml:space="preserve">are </w:t>
      </w:r>
      <w:r w:rsidR="00B619E8">
        <w:t>not limited to) clay human and animal figures, stone offerings tables and altars, double axes and daggers/tools, seals, cups, and animal bones.</w:t>
      </w:r>
      <w:r w:rsidR="00B619E8">
        <w:rPr>
          <w:rStyle w:val="FootnoteReference"/>
        </w:rPr>
        <w:footnoteReference w:id="8"/>
      </w:r>
      <w:r w:rsidR="00B619E8">
        <w:t xml:space="preserve"> Adams follows this by establishing the presence of figurines as one of the most common indicators of a site being used for rituals due to previous studies.</w:t>
      </w:r>
      <w:r w:rsidR="004F7ECB">
        <w:rPr>
          <w:rStyle w:val="FootnoteReference"/>
        </w:rPr>
        <w:footnoteReference w:id="9"/>
      </w:r>
      <w:r w:rsidR="00FF72D2">
        <w:t xml:space="preserve"> The nature of the objects deposited at sanctified locations is highlighted by Hawkes (cited by Knapp) when explaining that hoards of objects were </w:t>
      </w:r>
      <w:r w:rsidR="00FF72D2">
        <w:lastRenderedPageBreak/>
        <w:t>common in Bronze Age society as objects were buried with no intention of being retrieved, therefore they were left as offerings.</w:t>
      </w:r>
      <w:r w:rsidR="00FF72D2">
        <w:rPr>
          <w:rStyle w:val="FootnoteReference"/>
        </w:rPr>
        <w:footnoteReference w:id="10"/>
      </w:r>
    </w:p>
    <w:p w14:paraId="2533E393" w14:textId="514C2305" w:rsidR="00BF0D8B" w:rsidRDefault="00A93B57" w:rsidP="00B619E8">
      <w:r>
        <w:t xml:space="preserve">  </w:t>
      </w:r>
      <w:r w:rsidR="00D67CB9">
        <w:t xml:space="preserve">In addition to the artefacts found in these sanctuaries, there were also thick layers of ash present, leading to the conclusion that bonfires were a significant aspect of ritual performance or ceremonial activity. </w:t>
      </w:r>
      <w:proofErr w:type="spellStart"/>
      <w:r w:rsidR="00D67CB9">
        <w:t>Peatfield</w:t>
      </w:r>
      <w:proofErr w:type="spellEnd"/>
      <w:r w:rsidR="00D67CB9">
        <w:t xml:space="preserve"> suggested that the bonfires might have been a type of beacon or a focal point for pilgrimage, with the possibility that pilgrimage is an initial part of a ritual action completed by offerings or prayer once arriving at the destination.</w:t>
      </w:r>
      <w:r w:rsidR="00D67CB9">
        <w:rPr>
          <w:rStyle w:val="FootnoteReference"/>
        </w:rPr>
        <w:footnoteReference w:id="11"/>
      </w:r>
      <w:r w:rsidR="00912D15">
        <w:t xml:space="preserve"> </w:t>
      </w:r>
    </w:p>
    <w:p w14:paraId="7BA7488C" w14:textId="1C932163" w:rsidR="00553867" w:rsidRDefault="00A93B57">
      <w:r>
        <w:t xml:space="preserve">  </w:t>
      </w:r>
      <w:r w:rsidR="00F7209B">
        <w:t xml:space="preserve">Animal and human figures deposited at </w:t>
      </w:r>
      <w:proofErr w:type="spellStart"/>
      <w:r w:rsidR="00F7209B">
        <w:t>Juktas</w:t>
      </w:r>
      <w:proofErr w:type="spellEnd"/>
      <w:r w:rsidR="00F7209B">
        <w:t xml:space="preserve"> are found in four main materials, ranging in size from 1.4 to 9.8cm in length.</w:t>
      </w:r>
      <w:r w:rsidR="00F7209B">
        <w:rPr>
          <w:rStyle w:val="FootnoteReference"/>
        </w:rPr>
        <w:footnoteReference w:id="12"/>
      </w:r>
      <w:r w:rsidR="00F7209B">
        <w:t xml:space="preserve"> The votives </w:t>
      </w:r>
      <w:r w:rsidR="00DD0480">
        <w:t>appeared in forms relevant to the worshippers such as their fertility and wellbeing as well as that of their animals.</w:t>
      </w:r>
      <w:r w:rsidR="00DD0480">
        <w:rPr>
          <w:rStyle w:val="FootnoteReference"/>
        </w:rPr>
        <w:footnoteReference w:id="13"/>
      </w:r>
      <w:r w:rsidR="00DD0480">
        <w:t xml:space="preserve"> </w:t>
      </w:r>
      <w:proofErr w:type="spellStart"/>
      <w:r w:rsidR="006B0A29">
        <w:t>Peatfield</w:t>
      </w:r>
      <w:proofErr w:type="spellEnd"/>
      <w:r w:rsidR="001A17A2">
        <w:t xml:space="preserve"> concluded that animal figurines at </w:t>
      </w:r>
      <w:proofErr w:type="spellStart"/>
      <w:r w:rsidR="001A17A2">
        <w:t>Juktas</w:t>
      </w:r>
      <w:proofErr w:type="spellEnd"/>
      <w:r w:rsidR="001A17A2">
        <w:t xml:space="preserve"> were generally depictions of animals associated with human activity, such as those used in farming, and these votives were then designed for invoking protection.</w:t>
      </w:r>
      <w:r w:rsidR="001A17A2">
        <w:rPr>
          <w:rStyle w:val="FootnoteReference"/>
        </w:rPr>
        <w:footnoteReference w:id="14"/>
      </w:r>
      <w:r w:rsidR="00926062">
        <w:t xml:space="preserve"> While the animal figurines represented the farming society of the Minoans, human figurines were represent</w:t>
      </w:r>
      <w:r w:rsidR="006C67D3">
        <w:t>ative</w:t>
      </w:r>
      <w:r w:rsidR="00926062">
        <w:t xml:space="preserve"> of the worshipper.</w:t>
      </w:r>
      <w:r w:rsidR="006C67D3">
        <w:t xml:space="preserve"> </w:t>
      </w:r>
      <w:proofErr w:type="spellStart"/>
      <w:r w:rsidR="00EB1468">
        <w:t>Peatfield’s</w:t>
      </w:r>
      <w:proofErr w:type="spellEnd"/>
      <w:r w:rsidR="00EB1468">
        <w:t xml:space="preserve"> further exploration of the votive figures indicate a healing purpose. Figures</w:t>
      </w:r>
      <w:r w:rsidR="007B1A2A">
        <w:t xml:space="preserve"> across Crete show strong evidence that figures were designed with the disfigurements of the worshipper and were offered in prayer for healing of the ailment represented in votive form.</w:t>
      </w:r>
      <w:r w:rsidR="007B1A2A">
        <w:rPr>
          <w:rStyle w:val="FootnoteReference"/>
        </w:rPr>
        <w:footnoteReference w:id="15"/>
      </w:r>
    </w:p>
    <w:p w14:paraId="5D270D2D" w14:textId="37E933A3" w:rsidR="006230BA" w:rsidRDefault="00A93B57">
      <w:r>
        <w:t xml:space="preserve">  </w:t>
      </w:r>
      <w:proofErr w:type="spellStart"/>
      <w:r w:rsidR="00CD137D">
        <w:t>Mantzourani</w:t>
      </w:r>
      <w:proofErr w:type="spellEnd"/>
      <w:r w:rsidR="00CD137D">
        <w:t xml:space="preserve"> and Betancourt outline two stone </w:t>
      </w:r>
      <w:proofErr w:type="spellStart"/>
      <w:r w:rsidR="00CD137D" w:rsidRPr="00CD137D">
        <w:rPr>
          <w:i/>
          <w:iCs/>
        </w:rPr>
        <w:t>kernoi</w:t>
      </w:r>
      <w:proofErr w:type="spellEnd"/>
      <w:r w:rsidR="00CD137D">
        <w:t xml:space="preserve"> </w:t>
      </w:r>
      <w:r w:rsidR="00673DA1">
        <w:t xml:space="preserve">that </w:t>
      </w:r>
      <w:r w:rsidR="00CD137D">
        <w:t>have been excavate</w:t>
      </w:r>
      <w:r w:rsidR="00673DA1">
        <w:t>d</w:t>
      </w:r>
      <w:r w:rsidR="00CD137D">
        <w:t xml:space="preserve"> from</w:t>
      </w:r>
      <w:r w:rsidR="00673DA1">
        <w:t xml:space="preserve"> </w:t>
      </w:r>
      <w:proofErr w:type="spellStart"/>
      <w:r w:rsidR="00673DA1">
        <w:t>Juktas</w:t>
      </w:r>
      <w:proofErr w:type="spellEnd"/>
      <w:r w:rsidR="006230BA">
        <w:t>.</w:t>
      </w:r>
      <w:r w:rsidR="00A4424E">
        <w:rPr>
          <w:i/>
          <w:iCs/>
        </w:rPr>
        <w:t xml:space="preserve"> </w:t>
      </w:r>
      <w:proofErr w:type="spellStart"/>
      <w:r w:rsidR="00A4424E">
        <w:rPr>
          <w:i/>
          <w:iCs/>
        </w:rPr>
        <w:t>Kernoi</w:t>
      </w:r>
      <w:proofErr w:type="spellEnd"/>
      <w:r w:rsidR="00A4424E">
        <w:rPr>
          <w:i/>
          <w:iCs/>
        </w:rPr>
        <w:t xml:space="preserve"> </w:t>
      </w:r>
      <w:r w:rsidR="00A4424E">
        <w:t>are clay vessels with a number of small cups attached which would hold various grains and liquids and wool with a lighted lamp or candle</w:t>
      </w:r>
      <w:r w:rsidR="00B619E8">
        <w:t>.</w:t>
      </w:r>
      <w:r w:rsidR="00A4424E">
        <w:rPr>
          <w:rStyle w:val="FootnoteReference"/>
        </w:rPr>
        <w:footnoteReference w:id="16"/>
      </w:r>
      <w:r w:rsidR="00B619E8">
        <w:t xml:space="preserve"> </w:t>
      </w:r>
      <w:r w:rsidR="00741E7F">
        <w:t xml:space="preserve">The use of the </w:t>
      </w:r>
      <w:proofErr w:type="spellStart"/>
      <w:r w:rsidR="00741E7F">
        <w:rPr>
          <w:i/>
          <w:iCs/>
        </w:rPr>
        <w:t>kernos</w:t>
      </w:r>
      <w:proofErr w:type="spellEnd"/>
      <w:r w:rsidR="00741E7F">
        <w:rPr>
          <w:i/>
          <w:iCs/>
        </w:rPr>
        <w:t xml:space="preserve"> </w:t>
      </w:r>
      <w:r w:rsidR="00741E7F">
        <w:t>as a sacred vessel for offerings has been shown to have lasted all through antiquity.</w:t>
      </w:r>
      <w:r w:rsidR="00741E7F">
        <w:rPr>
          <w:rStyle w:val="FootnoteReference"/>
        </w:rPr>
        <w:footnoteReference w:id="17"/>
      </w:r>
      <w:r w:rsidR="00741E7F">
        <w:t xml:space="preserve"> </w:t>
      </w:r>
      <w:r w:rsidR="00A4424E">
        <w:t xml:space="preserve">The </w:t>
      </w:r>
      <w:proofErr w:type="spellStart"/>
      <w:r w:rsidR="00A4424E">
        <w:rPr>
          <w:i/>
          <w:iCs/>
        </w:rPr>
        <w:t>kernoi</w:t>
      </w:r>
      <w:proofErr w:type="spellEnd"/>
      <w:r w:rsidR="00A4424E">
        <w:rPr>
          <w:i/>
          <w:iCs/>
        </w:rPr>
        <w:t xml:space="preserve"> </w:t>
      </w:r>
      <w:r w:rsidR="00A4424E">
        <w:t xml:space="preserve">are believed to be carried on the heads of priestesses during processions </w:t>
      </w:r>
      <w:r w:rsidR="001F34C2">
        <w:t xml:space="preserve">accompanied by </w:t>
      </w:r>
      <w:r w:rsidR="00A4424E">
        <w:t>ritual dancing.</w:t>
      </w:r>
      <w:r w:rsidR="00A4424E">
        <w:rPr>
          <w:rStyle w:val="FootnoteReference"/>
        </w:rPr>
        <w:footnoteReference w:id="18"/>
      </w:r>
      <w:r w:rsidR="00A4424E">
        <w:t xml:space="preserve"> </w:t>
      </w:r>
      <w:r w:rsidR="00585EC6">
        <w:t xml:space="preserve">Found in a number of sites in Crete, these </w:t>
      </w:r>
      <w:proofErr w:type="spellStart"/>
      <w:r w:rsidR="00585EC6">
        <w:rPr>
          <w:i/>
          <w:iCs/>
        </w:rPr>
        <w:t>kernoi</w:t>
      </w:r>
      <w:proofErr w:type="spellEnd"/>
      <w:r w:rsidR="00585EC6">
        <w:rPr>
          <w:i/>
          <w:iCs/>
        </w:rPr>
        <w:t xml:space="preserve"> </w:t>
      </w:r>
      <w:r w:rsidR="00585EC6">
        <w:t>in different forms and sizes are used in very much the same way as sacred objects from shrines or tombs that hold offerings – the offerings might be dedicated to a divine or an honoured deceased.</w:t>
      </w:r>
      <w:r w:rsidR="00585EC6">
        <w:rPr>
          <w:rStyle w:val="FootnoteReference"/>
        </w:rPr>
        <w:footnoteReference w:id="19"/>
      </w:r>
      <w:r w:rsidR="00585EC6">
        <w:t xml:space="preserve"> </w:t>
      </w:r>
      <w:r w:rsidR="006D6D12">
        <w:t>The presence of these vessels and the stone tables – either as offering tables or libation tables – strongly indicates the ritual offerings or libation procedures that would</w:t>
      </w:r>
      <w:r w:rsidR="00BF0D8B">
        <w:t xml:space="preserve"> have</w:t>
      </w:r>
      <w:r w:rsidR="006D6D12">
        <w:t xml:space="preserve"> occurred using the available tools in such a setting as a temple or peak sanctuary.</w:t>
      </w:r>
      <w:r w:rsidR="0081466C">
        <w:t xml:space="preserve"> </w:t>
      </w:r>
    </w:p>
    <w:p w14:paraId="678D92BC" w14:textId="1E4B3C1B" w:rsidR="006B0A29" w:rsidRDefault="00A93B57">
      <w:r>
        <w:t xml:space="preserve">  </w:t>
      </w:r>
      <w:proofErr w:type="spellStart"/>
      <w:r w:rsidR="006230BA">
        <w:t>Soetens</w:t>
      </w:r>
      <w:proofErr w:type="spellEnd"/>
      <w:r w:rsidR="00513D62">
        <w:t xml:space="preserve"> a</w:t>
      </w:r>
      <w:r w:rsidR="00673DA1">
        <w:t xml:space="preserve">ddresses the hypothesis that </w:t>
      </w:r>
      <w:r w:rsidR="00513D62">
        <w:t xml:space="preserve">the peak sanctuaries including </w:t>
      </w:r>
      <w:proofErr w:type="spellStart"/>
      <w:r w:rsidR="00513D62">
        <w:t>Juktas</w:t>
      </w:r>
      <w:proofErr w:type="spellEnd"/>
      <w:r w:rsidR="00513D62">
        <w:t xml:space="preserve"> were linked to the ritual supplication for water, further corroborated by a lack of anthropomorphic deities among the region.</w:t>
      </w:r>
      <w:r w:rsidR="00BF0D8B">
        <w:rPr>
          <w:rStyle w:val="FootnoteReference"/>
        </w:rPr>
        <w:footnoteReference w:id="20"/>
      </w:r>
      <w:r w:rsidR="00BF0D8B">
        <w:t xml:space="preserve"> </w:t>
      </w:r>
      <w:proofErr w:type="spellStart"/>
      <w:r w:rsidR="00893A23">
        <w:t>Soetens</w:t>
      </w:r>
      <w:proofErr w:type="spellEnd"/>
      <w:r w:rsidR="00893A23">
        <w:t xml:space="preserve">’ </w:t>
      </w:r>
      <w:r w:rsidR="00513D62">
        <w:t xml:space="preserve">conclusion then is that any ritual worship then would be focused on the land and </w:t>
      </w:r>
      <w:r w:rsidR="00513D62">
        <w:lastRenderedPageBreak/>
        <w:t xml:space="preserve">nature, </w:t>
      </w:r>
      <w:r w:rsidR="00893A23">
        <w:t xml:space="preserve">shown by the emphasis of farming animals in representations, </w:t>
      </w:r>
      <w:r w:rsidR="00513D62">
        <w:t xml:space="preserve">securing sustained success of the landscape through continuous and </w:t>
      </w:r>
      <w:r w:rsidR="00893A23">
        <w:t xml:space="preserve">possibly </w:t>
      </w:r>
      <w:r w:rsidR="00513D62">
        <w:t>seasonal ritual actions.</w:t>
      </w:r>
      <w:r w:rsidR="00513D62">
        <w:rPr>
          <w:rStyle w:val="FootnoteReference"/>
        </w:rPr>
        <w:footnoteReference w:id="21"/>
      </w:r>
    </w:p>
    <w:p w14:paraId="6FED58D8" w14:textId="0597792D" w:rsidR="004F7ECB" w:rsidRDefault="00A93B57">
      <w:r>
        <w:t xml:space="preserve">  </w:t>
      </w:r>
      <w:r w:rsidR="006B0A29">
        <w:t>For a brief summary, the</w:t>
      </w:r>
      <w:r w:rsidR="00543EC2">
        <w:t>re is evidence of ritual activity in the peak sanctuaries, made apparent by the artefacts recovered. Common artefacts that indicate the presence of ritual acts performed include figurines of human and animal forms, vessels for grains and liquids, and the structures built there might have been focal points for pilgrimage.</w:t>
      </w:r>
    </w:p>
    <w:p w14:paraId="24724211" w14:textId="4E5D59B8" w:rsidR="003A342A" w:rsidRDefault="003A342A"/>
    <w:p w14:paraId="6E47D5FC" w14:textId="54E92533" w:rsidR="003A342A" w:rsidRDefault="003A342A"/>
    <w:p w14:paraId="0F44EAB9" w14:textId="61ED82D6" w:rsidR="003A342A" w:rsidRDefault="003A342A"/>
    <w:p w14:paraId="6FC13E74" w14:textId="6385EBDD" w:rsidR="003A342A" w:rsidRDefault="003A342A"/>
    <w:p w14:paraId="23B663B7" w14:textId="271C2292" w:rsidR="003A342A" w:rsidRDefault="003A342A"/>
    <w:p w14:paraId="7D6712A0" w14:textId="76429149" w:rsidR="003A342A" w:rsidRDefault="003A342A"/>
    <w:p w14:paraId="72CCA5D0" w14:textId="300205FD" w:rsidR="003A342A" w:rsidRDefault="003A342A"/>
    <w:p w14:paraId="58AC8444" w14:textId="6D5AF7DF" w:rsidR="003A342A" w:rsidRDefault="003A342A"/>
    <w:p w14:paraId="55E417AD" w14:textId="2A6D36D1" w:rsidR="003A342A" w:rsidRDefault="003A342A"/>
    <w:p w14:paraId="3ADCCA24" w14:textId="4343953A" w:rsidR="003A342A" w:rsidRDefault="003A342A"/>
    <w:p w14:paraId="12C0BD39" w14:textId="0727DD72" w:rsidR="003A342A" w:rsidRDefault="003A342A"/>
    <w:p w14:paraId="1F671890" w14:textId="5125FDFD" w:rsidR="003A342A" w:rsidRDefault="003A342A"/>
    <w:p w14:paraId="398DBD29" w14:textId="0D9E971A" w:rsidR="003A342A" w:rsidRDefault="003A342A"/>
    <w:p w14:paraId="181785AF" w14:textId="597037C1" w:rsidR="003A342A" w:rsidRDefault="003A342A"/>
    <w:p w14:paraId="4117D542" w14:textId="4A5D1F44" w:rsidR="003A342A" w:rsidRDefault="003A342A"/>
    <w:p w14:paraId="718548D2" w14:textId="21478751" w:rsidR="003A342A" w:rsidRDefault="003A342A"/>
    <w:p w14:paraId="501EFEF9" w14:textId="50287A69" w:rsidR="003A342A" w:rsidRDefault="003A342A"/>
    <w:p w14:paraId="3BECF3D3" w14:textId="0C52ABCA" w:rsidR="003A342A" w:rsidRDefault="003A342A"/>
    <w:p w14:paraId="5A951875" w14:textId="24D82390" w:rsidR="003A342A" w:rsidRDefault="003A342A"/>
    <w:p w14:paraId="35B71DF7" w14:textId="4D056DD6" w:rsidR="003A342A" w:rsidRDefault="003A342A"/>
    <w:p w14:paraId="6453942A" w14:textId="7567FEE6" w:rsidR="003A342A" w:rsidRDefault="003A342A"/>
    <w:p w14:paraId="31AAB01F" w14:textId="7C3364C2" w:rsidR="003A342A" w:rsidRDefault="003A342A"/>
    <w:p w14:paraId="5AAD5BF6" w14:textId="47ADE560" w:rsidR="003A342A" w:rsidRDefault="003A342A"/>
    <w:p w14:paraId="75457B20" w14:textId="05916002" w:rsidR="003A342A" w:rsidRDefault="003A342A"/>
    <w:p w14:paraId="351CD710" w14:textId="2E734C57" w:rsidR="003A342A" w:rsidRDefault="003A342A"/>
    <w:p w14:paraId="5459D28F" w14:textId="77777777" w:rsidR="003A342A" w:rsidRPr="003A342A" w:rsidRDefault="003A342A" w:rsidP="003A342A">
      <w:pPr>
        <w:rPr>
          <w:sz w:val="24"/>
          <w:szCs w:val="24"/>
        </w:rPr>
      </w:pPr>
      <w:r w:rsidRPr="003A342A">
        <w:rPr>
          <w:sz w:val="24"/>
          <w:szCs w:val="24"/>
        </w:rPr>
        <w:lastRenderedPageBreak/>
        <w:t>Bibliography</w:t>
      </w:r>
    </w:p>
    <w:p w14:paraId="5625E1C6" w14:textId="77777777" w:rsidR="003A342A" w:rsidRDefault="003A342A" w:rsidP="003A342A">
      <w:bookmarkStart w:id="1" w:name="_Hlk31120971"/>
    </w:p>
    <w:p w14:paraId="14EF9A7C" w14:textId="55D48CAE" w:rsidR="003A342A" w:rsidRDefault="003A342A" w:rsidP="003A342A">
      <w:r w:rsidRPr="002208EC">
        <w:t>Adams, E., 2004.</w:t>
      </w:r>
      <w:r>
        <w:t>, ‘</w:t>
      </w:r>
      <w:r w:rsidRPr="002208EC">
        <w:t xml:space="preserve">Power and ritual in </w:t>
      </w:r>
      <w:proofErr w:type="spellStart"/>
      <w:r w:rsidRPr="002208EC">
        <w:t>Neopalatial</w:t>
      </w:r>
      <w:proofErr w:type="spellEnd"/>
      <w:r w:rsidRPr="002208EC">
        <w:t xml:space="preserve"> Crete: a regional comparison</w:t>
      </w:r>
      <w:r>
        <w:t>’</w:t>
      </w:r>
      <w:r w:rsidRPr="002208EC">
        <w:t>. </w:t>
      </w:r>
      <w:r w:rsidRPr="002208EC">
        <w:rPr>
          <w:i/>
          <w:iCs/>
        </w:rPr>
        <w:t>World Archaeology</w:t>
      </w:r>
      <w:r w:rsidRPr="002208EC">
        <w:t>, </w:t>
      </w:r>
      <w:r w:rsidRPr="002208EC">
        <w:rPr>
          <w:i/>
          <w:iCs/>
        </w:rPr>
        <w:t>36</w:t>
      </w:r>
      <w:r w:rsidRPr="002208EC">
        <w:t>(1), pp.26-42.</w:t>
      </w:r>
    </w:p>
    <w:bookmarkEnd w:id="1"/>
    <w:p w14:paraId="4706350E" w14:textId="77777777" w:rsidR="003A342A" w:rsidRDefault="003A342A" w:rsidP="003A342A">
      <w:r>
        <w:t>Alexander, in Bowie,</w:t>
      </w:r>
      <w:r w:rsidRPr="00E338E1">
        <w:t xml:space="preserve"> F. 2000. </w:t>
      </w:r>
      <w:r w:rsidRPr="00E338E1">
        <w:rPr>
          <w:i/>
        </w:rPr>
        <w:t>The Anthropology of Religion</w:t>
      </w:r>
      <w:r w:rsidRPr="00E338E1">
        <w:t>, Oxford: Blackwell.</w:t>
      </w:r>
    </w:p>
    <w:p w14:paraId="542E21CB" w14:textId="77777777" w:rsidR="003A342A" w:rsidRDefault="003A342A" w:rsidP="003A342A">
      <w:bookmarkStart w:id="2" w:name="_Hlk31121885"/>
      <w:r w:rsidRPr="00E338E1">
        <w:t xml:space="preserve">Bowie, F. 2000. </w:t>
      </w:r>
      <w:r w:rsidRPr="00E338E1">
        <w:rPr>
          <w:i/>
        </w:rPr>
        <w:t>The Anthropology of Religion</w:t>
      </w:r>
      <w:r w:rsidRPr="00E338E1">
        <w:t>, Oxford: Blackwell.</w:t>
      </w:r>
      <w:bookmarkEnd w:id="2"/>
    </w:p>
    <w:p w14:paraId="16641A39" w14:textId="35E28AD0" w:rsidR="00CB58F4" w:rsidRDefault="003A342A" w:rsidP="003A342A">
      <w:r>
        <w:t xml:space="preserve">Evans, in </w:t>
      </w:r>
      <w:bookmarkStart w:id="3" w:name="_Hlk31121982"/>
      <w:bookmarkStart w:id="4" w:name="_Hlk31123748"/>
      <w:proofErr w:type="spellStart"/>
      <w:r w:rsidR="00CB58F4" w:rsidRPr="00CB58F4">
        <w:t>Schoep</w:t>
      </w:r>
      <w:proofErr w:type="spellEnd"/>
      <w:r w:rsidR="00CB58F4" w:rsidRPr="00CB58F4">
        <w:t xml:space="preserve">, I., </w:t>
      </w:r>
      <w:r w:rsidR="00CB58F4">
        <w:t>‘</w:t>
      </w:r>
      <w:r w:rsidR="00CB58F4" w:rsidRPr="00CB58F4">
        <w:t>The Minoan Palace-Temple reconsidered: A critical assessment of the spatial concentration of political, religious and economic power in Bronze Age Crete</w:t>
      </w:r>
      <w:r w:rsidR="00CB58F4">
        <w:t>’,</w:t>
      </w:r>
      <w:r w:rsidR="00CB58F4" w:rsidRPr="00CB58F4">
        <w:t> </w:t>
      </w:r>
      <w:r w:rsidR="00CB58F4" w:rsidRPr="00CB58F4">
        <w:rPr>
          <w:i/>
          <w:iCs/>
        </w:rPr>
        <w:t>Journal of Mediterranean Archaeology</w:t>
      </w:r>
      <w:r w:rsidR="00CB58F4" w:rsidRPr="00CB58F4">
        <w:t>, </w:t>
      </w:r>
      <w:r w:rsidR="00CB58F4" w:rsidRPr="00CB58F4">
        <w:rPr>
          <w:i/>
          <w:iCs/>
        </w:rPr>
        <w:t>23</w:t>
      </w:r>
      <w:r w:rsidR="00CB58F4" w:rsidRPr="00CB58F4">
        <w:t>(2)</w:t>
      </w:r>
      <w:r w:rsidR="003D444A">
        <w:t xml:space="preserve"> – 2010</w:t>
      </w:r>
      <w:r w:rsidR="00CB58F4" w:rsidRPr="00CB58F4">
        <w:t>, pp.219-243.</w:t>
      </w:r>
    </w:p>
    <w:bookmarkEnd w:id="4"/>
    <w:p w14:paraId="2AB4316B" w14:textId="7044B1C1" w:rsidR="003A342A" w:rsidRPr="00360A82" w:rsidRDefault="003A342A" w:rsidP="003A342A">
      <w:r>
        <w:t xml:space="preserve">Hemingway, S., ‘Art of the Aegean Bronze Age’, </w:t>
      </w:r>
      <w:r>
        <w:rPr>
          <w:i/>
          <w:iCs/>
        </w:rPr>
        <w:t xml:space="preserve">The Metropolitan Museum of Art Bulletin, </w:t>
      </w:r>
      <w:r>
        <w:t xml:space="preserve">Vol. 69, No. 4 (Spring 2012), </w:t>
      </w:r>
      <w:bookmarkEnd w:id="3"/>
      <w:r>
        <w:t>pp. 4-48.</w:t>
      </w:r>
    </w:p>
    <w:p w14:paraId="5DD89628" w14:textId="77777777" w:rsidR="003A342A" w:rsidRDefault="003A342A" w:rsidP="003A342A">
      <w:bookmarkStart w:id="5" w:name="_Hlk31122991"/>
      <w:proofErr w:type="spellStart"/>
      <w:r>
        <w:t>Lupack</w:t>
      </w:r>
      <w:proofErr w:type="spellEnd"/>
      <w:r>
        <w:t>, S., ‘Minoan Religion’, The Oxford Handbook of the Bronze Age Aegean. (Jan 2012)</w:t>
      </w:r>
    </w:p>
    <w:p w14:paraId="590576E3" w14:textId="77777777" w:rsidR="003A342A" w:rsidRDefault="003A342A" w:rsidP="003A342A">
      <w:bookmarkStart w:id="6" w:name="_Hlk31123019"/>
      <w:bookmarkEnd w:id="5"/>
      <w:proofErr w:type="spellStart"/>
      <w:r>
        <w:t>Peatfield</w:t>
      </w:r>
      <w:proofErr w:type="spellEnd"/>
      <w:r>
        <w:t xml:space="preserve">, A., ‘Minoan Peak Sanctuaries: History and Society’, </w:t>
      </w:r>
      <w:r>
        <w:rPr>
          <w:i/>
          <w:iCs/>
        </w:rPr>
        <w:t xml:space="preserve">Opuscula </w:t>
      </w:r>
      <w:proofErr w:type="spellStart"/>
      <w:r>
        <w:rPr>
          <w:i/>
          <w:iCs/>
        </w:rPr>
        <w:t>Atheniensia</w:t>
      </w:r>
      <w:proofErr w:type="spellEnd"/>
      <w:r>
        <w:rPr>
          <w:i/>
          <w:iCs/>
        </w:rPr>
        <w:t xml:space="preserve"> XVIII:8, </w:t>
      </w:r>
      <w:r>
        <w:t>(1990).</w:t>
      </w:r>
    </w:p>
    <w:bookmarkEnd w:id="6"/>
    <w:p w14:paraId="41AED40E" w14:textId="77777777" w:rsidR="003A342A" w:rsidRDefault="003A342A" w:rsidP="003A342A">
      <w:proofErr w:type="spellStart"/>
      <w:r w:rsidRPr="00C57362">
        <w:t>Peatfield</w:t>
      </w:r>
      <w:proofErr w:type="spellEnd"/>
      <w:r w:rsidRPr="00C57362">
        <w:t xml:space="preserve">, A. 1992. Rural ritual in Bronze Age Crete: the peak sanctuary at </w:t>
      </w:r>
      <w:proofErr w:type="spellStart"/>
      <w:r w:rsidRPr="00C57362">
        <w:t>Atsipadhes</w:t>
      </w:r>
      <w:proofErr w:type="spellEnd"/>
      <w:r w:rsidRPr="00C57362">
        <w:t xml:space="preserve">. </w:t>
      </w:r>
      <w:r w:rsidRPr="00C57362">
        <w:rPr>
          <w:i/>
        </w:rPr>
        <w:t>Cambridge Archaeological Journal</w:t>
      </w:r>
      <w:r w:rsidRPr="00C57362">
        <w:t xml:space="preserve"> 2: 59-87.</w:t>
      </w:r>
    </w:p>
    <w:p w14:paraId="6B0A0502" w14:textId="77777777" w:rsidR="003A342A" w:rsidRPr="009C0C6B" w:rsidRDefault="003A342A" w:rsidP="003A342A">
      <w:proofErr w:type="spellStart"/>
      <w:r>
        <w:t>Schoep</w:t>
      </w:r>
      <w:proofErr w:type="spellEnd"/>
      <w:r>
        <w:t xml:space="preserve">, I., ‘The socio-economic context of seal use and administration at Knossos’, </w:t>
      </w:r>
      <w:r>
        <w:rPr>
          <w:i/>
          <w:iCs/>
        </w:rPr>
        <w:t xml:space="preserve">British School at Athens Studies, </w:t>
      </w:r>
      <w:r>
        <w:t>Vol. 12 (2004), pp. 283-293</w:t>
      </w:r>
    </w:p>
    <w:p w14:paraId="7A6F1B74" w14:textId="77777777" w:rsidR="003A342A" w:rsidRDefault="003A342A" w:rsidP="003A342A">
      <w:bookmarkStart w:id="7" w:name="_Hlk31121931"/>
      <w:proofErr w:type="spellStart"/>
      <w:r>
        <w:t>Soetens</w:t>
      </w:r>
      <w:proofErr w:type="spellEnd"/>
      <w:r>
        <w:t>, S., ‘</w:t>
      </w:r>
      <w:proofErr w:type="spellStart"/>
      <w:r>
        <w:t>Juktas</w:t>
      </w:r>
      <w:proofErr w:type="spellEnd"/>
      <w:r>
        <w:t xml:space="preserve"> and </w:t>
      </w:r>
      <w:proofErr w:type="spellStart"/>
      <w:r>
        <w:t>Kophinas</w:t>
      </w:r>
      <w:proofErr w:type="spellEnd"/>
      <w:r>
        <w:t>: Two Ritual Landscapes Out of the Ordinary’,</w:t>
      </w:r>
      <w:r w:rsidRPr="006E3DB9">
        <w:t> </w:t>
      </w:r>
      <w:r w:rsidRPr="006E3DB9">
        <w:rPr>
          <w:i/>
          <w:iCs/>
        </w:rPr>
        <w:t>Hesperia Supplements</w:t>
      </w:r>
      <w:r w:rsidRPr="006E3DB9">
        <w:t>, 42</w:t>
      </w:r>
      <w:r>
        <w:rPr>
          <w:i/>
          <w:iCs/>
        </w:rPr>
        <w:t xml:space="preserve"> </w:t>
      </w:r>
      <w:r w:rsidRPr="006E3DB9">
        <w:t>(2009),</w:t>
      </w:r>
      <w:r>
        <w:t xml:space="preserve"> Ch. 22</w:t>
      </w:r>
      <w:bookmarkEnd w:id="7"/>
      <w:r>
        <w:t>,</w:t>
      </w:r>
      <w:r w:rsidRPr="006E3DB9">
        <w:t xml:space="preserve"> pp.261-268.</w:t>
      </w:r>
    </w:p>
    <w:p w14:paraId="137D298E" w14:textId="77777777" w:rsidR="003A342A" w:rsidRDefault="003A342A" w:rsidP="003A342A">
      <w:proofErr w:type="spellStart"/>
      <w:r>
        <w:t>Tambiah</w:t>
      </w:r>
      <w:proofErr w:type="spellEnd"/>
      <w:r>
        <w:t>, in Bowie,</w:t>
      </w:r>
      <w:r w:rsidRPr="00E338E1">
        <w:t xml:space="preserve"> F. 2000. </w:t>
      </w:r>
      <w:r w:rsidRPr="00E338E1">
        <w:rPr>
          <w:i/>
        </w:rPr>
        <w:t>The Anthropology of Religion</w:t>
      </w:r>
      <w:r w:rsidRPr="00E338E1">
        <w:t>, Oxford: Blackwell.</w:t>
      </w:r>
    </w:p>
    <w:p w14:paraId="3CA889A0" w14:textId="5B39B343" w:rsidR="003F04CC" w:rsidRDefault="003A342A" w:rsidP="003F04CC">
      <w:r>
        <w:t xml:space="preserve">Warren, in </w:t>
      </w:r>
      <w:bookmarkStart w:id="8" w:name="_Hlk31123046"/>
      <w:proofErr w:type="spellStart"/>
      <w:r w:rsidR="003F04CC" w:rsidRPr="00CB58F4">
        <w:t>Schoep</w:t>
      </w:r>
      <w:proofErr w:type="spellEnd"/>
      <w:r w:rsidR="003F04CC" w:rsidRPr="00CB58F4">
        <w:t xml:space="preserve">, I., </w:t>
      </w:r>
      <w:r w:rsidR="003F04CC">
        <w:t>‘</w:t>
      </w:r>
      <w:r w:rsidR="003F04CC" w:rsidRPr="00CB58F4">
        <w:t>The Minoan Palace-Temple reconsidered: A critical assessment of the spatial concentration of political, religious and economic power in Bronze Age Crete</w:t>
      </w:r>
      <w:r w:rsidR="003F04CC">
        <w:t>’,</w:t>
      </w:r>
      <w:r w:rsidR="003F04CC" w:rsidRPr="00CB58F4">
        <w:t> </w:t>
      </w:r>
      <w:r w:rsidR="003F04CC" w:rsidRPr="00CB58F4">
        <w:rPr>
          <w:i/>
          <w:iCs/>
        </w:rPr>
        <w:t>Journal of Mediterranean Archaeology</w:t>
      </w:r>
      <w:r w:rsidR="003F04CC" w:rsidRPr="00CB58F4">
        <w:t>, </w:t>
      </w:r>
      <w:r w:rsidR="003F04CC" w:rsidRPr="00CB58F4">
        <w:rPr>
          <w:i/>
          <w:iCs/>
        </w:rPr>
        <w:t>23</w:t>
      </w:r>
      <w:r w:rsidR="003F04CC" w:rsidRPr="00CB58F4">
        <w:t>(2)</w:t>
      </w:r>
      <w:r w:rsidR="003D444A">
        <w:t xml:space="preserve"> – 2010</w:t>
      </w:r>
      <w:r w:rsidR="003F04CC" w:rsidRPr="00CB58F4">
        <w:t>, pp.219-243.</w:t>
      </w:r>
    </w:p>
    <w:p w14:paraId="4C9E1E35" w14:textId="28B4A601" w:rsidR="003A342A" w:rsidRDefault="003A342A" w:rsidP="003A342A">
      <w:proofErr w:type="spellStart"/>
      <w:r>
        <w:t>Xanthoudides</w:t>
      </w:r>
      <w:proofErr w:type="spellEnd"/>
      <w:r>
        <w:t xml:space="preserve">, S., ‘Cretan </w:t>
      </w:r>
      <w:proofErr w:type="spellStart"/>
      <w:r>
        <w:t>Kernoi</w:t>
      </w:r>
      <w:proofErr w:type="spellEnd"/>
      <w:r>
        <w:t xml:space="preserve">’, </w:t>
      </w:r>
      <w:r>
        <w:rPr>
          <w:i/>
          <w:iCs/>
        </w:rPr>
        <w:t xml:space="preserve">The Annual of British School at Athens, </w:t>
      </w:r>
      <w:r>
        <w:t xml:space="preserve">Vol. 12 (1905/1906), pp. 9-23. </w:t>
      </w:r>
    </w:p>
    <w:p w14:paraId="72F5A221" w14:textId="06535EB9" w:rsidR="003A342A" w:rsidRDefault="003A342A">
      <w:bookmarkStart w:id="9" w:name="_Hlk31122971"/>
      <w:bookmarkEnd w:id="8"/>
      <w:proofErr w:type="spellStart"/>
      <w:r>
        <w:t>Zeimbeki</w:t>
      </w:r>
      <w:proofErr w:type="spellEnd"/>
      <w:r>
        <w:t>, M., ‘</w:t>
      </w:r>
      <w:r w:rsidRPr="00C57362">
        <w:t xml:space="preserve">The organisation of votive production and distribution in the peak sanctuaries of state society Crete: a perspective offered by the </w:t>
      </w:r>
      <w:proofErr w:type="spellStart"/>
      <w:r w:rsidRPr="00C57362">
        <w:t>Juktas</w:t>
      </w:r>
      <w:proofErr w:type="spellEnd"/>
      <w:r w:rsidRPr="00C57362">
        <w:t xml:space="preserve"> clay animal figures</w:t>
      </w:r>
      <w:r>
        <w:t xml:space="preserve">’, </w:t>
      </w:r>
      <w:r>
        <w:rPr>
          <w:i/>
          <w:iCs/>
        </w:rPr>
        <w:t xml:space="preserve">British School at Athens Studies, </w:t>
      </w:r>
      <w:r w:rsidRPr="00C57362">
        <w:t>Vol. 12</w:t>
      </w:r>
      <w:r>
        <w:t xml:space="preserve"> (2004), pp. 351-361</w:t>
      </w:r>
      <w:bookmarkEnd w:id="9"/>
    </w:p>
    <w:sectPr w:rsidR="003A342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AE056E" w14:textId="77777777" w:rsidR="00017B19" w:rsidRDefault="00017B19" w:rsidP="0020625D">
      <w:pPr>
        <w:spacing w:after="0" w:line="240" w:lineRule="auto"/>
      </w:pPr>
      <w:r>
        <w:separator/>
      </w:r>
    </w:p>
  </w:endnote>
  <w:endnote w:type="continuationSeparator" w:id="0">
    <w:p w14:paraId="02561814" w14:textId="77777777" w:rsidR="00017B19" w:rsidRDefault="00017B19" w:rsidP="00206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0420565"/>
      <w:docPartObj>
        <w:docPartGallery w:val="Page Numbers (Bottom of Page)"/>
        <w:docPartUnique/>
      </w:docPartObj>
    </w:sdtPr>
    <w:sdtEndPr/>
    <w:sdtContent>
      <w:sdt>
        <w:sdtPr>
          <w:id w:val="1728636285"/>
          <w:docPartObj>
            <w:docPartGallery w:val="Page Numbers (Top of Page)"/>
            <w:docPartUnique/>
          </w:docPartObj>
        </w:sdtPr>
        <w:sdtEndPr/>
        <w:sdtContent>
          <w:p w14:paraId="0AFA305A" w14:textId="79D03294" w:rsidR="0020625D" w:rsidRDefault="0020625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CFC1DCF" w14:textId="77777777" w:rsidR="0020625D" w:rsidRDefault="002062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070E48" w14:textId="77777777" w:rsidR="00017B19" w:rsidRDefault="00017B19" w:rsidP="0020625D">
      <w:pPr>
        <w:spacing w:after="0" w:line="240" w:lineRule="auto"/>
      </w:pPr>
      <w:r>
        <w:separator/>
      </w:r>
    </w:p>
  </w:footnote>
  <w:footnote w:type="continuationSeparator" w:id="0">
    <w:p w14:paraId="51819EC9" w14:textId="77777777" w:rsidR="00017B19" w:rsidRDefault="00017B19" w:rsidP="0020625D">
      <w:pPr>
        <w:spacing w:after="0" w:line="240" w:lineRule="auto"/>
      </w:pPr>
      <w:r>
        <w:continuationSeparator/>
      </w:r>
    </w:p>
  </w:footnote>
  <w:footnote w:id="1">
    <w:p w14:paraId="6A700F64" w14:textId="051EA91E" w:rsidR="00992375" w:rsidRDefault="00992375" w:rsidP="00992375">
      <w:pPr>
        <w:pStyle w:val="FootnoteText"/>
      </w:pPr>
      <w:r>
        <w:rPr>
          <w:rStyle w:val="FootnoteReference"/>
        </w:rPr>
        <w:footnoteRef/>
      </w:r>
      <w:r>
        <w:t xml:space="preserve"> </w:t>
      </w:r>
      <w:proofErr w:type="spellStart"/>
      <w:r>
        <w:t>Tambiah</w:t>
      </w:r>
      <w:proofErr w:type="spellEnd"/>
      <w:r>
        <w:t xml:space="preserve">, in </w:t>
      </w:r>
      <w:r w:rsidR="00FF72D2" w:rsidRPr="00E338E1">
        <w:t xml:space="preserve">Bowie, F. 2000. </w:t>
      </w:r>
      <w:r w:rsidR="00FF72D2" w:rsidRPr="00E338E1">
        <w:rPr>
          <w:i/>
        </w:rPr>
        <w:t>The Anthropology of Religion</w:t>
      </w:r>
      <w:r w:rsidR="00FF72D2" w:rsidRPr="00E338E1">
        <w:t>, Oxford: Blackwell.</w:t>
      </w:r>
    </w:p>
  </w:footnote>
  <w:footnote w:id="2">
    <w:p w14:paraId="6E081100" w14:textId="706E2FFA" w:rsidR="00992375" w:rsidRDefault="00992375">
      <w:pPr>
        <w:pStyle w:val="FootnoteText"/>
      </w:pPr>
      <w:r>
        <w:rPr>
          <w:rStyle w:val="FootnoteReference"/>
        </w:rPr>
        <w:footnoteRef/>
      </w:r>
      <w:r>
        <w:t xml:space="preserve"> Alexander, in Bowie</w:t>
      </w:r>
      <w:r w:rsidR="00FF72D2">
        <w:t xml:space="preserve"> (2000)</w:t>
      </w:r>
    </w:p>
  </w:footnote>
  <w:footnote w:id="3">
    <w:p w14:paraId="60B955E1" w14:textId="2E81662C" w:rsidR="00914759" w:rsidRDefault="00914759">
      <w:pPr>
        <w:pStyle w:val="FootnoteText"/>
      </w:pPr>
      <w:r>
        <w:rPr>
          <w:rStyle w:val="FootnoteReference"/>
        </w:rPr>
        <w:footnoteRef/>
      </w:r>
      <w:r>
        <w:t xml:space="preserve"> Warren, in </w:t>
      </w:r>
      <w:proofErr w:type="spellStart"/>
      <w:r w:rsidR="005612D8" w:rsidRPr="005612D8">
        <w:t>Schoep</w:t>
      </w:r>
      <w:proofErr w:type="spellEnd"/>
      <w:r w:rsidR="005612D8" w:rsidRPr="005612D8">
        <w:t>, I., ‘The Minoan Palace-Temple reconsidered: A critical assessment of the spatial concentration of political, religious and economic power in Bronze Age Crete’, </w:t>
      </w:r>
      <w:r w:rsidR="005612D8" w:rsidRPr="005612D8">
        <w:rPr>
          <w:i/>
          <w:iCs/>
        </w:rPr>
        <w:t>Journal of Mediterranean Archaeology</w:t>
      </w:r>
      <w:r w:rsidR="005612D8" w:rsidRPr="005612D8">
        <w:t>, </w:t>
      </w:r>
      <w:r w:rsidR="005612D8" w:rsidRPr="005612D8">
        <w:rPr>
          <w:i/>
          <w:iCs/>
        </w:rPr>
        <w:t>23</w:t>
      </w:r>
      <w:r w:rsidR="005612D8" w:rsidRPr="005612D8">
        <w:t xml:space="preserve">(2) </w:t>
      </w:r>
      <w:r w:rsidR="003D444A">
        <w:t xml:space="preserve">– 2010, </w:t>
      </w:r>
      <w:r w:rsidR="005612D8" w:rsidRPr="005612D8">
        <w:t>pp.219-243.</w:t>
      </w:r>
    </w:p>
  </w:footnote>
  <w:footnote w:id="4">
    <w:p w14:paraId="7A014A42" w14:textId="505A0069" w:rsidR="00914759" w:rsidRPr="005612D8" w:rsidRDefault="00914759">
      <w:pPr>
        <w:pStyle w:val="FootnoteText"/>
      </w:pPr>
      <w:r>
        <w:rPr>
          <w:rStyle w:val="FootnoteReference"/>
        </w:rPr>
        <w:footnoteRef/>
      </w:r>
      <w:r>
        <w:t xml:space="preserve"> Evans, in </w:t>
      </w:r>
      <w:proofErr w:type="spellStart"/>
      <w:r>
        <w:t>Schoep</w:t>
      </w:r>
      <w:proofErr w:type="spellEnd"/>
      <w:r w:rsidR="005612D8">
        <w:t xml:space="preserve"> (2010)</w:t>
      </w:r>
    </w:p>
  </w:footnote>
  <w:footnote w:id="5">
    <w:p w14:paraId="5D680B95" w14:textId="1BD17F97" w:rsidR="006C67D3" w:rsidRDefault="006C67D3">
      <w:pPr>
        <w:pStyle w:val="FootnoteText"/>
      </w:pPr>
      <w:r>
        <w:rPr>
          <w:rStyle w:val="FootnoteReference"/>
        </w:rPr>
        <w:footnoteRef/>
      </w:r>
      <w:r>
        <w:t xml:space="preserve"> </w:t>
      </w:r>
      <w:r w:rsidR="00FF72D2" w:rsidRPr="00FF72D2">
        <w:t xml:space="preserve">Hemingway, S., ‘Art of the Aegean Bronze Age’, </w:t>
      </w:r>
      <w:r w:rsidR="00FF72D2" w:rsidRPr="00FF72D2">
        <w:rPr>
          <w:i/>
          <w:iCs/>
        </w:rPr>
        <w:t xml:space="preserve">The Metropolitan Museum of Art Bulletin, </w:t>
      </w:r>
      <w:r w:rsidR="00FF72D2" w:rsidRPr="00FF72D2">
        <w:t xml:space="preserve">Vol. 69, No. 4 (Spring 2012), </w:t>
      </w:r>
      <w:r>
        <w:t>p.28</w:t>
      </w:r>
    </w:p>
  </w:footnote>
  <w:footnote w:id="6">
    <w:p w14:paraId="79E5BB33" w14:textId="1F91E9DD" w:rsidR="00585EC6" w:rsidRDefault="00585EC6" w:rsidP="00585EC6">
      <w:pPr>
        <w:pStyle w:val="FootnoteText"/>
      </w:pPr>
      <w:r>
        <w:rPr>
          <w:rStyle w:val="FootnoteReference"/>
        </w:rPr>
        <w:footnoteRef/>
      </w:r>
      <w:r>
        <w:t xml:space="preserve"> </w:t>
      </w:r>
      <w:proofErr w:type="spellStart"/>
      <w:r w:rsidR="00FF72D2">
        <w:t>Soetens</w:t>
      </w:r>
      <w:proofErr w:type="spellEnd"/>
      <w:r w:rsidR="00FF72D2">
        <w:t>, S., ‘</w:t>
      </w:r>
      <w:proofErr w:type="spellStart"/>
      <w:r w:rsidR="00FF72D2">
        <w:t>Juktas</w:t>
      </w:r>
      <w:proofErr w:type="spellEnd"/>
      <w:r w:rsidR="00FF72D2">
        <w:t xml:space="preserve"> and </w:t>
      </w:r>
      <w:proofErr w:type="spellStart"/>
      <w:r w:rsidR="00FF72D2">
        <w:t>Kophinas</w:t>
      </w:r>
      <w:proofErr w:type="spellEnd"/>
      <w:r w:rsidR="00FF72D2">
        <w:t>: Two Ritual Landscapes Out of the Ordinary’,</w:t>
      </w:r>
      <w:r w:rsidR="00FF72D2" w:rsidRPr="006E3DB9">
        <w:t> </w:t>
      </w:r>
      <w:r w:rsidR="00FF72D2" w:rsidRPr="006E3DB9">
        <w:rPr>
          <w:i/>
          <w:iCs/>
        </w:rPr>
        <w:t>Hesperia Supplements</w:t>
      </w:r>
      <w:r w:rsidR="00FF72D2" w:rsidRPr="006E3DB9">
        <w:t>, 42</w:t>
      </w:r>
      <w:r w:rsidR="00FF72D2">
        <w:rPr>
          <w:i/>
          <w:iCs/>
        </w:rPr>
        <w:t xml:space="preserve"> </w:t>
      </w:r>
      <w:r w:rsidR="00FF72D2" w:rsidRPr="006E3DB9">
        <w:t>(2009),</w:t>
      </w:r>
      <w:r w:rsidR="00FF72D2">
        <w:t xml:space="preserve"> Ch. 22, </w:t>
      </w:r>
      <w:r w:rsidR="006C67D3">
        <w:t>p.263</w:t>
      </w:r>
    </w:p>
  </w:footnote>
  <w:footnote w:id="7">
    <w:p w14:paraId="7292AB19" w14:textId="5C2F9538" w:rsidR="00673DA1" w:rsidRDefault="00673DA1">
      <w:pPr>
        <w:pStyle w:val="FootnoteText"/>
      </w:pPr>
      <w:r>
        <w:rPr>
          <w:rStyle w:val="FootnoteReference"/>
        </w:rPr>
        <w:footnoteRef/>
      </w:r>
      <w:r>
        <w:t xml:space="preserve"> </w:t>
      </w:r>
      <w:proofErr w:type="spellStart"/>
      <w:r w:rsidR="00FF72D2" w:rsidRPr="00FF72D2">
        <w:t>Soetens</w:t>
      </w:r>
      <w:proofErr w:type="spellEnd"/>
      <w:r w:rsidR="00FF72D2" w:rsidRPr="00FF72D2">
        <w:t xml:space="preserve">, </w:t>
      </w:r>
      <w:r w:rsidR="00FF72D2">
        <w:t xml:space="preserve">(2009), </w:t>
      </w:r>
      <w:r>
        <w:t>p.266</w:t>
      </w:r>
    </w:p>
  </w:footnote>
  <w:footnote w:id="8">
    <w:p w14:paraId="5852A711" w14:textId="206D0A00" w:rsidR="00B619E8" w:rsidRDefault="00B619E8" w:rsidP="00B619E8">
      <w:pPr>
        <w:pStyle w:val="FootnoteText"/>
      </w:pPr>
      <w:r>
        <w:rPr>
          <w:rStyle w:val="FootnoteReference"/>
        </w:rPr>
        <w:footnoteRef/>
      </w:r>
      <w:r>
        <w:t xml:space="preserve"> </w:t>
      </w:r>
      <w:r w:rsidR="004F7ECB" w:rsidRPr="004F7ECB">
        <w:t xml:space="preserve">Adams, E., 2004., ‘Power and ritual in </w:t>
      </w:r>
      <w:proofErr w:type="spellStart"/>
      <w:r w:rsidR="004F7ECB" w:rsidRPr="004F7ECB">
        <w:t>Neopalatial</w:t>
      </w:r>
      <w:proofErr w:type="spellEnd"/>
      <w:r w:rsidR="004F7ECB" w:rsidRPr="004F7ECB">
        <w:t xml:space="preserve"> Crete: a regional comparison’. </w:t>
      </w:r>
      <w:r w:rsidR="004F7ECB" w:rsidRPr="004F7ECB">
        <w:rPr>
          <w:i/>
          <w:iCs/>
        </w:rPr>
        <w:t>World Archaeology</w:t>
      </w:r>
      <w:r w:rsidR="004F7ECB" w:rsidRPr="004F7ECB">
        <w:t>, </w:t>
      </w:r>
      <w:r w:rsidR="004F7ECB" w:rsidRPr="004F7ECB">
        <w:rPr>
          <w:i/>
          <w:iCs/>
        </w:rPr>
        <w:t>36</w:t>
      </w:r>
      <w:r w:rsidR="004F7ECB" w:rsidRPr="004F7ECB">
        <w:t xml:space="preserve">(1), </w:t>
      </w:r>
      <w:r>
        <w:t>p.32</w:t>
      </w:r>
    </w:p>
  </w:footnote>
  <w:footnote w:id="9">
    <w:p w14:paraId="3F1EA60B" w14:textId="3FDAC145" w:rsidR="004F7ECB" w:rsidRPr="004F7ECB" w:rsidRDefault="004F7ECB">
      <w:pPr>
        <w:pStyle w:val="FootnoteText"/>
      </w:pPr>
      <w:r>
        <w:rPr>
          <w:rStyle w:val="FootnoteReference"/>
        </w:rPr>
        <w:footnoteRef/>
      </w:r>
      <w:r>
        <w:t xml:space="preserve"> </w:t>
      </w:r>
      <w:r>
        <w:rPr>
          <w:i/>
          <w:iCs/>
        </w:rPr>
        <w:t>Ibid.</w:t>
      </w:r>
    </w:p>
  </w:footnote>
  <w:footnote w:id="10">
    <w:p w14:paraId="46D7355A" w14:textId="49DEF085" w:rsidR="00FF72D2" w:rsidRDefault="00FF72D2">
      <w:pPr>
        <w:pStyle w:val="FootnoteText"/>
      </w:pPr>
      <w:r>
        <w:rPr>
          <w:rStyle w:val="FootnoteReference"/>
        </w:rPr>
        <w:footnoteRef/>
      </w:r>
      <w:r>
        <w:t xml:space="preserve"> Hawkes, in </w:t>
      </w:r>
      <w:r w:rsidRPr="00FF72D2">
        <w:t>Knapp, A.B.</w:t>
      </w:r>
      <w:r w:rsidR="004D6862">
        <w:t>,</w:t>
      </w:r>
      <w:r w:rsidRPr="00FF72D2">
        <w:t xml:space="preserve"> </w:t>
      </w:r>
      <w:r w:rsidRPr="00FF72D2">
        <w:rPr>
          <w:i/>
        </w:rPr>
        <w:t xml:space="preserve">Hoards </w:t>
      </w:r>
      <w:proofErr w:type="spellStart"/>
      <w:r w:rsidRPr="00FF72D2">
        <w:rPr>
          <w:i/>
        </w:rPr>
        <w:t>d’Oeuvres</w:t>
      </w:r>
      <w:proofErr w:type="spellEnd"/>
      <w:r w:rsidRPr="00FF72D2">
        <w:t xml:space="preserve">: of Metals and Men on Bronze Age Cyprus. </w:t>
      </w:r>
      <w:r w:rsidRPr="00FF72D2">
        <w:rPr>
          <w:i/>
        </w:rPr>
        <w:t>Oxford Journal of Archaeology</w:t>
      </w:r>
      <w:r w:rsidRPr="00FF72D2">
        <w:t xml:space="preserve"> 7(2)</w:t>
      </w:r>
      <w:r w:rsidR="004D6862">
        <w:t xml:space="preserve"> </w:t>
      </w:r>
      <w:r w:rsidR="004D6862" w:rsidRPr="00FF72D2">
        <w:t>1988</w:t>
      </w:r>
      <w:r w:rsidRPr="00FF72D2">
        <w:t>: 147-6.</w:t>
      </w:r>
    </w:p>
  </w:footnote>
  <w:footnote w:id="11">
    <w:p w14:paraId="40A463B1" w14:textId="79E6902E" w:rsidR="00D67CB9" w:rsidRDefault="00D67CB9">
      <w:pPr>
        <w:pStyle w:val="FootnoteText"/>
      </w:pPr>
      <w:r>
        <w:rPr>
          <w:rStyle w:val="FootnoteReference"/>
        </w:rPr>
        <w:footnoteRef/>
      </w:r>
      <w:r>
        <w:t xml:space="preserve"> </w:t>
      </w:r>
      <w:proofErr w:type="spellStart"/>
      <w:r w:rsidR="00957C12" w:rsidRPr="00957C12">
        <w:t>Peatfield</w:t>
      </w:r>
      <w:proofErr w:type="spellEnd"/>
      <w:r w:rsidR="00957C12" w:rsidRPr="00957C12">
        <w:t>, A.</w:t>
      </w:r>
      <w:r w:rsidR="00753C9E">
        <w:t>, ‘</w:t>
      </w:r>
      <w:r w:rsidR="00957C12" w:rsidRPr="00957C12">
        <w:t xml:space="preserve">Rural ritual in Bronze Age Crete: the peak sanctuary at </w:t>
      </w:r>
      <w:proofErr w:type="spellStart"/>
      <w:r w:rsidR="00957C12" w:rsidRPr="00957C12">
        <w:t>Atsipadhes</w:t>
      </w:r>
      <w:proofErr w:type="spellEnd"/>
      <w:r w:rsidR="00753C9E">
        <w:t>’</w:t>
      </w:r>
      <w:r w:rsidR="00957C12" w:rsidRPr="00957C12">
        <w:t xml:space="preserve">. </w:t>
      </w:r>
      <w:r w:rsidR="00957C12" w:rsidRPr="00957C12">
        <w:rPr>
          <w:i/>
        </w:rPr>
        <w:t>Cambridge Archaeological Journal</w:t>
      </w:r>
      <w:r w:rsidR="00957C12" w:rsidRPr="00957C12">
        <w:t xml:space="preserve"> 2</w:t>
      </w:r>
      <w:r w:rsidR="00753C9E">
        <w:t xml:space="preserve"> – </w:t>
      </w:r>
      <w:r w:rsidR="00753C9E" w:rsidRPr="00957C12">
        <w:t>1992</w:t>
      </w:r>
      <w:r w:rsidR="00957C12" w:rsidRPr="00957C12">
        <w:t>: 59-87.</w:t>
      </w:r>
      <w:bookmarkStart w:id="0" w:name="_GoBack"/>
      <w:bookmarkEnd w:id="0"/>
    </w:p>
  </w:footnote>
  <w:footnote w:id="12">
    <w:p w14:paraId="7D3A0D69" w14:textId="2271EA05" w:rsidR="00F7209B" w:rsidRDefault="00F7209B">
      <w:pPr>
        <w:pStyle w:val="FootnoteText"/>
      </w:pPr>
      <w:r>
        <w:rPr>
          <w:rStyle w:val="FootnoteReference"/>
        </w:rPr>
        <w:footnoteRef/>
      </w:r>
      <w:r>
        <w:t xml:space="preserve"> </w:t>
      </w:r>
      <w:proofErr w:type="spellStart"/>
      <w:r w:rsidR="00003941" w:rsidRPr="00003941">
        <w:t>Zeimbeki</w:t>
      </w:r>
      <w:proofErr w:type="spellEnd"/>
      <w:r w:rsidR="00003941" w:rsidRPr="00003941">
        <w:t xml:space="preserve">, M., ‘The organisation of votive production and distribution in the peak sanctuaries of state society Crete: a perspective offered by the </w:t>
      </w:r>
      <w:proofErr w:type="spellStart"/>
      <w:r w:rsidR="00003941" w:rsidRPr="00003941">
        <w:t>Juktas</w:t>
      </w:r>
      <w:proofErr w:type="spellEnd"/>
      <w:r w:rsidR="00003941" w:rsidRPr="00003941">
        <w:t xml:space="preserve"> clay animal figures’, </w:t>
      </w:r>
      <w:r w:rsidR="00003941" w:rsidRPr="00003941">
        <w:rPr>
          <w:i/>
          <w:iCs/>
        </w:rPr>
        <w:t xml:space="preserve">British School at Athens Studies, </w:t>
      </w:r>
      <w:r w:rsidR="00003941" w:rsidRPr="00003941">
        <w:t xml:space="preserve">Vol. 12 (2004), </w:t>
      </w:r>
      <w:r>
        <w:t>p.</w:t>
      </w:r>
      <w:r w:rsidR="00C8306B">
        <w:t xml:space="preserve"> </w:t>
      </w:r>
      <w:r>
        <w:t>352</w:t>
      </w:r>
    </w:p>
  </w:footnote>
  <w:footnote w:id="13">
    <w:p w14:paraId="7BD47A11" w14:textId="70D6E4A0" w:rsidR="00DD0480" w:rsidRDefault="00DD0480">
      <w:pPr>
        <w:pStyle w:val="FootnoteText"/>
      </w:pPr>
      <w:r>
        <w:rPr>
          <w:rStyle w:val="FootnoteReference"/>
        </w:rPr>
        <w:footnoteRef/>
      </w:r>
      <w:r>
        <w:t xml:space="preserve"> </w:t>
      </w:r>
      <w:proofErr w:type="spellStart"/>
      <w:r w:rsidR="00003941" w:rsidRPr="00003941">
        <w:t>Lupack</w:t>
      </w:r>
      <w:proofErr w:type="spellEnd"/>
      <w:r w:rsidR="00003941" w:rsidRPr="00003941">
        <w:t>, S., ‘Minoan Religion’, The Oxford Handbook of the Bronze Age Aegean</w:t>
      </w:r>
      <w:r w:rsidR="00003941">
        <w:t>,</w:t>
      </w:r>
      <w:r w:rsidR="00003941" w:rsidRPr="00003941">
        <w:t xml:space="preserve"> (Jan 2012)</w:t>
      </w:r>
      <w:r w:rsidR="00003941">
        <w:t xml:space="preserve">, </w:t>
      </w:r>
      <w:r>
        <w:t>p.1</w:t>
      </w:r>
    </w:p>
  </w:footnote>
  <w:footnote w:id="14">
    <w:p w14:paraId="15041E21" w14:textId="55660B31" w:rsidR="001A17A2" w:rsidRDefault="001A17A2">
      <w:pPr>
        <w:pStyle w:val="FootnoteText"/>
      </w:pPr>
      <w:r>
        <w:rPr>
          <w:rStyle w:val="FootnoteReference"/>
        </w:rPr>
        <w:footnoteRef/>
      </w:r>
      <w:r>
        <w:t xml:space="preserve"> </w:t>
      </w:r>
      <w:proofErr w:type="spellStart"/>
      <w:r w:rsidR="00003941" w:rsidRPr="00003941">
        <w:t>Peatfield</w:t>
      </w:r>
      <w:proofErr w:type="spellEnd"/>
      <w:r w:rsidR="00003941" w:rsidRPr="00003941">
        <w:t xml:space="preserve">, A., ‘Minoan Peak Sanctuaries: History and Society’, </w:t>
      </w:r>
      <w:r w:rsidR="00003941" w:rsidRPr="00003941">
        <w:rPr>
          <w:i/>
          <w:iCs/>
        </w:rPr>
        <w:t xml:space="preserve">Opuscula </w:t>
      </w:r>
      <w:proofErr w:type="spellStart"/>
      <w:r w:rsidR="00003941" w:rsidRPr="00003941">
        <w:rPr>
          <w:i/>
          <w:iCs/>
        </w:rPr>
        <w:t>Atheniensia</w:t>
      </w:r>
      <w:proofErr w:type="spellEnd"/>
      <w:r w:rsidR="00003941" w:rsidRPr="00003941">
        <w:rPr>
          <w:i/>
          <w:iCs/>
        </w:rPr>
        <w:t xml:space="preserve"> XVIII:8, </w:t>
      </w:r>
      <w:r w:rsidR="00003941" w:rsidRPr="00003941">
        <w:t>(1990)</w:t>
      </w:r>
      <w:r w:rsidR="00003941">
        <w:t xml:space="preserve">, </w:t>
      </w:r>
      <w:r>
        <w:t>p.121</w:t>
      </w:r>
    </w:p>
  </w:footnote>
  <w:footnote w:id="15">
    <w:p w14:paraId="3E3D6631" w14:textId="5E9D262A" w:rsidR="007B1A2A" w:rsidRDefault="007B1A2A">
      <w:pPr>
        <w:pStyle w:val="FootnoteText"/>
      </w:pPr>
      <w:r>
        <w:rPr>
          <w:rStyle w:val="FootnoteReference"/>
        </w:rPr>
        <w:footnoteRef/>
      </w:r>
      <w:r>
        <w:t xml:space="preserve"> </w:t>
      </w:r>
      <w:proofErr w:type="spellStart"/>
      <w:r>
        <w:t>Peatfield</w:t>
      </w:r>
      <w:proofErr w:type="spellEnd"/>
      <w:r>
        <w:t>,</w:t>
      </w:r>
      <w:r w:rsidR="00003941">
        <w:t xml:space="preserve"> (1990), </w:t>
      </w:r>
      <w:r>
        <w:t>p.122</w:t>
      </w:r>
    </w:p>
  </w:footnote>
  <w:footnote w:id="16">
    <w:p w14:paraId="795C37C8" w14:textId="351E14C5" w:rsidR="00A4424E" w:rsidRDefault="00A4424E">
      <w:pPr>
        <w:pStyle w:val="FootnoteText"/>
      </w:pPr>
      <w:r>
        <w:rPr>
          <w:rStyle w:val="FootnoteReference"/>
        </w:rPr>
        <w:footnoteRef/>
      </w:r>
      <w:r>
        <w:t xml:space="preserve"> </w:t>
      </w:r>
      <w:proofErr w:type="spellStart"/>
      <w:r w:rsidR="00003941" w:rsidRPr="00003941">
        <w:t>Xanthoudides</w:t>
      </w:r>
      <w:proofErr w:type="spellEnd"/>
      <w:r w:rsidR="00003941" w:rsidRPr="00003941">
        <w:t xml:space="preserve">, S., ‘Cretan </w:t>
      </w:r>
      <w:proofErr w:type="spellStart"/>
      <w:r w:rsidR="00003941" w:rsidRPr="00003941">
        <w:t>Kernoi</w:t>
      </w:r>
      <w:proofErr w:type="spellEnd"/>
      <w:r w:rsidR="00003941" w:rsidRPr="00003941">
        <w:t xml:space="preserve">’, </w:t>
      </w:r>
      <w:r w:rsidR="00003941" w:rsidRPr="00003941">
        <w:rPr>
          <w:i/>
          <w:iCs/>
        </w:rPr>
        <w:t xml:space="preserve">The Annual of British School at Athens, </w:t>
      </w:r>
      <w:r w:rsidR="00003941" w:rsidRPr="00003941">
        <w:t>Vol. 12 (1905/1906),</w:t>
      </w:r>
      <w:r w:rsidR="00003941">
        <w:t xml:space="preserve"> </w:t>
      </w:r>
      <w:r>
        <w:t>p.</w:t>
      </w:r>
      <w:r w:rsidR="00003941">
        <w:t xml:space="preserve"> </w:t>
      </w:r>
      <w:r>
        <w:t>9</w:t>
      </w:r>
    </w:p>
  </w:footnote>
  <w:footnote w:id="17">
    <w:p w14:paraId="077186A2" w14:textId="10DAAF5D" w:rsidR="00741E7F" w:rsidRDefault="00741E7F" w:rsidP="00741E7F">
      <w:pPr>
        <w:pStyle w:val="FootnoteText"/>
      </w:pPr>
      <w:r>
        <w:rPr>
          <w:rStyle w:val="FootnoteReference"/>
        </w:rPr>
        <w:footnoteRef/>
      </w:r>
      <w:r>
        <w:t xml:space="preserve"> </w:t>
      </w:r>
      <w:proofErr w:type="spellStart"/>
      <w:r>
        <w:t>Xanth</w:t>
      </w:r>
      <w:r w:rsidR="00003941">
        <w:t>oudides</w:t>
      </w:r>
      <w:proofErr w:type="spellEnd"/>
      <w:r w:rsidR="00003941">
        <w:t xml:space="preserve">, </w:t>
      </w:r>
      <w:r>
        <w:t>p.20</w:t>
      </w:r>
    </w:p>
  </w:footnote>
  <w:footnote w:id="18">
    <w:p w14:paraId="51B7C89E" w14:textId="32E919F0" w:rsidR="00A4424E" w:rsidRPr="00003941" w:rsidRDefault="00A4424E">
      <w:pPr>
        <w:pStyle w:val="FootnoteText"/>
        <w:rPr>
          <w:i/>
          <w:iCs/>
        </w:rPr>
      </w:pPr>
      <w:r>
        <w:rPr>
          <w:rStyle w:val="FootnoteReference"/>
        </w:rPr>
        <w:footnoteRef/>
      </w:r>
      <w:r>
        <w:t xml:space="preserve"> </w:t>
      </w:r>
      <w:r w:rsidR="00003941">
        <w:rPr>
          <w:i/>
          <w:iCs/>
        </w:rPr>
        <w:t>Ibid.</w:t>
      </w:r>
    </w:p>
  </w:footnote>
  <w:footnote w:id="19">
    <w:p w14:paraId="4016BA61" w14:textId="763FD428" w:rsidR="00585EC6" w:rsidRDefault="00585EC6">
      <w:pPr>
        <w:pStyle w:val="FootnoteText"/>
      </w:pPr>
      <w:r>
        <w:rPr>
          <w:rStyle w:val="FootnoteReference"/>
        </w:rPr>
        <w:footnoteRef/>
      </w:r>
      <w:r>
        <w:t xml:space="preserve"> </w:t>
      </w:r>
      <w:proofErr w:type="spellStart"/>
      <w:r>
        <w:t>Xanth</w:t>
      </w:r>
      <w:r w:rsidR="00003941">
        <w:t>oudides</w:t>
      </w:r>
      <w:proofErr w:type="spellEnd"/>
      <w:r>
        <w:t>,</w:t>
      </w:r>
      <w:r w:rsidR="00003941">
        <w:t xml:space="preserve"> </w:t>
      </w:r>
      <w:r>
        <w:t>p.</w:t>
      </w:r>
      <w:r w:rsidR="00003941">
        <w:t xml:space="preserve"> </w:t>
      </w:r>
      <w:r>
        <w:t>14</w:t>
      </w:r>
    </w:p>
  </w:footnote>
  <w:footnote w:id="20">
    <w:p w14:paraId="6C22F5A2" w14:textId="09BAF88C" w:rsidR="00BF0D8B" w:rsidRDefault="00BF0D8B">
      <w:pPr>
        <w:pStyle w:val="FootnoteText"/>
      </w:pPr>
      <w:r>
        <w:rPr>
          <w:rStyle w:val="FootnoteReference"/>
        </w:rPr>
        <w:footnoteRef/>
      </w:r>
      <w:r>
        <w:t xml:space="preserve"> </w:t>
      </w:r>
      <w:proofErr w:type="spellStart"/>
      <w:r>
        <w:t>Soetens</w:t>
      </w:r>
      <w:proofErr w:type="spellEnd"/>
      <w:r>
        <w:t>,</w:t>
      </w:r>
      <w:r w:rsidR="00003941">
        <w:t xml:space="preserve"> </w:t>
      </w:r>
      <w:r>
        <w:t>p.268</w:t>
      </w:r>
    </w:p>
  </w:footnote>
  <w:footnote w:id="21">
    <w:p w14:paraId="261F281E" w14:textId="64DDC9A1" w:rsidR="00513D62" w:rsidRDefault="00513D62">
      <w:pPr>
        <w:pStyle w:val="FootnoteText"/>
      </w:pPr>
      <w:r>
        <w:rPr>
          <w:rStyle w:val="FootnoteReference"/>
        </w:rPr>
        <w:footnoteRef/>
      </w:r>
      <w:r>
        <w:t xml:space="preserve"> </w:t>
      </w:r>
      <w:proofErr w:type="spellStart"/>
      <w:r>
        <w:t>Soetens</w:t>
      </w:r>
      <w:proofErr w:type="spellEnd"/>
      <w:r>
        <w:t>,</w:t>
      </w:r>
      <w:r w:rsidR="00003941">
        <w:t xml:space="preserve"> </w:t>
      </w:r>
      <w:r>
        <w:t>p.268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80F94" w14:textId="1CFE3EC3" w:rsidR="0020625D" w:rsidRDefault="0020625D">
    <w:pPr>
      <w:pStyle w:val="Header"/>
    </w:pPr>
    <w:r>
      <w:t>Thomas Hawkins</w:t>
    </w:r>
    <w:r>
      <w:ptab w:relativeTo="margin" w:alignment="center" w:leader="none"/>
    </w:r>
    <w:r>
      <w:t xml:space="preserve">Ritual Practice on Mount </w:t>
    </w:r>
    <w:proofErr w:type="spellStart"/>
    <w:r>
      <w:t>Juktas</w:t>
    </w:r>
    <w:proofErr w:type="spellEnd"/>
    <w:r>
      <w:ptab w:relativeTo="margin" w:alignment="right" w:leader="none"/>
    </w:r>
    <w:r>
      <w:t>Theory &amp; Methodology</w:t>
    </w:r>
  </w:p>
  <w:p w14:paraId="60BA789C" w14:textId="451D3B00" w:rsidR="0020625D" w:rsidRDefault="0020625D">
    <w:pPr>
      <w:pStyle w:val="Header"/>
    </w:pPr>
    <w:r>
      <w:t>1906585</w:t>
    </w:r>
    <w:r>
      <w:tab/>
    </w:r>
    <w:r>
      <w:tab/>
      <w:t>CLCL7003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25D"/>
    <w:rsid w:val="00003941"/>
    <w:rsid w:val="00017B19"/>
    <w:rsid w:val="000824E2"/>
    <w:rsid w:val="00095C80"/>
    <w:rsid w:val="001A17A2"/>
    <w:rsid w:val="001F34C2"/>
    <w:rsid w:val="0020625D"/>
    <w:rsid w:val="003A342A"/>
    <w:rsid w:val="003D444A"/>
    <w:rsid w:val="003F04CC"/>
    <w:rsid w:val="00426E71"/>
    <w:rsid w:val="00447036"/>
    <w:rsid w:val="0045295D"/>
    <w:rsid w:val="004D6862"/>
    <w:rsid w:val="004F7ECB"/>
    <w:rsid w:val="00513D62"/>
    <w:rsid w:val="00543EC2"/>
    <w:rsid w:val="00553867"/>
    <w:rsid w:val="005612D8"/>
    <w:rsid w:val="00585EC6"/>
    <w:rsid w:val="005910AC"/>
    <w:rsid w:val="005C096B"/>
    <w:rsid w:val="006230BA"/>
    <w:rsid w:val="006511D8"/>
    <w:rsid w:val="00673DA1"/>
    <w:rsid w:val="006B0A29"/>
    <w:rsid w:val="006C67D3"/>
    <w:rsid w:val="006D6D12"/>
    <w:rsid w:val="00712E08"/>
    <w:rsid w:val="00741E7F"/>
    <w:rsid w:val="007460C9"/>
    <w:rsid w:val="00753C9E"/>
    <w:rsid w:val="007B1A2A"/>
    <w:rsid w:val="0081466C"/>
    <w:rsid w:val="00832493"/>
    <w:rsid w:val="00865621"/>
    <w:rsid w:val="008936F6"/>
    <w:rsid w:val="00893A23"/>
    <w:rsid w:val="00912D15"/>
    <w:rsid w:val="00914759"/>
    <w:rsid w:val="00926062"/>
    <w:rsid w:val="00957C12"/>
    <w:rsid w:val="00992375"/>
    <w:rsid w:val="00A4424E"/>
    <w:rsid w:val="00A444B9"/>
    <w:rsid w:val="00A93B57"/>
    <w:rsid w:val="00B12102"/>
    <w:rsid w:val="00B619E8"/>
    <w:rsid w:val="00BF0D8B"/>
    <w:rsid w:val="00C429EA"/>
    <w:rsid w:val="00C8306B"/>
    <w:rsid w:val="00CA1BA1"/>
    <w:rsid w:val="00CB58F4"/>
    <w:rsid w:val="00CD137D"/>
    <w:rsid w:val="00D67CB9"/>
    <w:rsid w:val="00DD0480"/>
    <w:rsid w:val="00EB1468"/>
    <w:rsid w:val="00EB6090"/>
    <w:rsid w:val="00F663B7"/>
    <w:rsid w:val="00F7209B"/>
    <w:rsid w:val="00F87F68"/>
    <w:rsid w:val="00FF7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01503"/>
  <w15:chartTrackingRefBased/>
  <w15:docId w15:val="{3699E3F2-6C27-43FE-8626-CB04D9A97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62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625D"/>
  </w:style>
  <w:style w:type="paragraph" w:styleId="Footer">
    <w:name w:val="footer"/>
    <w:basedOn w:val="Normal"/>
    <w:link w:val="FooterChar"/>
    <w:uiPriority w:val="99"/>
    <w:unhideWhenUsed/>
    <w:rsid w:val="002062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625D"/>
  </w:style>
  <w:style w:type="paragraph" w:styleId="FootnoteText">
    <w:name w:val="footnote text"/>
    <w:basedOn w:val="Normal"/>
    <w:link w:val="FootnoteTextChar"/>
    <w:uiPriority w:val="99"/>
    <w:semiHidden/>
    <w:unhideWhenUsed/>
    <w:rsid w:val="009923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2375"/>
    <w:rPr>
      <w:sz w:val="20"/>
      <w:szCs w:val="20"/>
    </w:rPr>
  </w:style>
  <w:style w:type="character" w:styleId="FootnoteReference">
    <w:name w:val="footnote reference"/>
    <w:basedOn w:val="DefaultParagraphFont"/>
    <w:uiPriority w:val="99"/>
    <w:semiHidden/>
    <w:unhideWhenUsed/>
    <w:rsid w:val="0099237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BAF6E-FC39-4D94-A890-9C1483C60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4</Pages>
  <Words>1221</Words>
  <Characters>6964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Hawkins</dc:creator>
  <cp:keywords/>
  <dc:description/>
  <cp:lastModifiedBy>Thomas Hawkins</cp:lastModifiedBy>
  <cp:revision>29</cp:revision>
  <dcterms:created xsi:type="dcterms:W3CDTF">2020-01-27T12:19:00Z</dcterms:created>
  <dcterms:modified xsi:type="dcterms:W3CDTF">2020-01-28T17:10:00Z</dcterms:modified>
</cp:coreProperties>
</file>