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6626597"/>
        <w:docPartObj>
          <w:docPartGallery w:val="Cover Pages"/>
          <w:docPartUnique/>
        </w:docPartObj>
      </w:sdtPr>
      <w:sdtEndPr>
        <w:rPr>
          <w:b/>
          <w:bCs/>
        </w:rPr>
      </w:sdtEndPr>
      <w:sdtContent>
        <w:p w14:paraId="0BF2FA05" w14:textId="532F15FA" w:rsidR="000E7D92" w:rsidRDefault="000E7D92">
          <w:r>
            <w:rPr>
              <w:noProof/>
            </w:rPr>
            <mc:AlternateContent>
              <mc:Choice Requires="wpg">
                <w:drawing>
                  <wp:anchor distT="0" distB="0" distL="114300" distR="114300" simplePos="0" relativeHeight="251662336" behindDoc="0" locked="0" layoutInCell="1" allowOverlap="1" wp14:anchorId="036E46CB" wp14:editId="389E9D5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A15B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f81b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069993" wp14:editId="703E72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1F497D" w:themeColor="text2"/>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7DD376" w14:textId="59A5F0DB" w:rsidR="000E7D92" w:rsidRPr="0081059C" w:rsidRDefault="000E7D92">
                                    <w:pPr>
                                      <w:pStyle w:val="NoSpacing"/>
                                      <w:jc w:val="right"/>
                                      <w:rPr>
                                        <w:rFonts w:ascii="Times New Roman" w:hAnsi="Times New Roman" w:cs="Times New Roman"/>
                                        <w:color w:val="1F497D" w:themeColor="text2"/>
                                        <w:sz w:val="36"/>
                                        <w:szCs w:val="36"/>
                                      </w:rPr>
                                    </w:pPr>
                                    <w:r w:rsidRPr="0081059C">
                                      <w:rPr>
                                        <w:rFonts w:ascii="Times New Roman" w:hAnsi="Times New Roman" w:cs="Times New Roman"/>
                                        <w:color w:val="1F497D" w:themeColor="text2"/>
                                        <w:sz w:val="36"/>
                                        <w:szCs w:val="36"/>
                                      </w:rPr>
                                      <w:t xml:space="preserve">Nicoleta </w:t>
                                    </w:r>
                                    <w:proofErr w:type="spellStart"/>
                                    <w:r w:rsidRPr="0081059C">
                                      <w:rPr>
                                        <w:rFonts w:ascii="Times New Roman" w:hAnsi="Times New Roman" w:cs="Times New Roman"/>
                                        <w:color w:val="1F497D" w:themeColor="text2"/>
                                        <w:sz w:val="36"/>
                                        <w:szCs w:val="36"/>
                                      </w:rPr>
                                      <w:t>Angeluta</w:t>
                                    </w:r>
                                    <w:proofErr w:type="spellEnd"/>
                                    <w:r w:rsidRPr="0081059C">
                                      <w:rPr>
                                        <w:rFonts w:ascii="Times New Roman" w:hAnsi="Times New Roman" w:cs="Times New Roman"/>
                                        <w:color w:val="1F497D" w:themeColor="text2"/>
                                        <w:sz w:val="36"/>
                                        <w:szCs w:val="36"/>
                                      </w:rPr>
                                      <w:t xml:space="preserve"> - 1914622</w:t>
                                    </w:r>
                                  </w:p>
                                </w:sdtContent>
                              </w:sdt>
                              <w:p w14:paraId="7B26328D" w14:textId="30CE8C63" w:rsidR="000E7D92" w:rsidRDefault="00036CEE">
                                <w:pPr>
                                  <w:pStyle w:val="NoSpacing"/>
                                  <w:jc w:val="right"/>
                                  <w:rPr>
                                    <w:color w:val="595959" w:themeColor="text1" w:themeTint="A6"/>
                                    <w:sz w:val="18"/>
                                    <w:szCs w:val="18"/>
                                  </w:rPr>
                                </w:pPr>
                                <w:sdt>
                                  <w:sdtPr>
                                    <w:rPr>
                                      <w:rFonts w:ascii="Times New Roman" w:hAnsi="Times New Roman" w:cs="Times New Roman"/>
                                      <w:color w:val="1F497D" w:themeColor="text2"/>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color w:val="595959" w:themeColor="text1" w:themeTint="A6"/>
                                      <w:sz w:val="18"/>
                                      <w:szCs w:val="18"/>
                                    </w:rPr>
                                  </w:sdtEndPr>
                                  <w:sdtContent>
                                    <w:r w:rsidR="000E7D92" w:rsidRPr="0081059C">
                                      <w:rPr>
                                        <w:rFonts w:ascii="Times New Roman" w:hAnsi="Times New Roman" w:cs="Times New Roman"/>
                                        <w:color w:val="1F497D" w:themeColor="text2"/>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06999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1F497D" w:themeColor="text2"/>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7DD376" w14:textId="59A5F0DB" w:rsidR="000E7D92" w:rsidRPr="0081059C" w:rsidRDefault="000E7D92">
                              <w:pPr>
                                <w:pStyle w:val="NoSpacing"/>
                                <w:jc w:val="right"/>
                                <w:rPr>
                                  <w:rFonts w:ascii="Times New Roman" w:hAnsi="Times New Roman" w:cs="Times New Roman"/>
                                  <w:color w:val="1F497D" w:themeColor="text2"/>
                                  <w:sz w:val="36"/>
                                  <w:szCs w:val="36"/>
                                </w:rPr>
                              </w:pPr>
                              <w:r w:rsidRPr="0081059C">
                                <w:rPr>
                                  <w:rFonts w:ascii="Times New Roman" w:hAnsi="Times New Roman" w:cs="Times New Roman"/>
                                  <w:color w:val="1F497D" w:themeColor="text2"/>
                                  <w:sz w:val="36"/>
                                  <w:szCs w:val="36"/>
                                </w:rPr>
                                <w:t xml:space="preserve">Nicoleta </w:t>
                              </w:r>
                              <w:proofErr w:type="spellStart"/>
                              <w:r w:rsidRPr="0081059C">
                                <w:rPr>
                                  <w:rFonts w:ascii="Times New Roman" w:hAnsi="Times New Roman" w:cs="Times New Roman"/>
                                  <w:color w:val="1F497D" w:themeColor="text2"/>
                                  <w:sz w:val="36"/>
                                  <w:szCs w:val="36"/>
                                </w:rPr>
                                <w:t>Angeluta</w:t>
                              </w:r>
                              <w:proofErr w:type="spellEnd"/>
                              <w:r w:rsidRPr="0081059C">
                                <w:rPr>
                                  <w:rFonts w:ascii="Times New Roman" w:hAnsi="Times New Roman" w:cs="Times New Roman"/>
                                  <w:color w:val="1F497D" w:themeColor="text2"/>
                                  <w:sz w:val="36"/>
                                  <w:szCs w:val="36"/>
                                </w:rPr>
                                <w:t xml:space="preserve"> - 1914622</w:t>
                              </w:r>
                            </w:p>
                          </w:sdtContent>
                        </w:sdt>
                        <w:p w14:paraId="7B26328D" w14:textId="30CE8C63" w:rsidR="000E7D92" w:rsidRDefault="000E7D92">
                          <w:pPr>
                            <w:pStyle w:val="NoSpacing"/>
                            <w:jc w:val="right"/>
                            <w:rPr>
                              <w:color w:val="595959" w:themeColor="text1" w:themeTint="A6"/>
                              <w:sz w:val="18"/>
                              <w:szCs w:val="18"/>
                            </w:rPr>
                          </w:pPr>
                          <w:sdt>
                            <w:sdtPr>
                              <w:rPr>
                                <w:rFonts w:ascii="Times New Roman" w:hAnsi="Times New Roman" w:cs="Times New Roman"/>
                                <w:color w:val="1F497D" w:themeColor="text2"/>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color w:val="595959" w:themeColor="text1" w:themeTint="A6"/>
                                <w:sz w:val="18"/>
                                <w:szCs w:val="18"/>
                              </w:rPr>
                            </w:sdtEndPr>
                            <w:sdtContent>
                              <w:r w:rsidRPr="0081059C">
                                <w:rPr>
                                  <w:rFonts w:ascii="Times New Roman" w:hAnsi="Times New Roman" w:cs="Times New Roman"/>
                                  <w:color w:val="1F497D" w:themeColor="text2"/>
                                  <w:sz w:val="36"/>
                                  <w:szCs w:val="36"/>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ACE14F" wp14:editId="514C69A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6E3F84" w14:textId="7BA293A2" w:rsidR="000E7D92" w:rsidRDefault="000E7D92">
                                <w:pPr>
                                  <w:pStyle w:val="NoSpacing"/>
                                  <w:jc w:val="right"/>
                                  <w:rPr>
                                    <w:color w:val="4F81BD" w:themeColor="accent1"/>
                                    <w:sz w:val="28"/>
                                    <w:szCs w:val="28"/>
                                  </w:rPr>
                                </w:pPr>
                              </w:p>
                              <w:sdt>
                                <w:sdtPr>
                                  <w:rPr>
                                    <w:rFonts w:ascii="Times New Roman" w:eastAsiaTheme="minorEastAsia" w:hAnsi="Times New Roman" w:cs="Times New Roman"/>
                                    <w:b/>
                                    <w:bCs/>
                                    <w:i/>
                                    <w:iCs/>
                                    <w:color w:val="244061" w:themeColor="accent1" w:themeShade="80"/>
                                    <w:sz w:val="32"/>
                                    <w:szCs w:val="32"/>
                                    <w:u w:val="single"/>
                                    <w:lang w:val="en-IN"/>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875AD5" w14:textId="57E25A61" w:rsidR="000E7D92" w:rsidRPr="0081059C" w:rsidRDefault="000E7D92" w:rsidP="000E7D92">
                                    <w:pPr>
                                      <w:pStyle w:val="NoSpacing"/>
                                      <w:jc w:val="right"/>
                                      <w:rPr>
                                        <w:rFonts w:ascii="Times New Roman" w:hAnsi="Times New Roman" w:cs="Times New Roman"/>
                                        <w:color w:val="595959" w:themeColor="text1" w:themeTint="A6"/>
                                        <w:sz w:val="20"/>
                                        <w:szCs w:val="20"/>
                                      </w:rPr>
                                    </w:pPr>
                                    <w:r w:rsidRPr="0081059C">
                                      <w:rPr>
                                        <w:rFonts w:ascii="Times New Roman" w:eastAsiaTheme="minorEastAsia" w:hAnsi="Times New Roman" w:cs="Times New Roman"/>
                                        <w:b/>
                                        <w:bCs/>
                                        <w:i/>
                                        <w:iCs/>
                                        <w:color w:val="244061" w:themeColor="accent1" w:themeShade="80"/>
                                        <w:sz w:val="32"/>
                                        <w:szCs w:val="32"/>
                                        <w:u w:val="single"/>
                                        <w:lang w:val="en-IN"/>
                                      </w:rPr>
                                      <w:br/>
                                    </w:r>
                                    <w:r w:rsidRPr="0081059C">
                                      <w:rPr>
                                        <w:rFonts w:ascii="Times New Roman" w:eastAsiaTheme="minorEastAsia" w:hAnsi="Times New Roman" w:cs="Times New Roman"/>
                                        <w:b/>
                                        <w:bCs/>
                                        <w:i/>
                                        <w:iCs/>
                                        <w:color w:val="244061" w:themeColor="accent1" w:themeShade="80"/>
                                        <w:sz w:val="32"/>
                                        <w:szCs w:val="32"/>
                                        <w:u w:val="single"/>
                                        <w:lang w:val="en-IN"/>
                                      </w:rPr>
                                      <w:br/>
                                      <w:t>Assignment Title: Nestle – Financial evaluation</w:t>
                                    </w:r>
                                    <w:r w:rsidRPr="0081059C">
                                      <w:rPr>
                                        <w:rFonts w:ascii="Times New Roman" w:eastAsiaTheme="minorEastAsia" w:hAnsi="Times New Roman" w:cs="Times New Roman"/>
                                        <w:b/>
                                        <w:bCs/>
                                        <w:i/>
                                        <w:iCs/>
                                        <w:color w:val="244061" w:themeColor="accent1" w:themeShade="80"/>
                                        <w:sz w:val="32"/>
                                        <w:szCs w:val="32"/>
                                        <w:u w:val="single"/>
                                        <w:lang w:val="en-IN"/>
                                      </w:rPr>
                                      <w:br/>
                                      <w:t>Module Lecturer’s Name: Hossein Shokri</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6ACE14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36E3F84" w14:textId="7BA293A2" w:rsidR="000E7D92" w:rsidRDefault="000E7D92">
                          <w:pPr>
                            <w:pStyle w:val="NoSpacing"/>
                            <w:jc w:val="right"/>
                            <w:rPr>
                              <w:color w:val="4F81BD" w:themeColor="accent1"/>
                              <w:sz w:val="28"/>
                              <w:szCs w:val="28"/>
                            </w:rPr>
                          </w:pPr>
                        </w:p>
                        <w:sdt>
                          <w:sdtPr>
                            <w:rPr>
                              <w:rFonts w:ascii="Times New Roman" w:eastAsiaTheme="minorEastAsia" w:hAnsi="Times New Roman" w:cs="Times New Roman"/>
                              <w:b/>
                              <w:bCs/>
                              <w:i/>
                              <w:iCs/>
                              <w:color w:val="244061" w:themeColor="accent1" w:themeShade="80"/>
                              <w:sz w:val="32"/>
                              <w:szCs w:val="32"/>
                              <w:u w:val="single"/>
                              <w:lang w:val="en-IN"/>
                            </w:rPr>
                            <w:alias w:val="Abstract"/>
                            <w:tag w:val=""/>
                            <w:id w:val="1375273687"/>
                            <w:dataBinding w:prefixMappings="xmlns:ns0='http://schemas.microsoft.com/office/2006/coverPageProps' " w:xpath="/ns0:CoverPageProperties[1]/ns0:Abstract[1]" w:storeItemID="{55AF091B-3C7A-41E3-B477-F2FDAA23CFDA}"/>
                            <w:text w:multiLine="1"/>
                          </w:sdtPr>
                          <w:sdtContent>
                            <w:p w14:paraId="37875AD5" w14:textId="57E25A61" w:rsidR="000E7D92" w:rsidRPr="0081059C" w:rsidRDefault="000E7D92" w:rsidP="000E7D92">
                              <w:pPr>
                                <w:pStyle w:val="NoSpacing"/>
                                <w:jc w:val="right"/>
                                <w:rPr>
                                  <w:rFonts w:ascii="Times New Roman" w:hAnsi="Times New Roman" w:cs="Times New Roman"/>
                                  <w:color w:val="595959" w:themeColor="text1" w:themeTint="A6"/>
                                  <w:sz w:val="20"/>
                                  <w:szCs w:val="20"/>
                                </w:rPr>
                              </w:pPr>
                              <w:r w:rsidRPr="0081059C">
                                <w:rPr>
                                  <w:rFonts w:ascii="Times New Roman" w:eastAsiaTheme="minorEastAsia" w:hAnsi="Times New Roman" w:cs="Times New Roman"/>
                                  <w:b/>
                                  <w:bCs/>
                                  <w:i/>
                                  <w:iCs/>
                                  <w:color w:val="244061" w:themeColor="accent1" w:themeShade="80"/>
                                  <w:sz w:val="32"/>
                                  <w:szCs w:val="32"/>
                                  <w:u w:val="single"/>
                                  <w:lang w:val="en-IN"/>
                                </w:rPr>
                                <w:br/>
                              </w:r>
                              <w:r w:rsidRPr="0081059C">
                                <w:rPr>
                                  <w:rFonts w:ascii="Times New Roman" w:eastAsiaTheme="minorEastAsia" w:hAnsi="Times New Roman" w:cs="Times New Roman"/>
                                  <w:b/>
                                  <w:bCs/>
                                  <w:i/>
                                  <w:iCs/>
                                  <w:color w:val="244061" w:themeColor="accent1" w:themeShade="80"/>
                                  <w:sz w:val="32"/>
                                  <w:szCs w:val="32"/>
                                  <w:u w:val="single"/>
                                  <w:lang w:val="en-IN"/>
                                </w:rPr>
                                <w:br/>
                              </w:r>
                              <w:r w:rsidRPr="0081059C">
                                <w:rPr>
                                  <w:rFonts w:ascii="Times New Roman" w:eastAsiaTheme="minorEastAsia" w:hAnsi="Times New Roman" w:cs="Times New Roman"/>
                                  <w:b/>
                                  <w:bCs/>
                                  <w:i/>
                                  <w:iCs/>
                                  <w:color w:val="244061" w:themeColor="accent1" w:themeShade="80"/>
                                  <w:sz w:val="32"/>
                                  <w:szCs w:val="32"/>
                                  <w:u w:val="single"/>
                                  <w:lang w:val="en-IN"/>
                                </w:rPr>
                                <w:t xml:space="preserve">Assignment Title: </w:t>
                              </w:r>
                              <w:r w:rsidRPr="0081059C">
                                <w:rPr>
                                  <w:rFonts w:ascii="Times New Roman" w:eastAsiaTheme="minorEastAsia" w:hAnsi="Times New Roman" w:cs="Times New Roman"/>
                                  <w:b/>
                                  <w:bCs/>
                                  <w:i/>
                                  <w:iCs/>
                                  <w:color w:val="244061" w:themeColor="accent1" w:themeShade="80"/>
                                  <w:sz w:val="32"/>
                                  <w:szCs w:val="32"/>
                                  <w:u w:val="single"/>
                                  <w:lang w:val="en-IN"/>
                                </w:rPr>
                                <w:t>Nestle – Financial evaluation</w:t>
                              </w:r>
                              <w:r w:rsidRPr="0081059C">
                                <w:rPr>
                                  <w:rFonts w:ascii="Times New Roman" w:eastAsiaTheme="minorEastAsia" w:hAnsi="Times New Roman" w:cs="Times New Roman"/>
                                  <w:b/>
                                  <w:bCs/>
                                  <w:i/>
                                  <w:iCs/>
                                  <w:color w:val="244061" w:themeColor="accent1" w:themeShade="80"/>
                                  <w:sz w:val="32"/>
                                  <w:szCs w:val="32"/>
                                  <w:u w:val="single"/>
                                  <w:lang w:val="en-IN"/>
                                </w:rPr>
                                <w:br/>
                              </w:r>
                              <w:r w:rsidRPr="0081059C">
                                <w:rPr>
                                  <w:rFonts w:ascii="Times New Roman" w:eastAsiaTheme="minorEastAsia" w:hAnsi="Times New Roman" w:cs="Times New Roman"/>
                                  <w:b/>
                                  <w:bCs/>
                                  <w:i/>
                                  <w:iCs/>
                                  <w:color w:val="244061" w:themeColor="accent1" w:themeShade="80"/>
                                  <w:sz w:val="32"/>
                                  <w:szCs w:val="32"/>
                                  <w:u w:val="single"/>
                                  <w:lang w:val="en-IN"/>
                                </w:rPr>
                                <w:t>Module Lecturer’s Name: Hossein Shokri</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7D9F87" wp14:editId="1D5DEDE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479D7" w14:textId="5E0074EB" w:rsidR="000E7D92" w:rsidRPr="000E7D92" w:rsidRDefault="00036CEE">
                                <w:pPr>
                                  <w:jc w:val="right"/>
                                  <w:rPr>
                                    <w:rFonts w:ascii="Times New Roman" w:hAnsi="Times New Roman" w:cs="Times New Roman"/>
                                    <w:color w:val="4F81BD" w:themeColor="accent1"/>
                                    <w:sz w:val="36"/>
                                    <w:szCs w:val="36"/>
                                  </w:rPr>
                                </w:pPr>
                                <w:sdt>
                                  <w:sdtPr>
                                    <w:rPr>
                                      <w:rFonts w:ascii="Times New Roman" w:hAnsi="Times New Roman" w:cs="Times New Roman"/>
                                      <w:caps/>
                                      <w:color w:val="4F81BD"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7D92" w:rsidRPr="000E7D92">
                                      <w:rPr>
                                        <w:rFonts w:ascii="Times New Roman" w:hAnsi="Times New Roman" w:cs="Times New Roman"/>
                                        <w:caps/>
                                        <w:color w:val="4F81BD" w:themeColor="accent1"/>
                                        <w:sz w:val="36"/>
                                        <w:szCs w:val="36"/>
                                      </w:rPr>
                                      <w:t>International Financial mANAGEMENT</w:t>
                                    </w:r>
                                  </w:sdtContent>
                                </w:sdt>
                              </w:p>
                              <w:p w14:paraId="4CB30C7D" w14:textId="0BA18909" w:rsidR="000E7D92" w:rsidRPr="000E7D92" w:rsidRDefault="000E7D92">
                                <w:pPr>
                                  <w:jc w:val="right"/>
                                  <w:rPr>
                                    <w:rFonts w:ascii="Times New Roman" w:hAnsi="Times New Roman" w:cs="Times New Roman"/>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7D9F8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EB479D7" w14:textId="5E0074EB" w:rsidR="000E7D92" w:rsidRPr="000E7D92" w:rsidRDefault="000E7D92">
                          <w:pPr>
                            <w:jc w:val="right"/>
                            <w:rPr>
                              <w:rFonts w:ascii="Times New Roman" w:hAnsi="Times New Roman" w:cs="Times New Roman"/>
                              <w:color w:val="4F81BD" w:themeColor="accent1"/>
                              <w:sz w:val="36"/>
                              <w:szCs w:val="36"/>
                            </w:rPr>
                          </w:pPr>
                          <w:sdt>
                            <w:sdtPr>
                              <w:rPr>
                                <w:rFonts w:ascii="Times New Roman" w:hAnsi="Times New Roman" w:cs="Times New Roman"/>
                                <w:caps/>
                                <w:color w:val="4F81BD"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E7D92">
                                <w:rPr>
                                  <w:rFonts w:ascii="Times New Roman" w:hAnsi="Times New Roman" w:cs="Times New Roman"/>
                                  <w:caps/>
                                  <w:color w:val="4F81BD" w:themeColor="accent1"/>
                                  <w:sz w:val="36"/>
                                  <w:szCs w:val="36"/>
                                </w:rPr>
                                <w:t>International Financial mANAGEMENT</w:t>
                              </w:r>
                            </w:sdtContent>
                          </w:sdt>
                        </w:p>
                        <w:p w14:paraId="4CB30C7D" w14:textId="0BA18909" w:rsidR="000E7D92" w:rsidRPr="000E7D92" w:rsidRDefault="000E7D92">
                          <w:pPr>
                            <w:jc w:val="right"/>
                            <w:rPr>
                              <w:rFonts w:ascii="Times New Roman" w:hAnsi="Times New Roman" w:cs="Times New Roman"/>
                              <w:smallCaps/>
                              <w:color w:val="404040" w:themeColor="text1" w:themeTint="BF"/>
                              <w:sz w:val="36"/>
                              <w:szCs w:val="36"/>
                            </w:rPr>
                          </w:pPr>
                        </w:p>
                      </w:txbxContent>
                    </v:textbox>
                    <w10:wrap type="square" anchorx="page" anchory="page"/>
                  </v:shape>
                </w:pict>
              </mc:Fallback>
            </mc:AlternateContent>
          </w:r>
        </w:p>
        <w:p w14:paraId="1C718165" w14:textId="06BB1C08" w:rsidR="000E7D92" w:rsidRDefault="000E7D92">
          <w:r>
            <w:rPr>
              <w:b/>
              <w:bCs/>
            </w:rPr>
            <w:br w:type="page"/>
          </w:r>
        </w:p>
      </w:sdtContent>
    </w:sdt>
    <w:sdt>
      <w:sdtPr>
        <w:rPr>
          <w:rFonts w:ascii="Times New Roman" w:eastAsiaTheme="minorHAnsi" w:hAnsi="Times New Roman" w:cs="Times New Roman"/>
          <w:b w:val="0"/>
          <w:bCs w:val="0"/>
          <w:color w:val="auto"/>
          <w:sz w:val="24"/>
          <w:szCs w:val="24"/>
          <w:lang w:val="en-GB"/>
        </w:rPr>
        <w:id w:val="1766032618"/>
        <w:docPartObj>
          <w:docPartGallery w:val="Table of Contents"/>
          <w:docPartUnique/>
        </w:docPartObj>
      </w:sdtPr>
      <w:sdtEndPr>
        <w:rPr>
          <w:rFonts w:asciiTheme="minorHAnsi" w:hAnsiTheme="minorHAnsi"/>
          <w:noProof/>
          <w:sz w:val="22"/>
        </w:rPr>
      </w:sdtEndPr>
      <w:sdtContent>
        <w:p w14:paraId="23613F45" w14:textId="605E4B09" w:rsidR="005D2DAB" w:rsidRPr="00E84CFF" w:rsidRDefault="005D2DAB" w:rsidP="005D2DAB">
          <w:pPr>
            <w:pStyle w:val="TOCHeading"/>
            <w:rPr>
              <w:rFonts w:ascii="Times New Roman" w:hAnsi="Times New Roman" w:cs="Times New Roman"/>
              <w:sz w:val="24"/>
              <w:szCs w:val="24"/>
            </w:rPr>
          </w:pPr>
          <w:r w:rsidRPr="00E84CFF">
            <w:rPr>
              <w:rFonts w:ascii="Times New Roman" w:hAnsi="Times New Roman" w:cs="Times New Roman"/>
              <w:sz w:val="24"/>
              <w:szCs w:val="24"/>
            </w:rPr>
            <w:t>Contents</w:t>
          </w:r>
        </w:p>
        <w:p w14:paraId="64C4F0D6" w14:textId="77777777" w:rsidR="005D2DAB" w:rsidRPr="00E84CFF" w:rsidRDefault="005D2DAB" w:rsidP="005D2DAB">
          <w:pPr>
            <w:pStyle w:val="TOC1"/>
            <w:tabs>
              <w:tab w:val="right" w:leader="dot" w:pos="9350"/>
            </w:tabs>
            <w:rPr>
              <w:rFonts w:eastAsiaTheme="minorEastAsia" w:cs="Times New Roman"/>
              <w:noProof/>
              <w:szCs w:val="24"/>
            </w:rPr>
          </w:pPr>
          <w:r w:rsidRPr="00E84CFF">
            <w:rPr>
              <w:rFonts w:cs="Times New Roman"/>
              <w:szCs w:val="24"/>
            </w:rPr>
            <w:fldChar w:fldCharType="begin"/>
          </w:r>
          <w:r w:rsidRPr="00E84CFF">
            <w:rPr>
              <w:rFonts w:cs="Times New Roman"/>
              <w:szCs w:val="24"/>
            </w:rPr>
            <w:instrText xml:space="preserve"> TOC \o "1-3" \h \z \u </w:instrText>
          </w:r>
          <w:r w:rsidRPr="00E84CFF">
            <w:rPr>
              <w:rFonts w:cs="Times New Roman"/>
              <w:szCs w:val="24"/>
            </w:rPr>
            <w:fldChar w:fldCharType="separate"/>
          </w:r>
          <w:hyperlink w:anchor="_Toc99800084" w:history="1">
            <w:r w:rsidRPr="00E84CFF">
              <w:rPr>
                <w:rStyle w:val="Hyperlink"/>
                <w:rFonts w:cs="Times New Roman"/>
                <w:noProof/>
                <w:szCs w:val="24"/>
              </w:rPr>
              <w:t>Introduction</w:t>
            </w:r>
            <w:r w:rsidRPr="00E84CFF">
              <w:rPr>
                <w:rFonts w:cs="Times New Roman"/>
                <w:noProof/>
                <w:webHidden/>
                <w:szCs w:val="24"/>
              </w:rPr>
              <w:tab/>
            </w:r>
            <w:r w:rsidRPr="00E84CFF">
              <w:rPr>
                <w:rFonts w:cs="Times New Roman"/>
                <w:noProof/>
                <w:webHidden/>
                <w:szCs w:val="24"/>
              </w:rPr>
              <w:fldChar w:fldCharType="begin"/>
            </w:r>
            <w:r w:rsidRPr="00E84CFF">
              <w:rPr>
                <w:rFonts w:cs="Times New Roman"/>
                <w:noProof/>
                <w:webHidden/>
                <w:szCs w:val="24"/>
              </w:rPr>
              <w:instrText xml:space="preserve"> PAGEREF _Toc99800084 \h </w:instrText>
            </w:r>
            <w:r w:rsidRPr="00E84CFF">
              <w:rPr>
                <w:rFonts w:cs="Times New Roman"/>
                <w:noProof/>
                <w:webHidden/>
                <w:szCs w:val="24"/>
              </w:rPr>
            </w:r>
            <w:r w:rsidRPr="00E84CFF">
              <w:rPr>
                <w:rFonts w:cs="Times New Roman"/>
                <w:noProof/>
                <w:webHidden/>
                <w:szCs w:val="24"/>
              </w:rPr>
              <w:fldChar w:fldCharType="separate"/>
            </w:r>
            <w:r w:rsidRPr="00E84CFF">
              <w:rPr>
                <w:rFonts w:cs="Times New Roman"/>
                <w:noProof/>
                <w:webHidden/>
                <w:szCs w:val="24"/>
              </w:rPr>
              <w:t>3</w:t>
            </w:r>
            <w:r w:rsidRPr="00E84CFF">
              <w:rPr>
                <w:rFonts w:cs="Times New Roman"/>
                <w:noProof/>
                <w:webHidden/>
                <w:szCs w:val="24"/>
              </w:rPr>
              <w:fldChar w:fldCharType="end"/>
            </w:r>
          </w:hyperlink>
        </w:p>
        <w:p w14:paraId="7258397A" w14:textId="77777777" w:rsidR="005D2DAB" w:rsidRPr="00E84CFF" w:rsidRDefault="00036CEE" w:rsidP="005D2DAB">
          <w:pPr>
            <w:pStyle w:val="TOC1"/>
            <w:tabs>
              <w:tab w:val="right" w:leader="dot" w:pos="9350"/>
            </w:tabs>
            <w:rPr>
              <w:rFonts w:eastAsiaTheme="minorEastAsia" w:cs="Times New Roman"/>
              <w:noProof/>
              <w:szCs w:val="24"/>
            </w:rPr>
          </w:pPr>
          <w:hyperlink w:anchor="_Toc99800085" w:history="1">
            <w:r w:rsidR="005D2DAB" w:rsidRPr="00E84CFF">
              <w:rPr>
                <w:rStyle w:val="Hyperlink"/>
                <w:rFonts w:cs="Times New Roman"/>
                <w:noProof/>
                <w:szCs w:val="24"/>
              </w:rPr>
              <w:t>Summary on the company</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_Toc99800085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4</w:t>
            </w:r>
            <w:r w:rsidR="005D2DAB" w:rsidRPr="00E84CFF">
              <w:rPr>
                <w:rFonts w:cs="Times New Roman"/>
                <w:noProof/>
                <w:webHidden/>
                <w:szCs w:val="24"/>
              </w:rPr>
              <w:fldChar w:fldCharType="end"/>
            </w:r>
          </w:hyperlink>
        </w:p>
        <w:p w14:paraId="3DA1E133" w14:textId="77777777" w:rsidR="005D2DAB" w:rsidRPr="00E84CFF" w:rsidRDefault="00036CEE" w:rsidP="005D2DAB">
          <w:pPr>
            <w:pStyle w:val="TOC1"/>
            <w:tabs>
              <w:tab w:val="right" w:leader="dot" w:pos="9350"/>
            </w:tabs>
            <w:rPr>
              <w:rFonts w:eastAsiaTheme="minorEastAsia" w:cs="Times New Roman"/>
              <w:noProof/>
              <w:szCs w:val="24"/>
            </w:rPr>
          </w:pPr>
          <w:hyperlink w:anchor="_Toc99800086" w:history="1">
            <w:r w:rsidR="005D2DAB" w:rsidRPr="00E84CFF">
              <w:rPr>
                <w:rStyle w:val="Hyperlink"/>
                <w:rFonts w:cs="Times New Roman"/>
                <w:noProof/>
                <w:szCs w:val="24"/>
              </w:rPr>
              <w:t>International Finance Management</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_Toc99800086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4</w:t>
            </w:r>
            <w:r w:rsidR="005D2DAB" w:rsidRPr="00E84CFF">
              <w:rPr>
                <w:rFonts w:cs="Times New Roman"/>
                <w:noProof/>
                <w:webHidden/>
                <w:szCs w:val="24"/>
              </w:rPr>
              <w:fldChar w:fldCharType="end"/>
            </w:r>
          </w:hyperlink>
        </w:p>
        <w:p w14:paraId="06494051" w14:textId="77777777" w:rsidR="005D2DAB" w:rsidRPr="00E84CFF" w:rsidRDefault="00036CEE" w:rsidP="005D2DAB">
          <w:pPr>
            <w:pStyle w:val="TOC1"/>
            <w:tabs>
              <w:tab w:val="right" w:leader="dot" w:pos="9350"/>
            </w:tabs>
            <w:rPr>
              <w:rFonts w:eastAsiaTheme="minorEastAsia" w:cs="Times New Roman"/>
              <w:noProof/>
              <w:szCs w:val="24"/>
            </w:rPr>
          </w:pPr>
          <w:hyperlink w:anchor="_Toc99800087" w:history="1">
            <w:r w:rsidR="005D2DAB" w:rsidRPr="00E84CFF">
              <w:rPr>
                <w:rStyle w:val="Hyperlink"/>
                <w:rFonts w:cs="Times New Roman"/>
                <w:noProof/>
                <w:szCs w:val="24"/>
              </w:rPr>
              <w:t>Dividend Distribution Policy</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_Toc99800087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7</w:t>
            </w:r>
            <w:r w:rsidR="005D2DAB" w:rsidRPr="00E84CFF">
              <w:rPr>
                <w:rFonts w:cs="Times New Roman"/>
                <w:noProof/>
                <w:webHidden/>
                <w:szCs w:val="24"/>
              </w:rPr>
              <w:fldChar w:fldCharType="end"/>
            </w:r>
          </w:hyperlink>
        </w:p>
        <w:p w14:paraId="43350E49" w14:textId="77777777" w:rsidR="005D2DAB" w:rsidRPr="00E84CFF" w:rsidRDefault="00036CEE" w:rsidP="005D2DAB">
          <w:pPr>
            <w:pStyle w:val="TOC1"/>
            <w:tabs>
              <w:tab w:val="right" w:leader="dot" w:pos="9350"/>
            </w:tabs>
            <w:rPr>
              <w:rFonts w:eastAsiaTheme="minorEastAsia" w:cs="Times New Roman"/>
              <w:noProof/>
              <w:szCs w:val="24"/>
            </w:rPr>
          </w:pPr>
          <w:hyperlink w:anchor="_Toc99800088" w:history="1">
            <w:r w:rsidR="005D2DAB" w:rsidRPr="00E84CFF">
              <w:rPr>
                <w:rStyle w:val="Hyperlink"/>
                <w:rFonts w:cs="Times New Roman"/>
                <w:noProof/>
                <w:szCs w:val="24"/>
              </w:rPr>
              <w:t>Efficient Market Hypothesis</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_Toc99800088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8</w:t>
            </w:r>
            <w:r w:rsidR="005D2DAB" w:rsidRPr="00E84CFF">
              <w:rPr>
                <w:rFonts w:cs="Times New Roman"/>
                <w:noProof/>
                <w:webHidden/>
                <w:szCs w:val="24"/>
              </w:rPr>
              <w:fldChar w:fldCharType="end"/>
            </w:r>
          </w:hyperlink>
        </w:p>
        <w:p w14:paraId="6571DC76" w14:textId="77777777" w:rsidR="005D2DAB" w:rsidRPr="00E84CFF" w:rsidRDefault="00036CEE" w:rsidP="005D2DAB">
          <w:pPr>
            <w:pStyle w:val="TOC1"/>
            <w:tabs>
              <w:tab w:val="right" w:leader="dot" w:pos="9350"/>
            </w:tabs>
            <w:rPr>
              <w:rFonts w:eastAsiaTheme="minorEastAsia" w:cs="Times New Roman"/>
              <w:noProof/>
              <w:szCs w:val="24"/>
            </w:rPr>
          </w:pPr>
          <w:hyperlink w:anchor="_Toc99800089" w:history="1">
            <w:r w:rsidR="005D2DAB" w:rsidRPr="00E84CFF">
              <w:rPr>
                <w:rStyle w:val="Hyperlink"/>
                <w:rFonts w:cs="Times New Roman"/>
                <w:noProof/>
                <w:szCs w:val="24"/>
              </w:rPr>
              <w:t>Project Appraisal Methods</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_Toc99800089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9</w:t>
            </w:r>
            <w:r w:rsidR="005D2DAB" w:rsidRPr="00E84CFF">
              <w:rPr>
                <w:rFonts w:cs="Times New Roman"/>
                <w:noProof/>
                <w:webHidden/>
                <w:szCs w:val="24"/>
              </w:rPr>
              <w:fldChar w:fldCharType="end"/>
            </w:r>
          </w:hyperlink>
        </w:p>
        <w:p w14:paraId="5C2381D1" w14:textId="77777777" w:rsidR="005D2DAB" w:rsidRPr="00E84CFF" w:rsidRDefault="00036CEE" w:rsidP="005D2DAB">
          <w:pPr>
            <w:pStyle w:val="TOC1"/>
            <w:tabs>
              <w:tab w:val="right" w:leader="dot" w:pos="9350"/>
            </w:tabs>
            <w:rPr>
              <w:rFonts w:eastAsiaTheme="minorEastAsia" w:cs="Times New Roman"/>
              <w:noProof/>
              <w:szCs w:val="24"/>
            </w:rPr>
          </w:pPr>
          <w:hyperlink w:anchor="_Toc99800090" w:history="1">
            <w:r w:rsidR="005D2DAB" w:rsidRPr="00E84CFF">
              <w:rPr>
                <w:rStyle w:val="Hyperlink"/>
                <w:rFonts w:cs="Times New Roman"/>
                <w:noProof/>
                <w:szCs w:val="24"/>
              </w:rPr>
              <w:t>Conclusion</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_Toc99800090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10</w:t>
            </w:r>
            <w:r w:rsidR="005D2DAB" w:rsidRPr="00E84CFF">
              <w:rPr>
                <w:rFonts w:cs="Times New Roman"/>
                <w:noProof/>
                <w:webHidden/>
                <w:szCs w:val="24"/>
              </w:rPr>
              <w:fldChar w:fldCharType="end"/>
            </w:r>
          </w:hyperlink>
        </w:p>
        <w:p w14:paraId="59381ECB" w14:textId="77777777" w:rsidR="005D2DAB" w:rsidRPr="00E84CFF" w:rsidRDefault="00036CEE" w:rsidP="005D2DAB">
          <w:pPr>
            <w:pStyle w:val="TOC1"/>
            <w:tabs>
              <w:tab w:val="right" w:leader="dot" w:pos="9350"/>
            </w:tabs>
            <w:rPr>
              <w:rFonts w:eastAsiaTheme="minorEastAsia" w:cs="Times New Roman"/>
              <w:noProof/>
              <w:szCs w:val="24"/>
            </w:rPr>
          </w:pPr>
          <w:hyperlink w:anchor="_Toc99800091" w:history="1">
            <w:r w:rsidR="005D2DAB" w:rsidRPr="00E84CFF">
              <w:rPr>
                <w:rStyle w:val="Hyperlink"/>
                <w:rFonts w:cs="Times New Roman"/>
                <w:noProof/>
                <w:szCs w:val="24"/>
              </w:rPr>
              <w:t>References</w:t>
            </w:r>
            <w:r w:rsidR="005D2DAB" w:rsidRPr="00E84CFF">
              <w:rPr>
                <w:rFonts w:cs="Times New Roman"/>
                <w:noProof/>
                <w:webHidden/>
                <w:szCs w:val="24"/>
              </w:rPr>
              <w:tab/>
            </w:r>
            <w:r w:rsidR="005D2DAB" w:rsidRPr="00E84CFF">
              <w:rPr>
                <w:rFonts w:cs="Times New Roman"/>
                <w:noProof/>
                <w:webHidden/>
                <w:szCs w:val="24"/>
              </w:rPr>
              <w:fldChar w:fldCharType="begin"/>
            </w:r>
            <w:r w:rsidR="005D2DAB" w:rsidRPr="00E84CFF">
              <w:rPr>
                <w:rFonts w:cs="Times New Roman"/>
                <w:noProof/>
                <w:webHidden/>
                <w:szCs w:val="24"/>
              </w:rPr>
              <w:instrText xml:space="preserve"> PAGEREF _Toc99800091 \h </w:instrText>
            </w:r>
            <w:r w:rsidR="005D2DAB" w:rsidRPr="00E84CFF">
              <w:rPr>
                <w:rFonts w:cs="Times New Roman"/>
                <w:noProof/>
                <w:webHidden/>
                <w:szCs w:val="24"/>
              </w:rPr>
            </w:r>
            <w:r w:rsidR="005D2DAB" w:rsidRPr="00E84CFF">
              <w:rPr>
                <w:rFonts w:cs="Times New Roman"/>
                <w:noProof/>
                <w:webHidden/>
                <w:szCs w:val="24"/>
              </w:rPr>
              <w:fldChar w:fldCharType="separate"/>
            </w:r>
            <w:r w:rsidR="005D2DAB" w:rsidRPr="00E84CFF">
              <w:rPr>
                <w:rFonts w:cs="Times New Roman"/>
                <w:noProof/>
                <w:webHidden/>
                <w:szCs w:val="24"/>
              </w:rPr>
              <w:t>11</w:t>
            </w:r>
            <w:r w:rsidR="005D2DAB" w:rsidRPr="00E84CFF">
              <w:rPr>
                <w:rFonts w:cs="Times New Roman"/>
                <w:noProof/>
                <w:webHidden/>
                <w:szCs w:val="24"/>
              </w:rPr>
              <w:fldChar w:fldCharType="end"/>
            </w:r>
          </w:hyperlink>
        </w:p>
        <w:p w14:paraId="590232DA" w14:textId="77777777" w:rsidR="005D2DAB" w:rsidRDefault="005D2DAB" w:rsidP="005D2DAB">
          <w:pPr>
            <w:rPr>
              <w:rFonts w:cs="Times New Roman"/>
              <w:noProof/>
              <w:szCs w:val="24"/>
            </w:rPr>
          </w:pPr>
          <w:r w:rsidRPr="00E84CFF">
            <w:rPr>
              <w:rFonts w:cs="Times New Roman"/>
              <w:b/>
              <w:bCs/>
              <w:noProof/>
              <w:szCs w:val="24"/>
            </w:rPr>
            <w:fldChar w:fldCharType="end"/>
          </w:r>
        </w:p>
      </w:sdtContent>
    </w:sdt>
    <w:p w14:paraId="39DB257A" w14:textId="08621FA0" w:rsidR="005C2A1D" w:rsidRDefault="005C2A1D" w:rsidP="00D42640">
      <w:pPr>
        <w:rPr>
          <w:rFonts w:ascii="Times New Roman" w:hAnsi="Times New Roman" w:cs="Times New Roman"/>
          <w:sz w:val="24"/>
          <w:szCs w:val="24"/>
        </w:rPr>
      </w:pPr>
    </w:p>
    <w:p w14:paraId="12D815AD" w14:textId="77777777" w:rsidR="005D2DAB" w:rsidRDefault="005D2DAB" w:rsidP="00D42640">
      <w:pPr>
        <w:rPr>
          <w:rFonts w:ascii="Times New Roman" w:hAnsi="Times New Roman" w:cs="Times New Roman"/>
          <w:sz w:val="24"/>
          <w:szCs w:val="24"/>
        </w:rPr>
      </w:pPr>
    </w:p>
    <w:p w14:paraId="06E95978" w14:textId="77777777" w:rsidR="005D2DAB" w:rsidRDefault="005D2DAB" w:rsidP="00D42640">
      <w:pPr>
        <w:rPr>
          <w:rFonts w:ascii="Times New Roman" w:hAnsi="Times New Roman" w:cs="Times New Roman"/>
          <w:sz w:val="24"/>
          <w:szCs w:val="24"/>
        </w:rPr>
      </w:pPr>
    </w:p>
    <w:p w14:paraId="1F82480C" w14:textId="77777777" w:rsidR="005D2DAB" w:rsidRDefault="005D2DAB" w:rsidP="00D42640">
      <w:pPr>
        <w:rPr>
          <w:rFonts w:ascii="Times New Roman" w:hAnsi="Times New Roman" w:cs="Times New Roman"/>
          <w:sz w:val="24"/>
          <w:szCs w:val="24"/>
        </w:rPr>
      </w:pPr>
    </w:p>
    <w:p w14:paraId="3DF6894C" w14:textId="77777777" w:rsidR="005D2DAB" w:rsidRDefault="005D2DAB" w:rsidP="00D42640">
      <w:pPr>
        <w:rPr>
          <w:rFonts w:ascii="Times New Roman" w:hAnsi="Times New Roman" w:cs="Times New Roman"/>
          <w:sz w:val="24"/>
          <w:szCs w:val="24"/>
        </w:rPr>
      </w:pPr>
    </w:p>
    <w:p w14:paraId="6D999CF9" w14:textId="77777777" w:rsidR="005D2DAB" w:rsidRDefault="005D2DAB" w:rsidP="00D42640">
      <w:pPr>
        <w:rPr>
          <w:rFonts w:ascii="Times New Roman" w:hAnsi="Times New Roman" w:cs="Times New Roman"/>
          <w:sz w:val="24"/>
          <w:szCs w:val="24"/>
        </w:rPr>
      </w:pPr>
    </w:p>
    <w:p w14:paraId="49FB806B" w14:textId="77777777" w:rsidR="005D2DAB" w:rsidRDefault="005D2DAB" w:rsidP="00D42640">
      <w:pPr>
        <w:rPr>
          <w:rFonts w:ascii="Times New Roman" w:hAnsi="Times New Roman" w:cs="Times New Roman"/>
          <w:sz w:val="24"/>
          <w:szCs w:val="24"/>
        </w:rPr>
      </w:pPr>
    </w:p>
    <w:p w14:paraId="0562ACAD" w14:textId="77777777" w:rsidR="005D2DAB" w:rsidRDefault="005D2DAB" w:rsidP="00D42640">
      <w:pPr>
        <w:rPr>
          <w:rFonts w:ascii="Times New Roman" w:hAnsi="Times New Roman" w:cs="Times New Roman"/>
          <w:sz w:val="24"/>
          <w:szCs w:val="24"/>
        </w:rPr>
      </w:pPr>
    </w:p>
    <w:p w14:paraId="1C3F435A" w14:textId="77777777" w:rsidR="005D2DAB" w:rsidRDefault="005D2DAB" w:rsidP="00D42640">
      <w:pPr>
        <w:rPr>
          <w:rFonts w:ascii="Times New Roman" w:hAnsi="Times New Roman" w:cs="Times New Roman"/>
          <w:sz w:val="24"/>
          <w:szCs w:val="24"/>
        </w:rPr>
      </w:pPr>
    </w:p>
    <w:p w14:paraId="378001A5" w14:textId="77777777" w:rsidR="005D2DAB" w:rsidRDefault="005D2DAB" w:rsidP="00D42640">
      <w:pPr>
        <w:rPr>
          <w:rFonts w:ascii="Times New Roman" w:hAnsi="Times New Roman" w:cs="Times New Roman"/>
          <w:sz w:val="24"/>
          <w:szCs w:val="24"/>
        </w:rPr>
      </w:pPr>
    </w:p>
    <w:p w14:paraId="60034D44" w14:textId="77777777" w:rsidR="005D2DAB" w:rsidRDefault="005D2DAB" w:rsidP="00D42640">
      <w:pPr>
        <w:rPr>
          <w:rFonts w:ascii="Times New Roman" w:hAnsi="Times New Roman" w:cs="Times New Roman"/>
          <w:sz w:val="24"/>
          <w:szCs w:val="24"/>
        </w:rPr>
      </w:pPr>
    </w:p>
    <w:p w14:paraId="2438D3FD" w14:textId="77777777" w:rsidR="005D2DAB" w:rsidRDefault="005D2DAB" w:rsidP="00D42640">
      <w:pPr>
        <w:rPr>
          <w:rFonts w:ascii="Times New Roman" w:hAnsi="Times New Roman" w:cs="Times New Roman"/>
          <w:sz w:val="24"/>
          <w:szCs w:val="24"/>
        </w:rPr>
      </w:pPr>
    </w:p>
    <w:p w14:paraId="53480395" w14:textId="77777777" w:rsidR="005D2DAB" w:rsidRDefault="005D2DAB" w:rsidP="00D42640">
      <w:pPr>
        <w:rPr>
          <w:rFonts w:ascii="Times New Roman" w:hAnsi="Times New Roman" w:cs="Times New Roman"/>
          <w:sz w:val="24"/>
          <w:szCs w:val="24"/>
        </w:rPr>
      </w:pPr>
    </w:p>
    <w:p w14:paraId="7A742F3F" w14:textId="77777777" w:rsidR="005D2DAB" w:rsidRDefault="005D2DAB" w:rsidP="00D42640">
      <w:pPr>
        <w:rPr>
          <w:rFonts w:ascii="Times New Roman" w:hAnsi="Times New Roman" w:cs="Times New Roman"/>
          <w:sz w:val="24"/>
          <w:szCs w:val="24"/>
        </w:rPr>
      </w:pPr>
    </w:p>
    <w:p w14:paraId="415F9555" w14:textId="77777777" w:rsidR="005D2DAB" w:rsidRDefault="005D2DAB" w:rsidP="00D42640">
      <w:pPr>
        <w:rPr>
          <w:rFonts w:ascii="Times New Roman" w:hAnsi="Times New Roman" w:cs="Times New Roman"/>
          <w:sz w:val="24"/>
          <w:szCs w:val="24"/>
        </w:rPr>
      </w:pPr>
    </w:p>
    <w:p w14:paraId="4C97641D" w14:textId="77777777" w:rsidR="005D2DAB" w:rsidRDefault="005D2DAB" w:rsidP="00D42640">
      <w:pPr>
        <w:rPr>
          <w:rFonts w:ascii="Times New Roman" w:hAnsi="Times New Roman" w:cs="Times New Roman"/>
          <w:sz w:val="24"/>
          <w:szCs w:val="24"/>
        </w:rPr>
      </w:pPr>
    </w:p>
    <w:p w14:paraId="03B3E8D1" w14:textId="77777777" w:rsidR="005D2DAB" w:rsidRDefault="005D2DAB" w:rsidP="00D42640">
      <w:pPr>
        <w:rPr>
          <w:rFonts w:ascii="Times New Roman" w:hAnsi="Times New Roman" w:cs="Times New Roman"/>
          <w:sz w:val="24"/>
          <w:szCs w:val="24"/>
        </w:rPr>
      </w:pPr>
    </w:p>
    <w:p w14:paraId="532533D3" w14:textId="77777777" w:rsidR="005D2DAB" w:rsidRDefault="005D2DAB" w:rsidP="00D42640">
      <w:pPr>
        <w:rPr>
          <w:rFonts w:ascii="Times New Roman" w:hAnsi="Times New Roman" w:cs="Times New Roman"/>
          <w:sz w:val="24"/>
          <w:szCs w:val="24"/>
        </w:rPr>
      </w:pPr>
    </w:p>
    <w:p w14:paraId="3A064D86" w14:textId="77777777" w:rsidR="0059295C" w:rsidRPr="0059295C" w:rsidRDefault="0059295C" w:rsidP="0059295C">
      <w:pPr>
        <w:keepNext/>
        <w:keepLines/>
        <w:spacing w:before="480" w:after="0" w:line="360" w:lineRule="auto"/>
        <w:jc w:val="both"/>
        <w:outlineLvl w:val="0"/>
        <w:rPr>
          <w:rFonts w:ascii="Times New Roman" w:eastAsia="Times New Roman" w:hAnsi="Times New Roman" w:cs="Times New Roman"/>
          <w:b/>
          <w:bCs/>
          <w:sz w:val="24"/>
          <w:szCs w:val="24"/>
          <w:lang w:val="en-US"/>
        </w:rPr>
      </w:pPr>
      <w:bookmarkStart w:id="0" w:name="_Toc99800084"/>
      <w:r w:rsidRPr="0059295C">
        <w:rPr>
          <w:rFonts w:ascii="Times New Roman" w:eastAsia="Times New Roman" w:hAnsi="Times New Roman" w:cs="Times New Roman"/>
          <w:b/>
          <w:bCs/>
          <w:noProof/>
          <w:sz w:val="24"/>
          <w:szCs w:val="24"/>
          <w:lang w:val="en-US"/>
        </w:rPr>
        <w:lastRenderedPageBreak/>
        <w:t>Introduction</w:t>
      </w:r>
      <w:bookmarkEnd w:id="0"/>
    </w:p>
    <w:p w14:paraId="620CDE42" w14:textId="3F3841E7" w:rsidR="005D2DAB" w:rsidRPr="00D42640" w:rsidRDefault="0059295C" w:rsidP="0059295C">
      <w:pPr>
        <w:pStyle w:val="Heading1"/>
      </w:pPr>
      <w:r w:rsidRPr="0059295C">
        <w:rPr>
          <w:rFonts w:eastAsia="Calibri" w:cs="Times New Roman"/>
          <w:b w:val="0"/>
          <w:bCs w:val="0"/>
          <w:sz w:val="24"/>
          <w:szCs w:val="24"/>
        </w:rPr>
        <w:t>The company's internal financial management is the concept that has been developed by this report to provide how Nettle has regulated this mechanism to provide the information on the international trade and market and the information that improves their performance in compliance with the achievements of their basic goals and the objectives. The report summarizes the details about the major business it is involved with the details on what distribution policy it follows and the project appraisal techniques and methods. These are thus conducted to regulate the management related method and the techniques in the conduct of the company's basic operations.</w:t>
      </w:r>
    </w:p>
    <w:p w14:paraId="7A730CD9" w14:textId="77777777" w:rsidR="005B70C3" w:rsidRPr="00D42640" w:rsidRDefault="005B70C3" w:rsidP="00D42640">
      <w:pPr>
        <w:rPr>
          <w:rFonts w:ascii="Times New Roman" w:hAnsi="Times New Roman" w:cs="Times New Roman"/>
          <w:sz w:val="24"/>
          <w:szCs w:val="24"/>
        </w:rPr>
      </w:pPr>
    </w:p>
    <w:p w14:paraId="0B8AE3EA" w14:textId="77777777" w:rsidR="005B70C3" w:rsidRPr="00D42640" w:rsidRDefault="005B70C3" w:rsidP="00D42640">
      <w:pPr>
        <w:rPr>
          <w:rFonts w:ascii="Times New Roman" w:hAnsi="Times New Roman" w:cs="Times New Roman"/>
          <w:noProof/>
          <w:sz w:val="24"/>
          <w:szCs w:val="24"/>
        </w:rPr>
      </w:pPr>
      <w:bookmarkStart w:id="1" w:name="_Toc99800085"/>
      <w:r w:rsidRPr="00D42640">
        <w:rPr>
          <w:rFonts w:ascii="Times New Roman" w:hAnsi="Times New Roman" w:cs="Times New Roman"/>
          <w:noProof/>
          <w:sz w:val="24"/>
          <w:szCs w:val="24"/>
        </w:rPr>
        <w:t>Summary of the company</w:t>
      </w:r>
      <w:bookmarkEnd w:id="1"/>
    </w:p>
    <w:p w14:paraId="6A56308B" w14:textId="6B7A41E1"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Nestle being, founded in 1866, is a Swiss multinational food and drink production company. The company is headquartered in Switzerland and has been developed as the leading company in the production industry sector. Company in recent times has developed as a major business in the country. The company deals in various products, including baby food, medical food, </w:t>
      </w:r>
      <w:r w:rsidR="00D42640" w:rsidRPr="00D42640">
        <w:rPr>
          <w:rFonts w:ascii="Times New Roman" w:hAnsi="Times New Roman" w:cs="Times New Roman"/>
          <w:sz w:val="24"/>
          <w:szCs w:val="24"/>
        </w:rPr>
        <w:t>cosmetics</w:t>
      </w:r>
      <w:r w:rsidR="0069560B">
        <w:rPr>
          <w:rFonts w:ascii="Times New Roman" w:hAnsi="Times New Roman" w:cs="Times New Roman"/>
          <w:sz w:val="24"/>
          <w:szCs w:val="24"/>
        </w:rPr>
        <w:t xml:space="preserve"> </w:t>
      </w:r>
      <w:r w:rsidRPr="00D42640">
        <w:rPr>
          <w:rFonts w:ascii="Times New Roman" w:hAnsi="Times New Roman" w:cs="Times New Roman"/>
          <w:sz w:val="24"/>
          <w:szCs w:val="24"/>
        </w:rPr>
        <w:t xml:space="preserve">and processed food (Annual Report, 2021). The company has also developed its operation in more than 189 countries. The company's performance in recent years has been on the decreasing trend. However, the company still possesses the major market in terms of the loyal customer base and the regulated structure of the employees and the professionals. </w:t>
      </w:r>
    </w:p>
    <w:p w14:paraId="0791289B"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noProof/>
          <w:sz w:val="24"/>
          <w:szCs w:val="24"/>
        </w:rPr>
        <w:drawing>
          <wp:inline distT="0" distB="0" distL="0" distR="0" wp14:anchorId="0CAC651F" wp14:editId="4CB014D4">
            <wp:extent cx="3481713" cy="1711842"/>
            <wp:effectExtent l="0" t="0" r="4445" b="3175"/>
            <wp:docPr id="3" name="Picture 3" descr="A picture containing tex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dark&#10;&#10;Description automatically generated"/>
                    <pic:cNvPicPr/>
                  </pic:nvPicPr>
                  <pic:blipFill>
                    <a:blip r:embed="rId8"/>
                    <a:stretch>
                      <a:fillRect/>
                    </a:stretch>
                  </pic:blipFill>
                  <pic:spPr>
                    <a:xfrm>
                      <a:off x="0" y="0"/>
                      <a:ext cx="3481713" cy="1711842"/>
                    </a:xfrm>
                    <a:prstGeom prst="rect">
                      <a:avLst/>
                    </a:prstGeom>
                  </pic:spPr>
                </pic:pic>
              </a:graphicData>
            </a:graphic>
          </wp:inline>
        </w:drawing>
      </w:r>
    </w:p>
    <w:p w14:paraId="66CF6932" w14:textId="77777777" w:rsidR="005B70C3" w:rsidRPr="00D42640" w:rsidRDefault="005B70C3" w:rsidP="00D42640">
      <w:pPr>
        <w:rPr>
          <w:rFonts w:ascii="Times New Roman" w:hAnsi="Times New Roman" w:cs="Times New Roman"/>
          <w:sz w:val="24"/>
          <w:szCs w:val="24"/>
        </w:rPr>
      </w:pPr>
      <w:bookmarkStart w:id="2" w:name="_Toc99800086"/>
      <w:r w:rsidRPr="00D42640">
        <w:rPr>
          <w:rFonts w:ascii="Times New Roman" w:hAnsi="Times New Roman" w:cs="Times New Roman"/>
          <w:sz w:val="24"/>
          <w:szCs w:val="24"/>
        </w:rPr>
        <w:t>International Finance Management</w:t>
      </w:r>
      <w:bookmarkEnd w:id="2"/>
    </w:p>
    <w:p w14:paraId="3E03876B"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b/>
          <w:sz w:val="24"/>
          <w:szCs w:val="24"/>
        </w:rPr>
        <w:t xml:space="preserve">International Finance Management </w:t>
      </w:r>
      <w:r w:rsidRPr="00D42640">
        <w:rPr>
          <w:rFonts w:ascii="Times New Roman" w:hAnsi="Times New Roman" w:cs="Times New Roman"/>
          <w:sz w:val="24"/>
          <w:szCs w:val="24"/>
        </w:rPr>
        <w:t xml:space="preserve">is the developed process that the multinational company uses to identify the main goals and the objective it's possessed and the procedures that conflict with such goals and the company's objectives. Thus, the accumulation of various theories helps the company assess the international business for the respective periods. It also possesses and explains the techniques used to conduct such international business. </w:t>
      </w:r>
    </w:p>
    <w:p w14:paraId="286EEF10"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b/>
          <w:sz w:val="24"/>
          <w:szCs w:val="24"/>
        </w:rPr>
        <w:t>International finance</w:t>
      </w:r>
      <w:r w:rsidRPr="00D42640">
        <w:rPr>
          <w:rFonts w:ascii="Times New Roman" w:hAnsi="Times New Roman" w:cs="Times New Roman"/>
          <w:sz w:val="24"/>
          <w:szCs w:val="24"/>
        </w:rPr>
        <w:t xml:space="preserve"> in any company is an accumulation of the financial fund that the business generates from the various transactions and the agreement entered by the company with foreign countries and companies</w:t>
      </w:r>
      <w:r w:rsidRPr="00D42640">
        <w:rPr>
          <w:rFonts w:ascii="Times New Roman" w:hAnsi="Times New Roman" w:cs="Times New Roman"/>
          <w:color w:val="222222"/>
          <w:sz w:val="24"/>
          <w:szCs w:val="24"/>
          <w:shd w:val="clear" w:color="auto" w:fill="FFFFFF"/>
        </w:rPr>
        <w:t xml:space="preserve"> (Madura, 2020)</w:t>
      </w:r>
      <w:r w:rsidRPr="00D42640">
        <w:rPr>
          <w:rFonts w:ascii="Times New Roman" w:hAnsi="Times New Roman" w:cs="Times New Roman"/>
          <w:sz w:val="24"/>
          <w:szCs w:val="24"/>
        </w:rPr>
        <w:t xml:space="preserve">. Thus, international financial </w:t>
      </w:r>
      <w:r w:rsidRPr="00D42640">
        <w:rPr>
          <w:rFonts w:ascii="Times New Roman" w:hAnsi="Times New Roman" w:cs="Times New Roman"/>
          <w:sz w:val="24"/>
          <w:szCs w:val="24"/>
        </w:rPr>
        <w:lastRenderedPageBreak/>
        <w:t xml:space="preserve">management as developed techniques is used by the company to make crucial decisions about investments, capital structure, dividend policies and working capital management. Thus, the IFM is the management technique used to regulate international trade and business financial decisions. The risk that is associated with the international trade is the exchange risk involved in conducting international financial transactions. </w:t>
      </w:r>
    </w:p>
    <w:p w14:paraId="42D5EE76" w14:textId="77777777" w:rsidR="005B70C3" w:rsidRPr="00D42640" w:rsidRDefault="005B70C3" w:rsidP="00D42640">
      <w:pPr>
        <w:rPr>
          <w:rFonts w:ascii="Times New Roman" w:hAnsi="Times New Roman" w:cs="Times New Roman"/>
          <w:b/>
          <w:sz w:val="24"/>
          <w:szCs w:val="24"/>
        </w:rPr>
      </w:pPr>
      <w:r w:rsidRPr="00D42640">
        <w:rPr>
          <w:rFonts w:ascii="Times New Roman" w:hAnsi="Times New Roman" w:cs="Times New Roman"/>
          <w:b/>
          <w:sz w:val="24"/>
          <w:szCs w:val="24"/>
        </w:rPr>
        <w:t xml:space="preserve">Importance of the International Financial Management </w:t>
      </w:r>
    </w:p>
    <w:p w14:paraId="242A00CE" w14:textId="2325328F" w:rsidR="005B70C3" w:rsidRPr="00D42640" w:rsidRDefault="0069560B" w:rsidP="00D42640">
      <w:pPr>
        <w:rPr>
          <w:rFonts w:ascii="Times New Roman" w:hAnsi="Times New Roman" w:cs="Times New Roman"/>
          <w:sz w:val="24"/>
          <w:szCs w:val="24"/>
        </w:rPr>
      </w:pPr>
      <w:r w:rsidRPr="00D42640">
        <w:rPr>
          <w:rFonts w:ascii="Times New Roman" w:hAnsi="Times New Roman" w:cs="Times New Roman"/>
          <w:sz w:val="24"/>
          <w:szCs w:val="24"/>
        </w:rPr>
        <w:t>Thus,</w:t>
      </w:r>
      <w:r w:rsidR="005B70C3" w:rsidRPr="00D42640">
        <w:rPr>
          <w:rFonts w:ascii="Times New Roman" w:hAnsi="Times New Roman" w:cs="Times New Roman"/>
          <w:sz w:val="24"/>
          <w:szCs w:val="24"/>
        </w:rPr>
        <w:t xml:space="preserve"> the importance of the IFM in the conduct of business activities and international trade can be classified as below-</w:t>
      </w:r>
    </w:p>
    <w:p w14:paraId="7A6DB3CD"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Helps in achieving the specialization of the specified goods and services. </w:t>
      </w:r>
    </w:p>
    <w:p w14:paraId="5D97BEED"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produces the chances and opportunities to consider and open new economies. </w:t>
      </w:r>
    </w:p>
    <w:p w14:paraId="218462E4"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company can achieve a competitive advantage in globalization techniques </w:t>
      </w:r>
      <w:r w:rsidRPr="00D42640">
        <w:rPr>
          <w:rFonts w:ascii="Times New Roman" w:hAnsi="Times New Roman" w:cs="Times New Roman"/>
          <w:color w:val="222222"/>
          <w:sz w:val="24"/>
          <w:szCs w:val="24"/>
          <w:shd w:val="clear" w:color="auto" w:fill="FFFFFF"/>
        </w:rPr>
        <w:t>(Madura, 2020)</w:t>
      </w:r>
      <w:r w:rsidRPr="00D42640">
        <w:rPr>
          <w:rFonts w:ascii="Times New Roman" w:hAnsi="Times New Roman" w:cs="Times New Roman"/>
          <w:sz w:val="24"/>
          <w:szCs w:val="24"/>
        </w:rPr>
        <w:t>.</w:t>
      </w:r>
    </w:p>
    <w:p w14:paraId="6ED281AB"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It enables the companies to develop newer segments and related business opportunities. </w:t>
      </w:r>
    </w:p>
    <w:p w14:paraId="1CC569D8"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World trade growth to a level that generates the most international developments. </w:t>
      </w:r>
    </w:p>
    <w:p w14:paraId="5C7A4C86"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Overall developments of the nations into becoming developed economies.</w:t>
      </w:r>
    </w:p>
    <w:p w14:paraId="5AD68E57" w14:textId="77777777" w:rsidR="005B70C3" w:rsidRPr="00D42640" w:rsidRDefault="005B70C3" w:rsidP="00D42640">
      <w:pPr>
        <w:rPr>
          <w:rFonts w:ascii="Times New Roman" w:hAnsi="Times New Roman" w:cs="Times New Roman"/>
          <w:b/>
          <w:sz w:val="24"/>
          <w:szCs w:val="24"/>
        </w:rPr>
      </w:pPr>
      <w:r w:rsidRPr="00D42640">
        <w:rPr>
          <w:rFonts w:ascii="Times New Roman" w:hAnsi="Times New Roman" w:cs="Times New Roman"/>
          <w:b/>
          <w:sz w:val="24"/>
          <w:szCs w:val="24"/>
        </w:rPr>
        <w:t xml:space="preserve">The major challenges that the company has been facing in recent time that impacts the international financial market of the company include the following- </w:t>
      </w:r>
    </w:p>
    <w:p w14:paraId="741F7B64"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Different perspectives: The headquarters and the subsidiaries, as the different segments associated with the main company, possess the perspective and the decisions about foreign operations channels, but each regulates in a different direction and does not regulate the same perspectives. </w:t>
      </w:r>
    </w:p>
    <w:p w14:paraId="76CD98B8"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issue outside: Nestle deals with different countries as a multinational corporation. Thus, the different environments associated with the different countries' economies may affect the scope of the conduct of business activities in the financial market. That impacts and poses challenges to the company dealing with the different networks (Annual Report, 2021). </w:t>
      </w:r>
    </w:p>
    <w:p w14:paraId="4868D28A"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recent challenge developed in the business structure relates to Covid 19 as the global pandemic that has impacted the basic conduct of the business activities at the core levels. The closure of the business units and the reduction in the total revenues and operating profits have posed many challenges to the company. </w:t>
      </w:r>
    </w:p>
    <w:p w14:paraId="7861D02C" w14:textId="77777777" w:rsidR="005B70C3" w:rsidRPr="00036CEE" w:rsidRDefault="005B70C3" w:rsidP="00D42640">
      <w:pPr>
        <w:rPr>
          <w:rFonts w:ascii="Times New Roman" w:hAnsi="Times New Roman" w:cs="Times New Roman"/>
          <w:b/>
          <w:bCs/>
          <w:sz w:val="24"/>
          <w:szCs w:val="24"/>
        </w:rPr>
      </w:pPr>
      <w:bookmarkStart w:id="3" w:name="_Toc99800087"/>
      <w:r w:rsidRPr="00036CEE">
        <w:rPr>
          <w:rFonts w:ascii="Times New Roman" w:hAnsi="Times New Roman" w:cs="Times New Roman"/>
          <w:b/>
          <w:bCs/>
          <w:sz w:val="24"/>
          <w:szCs w:val="24"/>
        </w:rPr>
        <w:t>Dividend Distribution Policy</w:t>
      </w:r>
      <w:bookmarkEnd w:id="3"/>
    </w:p>
    <w:p w14:paraId="5B7C123B" w14:textId="24D04A91"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The dividend distribution policy of the nestle company has been developed in terms of the constant pay-out ratio. The constant pay-out ratio is developed based on the earnings that have been achieved over the period and thus shall vary with the change in the period's earnings (Annual Report, 2021). Thus, with the increase in the company's earnings per share, the dividend, considering the constant pay out percentage, will increase the company's dividend per share. Earnings per share are defined as the net earnings allocated to each share in the company</w:t>
      </w:r>
      <w:r w:rsidRPr="00D42640">
        <w:rPr>
          <w:rFonts w:ascii="Times New Roman" w:hAnsi="Times New Roman" w:cs="Times New Roman"/>
          <w:color w:val="000000"/>
          <w:sz w:val="24"/>
          <w:szCs w:val="24"/>
          <w:shd w:val="clear" w:color="auto" w:fill="FFFFFF"/>
        </w:rPr>
        <w:t xml:space="preserve"> (</w:t>
      </w:r>
      <w:proofErr w:type="spellStart"/>
      <w:r w:rsidRPr="00D42640">
        <w:rPr>
          <w:rFonts w:ascii="Times New Roman" w:hAnsi="Times New Roman" w:cs="Times New Roman"/>
          <w:color w:val="000000"/>
          <w:sz w:val="24"/>
          <w:szCs w:val="24"/>
          <w:shd w:val="clear" w:color="auto" w:fill="FFFFFF"/>
        </w:rPr>
        <w:t>Khuen</w:t>
      </w:r>
      <w:proofErr w:type="spellEnd"/>
      <w:r w:rsidRPr="00D42640">
        <w:rPr>
          <w:rFonts w:ascii="Times New Roman" w:hAnsi="Times New Roman" w:cs="Times New Roman"/>
          <w:color w:val="000000"/>
          <w:sz w:val="24"/>
          <w:szCs w:val="24"/>
          <w:shd w:val="clear" w:color="auto" w:fill="FFFFFF"/>
        </w:rPr>
        <w:t>, 2020)</w:t>
      </w:r>
      <w:r w:rsidRPr="00D42640">
        <w:rPr>
          <w:rFonts w:ascii="Times New Roman" w:hAnsi="Times New Roman" w:cs="Times New Roman"/>
          <w:sz w:val="24"/>
          <w:szCs w:val="24"/>
        </w:rPr>
        <w:t xml:space="preserve">. Further dividend per share is the declared dividend per ordinary share outstanding for the period. As a developed multinational company, being the nestle company has secured its projects and the operation for the year and the future year to </w:t>
      </w:r>
      <w:r w:rsidRPr="00D42640">
        <w:rPr>
          <w:rFonts w:ascii="Times New Roman" w:hAnsi="Times New Roman" w:cs="Times New Roman"/>
          <w:sz w:val="24"/>
          <w:szCs w:val="24"/>
        </w:rPr>
        <w:lastRenderedPageBreak/>
        <w:t>come. Thus, the need to allocate the retained earnings to different objectives is not possessed in the case of the nestle company</w:t>
      </w:r>
      <w:r w:rsidRPr="00D42640">
        <w:rPr>
          <w:rFonts w:ascii="Times New Roman" w:hAnsi="Times New Roman" w:cs="Times New Roman"/>
          <w:color w:val="000000"/>
          <w:sz w:val="24"/>
          <w:szCs w:val="24"/>
          <w:shd w:val="clear" w:color="auto" w:fill="FFFFFF"/>
        </w:rPr>
        <w:t xml:space="preserve"> (</w:t>
      </w:r>
      <w:proofErr w:type="spellStart"/>
      <w:r w:rsidRPr="00D42640">
        <w:rPr>
          <w:rFonts w:ascii="Times New Roman" w:hAnsi="Times New Roman" w:cs="Times New Roman"/>
          <w:color w:val="000000"/>
          <w:sz w:val="24"/>
          <w:szCs w:val="24"/>
          <w:shd w:val="clear" w:color="auto" w:fill="FFFFFF"/>
        </w:rPr>
        <w:t>Khuen</w:t>
      </w:r>
      <w:proofErr w:type="spellEnd"/>
      <w:r w:rsidRPr="00D42640">
        <w:rPr>
          <w:rFonts w:ascii="Times New Roman" w:hAnsi="Times New Roman" w:cs="Times New Roman"/>
          <w:color w:val="000000"/>
          <w:sz w:val="24"/>
          <w:szCs w:val="24"/>
          <w:shd w:val="clear" w:color="auto" w:fill="FFFFFF"/>
        </w:rPr>
        <w:t>, 2020)</w:t>
      </w:r>
      <w:r w:rsidRPr="00D42640">
        <w:rPr>
          <w:rFonts w:ascii="Times New Roman" w:hAnsi="Times New Roman" w:cs="Times New Roman"/>
          <w:sz w:val="24"/>
          <w:szCs w:val="24"/>
        </w:rPr>
        <w:t xml:space="preserve">. Thus, the company follows as their major technique of allocating their majority of the retained earnings to the company's shareholders and stakeholders. </w:t>
      </w:r>
    </w:p>
    <w:p w14:paraId="41D45127"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The details of the last ten years' data can be presented in the form of the closing share price and the dividend per share:</w:t>
      </w:r>
    </w:p>
    <w:p w14:paraId="093A1858"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noProof/>
          <w:sz w:val="24"/>
          <w:szCs w:val="24"/>
        </w:rPr>
        <w:drawing>
          <wp:inline distT="0" distB="0" distL="0" distR="0" wp14:anchorId="1A1BD632" wp14:editId="38F4F316">
            <wp:extent cx="5943600" cy="3613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61315"/>
                    </a:xfrm>
                    <a:prstGeom prst="rect">
                      <a:avLst/>
                    </a:prstGeom>
                  </pic:spPr>
                </pic:pic>
              </a:graphicData>
            </a:graphic>
          </wp:inline>
        </w:drawing>
      </w:r>
    </w:p>
    <w:p w14:paraId="14C48CE9"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noProof/>
          <w:sz w:val="24"/>
          <w:szCs w:val="24"/>
        </w:rPr>
        <w:drawing>
          <wp:inline distT="0" distB="0" distL="0" distR="0" wp14:anchorId="281E724E" wp14:editId="3313CF9C">
            <wp:extent cx="5943600" cy="25234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523490"/>
                    </a:xfrm>
                    <a:prstGeom prst="rect">
                      <a:avLst/>
                    </a:prstGeom>
                  </pic:spPr>
                </pic:pic>
              </a:graphicData>
            </a:graphic>
          </wp:inline>
        </w:drawing>
      </w:r>
    </w:p>
    <w:p w14:paraId="535E8F2D"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Source: Nestle.com</w:t>
      </w:r>
    </w:p>
    <w:p w14:paraId="6DA78497" w14:textId="77777777" w:rsidR="005B70C3" w:rsidRPr="00572ECD" w:rsidRDefault="005B70C3" w:rsidP="00D42640">
      <w:pPr>
        <w:rPr>
          <w:rFonts w:ascii="Times New Roman" w:hAnsi="Times New Roman" w:cs="Times New Roman"/>
          <w:b/>
          <w:bCs/>
          <w:sz w:val="24"/>
          <w:szCs w:val="24"/>
        </w:rPr>
      </w:pPr>
      <w:bookmarkStart w:id="4" w:name="_Toc99800088"/>
      <w:r w:rsidRPr="00572ECD">
        <w:rPr>
          <w:rFonts w:ascii="Times New Roman" w:hAnsi="Times New Roman" w:cs="Times New Roman"/>
          <w:b/>
          <w:bCs/>
          <w:sz w:val="24"/>
          <w:szCs w:val="24"/>
        </w:rPr>
        <w:t>Efficient Market Hypothesis</w:t>
      </w:r>
      <w:bookmarkEnd w:id="4"/>
      <w:r w:rsidRPr="00572ECD">
        <w:rPr>
          <w:rFonts w:ascii="Times New Roman" w:hAnsi="Times New Roman" w:cs="Times New Roman"/>
          <w:b/>
          <w:bCs/>
          <w:sz w:val="24"/>
          <w:szCs w:val="24"/>
        </w:rPr>
        <w:t xml:space="preserve"> </w:t>
      </w:r>
    </w:p>
    <w:p w14:paraId="4E968D7D"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Efficient Market Hypothesis (EMH) theory for any company states the need for the share price to reflect the business's information. It assumes the share price trading at the fair value in the market. </w:t>
      </w:r>
    </w:p>
    <w:p w14:paraId="00BEDF56" w14:textId="644B0E58"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Nestle is a developed company in the market, has always shown significant changes and improved the performance of the comp and provided a valuable return to the shareholders. In </w:t>
      </w:r>
      <w:r w:rsidR="0069560B" w:rsidRPr="00D42640">
        <w:rPr>
          <w:rFonts w:ascii="Times New Roman" w:hAnsi="Times New Roman" w:cs="Times New Roman"/>
          <w:sz w:val="24"/>
          <w:szCs w:val="24"/>
        </w:rPr>
        <w:t>analysing</w:t>
      </w:r>
      <w:r w:rsidRPr="00D42640">
        <w:rPr>
          <w:rFonts w:ascii="Times New Roman" w:hAnsi="Times New Roman" w:cs="Times New Roman"/>
          <w:sz w:val="24"/>
          <w:szCs w:val="24"/>
        </w:rPr>
        <w:t xml:space="preserve"> the EMH, the market for such a company can be seen as very dynamic, where investors do not always outtake rational decisions. One way that has been </w:t>
      </w:r>
      <w:r w:rsidR="0069560B" w:rsidRPr="00D42640">
        <w:rPr>
          <w:rFonts w:ascii="Times New Roman" w:hAnsi="Times New Roman" w:cs="Times New Roman"/>
          <w:sz w:val="24"/>
          <w:szCs w:val="24"/>
        </w:rPr>
        <w:t>analysed</w:t>
      </w:r>
      <w:r w:rsidRPr="00D42640">
        <w:rPr>
          <w:rFonts w:ascii="Times New Roman" w:hAnsi="Times New Roman" w:cs="Times New Roman"/>
          <w:sz w:val="24"/>
          <w:szCs w:val="24"/>
        </w:rPr>
        <w:t xml:space="preserve"> with the aspect of the same is to record the share price movement and the earnings per share</w:t>
      </w:r>
      <w:r w:rsidRPr="00D42640">
        <w:rPr>
          <w:rFonts w:ascii="Times New Roman" w:hAnsi="Times New Roman" w:cs="Times New Roman"/>
          <w:color w:val="000000"/>
          <w:sz w:val="24"/>
          <w:szCs w:val="24"/>
          <w:shd w:val="clear" w:color="auto" w:fill="FFFFFF"/>
        </w:rPr>
        <w:t xml:space="preserve"> (Wall St, 2020)</w:t>
      </w:r>
      <w:r w:rsidRPr="00D42640">
        <w:rPr>
          <w:rFonts w:ascii="Times New Roman" w:hAnsi="Times New Roman" w:cs="Times New Roman"/>
          <w:sz w:val="24"/>
          <w:szCs w:val="24"/>
        </w:rPr>
        <w:t xml:space="preserve">. The same has been </w:t>
      </w:r>
      <w:r w:rsidR="0069560B" w:rsidRPr="00D42640">
        <w:rPr>
          <w:rFonts w:ascii="Times New Roman" w:hAnsi="Times New Roman" w:cs="Times New Roman"/>
          <w:sz w:val="24"/>
          <w:szCs w:val="24"/>
        </w:rPr>
        <w:t>analysed</w:t>
      </w:r>
      <w:r w:rsidRPr="00D42640">
        <w:rPr>
          <w:rFonts w:ascii="Times New Roman" w:hAnsi="Times New Roman" w:cs="Times New Roman"/>
          <w:sz w:val="24"/>
          <w:szCs w:val="24"/>
        </w:rPr>
        <w:t xml:space="preserve"> to provide the Nestle is the balances and the developed stock; concerning future growth, the minimum increase in the EPS led to a significant change in the company's share price.</w:t>
      </w:r>
    </w:p>
    <w:p w14:paraId="358AA170" w14:textId="77777777" w:rsidR="005B70C3" w:rsidRPr="00D42640" w:rsidRDefault="005B70C3" w:rsidP="00D42640">
      <w:pPr>
        <w:rPr>
          <w:rFonts w:ascii="Times New Roman" w:eastAsiaTheme="majorEastAsia" w:hAnsi="Times New Roman" w:cs="Times New Roman"/>
          <w:b/>
          <w:bCs/>
          <w:sz w:val="24"/>
          <w:szCs w:val="24"/>
        </w:rPr>
      </w:pPr>
      <w:r w:rsidRPr="00D42640">
        <w:rPr>
          <w:rFonts w:ascii="Times New Roman" w:hAnsi="Times New Roman" w:cs="Times New Roman"/>
          <w:sz w:val="24"/>
          <w:szCs w:val="24"/>
        </w:rPr>
        <w:br w:type="page"/>
      </w:r>
    </w:p>
    <w:p w14:paraId="22600C33" w14:textId="77777777" w:rsidR="005B70C3" w:rsidRPr="00D42640" w:rsidRDefault="005B70C3" w:rsidP="00D42640">
      <w:pPr>
        <w:rPr>
          <w:rFonts w:ascii="Times New Roman" w:hAnsi="Times New Roman" w:cs="Times New Roman"/>
          <w:sz w:val="24"/>
          <w:szCs w:val="24"/>
        </w:rPr>
      </w:pPr>
      <w:bookmarkStart w:id="5" w:name="_Toc99800089"/>
      <w:r w:rsidRPr="00D42640">
        <w:rPr>
          <w:rFonts w:ascii="Times New Roman" w:hAnsi="Times New Roman" w:cs="Times New Roman"/>
          <w:sz w:val="24"/>
          <w:szCs w:val="24"/>
        </w:rPr>
        <w:lastRenderedPageBreak/>
        <w:t>Project Appraisal Methods</w:t>
      </w:r>
      <w:bookmarkEnd w:id="5"/>
    </w:p>
    <w:p w14:paraId="59C0BC8B" w14:textId="3EBA7126"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Being the project appraisal methods used by the company to evaluate the project findings and the performance for the future years, the common in this aspect can be classified as the PERT, CPM, IRR and NPV. These are conducted as a part of the various techniques used to evaluate the project from the </w:t>
      </w:r>
      <w:r w:rsidR="0069560B" w:rsidRPr="00D42640">
        <w:rPr>
          <w:rFonts w:ascii="Times New Roman" w:hAnsi="Times New Roman" w:cs="Times New Roman"/>
          <w:sz w:val="24"/>
          <w:szCs w:val="24"/>
        </w:rPr>
        <w:t>long-term</w:t>
      </w:r>
      <w:r w:rsidRPr="00D42640">
        <w:rPr>
          <w:rFonts w:ascii="Times New Roman" w:hAnsi="Times New Roman" w:cs="Times New Roman"/>
          <w:sz w:val="24"/>
          <w:szCs w:val="24"/>
        </w:rPr>
        <w:t xml:space="preserve"> perspective. That is classified in terms of technical, economical and finance appraisal. The company projects about greenhouse emissions in recent years, large scale projects for landscape development, advancing the regeneration of the water cycles, zero carbon emission and other management projects are developed by applying the capital budgeting techniques and the methods about the present value </w:t>
      </w:r>
      <w:r w:rsidR="0069560B" w:rsidRPr="00D42640">
        <w:rPr>
          <w:rFonts w:ascii="Times New Roman" w:hAnsi="Times New Roman" w:cs="Times New Roman"/>
          <w:sz w:val="24"/>
          <w:szCs w:val="24"/>
        </w:rPr>
        <w:t>methods (</w:t>
      </w:r>
      <w:r w:rsidRPr="00D42640">
        <w:rPr>
          <w:rFonts w:ascii="Times New Roman" w:hAnsi="Times New Roman" w:cs="Times New Roman"/>
          <w:sz w:val="24"/>
          <w:szCs w:val="24"/>
        </w:rPr>
        <w:t>Annual Report, 2021). The net present value for any project is described and determined as the positive difference of the net cash inflows that the project may generate over the initial cost of the investment at the present value</w:t>
      </w:r>
      <w:r w:rsidRPr="00D42640">
        <w:rPr>
          <w:rFonts w:ascii="Times New Roman" w:hAnsi="Times New Roman" w:cs="Times New Roman"/>
          <w:color w:val="000000"/>
          <w:sz w:val="24"/>
          <w:szCs w:val="24"/>
          <w:shd w:val="clear" w:color="auto" w:fill="FFFFFF"/>
        </w:rPr>
        <w:t xml:space="preserve"> (Woodruff, 2019)</w:t>
      </w:r>
      <w:r w:rsidRPr="00D42640">
        <w:rPr>
          <w:rFonts w:ascii="Times New Roman" w:hAnsi="Times New Roman" w:cs="Times New Roman"/>
          <w:sz w:val="24"/>
          <w:szCs w:val="24"/>
        </w:rPr>
        <w:t xml:space="preserve">. The company development on such thus is taken as a regular project to evaluate the future performance of any company and the related project from the </w:t>
      </w:r>
      <w:r w:rsidR="0069560B" w:rsidRPr="00D42640">
        <w:rPr>
          <w:rFonts w:ascii="Times New Roman" w:hAnsi="Times New Roman" w:cs="Times New Roman"/>
          <w:sz w:val="24"/>
          <w:szCs w:val="24"/>
        </w:rPr>
        <w:t>long-term</w:t>
      </w:r>
      <w:r w:rsidRPr="00D42640">
        <w:rPr>
          <w:rFonts w:ascii="Times New Roman" w:hAnsi="Times New Roman" w:cs="Times New Roman"/>
          <w:sz w:val="24"/>
          <w:szCs w:val="24"/>
        </w:rPr>
        <w:t xml:space="preserve"> perspective. The company overlooks and conducts such proves only in consideration of generating future returns.</w:t>
      </w:r>
    </w:p>
    <w:p w14:paraId="520E0D4B" w14:textId="23A4B357" w:rsidR="005B70C3" w:rsidRPr="00D42640" w:rsidRDefault="0069560B" w:rsidP="00D42640">
      <w:pPr>
        <w:rPr>
          <w:rFonts w:ascii="Times New Roman" w:hAnsi="Times New Roman" w:cs="Times New Roman"/>
          <w:sz w:val="24"/>
          <w:szCs w:val="24"/>
        </w:rPr>
      </w:pPr>
      <w:r w:rsidRPr="00D42640">
        <w:rPr>
          <w:rFonts w:ascii="Times New Roman" w:hAnsi="Times New Roman" w:cs="Times New Roman"/>
          <w:sz w:val="24"/>
          <w:szCs w:val="24"/>
        </w:rPr>
        <w:t>Thus,</w:t>
      </w:r>
      <w:r w:rsidR="005B70C3" w:rsidRPr="00D42640">
        <w:rPr>
          <w:rFonts w:ascii="Times New Roman" w:hAnsi="Times New Roman" w:cs="Times New Roman"/>
          <w:sz w:val="24"/>
          <w:szCs w:val="24"/>
        </w:rPr>
        <w:t xml:space="preserve"> the project appraisal techniques that form part of the above explanation form part of the financial analysis. Other than the financial analysis, it includes the economic analysis and the market analysis that the company considers evaluating the project in terms of what factors it contributes economically and the effect on the share price of the markets. Thus, the discussion on </w:t>
      </w:r>
      <w:r w:rsidRPr="00D42640">
        <w:rPr>
          <w:rFonts w:ascii="Times New Roman" w:hAnsi="Times New Roman" w:cs="Times New Roman"/>
          <w:sz w:val="24"/>
          <w:szCs w:val="24"/>
        </w:rPr>
        <w:t>analysing</w:t>
      </w:r>
      <w:r w:rsidR="005B70C3" w:rsidRPr="00D42640">
        <w:rPr>
          <w:rFonts w:ascii="Times New Roman" w:hAnsi="Times New Roman" w:cs="Times New Roman"/>
          <w:sz w:val="24"/>
          <w:szCs w:val="24"/>
        </w:rPr>
        <w:t xml:space="preserve"> the project is followed by many aspects. For a company like Nestle, various management techniques for </w:t>
      </w:r>
      <w:r w:rsidRPr="00D42640">
        <w:rPr>
          <w:rFonts w:ascii="Times New Roman" w:hAnsi="Times New Roman" w:cs="Times New Roman"/>
          <w:sz w:val="24"/>
          <w:szCs w:val="24"/>
        </w:rPr>
        <w:t>analysing</w:t>
      </w:r>
      <w:r w:rsidR="005B70C3" w:rsidRPr="00D42640">
        <w:rPr>
          <w:rFonts w:ascii="Times New Roman" w:hAnsi="Times New Roman" w:cs="Times New Roman"/>
          <w:sz w:val="24"/>
          <w:szCs w:val="24"/>
        </w:rPr>
        <w:t xml:space="preserve"> the various projects for a particular period are </w:t>
      </w:r>
      <w:r w:rsidRPr="00D42640">
        <w:rPr>
          <w:rFonts w:ascii="Times New Roman" w:hAnsi="Times New Roman" w:cs="Times New Roman"/>
          <w:sz w:val="24"/>
          <w:szCs w:val="24"/>
        </w:rPr>
        <w:t>analysed</w:t>
      </w:r>
      <w:r w:rsidR="005B70C3" w:rsidRPr="00D42640">
        <w:rPr>
          <w:rFonts w:ascii="Times New Roman" w:hAnsi="Times New Roman" w:cs="Times New Roman"/>
          <w:sz w:val="24"/>
          <w:szCs w:val="24"/>
        </w:rPr>
        <w:t xml:space="preserve"> to regulate various appraisal techniques. </w:t>
      </w:r>
    </w:p>
    <w:p w14:paraId="0020C633"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br w:type="page"/>
      </w:r>
    </w:p>
    <w:p w14:paraId="04603EBD" w14:textId="77777777" w:rsidR="005B70C3" w:rsidRPr="00D42640" w:rsidRDefault="005B70C3" w:rsidP="00D42640">
      <w:pPr>
        <w:rPr>
          <w:rFonts w:ascii="Times New Roman" w:hAnsi="Times New Roman" w:cs="Times New Roman"/>
          <w:sz w:val="24"/>
          <w:szCs w:val="24"/>
        </w:rPr>
      </w:pPr>
      <w:bookmarkStart w:id="6" w:name="_Toc99800090"/>
      <w:r w:rsidRPr="00D42640">
        <w:rPr>
          <w:rFonts w:ascii="Times New Roman" w:hAnsi="Times New Roman" w:cs="Times New Roman"/>
          <w:sz w:val="24"/>
          <w:szCs w:val="24"/>
        </w:rPr>
        <w:lastRenderedPageBreak/>
        <w:t>Conclusion</w:t>
      </w:r>
      <w:bookmarkEnd w:id="6"/>
    </w:p>
    <w:p w14:paraId="7B539294" w14:textId="14BF02D5"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t xml:space="preserve">The report on the developed company has been chosen in this aspect has been </w:t>
      </w:r>
      <w:r w:rsidR="0069560B" w:rsidRPr="00D42640">
        <w:rPr>
          <w:rFonts w:ascii="Times New Roman" w:hAnsi="Times New Roman" w:cs="Times New Roman"/>
          <w:sz w:val="24"/>
          <w:szCs w:val="24"/>
        </w:rPr>
        <w:t>analysed</w:t>
      </w:r>
      <w:r w:rsidRPr="00D42640">
        <w:rPr>
          <w:rFonts w:ascii="Times New Roman" w:hAnsi="Times New Roman" w:cs="Times New Roman"/>
          <w:sz w:val="24"/>
          <w:szCs w:val="24"/>
        </w:rPr>
        <w:t xml:space="preserve"> to perform the basic explanation to the developments of the analysis on the various techniques used by the company as a regulated process to evaluate various projects of the company. The company's finances and the other aspects of the period have been </w:t>
      </w:r>
      <w:r w:rsidR="0069560B" w:rsidRPr="00D42640">
        <w:rPr>
          <w:rFonts w:ascii="Times New Roman" w:hAnsi="Times New Roman" w:cs="Times New Roman"/>
          <w:sz w:val="24"/>
          <w:szCs w:val="24"/>
        </w:rPr>
        <w:t>analysed</w:t>
      </w:r>
      <w:r w:rsidRPr="00D42640">
        <w:rPr>
          <w:rFonts w:ascii="Times New Roman" w:hAnsi="Times New Roman" w:cs="Times New Roman"/>
          <w:sz w:val="24"/>
          <w:szCs w:val="24"/>
        </w:rPr>
        <w:t xml:space="preserve"> to comment on the distribution policy methods that the company has been using over the periods and the challenges that the company is facing in the international financial market. The internal finance market of the company thus has been developed to provide the requirements it fulfils to achieve the targets and the objectives of the company regarding international trade and transactions. </w:t>
      </w:r>
    </w:p>
    <w:p w14:paraId="502B2FA3" w14:textId="77777777"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rPr>
        <w:br w:type="page"/>
      </w:r>
    </w:p>
    <w:p w14:paraId="23CF5B41" w14:textId="77777777" w:rsidR="005B70C3" w:rsidRPr="00D42640" w:rsidRDefault="005B70C3" w:rsidP="00D42640">
      <w:pPr>
        <w:rPr>
          <w:rFonts w:ascii="Times New Roman" w:hAnsi="Times New Roman" w:cs="Times New Roman"/>
          <w:sz w:val="24"/>
          <w:szCs w:val="24"/>
        </w:rPr>
      </w:pPr>
      <w:bookmarkStart w:id="7" w:name="_Toc99800091"/>
      <w:r w:rsidRPr="00D42640">
        <w:rPr>
          <w:rFonts w:ascii="Times New Roman" w:hAnsi="Times New Roman" w:cs="Times New Roman"/>
          <w:sz w:val="24"/>
          <w:szCs w:val="24"/>
        </w:rPr>
        <w:lastRenderedPageBreak/>
        <w:t>References</w:t>
      </w:r>
      <w:bookmarkEnd w:id="7"/>
    </w:p>
    <w:p w14:paraId="64EC9AB0" w14:textId="77777777" w:rsidR="005B70C3" w:rsidRPr="00D42640" w:rsidRDefault="005B70C3" w:rsidP="00D42640">
      <w:pPr>
        <w:rPr>
          <w:rFonts w:ascii="Times New Roman" w:hAnsi="Times New Roman" w:cs="Times New Roman"/>
          <w:sz w:val="24"/>
          <w:szCs w:val="24"/>
          <w:shd w:val="clear" w:color="auto" w:fill="FFFFFF"/>
        </w:rPr>
      </w:pPr>
      <w:r w:rsidRPr="00D42640">
        <w:rPr>
          <w:rFonts w:ascii="Times New Roman" w:hAnsi="Times New Roman" w:cs="Times New Roman"/>
          <w:sz w:val="24"/>
          <w:szCs w:val="24"/>
        </w:rPr>
        <w:t xml:space="preserve">Annual Report, 2021, Nestle, </w:t>
      </w:r>
      <w:r w:rsidRPr="00D42640">
        <w:rPr>
          <w:rFonts w:ascii="Times New Roman" w:hAnsi="Times New Roman" w:cs="Times New Roman"/>
          <w:sz w:val="24"/>
          <w:szCs w:val="24"/>
          <w:shd w:val="clear" w:color="auto" w:fill="FFFFFF"/>
        </w:rPr>
        <w:t>[online]. Available at:</w:t>
      </w:r>
      <w:r w:rsidRPr="00D42640">
        <w:rPr>
          <w:rFonts w:ascii="Times New Roman" w:hAnsi="Times New Roman" w:cs="Times New Roman"/>
          <w:sz w:val="24"/>
          <w:szCs w:val="24"/>
        </w:rPr>
        <w:t xml:space="preserve"> </w:t>
      </w:r>
      <w:hyperlink r:id="rId11" w:history="1">
        <w:r w:rsidRPr="00D42640">
          <w:rPr>
            <w:rStyle w:val="Hyperlink"/>
            <w:rFonts w:ascii="Times New Roman" w:hAnsi="Times New Roman" w:cs="Times New Roman"/>
            <w:sz w:val="24"/>
            <w:szCs w:val="24"/>
          </w:rPr>
          <w:t>https://www.nestle.com/sites/default/files/2022-03/2021-annual-review-en.pdf</w:t>
        </w:r>
      </w:hyperlink>
      <w:r w:rsidRPr="00D42640">
        <w:rPr>
          <w:rFonts w:ascii="Times New Roman" w:hAnsi="Times New Roman" w:cs="Times New Roman"/>
          <w:sz w:val="24"/>
          <w:szCs w:val="24"/>
          <w:shd w:val="clear" w:color="auto" w:fill="FFFFFF"/>
        </w:rPr>
        <w:t xml:space="preserve"> </w:t>
      </w:r>
    </w:p>
    <w:p w14:paraId="63F7361D" w14:textId="781A475F" w:rsidR="005B70C3" w:rsidRPr="00D42640" w:rsidRDefault="005B70C3" w:rsidP="00D42640">
      <w:pPr>
        <w:rPr>
          <w:rFonts w:ascii="Times New Roman" w:hAnsi="Times New Roman" w:cs="Times New Roman"/>
          <w:sz w:val="24"/>
          <w:szCs w:val="24"/>
        </w:rPr>
      </w:pPr>
      <w:proofErr w:type="spellStart"/>
      <w:r w:rsidRPr="00D42640">
        <w:rPr>
          <w:rFonts w:ascii="Times New Roman" w:hAnsi="Times New Roman" w:cs="Times New Roman"/>
          <w:sz w:val="24"/>
          <w:szCs w:val="24"/>
          <w:shd w:val="clear" w:color="auto" w:fill="FFFFFF"/>
        </w:rPr>
        <w:t>Khuen</w:t>
      </w:r>
      <w:proofErr w:type="spellEnd"/>
      <w:r w:rsidRPr="00D42640">
        <w:rPr>
          <w:rFonts w:ascii="Times New Roman" w:hAnsi="Times New Roman" w:cs="Times New Roman"/>
          <w:sz w:val="24"/>
          <w:szCs w:val="24"/>
          <w:shd w:val="clear" w:color="auto" w:fill="FFFFFF"/>
        </w:rPr>
        <w:t xml:space="preserve">, W, L., 2020. Nestle maintains 95% dividend </w:t>
      </w:r>
      <w:r w:rsidR="00572ECD" w:rsidRPr="00D42640">
        <w:rPr>
          <w:rFonts w:ascii="Times New Roman" w:hAnsi="Times New Roman" w:cs="Times New Roman"/>
          <w:sz w:val="24"/>
          <w:szCs w:val="24"/>
          <w:shd w:val="clear" w:color="auto" w:fill="FFFFFF"/>
        </w:rPr>
        <w:t>pay-out</w:t>
      </w:r>
      <w:r w:rsidRPr="00D42640">
        <w:rPr>
          <w:rFonts w:ascii="Times New Roman" w:hAnsi="Times New Roman" w:cs="Times New Roman"/>
          <w:sz w:val="24"/>
          <w:szCs w:val="24"/>
          <w:shd w:val="clear" w:color="auto" w:fill="FFFFFF"/>
        </w:rPr>
        <w:t xml:space="preserve"> policy despite challenging environment. Available at:</w:t>
      </w:r>
      <w:r w:rsidRPr="00D42640">
        <w:rPr>
          <w:rFonts w:ascii="Times New Roman" w:hAnsi="Times New Roman" w:cs="Times New Roman"/>
          <w:sz w:val="24"/>
          <w:szCs w:val="24"/>
        </w:rPr>
        <w:t xml:space="preserve"> </w:t>
      </w:r>
      <w:hyperlink r:id="rId12" w:history="1">
        <w:r w:rsidRPr="00D42640">
          <w:rPr>
            <w:rStyle w:val="Hyperlink"/>
            <w:rFonts w:ascii="Times New Roman" w:hAnsi="Times New Roman" w:cs="Times New Roman"/>
            <w:sz w:val="24"/>
            <w:szCs w:val="24"/>
            <w:shd w:val="clear" w:color="auto" w:fill="FFFFFF"/>
          </w:rPr>
          <w:t>https://www.theedgemarkets.com/article/nestle-maintains-95-dividend-payout-policy-despite-challenging-environment</w:t>
        </w:r>
      </w:hyperlink>
      <w:r w:rsidRPr="00D42640">
        <w:rPr>
          <w:rFonts w:ascii="Times New Roman" w:hAnsi="Times New Roman" w:cs="Times New Roman"/>
          <w:sz w:val="24"/>
          <w:szCs w:val="24"/>
          <w:shd w:val="clear" w:color="auto" w:fill="FFFFFF"/>
        </w:rPr>
        <w:t xml:space="preserve"> </w:t>
      </w:r>
      <w:r w:rsidRPr="00D42640">
        <w:rPr>
          <w:rFonts w:ascii="Times New Roman" w:hAnsi="Times New Roman" w:cs="Times New Roman"/>
          <w:sz w:val="24"/>
          <w:szCs w:val="24"/>
        </w:rPr>
        <w:t xml:space="preserve"> </w:t>
      </w:r>
      <w:r w:rsidRPr="00D42640">
        <w:rPr>
          <w:rFonts w:ascii="Times New Roman" w:hAnsi="Times New Roman" w:cs="Times New Roman"/>
          <w:sz w:val="24"/>
          <w:szCs w:val="24"/>
          <w:shd w:val="clear" w:color="auto" w:fill="FFFFFF"/>
        </w:rPr>
        <w:t>[Accessed 02 April 2022].</w:t>
      </w:r>
    </w:p>
    <w:p w14:paraId="1DE3F11F" w14:textId="77777777" w:rsidR="005B70C3" w:rsidRPr="00D42640" w:rsidRDefault="005B70C3" w:rsidP="00D42640">
      <w:pPr>
        <w:rPr>
          <w:rFonts w:ascii="Times New Roman" w:hAnsi="Times New Roman" w:cs="Times New Roman"/>
          <w:sz w:val="24"/>
          <w:szCs w:val="24"/>
          <w:shd w:val="clear" w:color="auto" w:fill="FFFFFF"/>
        </w:rPr>
      </w:pPr>
      <w:r w:rsidRPr="00D42640">
        <w:rPr>
          <w:rFonts w:ascii="Times New Roman" w:hAnsi="Times New Roman" w:cs="Times New Roman"/>
          <w:sz w:val="24"/>
          <w:szCs w:val="24"/>
          <w:shd w:val="clear" w:color="auto" w:fill="FFFFFF"/>
        </w:rPr>
        <w:t>Madura, J., 2020. </w:t>
      </w:r>
      <w:r w:rsidRPr="00D42640">
        <w:rPr>
          <w:rFonts w:ascii="Times New Roman" w:hAnsi="Times New Roman" w:cs="Times New Roman"/>
          <w:i/>
          <w:iCs/>
          <w:sz w:val="24"/>
          <w:szCs w:val="24"/>
          <w:shd w:val="clear" w:color="auto" w:fill="FFFFFF"/>
        </w:rPr>
        <w:t>International financial management</w:t>
      </w:r>
      <w:r w:rsidRPr="00D42640">
        <w:rPr>
          <w:rFonts w:ascii="Times New Roman" w:hAnsi="Times New Roman" w:cs="Times New Roman"/>
          <w:sz w:val="24"/>
          <w:szCs w:val="24"/>
          <w:shd w:val="clear" w:color="auto" w:fill="FFFFFF"/>
        </w:rPr>
        <w:t xml:space="preserve">. Cengage Learning. </w:t>
      </w:r>
      <w:hyperlink r:id="rId13" w:history="1">
        <w:r w:rsidRPr="00D42640">
          <w:rPr>
            <w:rStyle w:val="Hyperlink"/>
            <w:rFonts w:ascii="Times New Roman" w:hAnsi="Times New Roman" w:cs="Times New Roman"/>
            <w:sz w:val="24"/>
            <w:szCs w:val="24"/>
            <w:shd w:val="clear" w:color="auto" w:fill="FFFFFF"/>
          </w:rPr>
          <w:t>http://197.156.112.159/bitstream/handle/123456789/1334/International%20Financial%20Management%2C%20Abridged%20Edition%20%28%20PDFDrive.com%20%29.pdf?sequence=1&amp;isAllowed=y</w:t>
        </w:r>
      </w:hyperlink>
      <w:r w:rsidRPr="00D42640">
        <w:rPr>
          <w:rFonts w:ascii="Times New Roman" w:hAnsi="Times New Roman" w:cs="Times New Roman"/>
          <w:sz w:val="24"/>
          <w:szCs w:val="24"/>
          <w:shd w:val="clear" w:color="auto" w:fill="FFFFFF"/>
        </w:rPr>
        <w:t xml:space="preserve"> </w:t>
      </w:r>
    </w:p>
    <w:p w14:paraId="4CA5EC08" w14:textId="1C2C75A9" w:rsidR="005B70C3" w:rsidRPr="00D42640" w:rsidRDefault="005B70C3" w:rsidP="00D42640">
      <w:pPr>
        <w:rPr>
          <w:rFonts w:ascii="Times New Roman" w:hAnsi="Times New Roman" w:cs="Times New Roman"/>
          <w:sz w:val="24"/>
          <w:szCs w:val="24"/>
        </w:rPr>
      </w:pPr>
      <w:r w:rsidRPr="00D42640">
        <w:rPr>
          <w:rFonts w:ascii="Times New Roman" w:hAnsi="Times New Roman" w:cs="Times New Roman"/>
          <w:sz w:val="24"/>
          <w:szCs w:val="24"/>
          <w:shd w:val="clear" w:color="auto" w:fill="FFFFFF"/>
        </w:rPr>
        <w:t>Wall St, S., 2020. </w:t>
      </w:r>
      <w:r w:rsidRPr="00D42640">
        <w:rPr>
          <w:rFonts w:ascii="Times New Roman" w:hAnsi="Times New Roman" w:cs="Times New Roman"/>
          <w:sz w:val="24"/>
          <w:szCs w:val="24"/>
        </w:rPr>
        <w:t>Shareholders Of Nestlé (</w:t>
      </w:r>
      <w:proofErr w:type="gramStart"/>
      <w:r w:rsidRPr="00D42640">
        <w:rPr>
          <w:rFonts w:ascii="Times New Roman" w:hAnsi="Times New Roman" w:cs="Times New Roman"/>
          <w:sz w:val="24"/>
          <w:szCs w:val="24"/>
        </w:rPr>
        <w:t>VTX:NESN</w:t>
      </w:r>
      <w:proofErr w:type="gramEnd"/>
      <w:r w:rsidRPr="00D42640">
        <w:rPr>
          <w:rFonts w:ascii="Times New Roman" w:hAnsi="Times New Roman" w:cs="Times New Roman"/>
          <w:sz w:val="24"/>
          <w:szCs w:val="24"/>
        </w:rPr>
        <w:t xml:space="preserve">) Must Be Happy With Their 64% Return. </w:t>
      </w:r>
      <w:r w:rsidRPr="00D42640">
        <w:rPr>
          <w:rFonts w:ascii="Times New Roman" w:hAnsi="Times New Roman" w:cs="Times New Roman"/>
          <w:sz w:val="24"/>
          <w:szCs w:val="24"/>
          <w:shd w:val="clear" w:color="auto" w:fill="FFFFFF"/>
        </w:rPr>
        <w:t xml:space="preserve">Available at: </w:t>
      </w:r>
      <w:hyperlink r:id="rId14" w:history="1">
        <w:r w:rsidRPr="00D42640">
          <w:rPr>
            <w:rStyle w:val="Hyperlink"/>
            <w:rFonts w:ascii="Times New Roman" w:hAnsi="Times New Roman" w:cs="Times New Roman"/>
            <w:sz w:val="24"/>
            <w:szCs w:val="24"/>
          </w:rPr>
          <w:t>https://finance.yahoo.com/news/shareholders-nestl-vtx-nesn-must-082427304.html</w:t>
        </w:r>
      </w:hyperlink>
      <w:r w:rsidRPr="00D42640">
        <w:rPr>
          <w:rFonts w:ascii="Times New Roman" w:hAnsi="Times New Roman" w:cs="Times New Roman"/>
          <w:sz w:val="24"/>
          <w:szCs w:val="24"/>
        </w:rPr>
        <w:t xml:space="preserve"> </w:t>
      </w:r>
      <w:r w:rsidRPr="00D42640">
        <w:rPr>
          <w:rFonts w:ascii="Times New Roman" w:hAnsi="Times New Roman" w:cs="Times New Roman"/>
          <w:sz w:val="24"/>
          <w:szCs w:val="24"/>
          <w:shd w:val="clear" w:color="auto" w:fill="FFFFFF"/>
        </w:rPr>
        <w:t xml:space="preserve">[Accessed </w:t>
      </w:r>
      <w:r w:rsidR="005E67CC">
        <w:rPr>
          <w:rFonts w:ascii="Times New Roman" w:hAnsi="Times New Roman" w:cs="Times New Roman"/>
          <w:sz w:val="24"/>
          <w:szCs w:val="24"/>
          <w:shd w:val="clear" w:color="auto" w:fill="FFFFFF"/>
        </w:rPr>
        <w:t>12</w:t>
      </w:r>
      <w:r w:rsidRPr="00D42640">
        <w:rPr>
          <w:rFonts w:ascii="Times New Roman" w:hAnsi="Times New Roman" w:cs="Times New Roman"/>
          <w:sz w:val="24"/>
          <w:szCs w:val="24"/>
          <w:shd w:val="clear" w:color="auto" w:fill="FFFFFF"/>
        </w:rPr>
        <w:t xml:space="preserve"> April 2022].</w:t>
      </w:r>
    </w:p>
    <w:p w14:paraId="145CCA79" w14:textId="13548002" w:rsidR="005B70C3" w:rsidRPr="00D42640" w:rsidRDefault="005B70C3" w:rsidP="00D42640">
      <w:pPr>
        <w:rPr>
          <w:rFonts w:ascii="Times New Roman" w:hAnsi="Times New Roman" w:cs="Times New Roman"/>
          <w:sz w:val="24"/>
          <w:szCs w:val="24"/>
          <w:shd w:val="clear" w:color="auto" w:fill="FFFFFF"/>
        </w:rPr>
      </w:pPr>
      <w:r w:rsidRPr="00D42640">
        <w:rPr>
          <w:rFonts w:ascii="Times New Roman" w:hAnsi="Times New Roman" w:cs="Times New Roman"/>
          <w:sz w:val="24"/>
          <w:szCs w:val="24"/>
          <w:shd w:val="clear" w:color="auto" w:fill="FFFFFF"/>
        </w:rPr>
        <w:t>Woodruff, J., 2019. </w:t>
      </w:r>
      <w:r w:rsidRPr="00D42640">
        <w:rPr>
          <w:rFonts w:ascii="Times New Roman" w:hAnsi="Times New Roman" w:cs="Times New Roman"/>
          <w:iCs/>
          <w:sz w:val="24"/>
          <w:szCs w:val="24"/>
          <w:shd w:val="clear" w:color="auto" w:fill="FFFFFF"/>
        </w:rPr>
        <w:t>Future Value vs. Present Value</w:t>
      </w:r>
      <w:r w:rsidRPr="00D42640">
        <w:rPr>
          <w:rFonts w:ascii="Times New Roman" w:hAnsi="Times New Roman" w:cs="Times New Roman"/>
          <w:sz w:val="24"/>
          <w:szCs w:val="24"/>
          <w:shd w:val="clear" w:color="auto" w:fill="FFFFFF"/>
        </w:rPr>
        <w:t xml:space="preserve">. </w:t>
      </w:r>
      <w:r w:rsidRPr="00D42640">
        <w:rPr>
          <w:rFonts w:ascii="Times New Roman" w:hAnsi="Times New Roman" w:cs="Times New Roman"/>
          <w:i/>
          <w:sz w:val="24"/>
          <w:szCs w:val="24"/>
          <w:shd w:val="clear" w:color="auto" w:fill="FFFFFF"/>
        </w:rPr>
        <w:t>Small Business - Chron.com</w:t>
      </w:r>
      <w:r w:rsidRPr="00D42640">
        <w:rPr>
          <w:rFonts w:ascii="Times New Roman" w:hAnsi="Times New Roman" w:cs="Times New Roman"/>
          <w:sz w:val="24"/>
          <w:szCs w:val="24"/>
          <w:shd w:val="clear" w:color="auto" w:fill="FFFFFF"/>
        </w:rPr>
        <w:t xml:space="preserve">. Available at: </w:t>
      </w:r>
      <w:hyperlink r:id="rId15" w:history="1">
        <w:r w:rsidRPr="00D42640">
          <w:rPr>
            <w:rStyle w:val="Hyperlink"/>
            <w:rFonts w:ascii="Times New Roman" w:hAnsi="Times New Roman" w:cs="Times New Roman"/>
            <w:sz w:val="24"/>
            <w:szCs w:val="24"/>
            <w:shd w:val="clear" w:color="auto" w:fill="FFFFFF"/>
          </w:rPr>
          <w:t>https://smallbusiness.chron.com/future-value-vs-present-value-77714.html</w:t>
        </w:r>
      </w:hyperlink>
      <w:r w:rsidRPr="00D42640">
        <w:rPr>
          <w:rFonts w:ascii="Times New Roman" w:hAnsi="Times New Roman" w:cs="Times New Roman"/>
          <w:sz w:val="24"/>
          <w:szCs w:val="24"/>
          <w:shd w:val="clear" w:color="auto" w:fill="FFFFFF"/>
        </w:rPr>
        <w:t xml:space="preserve"> [Accessed </w:t>
      </w:r>
      <w:r w:rsidR="005E67CC">
        <w:rPr>
          <w:rFonts w:ascii="Times New Roman" w:hAnsi="Times New Roman" w:cs="Times New Roman"/>
          <w:sz w:val="24"/>
          <w:szCs w:val="24"/>
          <w:shd w:val="clear" w:color="auto" w:fill="FFFFFF"/>
        </w:rPr>
        <w:t>11</w:t>
      </w:r>
      <w:r w:rsidRPr="00D42640">
        <w:rPr>
          <w:rFonts w:ascii="Times New Roman" w:hAnsi="Times New Roman" w:cs="Times New Roman"/>
          <w:sz w:val="24"/>
          <w:szCs w:val="24"/>
          <w:shd w:val="clear" w:color="auto" w:fill="FFFFFF"/>
        </w:rPr>
        <w:t xml:space="preserve"> April 2022]</w:t>
      </w:r>
    </w:p>
    <w:p w14:paraId="46D03615" w14:textId="77777777" w:rsidR="005B70C3" w:rsidRPr="00D42640" w:rsidRDefault="005B70C3" w:rsidP="00D42640">
      <w:pPr>
        <w:rPr>
          <w:rFonts w:ascii="Times New Roman" w:hAnsi="Times New Roman" w:cs="Times New Roman"/>
          <w:sz w:val="24"/>
          <w:szCs w:val="24"/>
        </w:rPr>
      </w:pPr>
    </w:p>
    <w:p w14:paraId="3CB7B153" w14:textId="77777777" w:rsidR="005B70C3" w:rsidRPr="00D42640" w:rsidRDefault="005B70C3" w:rsidP="00D42640">
      <w:pPr>
        <w:rPr>
          <w:rFonts w:ascii="Times New Roman" w:hAnsi="Times New Roman" w:cs="Times New Roman"/>
          <w:sz w:val="24"/>
          <w:szCs w:val="24"/>
        </w:rPr>
      </w:pPr>
    </w:p>
    <w:p w14:paraId="6E1A93FE" w14:textId="77777777" w:rsidR="005B70C3" w:rsidRPr="00D42640" w:rsidRDefault="005B70C3" w:rsidP="00D42640">
      <w:pPr>
        <w:rPr>
          <w:rFonts w:ascii="Times New Roman" w:hAnsi="Times New Roman" w:cs="Times New Roman"/>
          <w:sz w:val="24"/>
          <w:szCs w:val="24"/>
        </w:rPr>
      </w:pPr>
    </w:p>
    <w:p w14:paraId="73A8C689" w14:textId="77777777" w:rsidR="005B70C3" w:rsidRPr="00D42640" w:rsidRDefault="005B70C3" w:rsidP="00D42640">
      <w:pPr>
        <w:rPr>
          <w:rFonts w:ascii="Times New Roman" w:hAnsi="Times New Roman" w:cs="Times New Roman"/>
          <w:sz w:val="24"/>
          <w:szCs w:val="24"/>
        </w:rPr>
      </w:pPr>
    </w:p>
    <w:sectPr w:rsidR="005B70C3" w:rsidRPr="00D42640" w:rsidSect="00572E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10836"/>
    <w:multiLevelType w:val="hybridMultilevel"/>
    <w:tmpl w:val="AD8677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B72A24"/>
    <w:multiLevelType w:val="hybridMultilevel"/>
    <w:tmpl w:val="E43677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93E5822"/>
    <w:multiLevelType w:val="hybridMultilevel"/>
    <w:tmpl w:val="32DA55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7257245">
    <w:abstractNumId w:val="0"/>
  </w:num>
  <w:num w:numId="2" w16cid:durableId="2146503778">
    <w:abstractNumId w:val="2"/>
  </w:num>
  <w:num w:numId="3" w16cid:durableId="785151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35"/>
    <w:rsid w:val="00036CEE"/>
    <w:rsid w:val="000E7D92"/>
    <w:rsid w:val="00396835"/>
    <w:rsid w:val="00445BE4"/>
    <w:rsid w:val="00572ECD"/>
    <w:rsid w:val="0059295C"/>
    <w:rsid w:val="005B70C3"/>
    <w:rsid w:val="005C2A1D"/>
    <w:rsid w:val="005D2DAB"/>
    <w:rsid w:val="005E67CC"/>
    <w:rsid w:val="0069560B"/>
    <w:rsid w:val="0081059C"/>
    <w:rsid w:val="00985716"/>
    <w:rsid w:val="00B33E87"/>
    <w:rsid w:val="00B54EE8"/>
    <w:rsid w:val="00B8180B"/>
    <w:rsid w:val="00D42640"/>
    <w:rsid w:val="00E002F7"/>
    <w:rsid w:val="00FA0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28A90"/>
  <w15:chartTrackingRefBased/>
  <w15:docId w15:val="{15E264EB-1A56-4BA7-AE4A-3403A021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0B"/>
  </w:style>
  <w:style w:type="paragraph" w:styleId="Heading1">
    <w:name w:val="heading 1"/>
    <w:basedOn w:val="Normal"/>
    <w:next w:val="Normal"/>
    <w:link w:val="Heading1Char"/>
    <w:uiPriority w:val="9"/>
    <w:qFormat/>
    <w:rsid w:val="005B70C3"/>
    <w:pPr>
      <w:keepNext/>
      <w:keepLines/>
      <w:spacing w:before="480" w:after="0" w:line="360" w:lineRule="auto"/>
      <w:jc w:val="both"/>
      <w:outlineLvl w:val="0"/>
    </w:pPr>
    <w:rPr>
      <w:rFonts w:ascii="Times New Roman" w:eastAsiaTheme="majorEastAsia" w:hAnsi="Times New Roman" w:cstheme="majorBidi"/>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180B"/>
    <w:pPr>
      <w:spacing w:after="0" w:line="240" w:lineRule="auto"/>
    </w:pPr>
  </w:style>
  <w:style w:type="paragraph" w:styleId="ListParagraph">
    <w:name w:val="List Paragraph"/>
    <w:basedOn w:val="Normal"/>
    <w:uiPriority w:val="34"/>
    <w:qFormat/>
    <w:rsid w:val="00B8180B"/>
    <w:pPr>
      <w:ind w:left="720"/>
      <w:contextualSpacing/>
    </w:pPr>
  </w:style>
  <w:style w:type="character" w:customStyle="1" w:styleId="Heading1Char">
    <w:name w:val="Heading 1 Char"/>
    <w:basedOn w:val="DefaultParagraphFont"/>
    <w:link w:val="Heading1"/>
    <w:uiPriority w:val="9"/>
    <w:rsid w:val="005B70C3"/>
    <w:rPr>
      <w:rFonts w:ascii="Times New Roman" w:eastAsiaTheme="majorEastAsia" w:hAnsi="Times New Roman" w:cstheme="majorBidi"/>
      <w:b/>
      <w:bCs/>
      <w:sz w:val="28"/>
      <w:szCs w:val="28"/>
      <w:lang w:val="en-US"/>
    </w:rPr>
  </w:style>
  <w:style w:type="character" w:styleId="Hyperlink">
    <w:name w:val="Hyperlink"/>
    <w:basedOn w:val="DefaultParagraphFont"/>
    <w:uiPriority w:val="99"/>
    <w:unhideWhenUsed/>
    <w:rsid w:val="005B70C3"/>
    <w:rPr>
      <w:color w:val="0000FF" w:themeColor="hyperlink"/>
      <w:u w:val="single"/>
    </w:rPr>
  </w:style>
  <w:style w:type="paragraph" w:styleId="TOCHeading">
    <w:name w:val="TOC Heading"/>
    <w:basedOn w:val="Heading1"/>
    <w:next w:val="Normal"/>
    <w:uiPriority w:val="39"/>
    <w:semiHidden/>
    <w:unhideWhenUsed/>
    <w:qFormat/>
    <w:rsid w:val="005D2DAB"/>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D2DAB"/>
    <w:pPr>
      <w:spacing w:after="100" w:line="360" w:lineRule="auto"/>
      <w:jc w:val="both"/>
    </w:pPr>
    <w:rPr>
      <w:rFonts w:ascii="Times New Roman" w:hAnsi="Times New Roman"/>
      <w:sz w:val="24"/>
      <w:lang w:val="en-US"/>
    </w:rPr>
  </w:style>
  <w:style w:type="character" w:customStyle="1" w:styleId="NoSpacingChar">
    <w:name w:val="No Spacing Char"/>
    <w:basedOn w:val="DefaultParagraphFont"/>
    <w:link w:val="NoSpacing"/>
    <w:uiPriority w:val="1"/>
    <w:rsid w:val="00572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197.156.112.159/bitstream/handle/123456789/1334/International%20Financial%20Management%2C%20Abridged%20Edition%20%28%20PDFDrive.com%20%29.pdf?sequence=1&amp;isAllowed=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heedgemarkets.com/article/nestle-maintains-95-dividend-payout-policy-despite-challenging-environ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estle.com/sites/default/files/2022-03/2021-annual-review-en.pdf" TargetMode="External"/><Relationship Id="rId5" Type="http://schemas.openxmlformats.org/officeDocument/2006/relationships/webSettings" Target="webSettings.xml"/><Relationship Id="rId15" Type="http://schemas.openxmlformats.org/officeDocument/2006/relationships/hyperlink" Target="https://smallbusiness.chron.com/future-value-vs-present-value-77714.html"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finance.yahoo.com/news/shareholders-nestl-vtx-nesn-must-082427304.html"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Assignment Title: Nestle – Financial evaluation
Module Lecturer’s Name: Hossein Shokri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Assessment 1</dc:subject>
  <dc:creator>Nicoleta Angeluta - 1914622</dc:creator>
  <cp:keywords/>
  <dc:description/>
  <cp:lastModifiedBy>Nicole Angheluta</cp:lastModifiedBy>
  <cp:revision>12</cp:revision>
  <dcterms:created xsi:type="dcterms:W3CDTF">2022-04-13T10:59:00Z</dcterms:created>
  <dcterms:modified xsi:type="dcterms:W3CDTF">2022-04-14T13:02:00Z</dcterms:modified>
</cp:coreProperties>
</file>