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9B1F0B"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526C6CF0"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87761D">
        <w:rPr>
          <w:rFonts w:ascii="Arial" w:hAnsi="Arial" w:cs="Arial"/>
          <w:sz w:val="28"/>
          <w:szCs w:val="28"/>
          <w:lang w:val="nl-NL"/>
        </w:rPr>
        <w:t>Introduction to Health and Social Care</w:t>
      </w:r>
    </w:p>
    <w:p w14:paraId="537571AF" w14:textId="5730C1D5"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87761D" w:rsidRPr="0087761D">
        <w:t xml:space="preserve"> </w:t>
      </w:r>
      <w:r w:rsidR="0087761D" w:rsidRPr="0087761D">
        <w:rPr>
          <w:rFonts w:ascii="Arial" w:hAnsi="Arial" w:cs="Arial"/>
          <w:sz w:val="28"/>
          <w:szCs w:val="28"/>
        </w:rPr>
        <w:t>LCHS4003</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65FE5898"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87761D">
        <w:rPr>
          <w:rFonts w:ascii="Arial" w:hAnsi="Arial" w:cs="Arial"/>
          <w:sz w:val="28"/>
          <w:szCs w:val="28"/>
          <w:lang w:val="nl-NL"/>
        </w:rPr>
        <w:t xml:space="preserve"> KISSY KAYE PIMENTEL</w:t>
      </w:r>
    </w:p>
    <w:p w14:paraId="39AA4413" w14:textId="68A44D43"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87761D">
        <w:rPr>
          <w:rFonts w:ascii="Arial" w:hAnsi="Arial" w:cs="Arial"/>
          <w:sz w:val="28"/>
          <w:szCs w:val="28"/>
          <w:lang w:val="nl-NL"/>
        </w:rPr>
        <w:t xml:space="preserve"> 2530434</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3257552A"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87761D">
        <w:rPr>
          <w:rFonts w:ascii="Arial" w:hAnsi="Arial" w:cs="Arial"/>
          <w:sz w:val="28"/>
          <w:szCs w:val="28"/>
        </w:rPr>
        <w:t xml:space="preserve"> CHRISTIANA MELAM</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E620E7">
      <w:pPr>
        <w:pStyle w:val="Heading1"/>
      </w:pPr>
      <w:r w:rsidRPr="00CD33A8">
        <w:lastRenderedPageBreak/>
        <w:t>Table of contents</w:t>
      </w:r>
    </w:p>
    <w:p w14:paraId="13E00080" w14:textId="137FF22A" w:rsidR="00B87E75" w:rsidRPr="00CD33A8" w:rsidRDefault="00B87E75" w:rsidP="00CD33A8">
      <w:pPr>
        <w:spacing w:line="360" w:lineRule="auto"/>
        <w:rPr>
          <w:rFonts w:asciiTheme="minorBidi" w:hAnsiTheme="minorBidi"/>
          <w:sz w:val="22"/>
        </w:rPr>
      </w:pPr>
    </w:p>
    <w:p w14:paraId="1BD44C2C" w14:textId="16CFC9D3" w:rsidR="00CF1C65" w:rsidRDefault="00CF1C65" w:rsidP="00CF1C65">
      <w:pPr>
        <w:spacing w:line="360" w:lineRule="auto"/>
        <w:rPr>
          <w:rFonts w:ascii="Arial" w:hAnsi="Arial" w:cs="Arial"/>
          <w:sz w:val="22"/>
        </w:rPr>
      </w:pPr>
      <w:r w:rsidRPr="00542ECA">
        <w:rPr>
          <w:rFonts w:ascii="Arial" w:hAnsi="Arial" w:cs="Arial"/>
          <w:sz w:val="22"/>
        </w:rPr>
        <w:t>Introduction</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3</w:t>
      </w:r>
    </w:p>
    <w:p w14:paraId="6F30C4FC" w14:textId="03EA0494" w:rsidR="00CF1C65" w:rsidRPr="00542ECA" w:rsidRDefault="00CF1C65" w:rsidP="00CF1C65">
      <w:pPr>
        <w:spacing w:line="360" w:lineRule="auto"/>
        <w:rPr>
          <w:rFonts w:ascii="Arial" w:hAnsi="Arial" w:cs="Arial"/>
          <w:sz w:val="22"/>
        </w:rPr>
      </w:pPr>
      <w:r w:rsidRPr="00542ECA">
        <w:rPr>
          <w:rFonts w:ascii="Arial" w:hAnsi="Arial" w:cs="Arial"/>
          <w:sz w:val="22"/>
        </w:rPr>
        <w:t>Importance of effective communication</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3</w:t>
      </w:r>
    </w:p>
    <w:p w14:paraId="5D22234D" w14:textId="30A1A8CC" w:rsidR="00CF1C65" w:rsidRDefault="00CF1C65" w:rsidP="00CD33A8">
      <w:pPr>
        <w:spacing w:line="360" w:lineRule="auto"/>
        <w:rPr>
          <w:rFonts w:ascii="Arial" w:hAnsi="Arial" w:cs="Arial"/>
          <w:sz w:val="22"/>
        </w:rPr>
      </w:pPr>
      <w:r w:rsidRPr="00542ECA">
        <w:rPr>
          <w:rFonts w:ascii="Arial" w:hAnsi="Arial" w:cs="Arial"/>
          <w:sz w:val="22"/>
        </w:rPr>
        <w:t>Importance of good administrative skills</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5</w:t>
      </w:r>
    </w:p>
    <w:p w14:paraId="247F4D55" w14:textId="679A1C68" w:rsidR="00CF1C65" w:rsidRPr="00CD33A8" w:rsidRDefault="00CF1C65" w:rsidP="00CD33A8">
      <w:pPr>
        <w:spacing w:line="360" w:lineRule="auto"/>
        <w:rPr>
          <w:rFonts w:asciiTheme="minorBidi" w:hAnsiTheme="minorBidi"/>
          <w:sz w:val="22"/>
        </w:rPr>
      </w:pPr>
      <w:r w:rsidRPr="00542ECA">
        <w:rPr>
          <w:rFonts w:ascii="Arial" w:hAnsi="Arial" w:cs="Arial"/>
          <w:sz w:val="22"/>
        </w:rPr>
        <w:t>Importance of working collaboratively</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6</w:t>
      </w:r>
    </w:p>
    <w:p w14:paraId="2AFFCB3B" w14:textId="6E3B1B0A" w:rsidR="00CF1C65" w:rsidRDefault="00CF1C65" w:rsidP="00CF1C65">
      <w:pPr>
        <w:spacing w:line="360" w:lineRule="auto"/>
        <w:rPr>
          <w:rFonts w:ascii="Arial" w:hAnsi="Arial" w:cs="Arial"/>
          <w:sz w:val="22"/>
        </w:rPr>
      </w:pPr>
      <w:r w:rsidRPr="00542ECA">
        <w:rPr>
          <w:rFonts w:ascii="Arial" w:hAnsi="Arial" w:cs="Arial"/>
          <w:sz w:val="22"/>
        </w:rPr>
        <w:t>Conclusion</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7</w:t>
      </w:r>
    </w:p>
    <w:p w14:paraId="4C18F4C2" w14:textId="63CABCBF" w:rsidR="00CF1C65" w:rsidRPr="00542ECA" w:rsidRDefault="00CF1C65" w:rsidP="00CF1C65">
      <w:pPr>
        <w:spacing w:line="360" w:lineRule="auto"/>
        <w:rPr>
          <w:rFonts w:ascii="Arial" w:hAnsi="Arial" w:cs="Arial"/>
          <w:sz w:val="22"/>
        </w:rPr>
      </w:pPr>
      <w:r w:rsidRPr="00542ECA">
        <w:rPr>
          <w:rFonts w:ascii="Arial" w:hAnsi="Arial" w:cs="Arial"/>
          <w:sz w:val="22"/>
        </w:rPr>
        <w:t>References</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8</w:t>
      </w:r>
    </w:p>
    <w:p w14:paraId="71EBD1F3" w14:textId="77777777" w:rsidR="00CF1C65" w:rsidRPr="00CD33A8" w:rsidRDefault="00CF1C6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542ECA" w:rsidRDefault="00B87E75" w:rsidP="00542ECA">
      <w:pPr>
        <w:pStyle w:val="Heading1"/>
        <w:rPr>
          <w:rFonts w:cs="Arial"/>
          <w:sz w:val="22"/>
        </w:rPr>
      </w:pPr>
      <w:r w:rsidRPr="00542ECA">
        <w:rPr>
          <w:rFonts w:cs="Arial"/>
          <w:sz w:val="22"/>
        </w:rPr>
        <w:lastRenderedPageBreak/>
        <w:t>1. Introduction</w:t>
      </w:r>
    </w:p>
    <w:p w14:paraId="38436A92" w14:textId="77777777" w:rsidR="00542ECA" w:rsidRPr="00542ECA" w:rsidRDefault="00542ECA" w:rsidP="00542ECA">
      <w:pPr>
        <w:spacing w:line="360" w:lineRule="auto"/>
        <w:ind w:firstLine="720"/>
        <w:rPr>
          <w:rFonts w:ascii="Arial" w:hAnsi="Arial" w:cs="Arial"/>
          <w:sz w:val="22"/>
        </w:rPr>
      </w:pPr>
      <w:r w:rsidRPr="00542ECA">
        <w:rPr>
          <w:rFonts w:ascii="Arial" w:hAnsi="Arial" w:cs="Arial"/>
          <w:sz w:val="22"/>
        </w:rPr>
        <w:t>Health and social care practitioners are obliged to provide care that is safe, and centred on the individual, in a way that upholds service user’s wellbeing, dignity, and independence. This obligation carries weight when supporting older people whose health and social care needs are complex. Mrs Thompson, aged 84, has recently returned home following hospital treatment for pneumonia. She lives independently within sheltered housing and is supported by domiciliary carers twice a day. Her mild dementia, however, has contributed to difficulties in taking medication as prescribed and in keeping herself safe, as shown by episodes of missed medication and being inadequately dressed during cold weather.</w:t>
      </w:r>
    </w:p>
    <w:p w14:paraId="0D5C3E74" w14:textId="77777777" w:rsidR="00542ECA" w:rsidRPr="00542ECA" w:rsidRDefault="00542ECA" w:rsidP="00542ECA">
      <w:pPr>
        <w:spacing w:line="360" w:lineRule="auto"/>
        <w:rPr>
          <w:rFonts w:ascii="Arial" w:hAnsi="Arial" w:cs="Arial"/>
          <w:sz w:val="22"/>
        </w:rPr>
      </w:pPr>
    </w:p>
    <w:p w14:paraId="26D4B2B2" w14:textId="77777777" w:rsidR="00542ECA" w:rsidRPr="00542ECA" w:rsidRDefault="00542ECA" w:rsidP="00542ECA">
      <w:pPr>
        <w:spacing w:line="360" w:lineRule="auto"/>
        <w:rPr>
          <w:rFonts w:ascii="Arial" w:hAnsi="Arial" w:cs="Arial"/>
          <w:sz w:val="22"/>
        </w:rPr>
      </w:pPr>
      <w:r w:rsidRPr="00542ECA">
        <w:rPr>
          <w:rFonts w:ascii="Arial" w:hAnsi="Arial" w:cs="Arial"/>
          <w:sz w:val="22"/>
        </w:rPr>
        <w:tab/>
        <w:t xml:space="preserve">Such episodes highlight the need for clear communication, precise administrative practice, and coordinated professional working </w:t>
      </w:r>
      <w:proofErr w:type="gramStart"/>
      <w:r w:rsidRPr="00542ECA">
        <w:rPr>
          <w:rFonts w:ascii="Arial" w:hAnsi="Arial" w:cs="Arial"/>
          <w:sz w:val="22"/>
        </w:rPr>
        <w:t>in order to</w:t>
      </w:r>
      <w:proofErr w:type="gramEnd"/>
      <w:r w:rsidRPr="00542ECA">
        <w:rPr>
          <w:rFonts w:ascii="Arial" w:hAnsi="Arial" w:cs="Arial"/>
          <w:sz w:val="22"/>
        </w:rPr>
        <w:t xml:space="preserve"> minimise risk and improve the outcomes she experiences. This report considers how communication with Mrs Thompson and her family can be strengthened, examines the significance of record keeping and data protection, and discusses the value of multidisciplinary collaboration.</w:t>
      </w:r>
    </w:p>
    <w:p w14:paraId="68C53673" w14:textId="77777777" w:rsidR="008E3943" w:rsidRPr="00542ECA" w:rsidRDefault="008E3943" w:rsidP="00542ECA">
      <w:pPr>
        <w:tabs>
          <w:tab w:val="left" w:pos="6540"/>
        </w:tabs>
        <w:spacing w:line="360" w:lineRule="auto"/>
        <w:rPr>
          <w:rFonts w:ascii="Arial" w:hAnsi="Arial" w:cs="Arial"/>
          <w:sz w:val="22"/>
        </w:rPr>
      </w:pPr>
    </w:p>
    <w:p w14:paraId="52010A5E" w14:textId="77777777" w:rsidR="0026393A" w:rsidRPr="00542ECA" w:rsidRDefault="0026393A" w:rsidP="00542ECA">
      <w:pPr>
        <w:tabs>
          <w:tab w:val="left" w:pos="6540"/>
        </w:tabs>
        <w:spacing w:line="360" w:lineRule="auto"/>
        <w:rPr>
          <w:rFonts w:ascii="Arial" w:hAnsi="Arial" w:cs="Arial"/>
          <w:sz w:val="22"/>
        </w:rPr>
      </w:pPr>
    </w:p>
    <w:p w14:paraId="73B07562" w14:textId="0E99FAFE" w:rsidR="008E3943" w:rsidRPr="00542ECA" w:rsidRDefault="0026393A" w:rsidP="00542ECA">
      <w:pPr>
        <w:pStyle w:val="Heading1"/>
        <w:rPr>
          <w:rFonts w:cs="Arial"/>
          <w:sz w:val="22"/>
        </w:rPr>
      </w:pPr>
      <w:r w:rsidRPr="00542ECA">
        <w:rPr>
          <w:rFonts w:cs="Arial"/>
          <w:sz w:val="22"/>
        </w:rPr>
        <w:t xml:space="preserve">2. </w:t>
      </w:r>
      <w:r w:rsidR="008E3943" w:rsidRPr="00542ECA">
        <w:rPr>
          <w:rFonts w:cs="Arial"/>
          <w:sz w:val="22"/>
        </w:rPr>
        <w:t>Importance of effective communication</w:t>
      </w:r>
    </w:p>
    <w:p w14:paraId="1143EF01" w14:textId="77777777" w:rsidR="00542ECA" w:rsidRPr="00542ECA" w:rsidRDefault="00542ECA" w:rsidP="00542ECA">
      <w:pPr>
        <w:spacing w:line="360" w:lineRule="auto"/>
        <w:ind w:firstLine="720"/>
        <w:rPr>
          <w:rFonts w:ascii="Arial" w:hAnsi="Arial" w:cs="Arial"/>
          <w:sz w:val="22"/>
        </w:rPr>
      </w:pPr>
      <w:r w:rsidRPr="00542ECA">
        <w:rPr>
          <w:rFonts w:ascii="Arial" w:hAnsi="Arial" w:cs="Arial"/>
          <w:sz w:val="22"/>
        </w:rPr>
        <w:t>Effective communication is central to person-centred care and plays a vital role in safeguarding individuals, promoting their independence, and enabling them to make informed choices within health and social care (Thompson, 2021). This is especially relevant for Mrs Thompson, whose mid dementia may affect her memory, understanding, and capacity to process information. Thoughtful communication can help reduce confusion, support accurate medication use, and encourage her ongoing involvement with the services that support her.</w:t>
      </w:r>
    </w:p>
    <w:p w14:paraId="7634AE42" w14:textId="77777777" w:rsidR="00542ECA" w:rsidRPr="00542ECA" w:rsidRDefault="00542ECA" w:rsidP="00542ECA">
      <w:pPr>
        <w:spacing w:line="360" w:lineRule="auto"/>
        <w:rPr>
          <w:rFonts w:ascii="Arial" w:hAnsi="Arial" w:cs="Arial"/>
          <w:sz w:val="22"/>
        </w:rPr>
      </w:pPr>
    </w:p>
    <w:p w14:paraId="5E0E2352" w14:textId="77777777" w:rsidR="00542ECA" w:rsidRPr="00542ECA" w:rsidRDefault="00542ECA" w:rsidP="00542ECA">
      <w:pPr>
        <w:spacing w:line="360" w:lineRule="auto"/>
        <w:rPr>
          <w:rFonts w:ascii="Arial" w:hAnsi="Arial" w:cs="Arial"/>
          <w:sz w:val="22"/>
        </w:rPr>
      </w:pPr>
      <w:r w:rsidRPr="00542ECA">
        <w:rPr>
          <w:rFonts w:ascii="Arial" w:hAnsi="Arial" w:cs="Arial"/>
          <w:sz w:val="22"/>
        </w:rPr>
        <w:tab/>
        <w:t xml:space="preserve">In practice, those working with Mrs Thompson should use simple, concise language, avoid unnecessary technical terminology, and present information in small, manageable pieces. Listening attentively is equally essential, ensuring her views, wishes and concerns are genuinely acknowledged. Non-verbal signals – such as sustaining eye contact, showing warmth through facial expression, and adopting a calm, reassuring tone – can also enhance </w:t>
      </w:r>
      <w:r w:rsidRPr="00542ECA">
        <w:rPr>
          <w:rFonts w:ascii="Arial" w:hAnsi="Arial" w:cs="Arial"/>
          <w:sz w:val="22"/>
        </w:rPr>
        <w:lastRenderedPageBreak/>
        <w:t>her understanding and reduce any anxiety she might experience (Brooker and Latham, 2016).</w:t>
      </w:r>
    </w:p>
    <w:p w14:paraId="5F6DD8AE" w14:textId="77777777" w:rsidR="00542ECA" w:rsidRPr="00542ECA" w:rsidRDefault="00542ECA" w:rsidP="00542ECA">
      <w:pPr>
        <w:spacing w:line="360" w:lineRule="auto"/>
        <w:rPr>
          <w:rFonts w:ascii="Arial" w:hAnsi="Arial" w:cs="Arial"/>
          <w:sz w:val="22"/>
        </w:rPr>
      </w:pPr>
    </w:p>
    <w:p w14:paraId="141E6787" w14:textId="77777777" w:rsidR="00542ECA" w:rsidRPr="00542ECA" w:rsidRDefault="00542ECA" w:rsidP="00542ECA">
      <w:pPr>
        <w:spacing w:line="360" w:lineRule="auto"/>
        <w:ind w:firstLine="720"/>
        <w:rPr>
          <w:rFonts w:ascii="Arial" w:hAnsi="Arial" w:cs="Arial"/>
          <w:sz w:val="22"/>
        </w:rPr>
      </w:pPr>
      <w:r w:rsidRPr="00542ECA">
        <w:rPr>
          <w:rFonts w:ascii="Arial" w:hAnsi="Arial" w:cs="Arial"/>
          <w:sz w:val="22"/>
        </w:rPr>
        <w:t>Engaging with her family is equally important, as relatives can often provide valuable insight into changes in her behaviour, her usual medication habits, and her preferences regarding decisions about her care. Where Mrs Thompson consents and it is suitable, family members should be included in care planning discussions, as this collaborative approach supports continuity and ensures decisions are made together rather than in isolation.</w:t>
      </w:r>
    </w:p>
    <w:p w14:paraId="6D765120" w14:textId="77777777" w:rsidR="00542ECA" w:rsidRPr="00542ECA" w:rsidRDefault="00542ECA" w:rsidP="00542ECA">
      <w:pPr>
        <w:spacing w:line="360" w:lineRule="auto"/>
        <w:ind w:firstLine="720"/>
        <w:rPr>
          <w:rFonts w:ascii="Arial" w:hAnsi="Arial" w:cs="Arial"/>
          <w:sz w:val="22"/>
        </w:rPr>
      </w:pPr>
    </w:p>
    <w:p w14:paraId="6F132378" w14:textId="77777777" w:rsidR="00542ECA" w:rsidRPr="00542ECA" w:rsidRDefault="00542ECA" w:rsidP="00542ECA">
      <w:pPr>
        <w:spacing w:line="360" w:lineRule="auto"/>
        <w:ind w:firstLine="720"/>
        <w:rPr>
          <w:rFonts w:ascii="Arial" w:hAnsi="Arial" w:cs="Arial"/>
          <w:sz w:val="22"/>
        </w:rPr>
      </w:pPr>
      <w:r w:rsidRPr="00542ECA">
        <w:rPr>
          <w:rFonts w:ascii="Arial" w:hAnsi="Arial" w:cs="Arial"/>
          <w:sz w:val="22"/>
        </w:rPr>
        <w:t xml:space="preserve">The Equality Act 2010 is particularly relevant to how Mrs Thompson is cared for. This law protects individuals from discrimination based on protected characteristics, including age and disability, and dementia can be recognised as a disability under its definition. Consequently, care providers are obligated to make reasonable adjustments to ensure equal access to and participation in services. The Act’s core principles </w:t>
      </w:r>
      <w:proofErr w:type="gramStart"/>
      <w:r w:rsidRPr="00542ECA">
        <w:rPr>
          <w:rFonts w:ascii="Arial" w:hAnsi="Arial" w:cs="Arial"/>
          <w:sz w:val="22"/>
        </w:rPr>
        <w:t>-  dignity</w:t>
      </w:r>
      <w:proofErr w:type="gramEnd"/>
      <w:r w:rsidRPr="00542ECA">
        <w:rPr>
          <w:rFonts w:ascii="Arial" w:hAnsi="Arial" w:cs="Arial"/>
          <w:sz w:val="22"/>
        </w:rPr>
        <w:t>, fairness, respect, inclusion, and equal treatment – mean that professionals must adapt their communication methods to suit Mrs Thompson’s cognitive abilities, making sure information is delivered in a way she can access and understand. The legislation also mandates that services actively work to prevent discrimination and promote equal opportunities for older adults who depend on their care.</w:t>
      </w:r>
    </w:p>
    <w:p w14:paraId="4C44B3B2" w14:textId="75EF1767" w:rsidR="00542ECA" w:rsidRPr="00542ECA" w:rsidRDefault="00542ECA" w:rsidP="00542ECA">
      <w:pPr>
        <w:spacing w:line="360" w:lineRule="auto"/>
        <w:ind w:firstLine="720"/>
        <w:rPr>
          <w:rFonts w:ascii="Arial" w:hAnsi="Arial" w:cs="Arial"/>
          <w:sz w:val="22"/>
        </w:rPr>
      </w:pPr>
      <w:r w:rsidRPr="00542ECA">
        <w:rPr>
          <w:rFonts w:ascii="Arial" w:hAnsi="Arial" w:cs="Arial"/>
          <w:sz w:val="22"/>
        </w:rPr>
        <w:t>A useful communication model for Mrs Thompson’s care is Berlo’s SMCR (Sender-Message-Channel-Receiver) Model of Communication (Berlo, 1</w:t>
      </w:r>
      <w:r w:rsidR="00F378D7">
        <w:rPr>
          <w:rFonts w:ascii="Arial" w:hAnsi="Arial" w:cs="Arial"/>
          <w:sz w:val="22"/>
        </w:rPr>
        <w:t>9</w:t>
      </w:r>
      <w:r w:rsidRPr="00542ECA">
        <w:rPr>
          <w:rFonts w:ascii="Arial" w:hAnsi="Arial" w:cs="Arial"/>
          <w:sz w:val="22"/>
        </w:rPr>
        <w:t>60). This model explains communication through four key components: the sender, who delivers the information; the message, which is the information being communicated; the channel, the method used to transmit the message ( such as verbal communication, written instruction, or visual aids); the receiver, who interprets the message. For example, the community nurse (sender) explains Mrs Thompson’s revised medication schedule (message) using clear verbal instructions supported by a written medication chart (channel). Mrs Thompson (receiver) responds with the questions or feedback, allowing the nurse to clarify information and ensure understanding, thereby reducing medication errors and promoting person-centred care.</w:t>
      </w:r>
    </w:p>
    <w:p w14:paraId="0537CEF5" w14:textId="77777777" w:rsidR="003E4ECF" w:rsidRPr="00542ECA" w:rsidRDefault="003E4ECF" w:rsidP="00542ECA">
      <w:pPr>
        <w:tabs>
          <w:tab w:val="left" w:pos="6540"/>
        </w:tabs>
        <w:spacing w:line="360" w:lineRule="auto"/>
        <w:rPr>
          <w:rFonts w:ascii="Arial" w:hAnsi="Arial" w:cs="Arial"/>
          <w:sz w:val="22"/>
        </w:rPr>
      </w:pPr>
    </w:p>
    <w:p w14:paraId="336F5447" w14:textId="77777777" w:rsidR="008E3943" w:rsidRPr="00542ECA" w:rsidRDefault="008E3943" w:rsidP="00542ECA">
      <w:pPr>
        <w:tabs>
          <w:tab w:val="left" w:pos="6540"/>
        </w:tabs>
        <w:spacing w:line="360" w:lineRule="auto"/>
        <w:rPr>
          <w:rFonts w:ascii="Arial" w:hAnsi="Arial" w:cs="Arial"/>
          <w:sz w:val="22"/>
        </w:rPr>
      </w:pPr>
    </w:p>
    <w:p w14:paraId="3398AF2B" w14:textId="77777777" w:rsidR="008E3943" w:rsidRPr="00542ECA" w:rsidRDefault="008E3943" w:rsidP="00542ECA">
      <w:pPr>
        <w:tabs>
          <w:tab w:val="left" w:pos="6540"/>
        </w:tabs>
        <w:spacing w:line="360" w:lineRule="auto"/>
        <w:rPr>
          <w:rFonts w:ascii="Arial" w:hAnsi="Arial" w:cs="Arial"/>
          <w:sz w:val="22"/>
        </w:rPr>
      </w:pPr>
    </w:p>
    <w:p w14:paraId="60B2CDC3" w14:textId="12EE5464" w:rsidR="00B87E75" w:rsidRPr="00542ECA" w:rsidRDefault="0026393A" w:rsidP="00542ECA">
      <w:pPr>
        <w:pStyle w:val="Heading1"/>
        <w:rPr>
          <w:rFonts w:cs="Arial"/>
          <w:sz w:val="22"/>
        </w:rPr>
      </w:pPr>
      <w:r w:rsidRPr="00542ECA">
        <w:rPr>
          <w:rFonts w:cs="Arial"/>
          <w:sz w:val="22"/>
        </w:rPr>
        <w:lastRenderedPageBreak/>
        <w:t>3</w:t>
      </w:r>
      <w:r w:rsidR="00B87E75" w:rsidRPr="00542ECA">
        <w:rPr>
          <w:rFonts w:cs="Arial"/>
          <w:sz w:val="22"/>
        </w:rPr>
        <w:t>.</w:t>
      </w:r>
      <w:r w:rsidR="008E3943" w:rsidRPr="00542ECA">
        <w:rPr>
          <w:rFonts w:cs="Arial"/>
          <w:sz w:val="22"/>
        </w:rPr>
        <w:t xml:space="preserve"> Importance of good administrative skills </w:t>
      </w:r>
    </w:p>
    <w:p w14:paraId="6D482B12" w14:textId="77777777" w:rsidR="00542ECA" w:rsidRPr="00542ECA" w:rsidRDefault="00542ECA" w:rsidP="00542ECA">
      <w:pPr>
        <w:spacing w:line="360" w:lineRule="auto"/>
        <w:ind w:firstLine="720"/>
        <w:rPr>
          <w:rFonts w:ascii="Arial" w:hAnsi="Arial" w:cs="Arial"/>
          <w:sz w:val="22"/>
        </w:rPr>
      </w:pPr>
      <w:r w:rsidRPr="00542ECA">
        <w:rPr>
          <w:rFonts w:ascii="Arial" w:hAnsi="Arial" w:cs="Arial"/>
          <w:sz w:val="22"/>
        </w:rPr>
        <w:t>Effective administrative practice forms the foundation of health and social care work, supporting accountability, continuity, legal compliance, and patient safety. This includes tasks such as maintaining records, appropriately sharing information, keeping documentation up to date, organising schedules, and protecting confidentiality. In Mrs Thompson’s case, sound administrative practice is especially important given existing concerns around her medication adherence and personal safety.</w:t>
      </w:r>
    </w:p>
    <w:p w14:paraId="04A93712" w14:textId="77777777" w:rsidR="00542ECA" w:rsidRPr="00542ECA" w:rsidRDefault="00542ECA" w:rsidP="00542ECA">
      <w:pPr>
        <w:spacing w:line="360" w:lineRule="auto"/>
        <w:rPr>
          <w:rFonts w:ascii="Arial" w:hAnsi="Arial" w:cs="Arial"/>
          <w:sz w:val="22"/>
        </w:rPr>
      </w:pPr>
      <w:r w:rsidRPr="00542ECA">
        <w:rPr>
          <w:rFonts w:ascii="Arial" w:hAnsi="Arial" w:cs="Arial"/>
          <w:sz w:val="22"/>
        </w:rPr>
        <w:tab/>
        <w:t>Maintain precise records is a fundamental professional responsibility, as they provide evidence of care delivered, decisions made, incidents encountered, and subsequent actions taken. The Nursing and Midwifery Council (NMC, 2018) requires that records be accurate, factual, completed promptly, eligible, and recorded as events happen. For Mrs Thompson, this involves documenting medication administered, any doses missed, instances of confusion, communication with family, risk assessments, safeguarding issues, and outcomes from her medication reviews.</w:t>
      </w:r>
    </w:p>
    <w:p w14:paraId="6AB265CF" w14:textId="77777777" w:rsidR="00542ECA" w:rsidRPr="00542ECA" w:rsidRDefault="00542ECA" w:rsidP="00542ECA">
      <w:pPr>
        <w:spacing w:line="360" w:lineRule="auto"/>
        <w:rPr>
          <w:rFonts w:ascii="Arial" w:hAnsi="Arial" w:cs="Arial"/>
          <w:sz w:val="22"/>
        </w:rPr>
      </w:pPr>
      <w:r w:rsidRPr="00542ECA">
        <w:rPr>
          <w:rFonts w:ascii="Arial" w:hAnsi="Arial" w:cs="Arial"/>
          <w:sz w:val="22"/>
        </w:rPr>
        <w:tab/>
        <w:t xml:space="preserve">The incident where two days of medication went unadministered highlights the significance of thorough record-keeping. Accurately noting dates, circumstances, consequences, and follow-up actions </w:t>
      </w:r>
      <w:proofErr w:type="gramStart"/>
      <w:r w:rsidRPr="00542ECA">
        <w:rPr>
          <w:rFonts w:ascii="Arial" w:hAnsi="Arial" w:cs="Arial"/>
          <w:sz w:val="22"/>
        </w:rPr>
        <w:t>enables</w:t>
      </w:r>
      <w:proofErr w:type="gramEnd"/>
      <w:r w:rsidRPr="00542ECA">
        <w:rPr>
          <w:rFonts w:ascii="Arial" w:hAnsi="Arial" w:cs="Arial"/>
          <w:sz w:val="22"/>
        </w:rPr>
        <w:t xml:space="preserve"> staff to identify patterns, assess risk, and make sound clinical judgements. Similarly, the occasion when Mrs Thompson was discovered outdoors inadequately dressed needs careful recording, as it could signal increasing vulnerability, self-neglect, or worsening cognitive decline.</w:t>
      </w:r>
    </w:p>
    <w:p w14:paraId="58F89FD9" w14:textId="77777777" w:rsidR="00542ECA" w:rsidRPr="00542ECA" w:rsidRDefault="00542ECA" w:rsidP="00542ECA">
      <w:pPr>
        <w:spacing w:line="360" w:lineRule="auto"/>
        <w:rPr>
          <w:rFonts w:ascii="Arial" w:hAnsi="Arial" w:cs="Arial"/>
          <w:sz w:val="22"/>
        </w:rPr>
      </w:pPr>
      <w:r w:rsidRPr="00542ECA">
        <w:rPr>
          <w:rFonts w:ascii="Arial" w:hAnsi="Arial" w:cs="Arial"/>
          <w:sz w:val="22"/>
        </w:rPr>
        <w:tab/>
        <w:t>The handling of personal information falls under the Data Protection Act 2018 and UK GDPR, which mandate that organisations process data fairly, lawfully, openly, accurately, and securely. Information gathering must serve a clear, defined purpose, be limited to what is essential, retained only for as long as needed, and safeguarded from unauthorised access. Because health information falls into the special category of data, it requires enhanced protective measures.</w:t>
      </w:r>
    </w:p>
    <w:p w14:paraId="55192604" w14:textId="77777777" w:rsidR="00542ECA" w:rsidRPr="00542ECA" w:rsidRDefault="00542ECA" w:rsidP="00542ECA">
      <w:pPr>
        <w:spacing w:line="360" w:lineRule="auto"/>
        <w:rPr>
          <w:rFonts w:ascii="Arial" w:hAnsi="Arial" w:cs="Arial"/>
          <w:sz w:val="22"/>
        </w:rPr>
      </w:pPr>
      <w:r w:rsidRPr="00542ECA">
        <w:rPr>
          <w:rFonts w:ascii="Arial" w:hAnsi="Arial" w:cs="Arial"/>
          <w:sz w:val="22"/>
        </w:rPr>
        <w:tab/>
        <w:t xml:space="preserve">Applying these standards to Mrs Thompson means limiting record access solely to professionals directly involved in her care. Electronic records should only be exchanged between professionals when there is a legitimate reason to do so – such as providing care, fulfilling safeguarding responsibilities, or meeting legal obligations – with confidentiality </w:t>
      </w:r>
      <w:proofErr w:type="gramStart"/>
      <w:r w:rsidRPr="00542ECA">
        <w:rPr>
          <w:rFonts w:ascii="Arial" w:hAnsi="Arial" w:cs="Arial"/>
          <w:sz w:val="22"/>
        </w:rPr>
        <w:t>maintained at all times</w:t>
      </w:r>
      <w:proofErr w:type="gramEnd"/>
      <w:r w:rsidRPr="00542ECA">
        <w:rPr>
          <w:rFonts w:ascii="Arial" w:hAnsi="Arial" w:cs="Arial"/>
          <w:sz w:val="22"/>
        </w:rPr>
        <w:t>.</w:t>
      </w:r>
    </w:p>
    <w:p w14:paraId="40D44DA8" w14:textId="77777777" w:rsidR="00542ECA" w:rsidRPr="00542ECA" w:rsidRDefault="00542ECA" w:rsidP="00542ECA">
      <w:pPr>
        <w:spacing w:line="360" w:lineRule="auto"/>
        <w:rPr>
          <w:rFonts w:ascii="Arial" w:hAnsi="Arial" w:cs="Arial"/>
          <w:sz w:val="22"/>
        </w:rPr>
      </w:pPr>
      <w:r w:rsidRPr="00542ECA">
        <w:rPr>
          <w:rFonts w:ascii="Arial" w:hAnsi="Arial" w:cs="Arial"/>
          <w:sz w:val="22"/>
        </w:rPr>
        <w:tab/>
        <w:t xml:space="preserve">Additional legislation and guidance further support good administrative standards in this context. The Care Act 2014 requires local authorities and care professionals to protect vulnerable adults and maintain accurate records of any interventions carried out. The Mental Capacity Act 2005 requires that capacity assessments and associated decisions be </w:t>
      </w:r>
      <w:r w:rsidRPr="00542ECA">
        <w:rPr>
          <w:rFonts w:ascii="Arial" w:hAnsi="Arial" w:cs="Arial"/>
          <w:sz w:val="22"/>
        </w:rPr>
        <w:lastRenderedPageBreak/>
        <w:t>documented clearly whenever there are concerns about a person’s decision-making ability. The NHS Records Management Code of Practice (2021) also provides guidance on the creation, storage, retention, and disposal of healthcare records, helping ensure consistency and accountability throughout health and social care organisations.</w:t>
      </w:r>
    </w:p>
    <w:p w14:paraId="2BB3F695" w14:textId="77777777" w:rsidR="00542ECA" w:rsidRPr="00542ECA" w:rsidRDefault="00542ECA" w:rsidP="00542ECA">
      <w:pPr>
        <w:spacing w:line="360" w:lineRule="auto"/>
        <w:rPr>
          <w:rFonts w:ascii="Arial" w:hAnsi="Arial" w:cs="Arial"/>
          <w:sz w:val="22"/>
        </w:rPr>
      </w:pPr>
      <w:r w:rsidRPr="00542ECA">
        <w:rPr>
          <w:rFonts w:ascii="Arial" w:hAnsi="Arial" w:cs="Arial"/>
          <w:sz w:val="22"/>
        </w:rPr>
        <w:tab/>
        <w:t>Strong administrative competence, in turn, facilitates clearer communication among professionals and ensures decisions are based on reliable evidence. Accurate and secure record-keeping is therefore essential to providing Mrs Thompson with care that is safe, well-coordinated, and of high quality.</w:t>
      </w:r>
    </w:p>
    <w:p w14:paraId="4FC14C6B" w14:textId="77777777" w:rsidR="00B87E75" w:rsidRPr="00542ECA" w:rsidRDefault="00B87E75" w:rsidP="00542ECA">
      <w:pPr>
        <w:tabs>
          <w:tab w:val="left" w:pos="6540"/>
        </w:tabs>
        <w:spacing w:line="360" w:lineRule="auto"/>
        <w:rPr>
          <w:rFonts w:ascii="Arial" w:hAnsi="Arial" w:cs="Arial"/>
          <w:sz w:val="22"/>
        </w:rPr>
      </w:pPr>
    </w:p>
    <w:p w14:paraId="68FFD705" w14:textId="77777777" w:rsidR="008E3943" w:rsidRPr="00542ECA" w:rsidRDefault="008E3943" w:rsidP="00542ECA">
      <w:pPr>
        <w:tabs>
          <w:tab w:val="left" w:pos="6540"/>
        </w:tabs>
        <w:spacing w:line="360" w:lineRule="auto"/>
        <w:rPr>
          <w:rFonts w:ascii="Arial" w:hAnsi="Arial" w:cs="Arial"/>
          <w:sz w:val="22"/>
        </w:rPr>
      </w:pPr>
    </w:p>
    <w:p w14:paraId="2B008FF6" w14:textId="77777777" w:rsidR="008E3943" w:rsidRPr="00542ECA" w:rsidRDefault="008E3943" w:rsidP="00542ECA">
      <w:pPr>
        <w:tabs>
          <w:tab w:val="left" w:pos="6540"/>
        </w:tabs>
        <w:spacing w:line="360" w:lineRule="auto"/>
        <w:rPr>
          <w:rFonts w:ascii="Arial" w:hAnsi="Arial" w:cs="Arial"/>
          <w:sz w:val="22"/>
        </w:rPr>
      </w:pPr>
    </w:p>
    <w:p w14:paraId="581C99BF" w14:textId="264B49DF" w:rsidR="00B87E75" w:rsidRPr="00542ECA" w:rsidRDefault="004A736E" w:rsidP="00542ECA">
      <w:pPr>
        <w:pStyle w:val="Heading1"/>
        <w:rPr>
          <w:rFonts w:cs="Arial"/>
          <w:sz w:val="22"/>
        </w:rPr>
      </w:pPr>
      <w:r w:rsidRPr="00542ECA">
        <w:rPr>
          <w:rFonts w:cs="Arial"/>
          <w:sz w:val="22"/>
        </w:rPr>
        <w:t>4</w:t>
      </w:r>
      <w:r w:rsidR="00B87E75" w:rsidRPr="00542ECA">
        <w:rPr>
          <w:rFonts w:cs="Arial"/>
          <w:sz w:val="22"/>
        </w:rPr>
        <w:t xml:space="preserve">. </w:t>
      </w:r>
      <w:r w:rsidR="008E3943" w:rsidRPr="00542ECA">
        <w:rPr>
          <w:rFonts w:cs="Arial"/>
          <w:sz w:val="22"/>
        </w:rPr>
        <w:t>Importance of working collaboratively</w:t>
      </w:r>
    </w:p>
    <w:p w14:paraId="09A67A51" w14:textId="77777777" w:rsidR="00542ECA" w:rsidRPr="00542ECA" w:rsidRDefault="00542ECA" w:rsidP="00542ECA">
      <w:pPr>
        <w:spacing w:line="360" w:lineRule="auto"/>
        <w:ind w:firstLine="720"/>
        <w:rPr>
          <w:rFonts w:ascii="Arial" w:hAnsi="Arial" w:cs="Arial"/>
          <w:sz w:val="22"/>
        </w:rPr>
      </w:pPr>
      <w:r w:rsidRPr="00542ECA">
        <w:rPr>
          <w:rFonts w:ascii="Arial" w:hAnsi="Arial" w:cs="Arial"/>
          <w:sz w:val="22"/>
        </w:rPr>
        <w:t xml:space="preserve">Collaborative working is essential to providing care that is both </w:t>
      </w:r>
      <w:proofErr w:type="gramStart"/>
      <w:r w:rsidRPr="00542ECA">
        <w:rPr>
          <w:rFonts w:ascii="Arial" w:hAnsi="Arial" w:cs="Arial"/>
          <w:sz w:val="22"/>
        </w:rPr>
        <w:t>joined-up</w:t>
      </w:r>
      <w:proofErr w:type="gramEnd"/>
      <w:r w:rsidRPr="00542ECA">
        <w:rPr>
          <w:rFonts w:ascii="Arial" w:hAnsi="Arial" w:cs="Arial"/>
          <w:sz w:val="22"/>
        </w:rPr>
        <w:t xml:space="preserve"> and person-centred. Given the breadth of Mrs Thompson’s needs, input is required from a range of professionals, including her GP, community nurse, social worker, pharmacist, domiciliary care staff, and safeguarding teams. When these professionals work together effectively, her physical, psychological, and social wellbeing can all be properly supported.</w:t>
      </w:r>
    </w:p>
    <w:p w14:paraId="52AF2647" w14:textId="77777777" w:rsidR="00542ECA" w:rsidRPr="00542ECA" w:rsidRDefault="00542ECA" w:rsidP="00542ECA">
      <w:pPr>
        <w:spacing w:line="360" w:lineRule="auto"/>
        <w:rPr>
          <w:rFonts w:ascii="Arial" w:hAnsi="Arial" w:cs="Arial"/>
          <w:sz w:val="22"/>
        </w:rPr>
      </w:pPr>
      <w:r w:rsidRPr="00542ECA">
        <w:rPr>
          <w:rFonts w:ascii="Arial" w:hAnsi="Arial" w:cs="Arial"/>
          <w:sz w:val="22"/>
        </w:rPr>
        <w:tab/>
        <w:t>Her GP is likely to conduct medication reviews and monitor physical health matters relating to her recovery from pneumonia. Community nurses can assess her overall health, evaluate her cognitive functioning, and remain alert to any signs of deterioration. Domiciliary care workers, given their regular contact with her, are often best placed to notice behavioural changes, medication issues, or safety concerns. Social workers may lead on coordinating assessments and safeguarding responses where self-neglect or vulnerability arises.</w:t>
      </w:r>
    </w:p>
    <w:p w14:paraId="245C5C1E" w14:textId="77777777" w:rsidR="00542ECA" w:rsidRPr="00542ECA" w:rsidRDefault="00542ECA" w:rsidP="00542ECA">
      <w:pPr>
        <w:spacing w:line="360" w:lineRule="auto"/>
        <w:rPr>
          <w:rFonts w:ascii="Arial" w:hAnsi="Arial" w:cs="Arial"/>
          <w:sz w:val="22"/>
        </w:rPr>
      </w:pPr>
      <w:r w:rsidRPr="00542ECA">
        <w:rPr>
          <w:rFonts w:ascii="Arial" w:hAnsi="Arial" w:cs="Arial"/>
          <w:sz w:val="22"/>
        </w:rPr>
        <w:tab/>
        <w:t>Several approaches support effective multidisciplinary collaboration. Regular team meetings enable information sharing and joint care planning. Working towards common goals focused on Mrs Thompson’s needs helps keep all professionals aligned, while person-centred planning and open communication further reinforce this collaborative approach (Glasby and Dickinson, 2021).</w:t>
      </w:r>
    </w:p>
    <w:p w14:paraId="0646BB13" w14:textId="77777777" w:rsidR="00542ECA" w:rsidRPr="00542ECA" w:rsidRDefault="00542ECA" w:rsidP="00542ECA">
      <w:pPr>
        <w:spacing w:line="360" w:lineRule="auto"/>
        <w:rPr>
          <w:rFonts w:ascii="Arial" w:hAnsi="Arial" w:cs="Arial"/>
          <w:sz w:val="22"/>
        </w:rPr>
      </w:pPr>
      <w:r w:rsidRPr="00542ECA">
        <w:rPr>
          <w:rFonts w:ascii="Arial" w:hAnsi="Arial" w:cs="Arial"/>
          <w:sz w:val="22"/>
        </w:rPr>
        <w:tab/>
        <w:t>That said, working across agencies presents genuine challenges. Different organisations frequently operate with their own policies, systems, and priorities, which can result in delays, miscommunication, or fragmented care. Confidentiality concerns can also create uncertainty about what information can be shared, and with whom.</w:t>
      </w:r>
    </w:p>
    <w:p w14:paraId="62838903" w14:textId="77777777" w:rsidR="00542ECA" w:rsidRPr="00542ECA" w:rsidRDefault="00542ECA" w:rsidP="00542ECA">
      <w:pPr>
        <w:spacing w:line="360" w:lineRule="auto"/>
        <w:rPr>
          <w:rFonts w:ascii="Arial" w:hAnsi="Arial" w:cs="Arial"/>
          <w:sz w:val="22"/>
        </w:rPr>
      </w:pPr>
      <w:r w:rsidRPr="00542ECA">
        <w:rPr>
          <w:rFonts w:ascii="Arial" w:hAnsi="Arial" w:cs="Arial"/>
          <w:sz w:val="22"/>
        </w:rPr>
        <w:lastRenderedPageBreak/>
        <w:tab/>
        <w:t>Overcoming these obstacles requires clear information-sharing protocols, well-defined roles, and cross-professional training to build understanding of each discipline’s contribution. Thorough record-keeping facilitates information exchange, while regular case reviews help ensure risks are identified early. Compliance with legislation such as the Care Act 2014 ang the Data Protection Act 2018 enables appropriate information sharing while safeguarding confidentiality.</w:t>
      </w:r>
    </w:p>
    <w:p w14:paraId="6B2C325F" w14:textId="77777777" w:rsidR="00542ECA" w:rsidRPr="00542ECA" w:rsidRDefault="00542ECA" w:rsidP="00542ECA">
      <w:pPr>
        <w:spacing w:line="360" w:lineRule="auto"/>
        <w:rPr>
          <w:rFonts w:ascii="Arial" w:hAnsi="Arial" w:cs="Arial"/>
          <w:sz w:val="22"/>
        </w:rPr>
      </w:pPr>
      <w:r w:rsidRPr="00542ECA">
        <w:rPr>
          <w:rFonts w:ascii="Arial" w:hAnsi="Arial" w:cs="Arial"/>
          <w:sz w:val="22"/>
        </w:rPr>
        <w:tab/>
        <w:t>Ultimately, strong, multidisciplinary collaboration improves care coordination, supports better decision-making, reduces risk, and leads to improved outcomes for Mrs Thompson.</w:t>
      </w:r>
    </w:p>
    <w:p w14:paraId="682D1769" w14:textId="77777777" w:rsidR="003E4ECF" w:rsidRPr="00542ECA" w:rsidRDefault="003E4ECF" w:rsidP="00542ECA">
      <w:pPr>
        <w:tabs>
          <w:tab w:val="left" w:pos="6540"/>
        </w:tabs>
        <w:spacing w:line="360" w:lineRule="auto"/>
        <w:rPr>
          <w:rFonts w:ascii="Arial" w:hAnsi="Arial" w:cs="Arial"/>
          <w:sz w:val="22"/>
        </w:rPr>
      </w:pPr>
    </w:p>
    <w:p w14:paraId="15C25996" w14:textId="77777777" w:rsidR="008E3943" w:rsidRPr="00542ECA" w:rsidRDefault="008E3943" w:rsidP="00542ECA">
      <w:pPr>
        <w:tabs>
          <w:tab w:val="left" w:pos="6540"/>
        </w:tabs>
        <w:spacing w:line="360" w:lineRule="auto"/>
        <w:rPr>
          <w:rFonts w:ascii="Arial" w:hAnsi="Arial" w:cs="Arial"/>
          <w:sz w:val="22"/>
        </w:rPr>
      </w:pPr>
    </w:p>
    <w:p w14:paraId="3A742EE2" w14:textId="77777777" w:rsidR="008E3943" w:rsidRPr="00542ECA" w:rsidRDefault="008E3943" w:rsidP="00542ECA">
      <w:pPr>
        <w:tabs>
          <w:tab w:val="left" w:pos="6540"/>
        </w:tabs>
        <w:spacing w:line="360" w:lineRule="auto"/>
        <w:rPr>
          <w:rFonts w:ascii="Arial" w:hAnsi="Arial" w:cs="Arial"/>
          <w:sz w:val="22"/>
        </w:rPr>
      </w:pPr>
    </w:p>
    <w:p w14:paraId="16FAF0EA" w14:textId="2F93A55A" w:rsidR="00B87E75" w:rsidRPr="00542ECA" w:rsidRDefault="008E3943" w:rsidP="00542ECA">
      <w:pPr>
        <w:pStyle w:val="Heading1"/>
        <w:rPr>
          <w:rFonts w:cs="Arial"/>
          <w:sz w:val="22"/>
        </w:rPr>
      </w:pPr>
      <w:r w:rsidRPr="00542ECA">
        <w:rPr>
          <w:rFonts w:cs="Arial"/>
          <w:sz w:val="22"/>
        </w:rPr>
        <w:t>5</w:t>
      </w:r>
      <w:r w:rsidR="00B87E75" w:rsidRPr="00542ECA">
        <w:rPr>
          <w:rFonts w:cs="Arial"/>
          <w:sz w:val="22"/>
        </w:rPr>
        <w:t>. Conclusion</w:t>
      </w:r>
      <w:r w:rsidR="00CD33A8" w:rsidRPr="00542ECA">
        <w:rPr>
          <w:rFonts w:cs="Arial"/>
          <w:sz w:val="22"/>
        </w:rPr>
        <w:t xml:space="preserve"> </w:t>
      </w:r>
    </w:p>
    <w:p w14:paraId="7574AE6E" w14:textId="77777777" w:rsidR="00542ECA" w:rsidRPr="00542ECA" w:rsidRDefault="00542ECA" w:rsidP="00542ECA">
      <w:pPr>
        <w:spacing w:line="360" w:lineRule="auto"/>
        <w:ind w:firstLine="720"/>
        <w:rPr>
          <w:rFonts w:ascii="Arial" w:hAnsi="Arial" w:cs="Arial"/>
          <w:sz w:val="22"/>
        </w:rPr>
      </w:pPr>
      <w:r w:rsidRPr="00542ECA">
        <w:rPr>
          <w:rFonts w:ascii="Arial" w:hAnsi="Arial" w:cs="Arial"/>
          <w:sz w:val="22"/>
        </w:rPr>
        <w:t>Mrs Thompson’s case demonstrates how communication, administration, and collaborative working are all essential to effective health and social care practice. Clear communication enables professionals to understand her needs, support informed decision-making, reduce confusion, and appropriately involve her family. By applying the principles of the Equity Act 2010 and tailoring communication to her individual needs, professionals can promote equality, dignity, and inclusion.</w:t>
      </w:r>
    </w:p>
    <w:p w14:paraId="1854A9DA" w14:textId="77777777" w:rsidR="00542ECA" w:rsidRPr="00542ECA" w:rsidRDefault="00542ECA" w:rsidP="00542ECA">
      <w:pPr>
        <w:spacing w:line="360" w:lineRule="auto"/>
        <w:rPr>
          <w:rFonts w:ascii="Arial" w:hAnsi="Arial" w:cs="Arial"/>
          <w:sz w:val="22"/>
        </w:rPr>
      </w:pPr>
    </w:p>
    <w:p w14:paraId="0304CC5E" w14:textId="77777777" w:rsidR="00542ECA" w:rsidRPr="00542ECA" w:rsidRDefault="00542ECA" w:rsidP="00542ECA">
      <w:pPr>
        <w:spacing w:line="360" w:lineRule="auto"/>
        <w:rPr>
          <w:rFonts w:ascii="Arial" w:hAnsi="Arial" w:cs="Arial"/>
          <w:sz w:val="22"/>
        </w:rPr>
      </w:pPr>
      <w:r w:rsidRPr="00542ECA">
        <w:rPr>
          <w:rFonts w:ascii="Arial" w:hAnsi="Arial" w:cs="Arial"/>
          <w:sz w:val="22"/>
        </w:rPr>
        <w:tab/>
        <w:t xml:space="preserve">Robust administrative practice is equally important. Accurate record-keeping evidences the care provider, supports continuity across services, and helps professionals identify and respond to risks. Compliance with the Data Protection Act 2018 ensures sensitive information </w:t>
      </w:r>
      <w:proofErr w:type="gramStart"/>
      <w:r w:rsidRPr="00542ECA">
        <w:rPr>
          <w:rFonts w:ascii="Arial" w:hAnsi="Arial" w:cs="Arial"/>
          <w:sz w:val="22"/>
        </w:rPr>
        <w:t>is handles securely</w:t>
      </w:r>
      <w:proofErr w:type="gramEnd"/>
      <w:r w:rsidRPr="00542ECA">
        <w:rPr>
          <w:rFonts w:ascii="Arial" w:hAnsi="Arial" w:cs="Arial"/>
          <w:sz w:val="22"/>
        </w:rPr>
        <w:t xml:space="preserve"> and shared only where appropriate.</w:t>
      </w:r>
    </w:p>
    <w:p w14:paraId="6A20E027" w14:textId="77777777" w:rsidR="00542ECA" w:rsidRPr="00542ECA" w:rsidRDefault="00542ECA" w:rsidP="00542ECA">
      <w:pPr>
        <w:spacing w:line="360" w:lineRule="auto"/>
        <w:rPr>
          <w:rFonts w:ascii="Arial" w:hAnsi="Arial" w:cs="Arial"/>
          <w:sz w:val="22"/>
        </w:rPr>
      </w:pPr>
    </w:p>
    <w:p w14:paraId="0A44263E" w14:textId="77777777" w:rsidR="00542ECA" w:rsidRPr="00542ECA" w:rsidRDefault="00542ECA" w:rsidP="00542ECA">
      <w:pPr>
        <w:spacing w:line="360" w:lineRule="auto"/>
        <w:rPr>
          <w:rFonts w:ascii="Arial" w:hAnsi="Arial" w:cs="Arial"/>
          <w:sz w:val="22"/>
        </w:rPr>
      </w:pPr>
      <w:r w:rsidRPr="00542ECA">
        <w:rPr>
          <w:rFonts w:ascii="Arial" w:hAnsi="Arial" w:cs="Arial"/>
          <w:sz w:val="22"/>
        </w:rPr>
        <w:tab/>
        <w:t>Finally, collaborative working enables the various professionals involved to combine their expertise in pursuit of the best possible outcomes for Mrs Thompson. Through clear communication, coordinated planning, and appropriate information sharing, multidisciplinary teams can address medication management and safeguarding concerns while supporting her wellbeing, independence, and overall quality of life.</w:t>
      </w:r>
    </w:p>
    <w:p w14:paraId="6812580D" w14:textId="47452A39" w:rsidR="0090040D" w:rsidRPr="00542ECA" w:rsidRDefault="0090040D" w:rsidP="00542ECA">
      <w:pPr>
        <w:tabs>
          <w:tab w:val="left" w:pos="6540"/>
        </w:tabs>
        <w:spacing w:line="360" w:lineRule="auto"/>
        <w:rPr>
          <w:rFonts w:ascii="Arial" w:hAnsi="Arial" w:cs="Arial"/>
          <w:sz w:val="22"/>
        </w:rPr>
      </w:pPr>
    </w:p>
    <w:p w14:paraId="444BAD02" w14:textId="77777777" w:rsidR="00814A9E" w:rsidRPr="00542ECA" w:rsidRDefault="00814A9E" w:rsidP="00542ECA">
      <w:pPr>
        <w:tabs>
          <w:tab w:val="left" w:pos="6540"/>
        </w:tabs>
        <w:spacing w:line="360" w:lineRule="auto"/>
        <w:rPr>
          <w:rFonts w:ascii="Arial" w:hAnsi="Arial" w:cs="Arial"/>
          <w:sz w:val="22"/>
        </w:rPr>
      </w:pPr>
    </w:p>
    <w:p w14:paraId="33F8F0BD" w14:textId="597FD84B" w:rsidR="00B87E75" w:rsidRPr="00542ECA" w:rsidRDefault="00B87E75" w:rsidP="00542ECA">
      <w:pPr>
        <w:pStyle w:val="Heading1"/>
        <w:rPr>
          <w:rFonts w:cs="Arial"/>
          <w:sz w:val="22"/>
        </w:rPr>
      </w:pPr>
      <w:r w:rsidRPr="00542ECA">
        <w:rPr>
          <w:rFonts w:cs="Arial"/>
          <w:sz w:val="22"/>
        </w:rPr>
        <w:lastRenderedPageBreak/>
        <w:t>References</w:t>
      </w:r>
    </w:p>
    <w:p w14:paraId="02F9655E" w14:textId="77777777" w:rsidR="00542ECA" w:rsidRPr="00542ECA" w:rsidRDefault="00542ECA" w:rsidP="00542ECA">
      <w:pPr>
        <w:spacing w:line="360" w:lineRule="auto"/>
        <w:rPr>
          <w:rFonts w:ascii="Arial" w:hAnsi="Arial" w:cs="Arial"/>
          <w:sz w:val="22"/>
        </w:rPr>
      </w:pPr>
      <w:r w:rsidRPr="00542ECA">
        <w:rPr>
          <w:rFonts w:ascii="Arial" w:hAnsi="Arial" w:cs="Arial"/>
          <w:sz w:val="22"/>
        </w:rPr>
        <w:t xml:space="preserve">Berlo, D.K. (1960) </w:t>
      </w:r>
      <w:r w:rsidRPr="00542ECA">
        <w:rPr>
          <w:rFonts w:ascii="Arial" w:hAnsi="Arial" w:cs="Arial"/>
          <w:i/>
          <w:iCs/>
          <w:sz w:val="22"/>
        </w:rPr>
        <w:t>The Process of Communication: An Introduction to Theory and Practice</w:t>
      </w:r>
      <w:r w:rsidRPr="00542ECA">
        <w:rPr>
          <w:rFonts w:ascii="Arial" w:hAnsi="Arial" w:cs="Arial"/>
          <w:sz w:val="22"/>
        </w:rPr>
        <w:t>. New York: Holt, Rinehart and Winston.</w:t>
      </w:r>
    </w:p>
    <w:p w14:paraId="34B26891" w14:textId="77777777" w:rsidR="00542ECA" w:rsidRPr="00542ECA" w:rsidRDefault="00542ECA" w:rsidP="00542ECA">
      <w:pPr>
        <w:spacing w:line="360" w:lineRule="auto"/>
        <w:rPr>
          <w:rFonts w:ascii="Arial" w:hAnsi="Arial" w:cs="Arial"/>
          <w:sz w:val="22"/>
        </w:rPr>
      </w:pPr>
      <w:r w:rsidRPr="00542ECA">
        <w:rPr>
          <w:rFonts w:ascii="Arial" w:hAnsi="Arial" w:cs="Arial"/>
          <w:sz w:val="22"/>
        </w:rPr>
        <w:t xml:space="preserve">Brooker, D. and Latham, I. (2016) </w:t>
      </w:r>
      <w:r w:rsidRPr="00542ECA">
        <w:rPr>
          <w:rFonts w:ascii="Arial" w:hAnsi="Arial" w:cs="Arial"/>
          <w:i/>
          <w:iCs/>
          <w:sz w:val="22"/>
        </w:rPr>
        <w:t>Person-Centred Dementia Care: Making Services Better with the VIPS Framework</w:t>
      </w:r>
      <w:r w:rsidRPr="00542ECA">
        <w:rPr>
          <w:rFonts w:ascii="Arial" w:hAnsi="Arial" w:cs="Arial"/>
          <w:sz w:val="22"/>
        </w:rPr>
        <w:t xml:space="preserve">. 2nd </w:t>
      </w:r>
      <w:proofErr w:type="spellStart"/>
      <w:r w:rsidRPr="00542ECA">
        <w:rPr>
          <w:rFonts w:ascii="Arial" w:hAnsi="Arial" w:cs="Arial"/>
          <w:sz w:val="22"/>
        </w:rPr>
        <w:t>edn</w:t>
      </w:r>
      <w:proofErr w:type="spellEnd"/>
      <w:r w:rsidRPr="00542ECA">
        <w:rPr>
          <w:rFonts w:ascii="Arial" w:hAnsi="Arial" w:cs="Arial"/>
          <w:sz w:val="22"/>
        </w:rPr>
        <w:t>. London: Jessica Kingsley Publishers.</w:t>
      </w:r>
    </w:p>
    <w:p w14:paraId="3B625CF8" w14:textId="77777777" w:rsidR="00542ECA" w:rsidRPr="00542ECA" w:rsidRDefault="00542ECA" w:rsidP="00542ECA">
      <w:pPr>
        <w:spacing w:line="360" w:lineRule="auto"/>
        <w:rPr>
          <w:rFonts w:ascii="Arial" w:hAnsi="Arial" w:cs="Arial"/>
          <w:sz w:val="22"/>
        </w:rPr>
      </w:pPr>
      <w:r w:rsidRPr="00542ECA">
        <w:rPr>
          <w:rFonts w:ascii="Arial" w:hAnsi="Arial" w:cs="Arial"/>
          <w:sz w:val="22"/>
        </w:rPr>
        <w:t xml:space="preserve">Department of Health and Social Care (2014) </w:t>
      </w:r>
      <w:r w:rsidRPr="00542ECA">
        <w:rPr>
          <w:rFonts w:ascii="Arial" w:hAnsi="Arial" w:cs="Arial"/>
          <w:i/>
          <w:iCs/>
          <w:sz w:val="22"/>
        </w:rPr>
        <w:t>Care Act 2014</w:t>
      </w:r>
      <w:r w:rsidRPr="00542ECA">
        <w:rPr>
          <w:rFonts w:ascii="Arial" w:hAnsi="Arial" w:cs="Arial"/>
          <w:sz w:val="22"/>
        </w:rPr>
        <w:t>. Available at: https://www.legislation.gov.uk/ukpga/2014/23 (Accessed: July 23, 2026)</w:t>
      </w:r>
    </w:p>
    <w:p w14:paraId="47955BDA" w14:textId="0BB84E93" w:rsidR="00542ECA" w:rsidRPr="00542ECA" w:rsidRDefault="00542ECA" w:rsidP="00542ECA">
      <w:pPr>
        <w:spacing w:line="360" w:lineRule="auto"/>
        <w:rPr>
          <w:rFonts w:ascii="Arial" w:hAnsi="Arial" w:cs="Arial"/>
          <w:sz w:val="22"/>
        </w:rPr>
      </w:pPr>
      <w:r w:rsidRPr="00542ECA">
        <w:rPr>
          <w:rFonts w:ascii="Arial" w:hAnsi="Arial" w:cs="Arial"/>
          <w:sz w:val="22"/>
        </w:rPr>
        <w:t xml:space="preserve">Equality Act 2010 (2010) </w:t>
      </w:r>
      <w:r w:rsidRPr="00542ECA">
        <w:rPr>
          <w:rFonts w:ascii="Arial" w:hAnsi="Arial" w:cs="Arial"/>
          <w:i/>
          <w:iCs/>
          <w:sz w:val="22"/>
        </w:rPr>
        <w:t>c. 15</w:t>
      </w:r>
      <w:r w:rsidRPr="00542ECA">
        <w:rPr>
          <w:rFonts w:ascii="Arial" w:hAnsi="Arial" w:cs="Arial"/>
          <w:sz w:val="22"/>
        </w:rPr>
        <w:t xml:space="preserve">. Available at: </w:t>
      </w:r>
      <w:r w:rsidR="006205AE" w:rsidRPr="00542ECA">
        <w:rPr>
          <w:rFonts w:ascii="Arial" w:hAnsi="Arial" w:cs="Arial"/>
          <w:sz w:val="22"/>
        </w:rPr>
        <w:t xml:space="preserve">https://www.legislation.gov.uk/ukpga/2010/15 </w:t>
      </w:r>
      <w:r w:rsidR="006205AE">
        <w:rPr>
          <w:rFonts w:ascii="Arial" w:hAnsi="Arial" w:cs="Arial"/>
          <w:sz w:val="22"/>
        </w:rPr>
        <w:t>(</w:t>
      </w:r>
      <w:r w:rsidRPr="00542ECA">
        <w:rPr>
          <w:rFonts w:ascii="Arial" w:hAnsi="Arial" w:cs="Arial"/>
          <w:sz w:val="22"/>
        </w:rPr>
        <w:t>Accessed: July 25, 2026).</w:t>
      </w:r>
    </w:p>
    <w:p w14:paraId="47F19828" w14:textId="5B384363" w:rsidR="00542ECA" w:rsidRPr="006205AE" w:rsidRDefault="006205AE" w:rsidP="00542ECA">
      <w:pPr>
        <w:spacing w:line="360" w:lineRule="auto"/>
        <w:rPr>
          <w:rFonts w:ascii="Arial" w:hAnsi="Arial" w:cs="Arial"/>
          <w:color w:val="000000" w:themeColor="text1"/>
          <w:sz w:val="22"/>
        </w:rPr>
      </w:pPr>
      <w:r w:rsidRPr="006205AE">
        <w:rPr>
          <w:rFonts w:ascii="Arial" w:hAnsi="Arial" w:cs="Arial"/>
          <w:sz w:val="22"/>
        </w:rPr>
        <w:t xml:space="preserve">Equality and Human Rights Commission (2021) </w:t>
      </w:r>
      <w:r w:rsidRPr="006205AE">
        <w:rPr>
          <w:rFonts w:ascii="Arial" w:hAnsi="Arial" w:cs="Arial"/>
          <w:i/>
          <w:iCs/>
          <w:sz w:val="22"/>
        </w:rPr>
        <w:t>Protected characteristics</w:t>
      </w:r>
      <w:r w:rsidRPr="006205AE">
        <w:rPr>
          <w:rFonts w:ascii="Arial" w:hAnsi="Arial" w:cs="Arial"/>
          <w:sz w:val="22"/>
        </w:rPr>
        <w:t xml:space="preserve">. Available at: </w:t>
      </w:r>
      <w:hyperlink r:id="rId8" w:history="1">
        <w:r w:rsidRPr="006205AE">
          <w:rPr>
            <w:rStyle w:val="Hyperlink"/>
            <w:rFonts w:ascii="Arial" w:hAnsi="Arial" w:cs="Arial"/>
            <w:color w:val="000000" w:themeColor="text1"/>
            <w:sz w:val="22"/>
          </w:rPr>
          <w:t>https://www.equalityhumanrights.com/guidance/protected-characteristics</w:t>
        </w:r>
      </w:hyperlink>
      <w:r w:rsidRPr="006205AE">
        <w:rPr>
          <w:rFonts w:ascii="Arial" w:hAnsi="Arial" w:cs="Arial"/>
          <w:color w:val="000000" w:themeColor="text1"/>
          <w:sz w:val="22"/>
        </w:rPr>
        <w:t xml:space="preserve"> </w:t>
      </w:r>
      <w:r w:rsidR="00542ECA" w:rsidRPr="006205AE">
        <w:rPr>
          <w:rFonts w:ascii="Arial" w:hAnsi="Arial" w:cs="Arial"/>
          <w:color w:val="000000" w:themeColor="text1"/>
          <w:sz w:val="22"/>
        </w:rPr>
        <w:t>(Accessed: July 29, 2026)</w:t>
      </w:r>
    </w:p>
    <w:p w14:paraId="1A6707D5" w14:textId="77777777" w:rsidR="00542ECA" w:rsidRPr="00542ECA" w:rsidRDefault="00542ECA" w:rsidP="00542ECA">
      <w:pPr>
        <w:spacing w:line="360" w:lineRule="auto"/>
        <w:rPr>
          <w:rFonts w:ascii="Arial" w:hAnsi="Arial" w:cs="Arial"/>
          <w:sz w:val="22"/>
        </w:rPr>
      </w:pPr>
      <w:r w:rsidRPr="00542ECA">
        <w:rPr>
          <w:rFonts w:ascii="Arial" w:hAnsi="Arial" w:cs="Arial"/>
          <w:sz w:val="22"/>
        </w:rPr>
        <w:t xml:space="preserve">Glasby, J. and Dickinson, H. (2021) </w:t>
      </w:r>
      <w:r w:rsidRPr="00542ECA">
        <w:rPr>
          <w:rFonts w:ascii="Arial" w:hAnsi="Arial" w:cs="Arial"/>
          <w:i/>
          <w:iCs/>
          <w:sz w:val="22"/>
        </w:rPr>
        <w:t>Partnership Working in Health and Social Care</w:t>
      </w:r>
      <w:r w:rsidRPr="00542ECA">
        <w:rPr>
          <w:rFonts w:ascii="Arial" w:hAnsi="Arial" w:cs="Arial"/>
          <w:sz w:val="22"/>
        </w:rPr>
        <w:t xml:space="preserve">. 3rd </w:t>
      </w:r>
      <w:proofErr w:type="spellStart"/>
      <w:r w:rsidRPr="00542ECA">
        <w:rPr>
          <w:rFonts w:ascii="Arial" w:hAnsi="Arial" w:cs="Arial"/>
          <w:sz w:val="22"/>
        </w:rPr>
        <w:t>edn</w:t>
      </w:r>
      <w:proofErr w:type="spellEnd"/>
      <w:r w:rsidRPr="00542ECA">
        <w:rPr>
          <w:rFonts w:ascii="Arial" w:hAnsi="Arial" w:cs="Arial"/>
          <w:sz w:val="22"/>
        </w:rPr>
        <w:t>. Bristol: Policy Press.</w:t>
      </w:r>
    </w:p>
    <w:p w14:paraId="7DA42CEC" w14:textId="77777777" w:rsidR="00542ECA" w:rsidRPr="00542ECA" w:rsidRDefault="00542ECA" w:rsidP="00542ECA">
      <w:pPr>
        <w:spacing w:line="360" w:lineRule="auto"/>
        <w:rPr>
          <w:rFonts w:ascii="Arial" w:hAnsi="Arial" w:cs="Arial"/>
          <w:sz w:val="22"/>
        </w:rPr>
      </w:pPr>
      <w:r w:rsidRPr="00542ECA">
        <w:rPr>
          <w:rFonts w:ascii="Arial" w:hAnsi="Arial" w:cs="Arial"/>
          <w:sz w:val="22"/>
        </w:rPr>
        <w:t xml:space="preserve">Great Britain (2005) </w:t>
      </w:r>
      <w:r w:rsidRPr="00542ECA">
        <w:rPr>
          <w:rFonts w:ascii="Arial" w:hAnsi="Arial" w:cs="Arial"/>
          <w:i/>
          <w:iCs/>
          <w:sz w:val="22"/>
        </w:rPr>
        <w:t>Mental Capacity Act 2005</w:t>
      </w:r>
      <w:r w:rsidRPr="00542ECA">
        <w:rPr>
          <w:rFonts w:ascii="Arial" w:hAnsi="Arial" w:cs="Arial"/>
          <w:sz w:val="22"/>
        </w:rPr>
        <w:t>. London: The Stationery Office. Available at: https://www.legislation.gov.uk/ukpga/2005/9/contents (Accessed: August 1, 2026)</w:t>
      </w:r>
    </w:p>
    <w:p w14:paraId="1E5C62EE" w14:textId="77777777" w:rsidR="00542ECA" w:rsidRPr="00542ECA" w:rsidRDefault="00542ECA" w:rsidP="00542ECA">
      <w:pPr>
        <w:spacing w:line="360" w:lineRule="auto"/>
        <w:rPr>
          <w:rFonts w:ascii="Arial" w:hAnsi="Arial" w:cs="Arial"/>
          <w:sz w:val="22"/>
        </w:rPr>
      </w:pPr>
      <w:r w:rsidRPr="00542ECA">
        <w:rPr>
          <w:rFonts w:ascii="Arial" w:hAnsi="Arial" w:cs="Arial"/>
          <w:sz w:val="22"/>
        </w:rPr>
        <w:t xml:space="preserve">Health and Social Care Act 2008 (Regulated Activities) Regulations 2014 (2014) </w:t>
      </w:r>
      <w:r w:rsidRPr="00542ECA">
        <w:rPr>
          <w:rFonts w:ascii="Arial" w:hAnsi="Arial" w:cs="Arial"/>
          <w:i/>
          <w:iCs/>
          <w:sz w:val="22"/>
        </w:rPr>
        <w:t>SI 2014/2936</w:t>
      </w:r>
      <w:r w:rsidRPr="00542ECA">
        <w:rPr>
          <w:rFonts w:ascii="Arial" w:hAnsi="Arial" w:cs="Arial"/>
          <w:sz w:val="22"/>
        </w:rPr>
        <w:t>. Available at: https://www.legislation.gov.uk/uksi/2014/2936 (Accessed: July 28, 2026)</w:t>
      </w:r>
    </w:p>
    <w:p w14:paraId="594C0E6A" w14:textId="77777777" w:rsidR="00542ECA" w:rsidRPr="00542ECA" w:rsidRDefault="00542ECA" w:rsidP="00542ECA">
      <w:pPr>
        <w:spacing w:line="360" w:lineRule="auto"/>
        <w:rPr>
          <w:rFonts w:ascii="Arial" w:hAnsi="Arial" w:cs="Arial"/>
          <w:sz w:val="22"/>
        </w:rPr>
      </w:pPr>
      <w:r w:rsidRPr="00542ECA">
        <w:rPr>
          <w:rFonts w:ascii="Arial" w:hAnsi="Arial" w:cs="Arial"/>
          <w:sz w:val="22"/>
        </w:rPr>
        <w:t xml:space="preserve">Information Commissioner's Office (2018) </w:t>
      </w:r>
      <w:r w:rsidRPr="00542ECA">
        <w:rPr>
          <w:rFonts w:ascii="Arial" w:hAnsi="Arial" w:cs="Arial"/>
          <w:i/>
          <w:iCs/>
          <w:sz w:val="22"/>
        </w:rPr>
        <w:t>Guide to the UK GDPR</w:t>
      </w:r>
      <w:r w:rsidRPr="00542ECA">
        <w:rPr>
          <w:rFonts w:ascii="Arial" w:hAnsi="Arial" w:cs="Arial"/>
          <w:sz w:val="22"/>
        </w:rPr>
        <w:t>. Available at: https://ico.org.uk/ (Accessed: July 25, 2026)</w:t>
      </w:r>
    </w:p>
    <w:p w14:paraId="55D1DD10" w14:textId="77777777" w:rsidR="00542ECA" w:rsidRPr="00542ECA" w:rsidRDefault="00542ECA" w:rsidP="00542ECA">
      <w:pPr>
        <w:spacing w:line="360" w:lineRule="auto"/>
        <w:rPr>
          <w:rFonts w:ascii="Arial" w:hAnsi="Arial" w:cs="Arial"/>
          <w:sz w:val="22"/>
        </w:rPr>
      </w:pPr>
      <w:r w:rsidRPr="00542ECA">
        <w:rPr>
          <w:rFonts w:ascii="Arial" w:hAnsi="Arial" w:cs="Arial"/>
          <w:sz w:val="22"/>
        </w:rPr>
        <w:t xml:space="preserve">NHS England (2021) </w:t>
      </w:r>
      <w:r w:rsidRPr="00542ECA">
        <w:rPr>
          <w:rFonts w:ascii="Arial" w:hAnsi="Arial" w:cs="Arial"/>
          <w:i/>
          <w:iCs/>
          <w:sz w:val="22"/>
        </w:rPr>
        <w:t>Records Management Code of Practice for Health and Social Care</w:t>
      </w:r>
      <w:r w:rsidRPr="00542ECA">
        <w:rPr>
          <w:rFonts w:ascii="Arial" w:hAnsi="Arial" w:cs="Arial"/>
          <w:sz w:val="22"/>
        </w:rPr>
        <w:t>. London: NHS England. Available at: https://digital.nhs.uk/data-and-information/information-governance/guidance/records-management-code-of-practice (Accessed: August 3, 2026)</w:t>
      </w:r>
    </w:p>
    <w:p w14:paraId="6F1A7F82" w14:textId="77777777" w:rsidR="00542ECA" w:rsidRPr="00542ECA" w:rsidRDefault="00542ECA" w:rsidP="00542ECA">
      <w:pPr>
        <w:spacing w:line="360" w:lineRule="auto"/>
        <w:rPr>
          <w:rFonts w:ascii="Arial" w:hAnsi="Arial" w:cs="Arial"/>
          <w:sz w:val="22"/>
        </w:rPr>
      </w:pPr>
      <w:r w:rsidRPr="00542ECA">
        <w:rPr>
          <w:rFonts w:ascii="Arial" w:hAnsi="Arial" w:cs="Arial"/>
          <w:sz w:val="22"/>
        </w:rPr>
        <w:t xml:space="preserve">Nursing and Midwifery Council (2018) </w:t>
      </w:r>
      <w:r w:rsidRPr="00542ECA">
        <w:rPr>
          <w:rFonts w:ascii="Arial" w:hAnsi="Arial" w:cs="Arial"/>
          <w:i/>
          <w:iCs/>
          <w:sz w:val="22"/>
        </w:rPr>
        <w:t>The Code: Professional standards of practice and behaviour for nurses, midwives and nursing associates</w:t>
      </w:r>
      <w:r w:rsidRPr="00542ECA">
        <w:rPr>
          <w:rFonts w:ascii="Arial" w:hAnsi="Arial" w:cs="Arial"/>
          <w:sz w:val="22"/>
        </w:rPr>
        <w:t>. Available at: https://www.nmc.org.uk/ (Accessed: July 29, 2026)</w:t>
      </w:r>
    </w:p>
    <w:p w14:paraId="669A901E" w14:textId="77777777" w:rsidR="00542ECA" w:rsidRPr="00542ECA" w:rsidRDefault="00542ECA" w:rsidP="00542ECA">
      <w:pPr>
        <w:spacing w:line="360" w:lineRule="auto"/>
        <w:rPr>
          <w:rFonts w:ascii="Arial" w:hAnsi="Arial" w:cs="Arial"/>
          <w:sz w:val="22"/>
        </w:rPr>
      </w:pPr>
      <w:r w:rsidRPr="00542ECA">
        <w:rPr>
          <w:rFonts w:ascii="Arial" w:hAnsi="Arial" w:cs="Arial"/>
          <w:sz w:val="22"/>
        </w:rPr>
        <w:t xml:space="preserve">Thompson, N. (2021) </w:t>
      </w:r>
      <w:r w:rsidRPr="00542ECA">
        <w:rPr>
          <w:rFonts w:ascii="Arial" w:hAnsi="Arial" w:cs="Arial"/>
          <w:i/>
          <w:iCs/>
          <w:sz w:val="22"/>
        </w:rPr>
        <w:t>Effective Communication: A Guide for the People Professions</w:t>
      </w:r>
      <w:r w:rsidRPr="00542ECA">
        <w:rPr>
          <w:rFonts w:ascii="Arial" w:hAnsi="Arial" w:cs="Arial"/>
          <w:sz w:val="22"/>
        </w:rPr>
        <w:t xml:space="preserve">. 3rd </w:t>
      </w:r>
      <w:proofErr w:type="spellStart"/>
      <w:r w:rsidRPr="00542ECA">
        <w:rPr>
          <w:rFonts w:ascii="Arial" w:hAnsi="Arial" w:cs="Arial"/>
          <w:sz w:val="22"/>
        </w:rPr>
        <w:t>edn</w:t>
      </w:r>
      <w:proofErr w:type="spellEnd"/>
      <w:r w:rsidRPr="00542ECA">
        <w:rPr>
          <w:rFonts w:ascii="Arial" w:hAnsi="Arial" w:cs="Arial"/>
          <w:sz w:val="22"/>
        </w:rPr>
        <w:t>. London: Red Globe Press.</w:t>
      </w:r>
    </w:p>
    <w:p w14:paraId="5297AC55" w14:textId="77777777" w:rsidR="00542ECA" w:rsidRPr="00542ECA" w:rsidRDefault="00542ECA" w:rsidP="00542ECA">
      <w:pPr>
        <w:spacing w:line="360" w:lineRule="auto"/>
        <w:rPr>
          <w:rFonts w:ascii="Arial" w:hAnsi="Arial" w:cs="Arial"/>
          <w:sz w:val="22"/>
        </w:rPr>
      </w:pPr>
      <w:r w:rsidRPr="00542ECA">
        <w:rPr>
          <w:rFonts w:ascii="Arial" w:hAnsi="Arial" w:cs="Arial"/>
          <w:sz w:val="22"/>
        </w:rPr>
        <w:t xml:space="preserve">UK Government (2018) </w:t>
      </w:r>
      <w:r w:rsidRPr="00542ECA">
        <w:rPr>
          <w:rFonts w:ascii="Arial" w:hAnsi="Arial" w:cs="Arial"/>
          <w:i/>
          <w:iCs/>
          <w:sz w:val="22"/>
        </w:rPr>
        <w:t>Data Protection Act 2018</w:t>
      </w:r>
      <w:r w:rsidRPr="00542ECA">
        <w:rPr>
          <w:rFonts w:ascii="Arial" w:hAnsi="Arial" w:cs="Arial"/>
          <w:sz w:val="22"/>
        </w:rPr>
        <w:t>. Available at: https://www.legislation.gov.uk/ukpga/2018/12 (Accessed: July 29, 2026)</w:t>
      </w:r>
    </w:p>
    <w:p w14:paraId="1FBB2620" w14:textId="77777777" w:rsidR="00542ECA" w:rsidRPr="00542ECA" w:rsidRDefault="00542ECA" w:rsidP="00542ECA">
      <w:pPr>
        <w:spacing w:line="360" w:lineRule="auto"/>
        <w:rPr>
          <w:rFonts w:ascii="Arial" w:hAnsi="Arial" w:cs="Arial"/>
          <w:sz w:val="22"/>
        </w:rPr>
      </w:pPr>
      <w:r w:rsidRPr="00542ECA">
        <w:rPr>
          <w:rFonts w:ascii="Arial" w:hAnsi="Arial" w:cs="Arial"/>
          <w:sz w:val="22"/>
        </w:rPr>
        <w:lastRenderedPageBreak/>
        <w:t xml:space="preserve">UK Government (2026) </w:t>
      </w:r>
      <w:r w:rsidRPr="00542ECA">
        <w:rPr>
          <w:rFonts w:ascii="Arial" w:hAnsi="Arial" w:cs="Arial"/>
          <w:i/>
          <w:iCs/>
          <w:sz w:val="22"/>
        </w:rPr>
        <w:t>Data protection</w:t>
      </w:r>
      <w:r w:rsidRPr="00542ECA">
        <w:rPr>
          <w:rFonts w:ascii="Arial" w:hAnsi="Arial" w:cs="Arial"/>
          <w:sz w:val="22"/>
        </w:rPr>
        <w:t>. Available at: https://www.gov.uk/data-protection (Accessed: August 1, 2026)</w:t>
      </w:r>
    </w:p>
    <w:p w14:paraId="69B26D05" w14:textId="77777777" w:rsidR="00542ECA" w:rsidRPr="00542ECA" w:rsidRDefault="00542ECA" w:rsidP="00542ECA">
      <w:pPr>
        <w:spacing w:line="360" w:lineRule="auto"/>
        <w:rPr>
          <w:rFonts w:ascii="Arial" w:hAnsi="Arial" w:cs="Arial"/>
          <w:sz w:val="22"/>
        </w:rPr>
      </w:pPr>
      <w:r w:rsidRPr="00542ECA">
        <w:rPr>
          <w:rFonts w:ascii="Arial" w:hAnsi="Arial" w:cs="Arial"/>
          <w:sz w:val="22"/>
        </w:rPr>
        <w:t xml:space="preserve">UK Government (2018) </w:t>
      </w:r>
      <w:r w:rsidRPr="00542ECA">
        <w:rPr>
          <w:rFonts w:ascii="Arial" w:hAnsi="Arial" w:cs="Arial"/>
          <w:i/>
          <w:iCs/>
          <w:sz w:val="22"/>
        </w:rPr>
        <w:t>Data Protection Act 2018</w:t>
      </w:r>
      <w:r w:rsidRPr="00542ECA">
        <w:rPr>
          <w:rFonts w:ascii="Arial" w:hAnsi="Arial" w:cs="Arial"/>
          <w:sz w:val="22"/>
        </w:rPr>
        <w:t>. London: The Stationery Office. Available at: https://www.legislation.gov.uk/ukpga/2018/12/contents (Accessed: August 1, 2026)</w:t>
      </w:r>
    </w:p>
    <w:p w14:paraId="1425F4AC" w14:textId="6695D929" w:rsidR="001D7C03" w:rsidRPr="00542ECA" w:rsidRDefault="001D7C03" w:rsidP="00542ECA">
      <w:pPr>
        <w:tabs>
          <w:tab w:val="left" w:pos="6540"/>
        </w:tabs>
        <w:spacing w:line="360" w:lineRule="auto"/>
        <w:rPr>
          <w:rFonts w:ascii="Arial" w:hAnsi="Arial" w:cs="Arial"/>
          <w:sz w:val="22"/>
        </w:rPr>
      </w:pPr>
    </w:p>
    <w:sectPr w:rsidR="001D7C03" w:rsidRPr="00542ECA"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302044" w14:textId="77777777" w:rsidR="00DF49F5" w:rsidRDefault="00DF49F5" w:rsidP="003E4ECF">
      <w:pPr>
        <w:spacing w:after="0" w:line="240" w:lineRule="auto"/>
      </w:pPr>
      <w:r>
        <w:separator/>
      </w:r>
    </w:p>
  </w:endnote>
  <w:endnote w:type="continuationSeparator" w:id="0">
    <w:p w14:paraId="3C9F939F" w14:textId="77777777" w:rsidR="00DF49F5" w:rsidRDefault="00DF49F5"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488350" w14:textId="77777777" w:rsidR="00DF49F5" w:rsidRDefault="00DF49F5" w:rsidP="003E4ECF">
      <w:pPr>
        <w:spacing w:after="0" w:line="240" w:lineRule="auto"/>
      </w:pPr>
      <w:r>
        <w:separator/>
      </w:r>
    </w:p>
  </w:footnote>
  <w:footnote w:type="continuationSeparator" w:id="0">
    <w:p w14:paraId="2BEDD5AB" w14:textId="77777777" w:rsidR="00DF49F5" w:rsidRDefault="00DF49F5"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D7C03"/>
    <w:rsid w:val="00216C85"/>
    <w:rsid w:val="0026393A"/>
    <w:rsid w:val="00273EDD"/>
    <w:rsid w:val="002C3965"/>
    <w:rsid w:val="00321C4C"/>
    <w:rsid w:val="00392BBC"/>
    <w:rsid w:val="003E4ECF"/>
    <w:rsid w:val="004A736E"/>
    <w:rsid w:val="00542ECA"/>
    <w:rsid w:val="006205AE"/>
    <w:rsid w:val="006925AA"/>
    <w:rsid w:val="00725177"/>
    <w:rsid w:val="007A1B8D"/>
    <w:rsid w:val="00814A9E"/>
    <w:rsid w:val="0087761D"/>
    <w:rsid w:val="008E3943"/>
    <w:rsid w:val="0090040D"/>
    <w:rsid w:val="009B1F0B"/>
    <w:rsid w:val="009D052C"/>
    <w:rsid w:val="009D1D1E"/>
    <w:rsid w:val="00A035FD"/>
    <w:rsid w:val="00AD23A0"/>
    <w:rsid w:val="00B87E75"/>
    <w:rsid w:val="00CD33A8"/>
    <w:rsid w:val="00CF1C65"/>
    <w:rsid w:val="00DF49F5"/>
    <w:rsid w:val="00E411E6"/>
    <w:rsid w:val="00E569FD"/>
    <w:rsid w:val="00E620E7"/>
    <w:rsid w:val="00F378D7"/>
    <w:rsid w:val="00F66E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6205AE"/>
    <w:rPr>
      <w:color w:val="0563C1" w:themeColor="hyperlink"/>
      <w:u w:val="single"/>
    </w:rPr>
  </w:style>
  <w:style w:type="character" w:styleId="UnresolvedMention">
    <w:name w:val="Unresolved Mention"/>
    <w:basedOn w:val="DefaultParagraphFont"/>
    <w:uiPriority w:val="99"/>
    <w:semiHidden/>
    <w:unhideWhenUsed/>
    <w:rsid w:val="006205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guidance/protected-characteristics" TargetMode="Externa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2120</Words>
  <Characters>12086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Kissy Kaye Pimentel (2530434)</cp:lastModifiedBy>
  <cp:revision>2</cp:revision>
  <dcterms:created xsi:type="dcterms:W3CDTF">2026-08-19T13:10:00Z</dcterms:created>
  <dcterms:modified xsi:type="dcterms:W3CDTF">2026-08-19T13:10:00Z</dcterms:modified>
</cp:coreProperties>
</file>