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31A1450" w14:textId="77777777" w:rsidR="008317B3" w:rsidRDefault="008317B3" w:rsidP="001802B5">
      <w:pPr>
        <w:jc w:val="center"/>
        <w:rPr>
          <w:i/>
          <w:u w:val="single"/>
        </w:rPr>
      </w:pPr>
      <w:r w:rsidRPr="001802B5">
        <w:rPr>
          <w:i/>
          <w:u w:val="single"/>
        </w:rPr>
        <w:t>What is the perceived position of an Athenian woman of your class?</w:t>
      </w:r>
    </w:p>
    <w:p w14:paraId="5A8A1E1F" w14:textId="3DA280A1" w:rsidR="001802B5" w:rsidRDefault="001802B5" w:rsidP="001802B5"/>
    <w:p w14:paraId="1E2D82CC" w14:textId="77777777" w:rsidR="00DF5E1D" w:rsidRDefault="00DF5E1D" w:rsidP="001802B5"/>
    <w:p w14:paraId="0C0B6BBC" w14:textId="0A402624" w:rsidR="006A6D11" w:rsidRDefault="006A6D11" w:rsidP="001802B5">
      <w:r>
        <w:t>In the following piece I will be assessing the perceived position of an Athenian woman of lower middle class. I will be discussing the different roles of women as a daughter, a wife and the provider of children.</w:t>
      </w:r>
      <w:r w:rsidR="00E9762B">
        <w:t xml:space="preserve"> </w:t>
      </w:r>
      <w:r>
        <w:t xml:space="preserve">It will be evident </w:t>
      </w:r>
      <w:r w:rsidR="00980536">
        <w:t>that citizen women</w:t>
      </w:r>
      <w:r w:rsidR="00CE512A">
        <w:t>, even those of middle or higher class, were seen and treated as inferior to men</w:t>
      </w:r>
      <w:r w:rsidR="00E9762B">
        <w:t xml:space="preserve"> in classical antiquity.</w:t>
      </w:r>
    </w:p>
    <w:p w14:paraId="40C6129B" w14:textId="77777777" w:rsidR="006A6D11" w:rsidRDefault="006A6D11" w:rsidP="001802B5"/>
    <w:p w14:paraId="1FD2C91B" w14:textId="074BDAF9" w:rsidR="00E1638F" w:rsidRDefault="00452BC5" w:rsidP="00BC2086">
      <w:r>
        <w:t>In Classical Athens,</w:t>
      </w:r>
      <w:r w:rsidR="00F36E04">
        <w:t xml:space="preserve"> women </w:t>
      </w:r>
      <w:r w:rsidR="00FA7A55">
        <w:t>were</w:t>
      </w:r>
      <w:r w:rsidR="00F36E04">
        <w:t xml:space="preserve"> inferior to men</w:t>
      </w:r>
      <w:r>
        <w:t xml:space="preserve"> “politically and </w:t>
      </w:r>
      <w:r w:rsidR="0019426A">
        <w:t>legally</w:t>
      </w:r>
      <w:r w:rsidR="00A12302">
        <w:t>”</w:t>
      </w:r>
      <w:r w:rsidR="00C2189B">
        <w:rPr>
          <w:rStyle w:val="FootnoteReference"/>
        </w:rPr>
        <w:footnoteReference w:id="1"/>
      </w:r>
      <w:r w:rsidR="00A12302">
        <w:t>.</w:t>
      </w:r>
      <w:r w:rsidR="00CF6679">
        <w:t xml:space="preserve"> </w:t>
      </w:r>
      <w:r w:rsidR="00BC2086">
        <w:t xml:space="preserve">This means that </w:t>
      </w:r>
      <w:r w:rsidR="006B1EC5">
        <w:t>no matter their rank in society, women were always inferior to men of the same rank.</w:t>
      </w:r>
      <w:r w:rsidR="00E56247">
        <w:t xml:space="preserve"> For example, a </w:t>
      </w:r>
      <w:r w:rsidR="00FE0521">
        <w:t>male</w:t>
      </w:r>
      <w:r w:rsidR="00E56247">
        <w:t xml:space="preserve"> citizen is superior to a female citizen; a male slave is superior to a female one, and so on.</w:t>
      </w:r>
    </w:p>
    <w:p w14:paraId="10C04971" w14:textId="77777777" w:rsidR="00BC2086" w:rsidRDefault="00BC2086" w:rsidP="00BC2086"/>
    <w:p w14:paraId="434550D7" w14:textId="0D44734E" w:rsidR="00FB5964" w:rsidRDefault="00470E80" w:rsidP="00FB5964">
      <w:r>
        <w:t>As a citizen, women were higher than those in Athens who were not, such as slaves or metics</w:t>
      </w:r>
      <w:r w:rsidR="00FB5964">
        <w:rPr>
          <w:rStyle w:val="FootnoteReference"/>
        </w:rPr>
        <w:footnoteReference w:id="2"/>
      </w:r>
      <w:r w:rsidR="00CF6679">
        <w:t>.</w:t>
      </w:r>
    </w:p>
    <w:p w14:paraId="1F9F73FE" w14:textId="5D055DB3" w:rsidR="00375674" w:rsidRDefault="00375674" w:rsidP="00FB5964">
      <w:r>
        <w:t>The daughters o</w:t>
      </w:r>
      <w:r w:rsidR="00B94CA0">
        <w:t xml:space="preserve">f Athenian men were citizens but did not have the same rights as that of a man. </w:t>
      </w:r>
      <w:r w:rsidR="000031BD">
        <w:t xml:space="preserve">While a woman could have an inheritance, this only occurred when </w:t>
      </w:r>
      <w:r w:rsidR="00253F31">
        <w:t>there was no surviving male heir</w:t>
      </w:r>
      <w:r w:rsidR="0050394A">
        <w:t xml:space="preserve"> </w:t>
      </w:r>
      <w:r w:rsidR="009F7243">
        <w:t>and she became the ‘</w:t>
      </w:r>
      <w:r w:rsidR="00DA6A95" w:rsidRPr="00DA6A95">
        <w:t>epikl</w:t>
      </w:r>
      <w:r w:rsidR="001246D9">
        <w:t>ē</w:t>
      </w:r>
      <w:r w:rsidR="00DA6A95" w:rsidRPr="00DA6A95">
        <w:t>ros</w:t>
      </w:r>
      <w:r w:rsidR="001246D9">
        <w:t>’</w:t>
      </w:r>
      <w:r w:rsidR="00B93A73">
        <w:t>, meaning she would be required to marry her closest paternal relative and provide an heir</w:t>
      </w:r>
      <w:r w:rsidR="00D61A63">
        <w:rPr>
          <w:rStyle w:val="FootnoteReference"/>
        </w:rPr>
        <w:footnoteReference w:id="3"/>
      </w:r>
      <w:r w:rsidR="00A12302">
        <w:t>.</w:t>
      </w:r>
    </w:p>
    <w:p w14:paraId="36B71991" w14:textId="4F82859C" w:rsidR="00B10326" w:rsidRDefault="00B10326" w:rsidP="00B10326"/>
    <w:p w14:paraId="5D4C8A76" w14:textId="2C8878D1" w:rsidR="00B10326" w:rsidRDefault="00B10326" w:rsidP="00B10326">
      <w:r w:rsidRPr="00B10326">
        <w:t>Women, as well as children, were expected to obey the man (kyrios) as they were his dependents in the oikos</w:t>
      </w:r>
      <w:r w:rsidR="00301F6E">
        <w:rPr>
          <w:rStyle w:val="FootnoteReference"/>
        </w:rPr>
        <w:footnoteReference w:id="4"/>
      </w:r>
      <w:r w:rsidR="00561396">
        <w:t xml:space="preserve">. </w:t>
      </w:r>
      <w:r w:rsidR="00E37DAD">
        <w:t>This reinforces their position of inferiority to males in society.</w:t>
      </w:r>
      <w:r w:rsidR="000A34C2">
        <w:t xml:space="preserve"> </w:t>
      </w:r>
      <w:r w:rsidR="00361191">
        <w:t xml:space="preserve">The expected subservience of young girls is also shown by </w:t>
      </w:r>
      <w:r w:rsidR="00AF3E8B">
        <w:t xml:space="preserve">Xenophon, saying they </w:t>
      </w:r>
      <w:r w:rsidR="00AE0927">
        <w:t>were to “</w:t>
      </w:r>
      <w:r w:rsidR="00AE0927" w:rsidRPr="00AE0927">
        <w:t>question as little as possible</w:t>
      </w:r>
      <w:r w:rsidR="00AE0927">
        <w:t>”</w:t>
      </w:r>
      <w:r w:rsidR="00F25964">
        <w:rPr>
          <w:rStyle w:val="FootnoteReference"/>
        </w:rPr>
        <w:footnoteReference w:id="5"/>
      </w:r>
      <w:r w:rsidR="000C12AE">
        <w:t>.</w:t>
      </w:r>
    </w:p>
    <w:p w14:paraId="61F44173" w14:textId="727FC74B" w:rsidR="008E20FC" w:rsidRDefault="008E20FC" w:rsidP="00F840C3"/>
    <w:p w14:paraId="500D66EF" w14:textId="655B02D3" w:rsidR="0040060F" w:rsidRDefault="008E20FC" w:rsidP="00DA2732">
      <w:r>
        <w:t xml:space="preserve">Women citizens </w:t>
      </w:r>
      <w:r w:rsidR="00476525">
        <w:t xml:space="preserve">in general, and especially those </w:t>
      </w:r>
      <w:r w:rsidR="00D034D9">
        <w:t xml:space="preserve">of the middle and upper classes were expected to </w:t>
      </w:r>
      <w:r w:rsidR="00DA2732">
        <w:t>married and have a dowry provided by her father or male next of kin</w:t>
      </w:r>
      <w:r w:rsidR="004127CC">
        <w:rPr>
          <w:rStyle w:val="FootnoteReference"/>
        </w:rPr>
        <w:footnoteReference w:id="6"/>
      </w:r>
      <w:r w:rsidR="00376B74">
        <w:t>.</w:t>
      </w:r>
      <w:r w:rsidR="00DA2732">
        <w:t xml:space="preserve"> Pomeroy said that</w:t>
      </w:r>
      <w:r w:rsidR="001512B8">
        <w:t xml:space="preserve"> “</w:t>
      </w:r>
      <w:r w:rsidR="00DA2732">
        <w:t>a</w:t>
      </w:r>
      <w:r w:rsidR="001512B8">
        <w:t xml:space="preserve"> girl was ideally first married at the age of fourteen”</w:t>
      </w:r>
      <w:r w:rsidR="003A64DC">
        <w:rPr>
          <w:rStyle w:val="FootnoteReference"/>
        </w:rPr>
        <w:footnoteReference w:id="7"/>
      </w:r>
      <w:r w:rsidR="00351A71">
        <w:t>.</w:t>
      </w:r>
      <w:r w:rsidR="00D16AF1">
        <w:t xml:space="preserve"> </w:t>
      </w:r>
    </w:p>
    <w:p w14:paraId="2D32C21B" w14:textId="77777777" w:rsidR="00F840C3" w:rsidRDefault="00F840C3" w:rsidP="00F840C3"/>
    <w:p w14:paraId="241D2079" w14:textId="7228A06B" w:rsidR="00A14589" w:rsidRDefault="00A14589" w:rsidP="00332B79">
      <w:r>
        <w:t xml:space="preserve">Women were </w:t>
      </w:r>
      <w:r w:rsidR="008D1919">
        <w:t xml:space="preserve">expected to </w:t>
      </w:r>
      <w:r>
        <w:t>bear children</w:t>
      </w:r>
      <w:r w:rsidR="008D1919">
        <w:t xml:space="preserve"> for their husband and for the </w:t>
      </w:r>
      <w:r w:rsidR="008D1919" w:rsidRPr="00332B79">
        <w:rPr>
          <w:i/>
        </w:rPr>
        <w:t>oikos</w:t>
      </w:r>
      <w:r w:rsidR="00502FF9">
        <w:t xml:space="preserve">, </w:t>
      </w:r>
      <w:r w:rsidR="00E02092">
        <w:t xml:space="preserve">but they were </w:t>
      </w:r>
      <w:r w:rsidR="00502FF9">
        <w:t>seen</w:t>
      </w:r>
      <w:r w:rsidR="0059383E">
        <w:t xml:space="preserve"> </w:t>
      </w:r>
      <w:r w:rsidR="00502FF9">
        <w:t xml:space="preserve">not as a mother or parent but as </w:t>
      </w:r>
      <w:r w:rsidR="00F0773A">
        <w:t>the “nurse”</w:t>
      </w:r>
      <w:r w:rsidR="00F666CD">
        <w:t>, as state</w:t>
      </w:r>
      <w:r w:rsidR="00E02092">
        <w:t>d</w:t>
      </w:r>
      <w:r w:rsidR="00F666CD">
        <w:t xml:space="preserve"> by Aeschylus</w:t>
      </w:r>
      <w:r w:rsidR="00980777">
        <w:t xml:space="preserve"> in Eumenides</w:t>
      </w:r>
      <w:r w:rsidR="00F11C5C">
        <w:rPr>
          <w:rStyle w:val="FootnoteReference"/>
        </w:rPr>
        <w:footnoteReference w:id="8"/>
      </w:r>
      <w:r w:rsidR="009F6C0A">
        <w:t>.</w:t>
      </w:r>
      <w:r w:rsidR="00B3362E">
        <w:t xml:space="preserve"> This shows that women weren’t even seen as equals when it came to their children. </w:t>
      </w:r>
    </w:p>
    <w:p w14:paraId="5ADB3C9D" w14:textId="644D88D2" w:rsidR="009A04F2" w:rsidRDefault="009A04F2" w:rsidP="009A04F2"/>
    <w:p w14:paraId="6ACCAE56" w14:textId="0C4C6BD2" w:rsidR="00726F99" w:rsidRDefault="000E4B5F" w:rsidP="00726F99">
      <w:r>
        <w:t xml:space="preserve">To conclude, </w:t>
      </w:r>
      <w:r w:rsidR="0094115B">
        <w:t>women in classical Athens were treated as second to men</w:t>
      </w:r>
      <w:r w:rsidR="00BE0BED">
        <w:t>. A citizen woman of middle or higher class in some cases had less freedom than lower class women as they</w:t>
      </w:r>
      <w:r w:rsidR="006577D9">
        <w:t xml:space="preserve"> were totally controlled by their father or husband</w:t>
      </w:r>
      <w:r w:rsidR="00E34D60">
        <w:t>, having no say in how to live their lives.</w:t>
      </w:r>
    </w:p>
    <w:p w14:paraId="12B5AF82" w14:textId="77777777" w:rsidR="00726F99" w:rsidRDefault="00726F99" w:rsidP="00726F99"/>
    <w:p w14:paraId="2293F066" w14:textId="3695D32E" w:rsidR="00726F99" w:rsidRDefault="00726F99" w:rsidP="00726F99"/>
    <w:p w14:paraId="2CD34C87" w14:textId="77777777" w:rsidR="00726F99" w:rsidRDefault="00726F99">
      <w:r>
        <w:br w:type="page"/>
      </w:r>
    </w:p>
    <w:p w14:paraId="0BF0F93A" w14:textId="5F4ABBA1" w:rsidR="00726F99" w:rsidRDefault="00726F99" w:rsidP="00726F99"/>
    <w:p w14:paraId="510CF491" w14:textId="790F39C9" w:rsidR="00726F99" w:rsidRDefault="00726F99"/>
    <w:p w14:paraId="3F1D3A1A" w14:textId="77777777" w:rsidR="00726F99" w:rsidRDefault="00726F99" w:rsidP="00726F99"/>
    <w:p w14:paraId="47B0CA4B" w14:textId="281E99B9" w:rsidR="009A04F2" w:rsidRDefault="009A04F2" w:rsidP="009A04F2">
      <w:r>
        <w:t>Bibliography:</w:t>
      </w:r>
    </w:p>
    <w:p w14:paraId="38FC1DB5" w14:textId="62B9E67C" w:rsidR="009A04F2" w:rsidRDefault="009A04F2" w:rsidP="009A04F2"/>
    <w:p w14:paraId="10CC0787" w14:textId="6F2800E6" w:rsidR="008074CB" w:rsidRDefault="008074CB" w:rsidP="009A04F2"/>
    <w:p w14:paraId="6CB76F4A" w14:textId="04AEC4AC" w:rsidR="008074CB" w:rsidRDefault="00966458" w:rsidP="00966458">
      <w:pPr>
        <w:pStyle w:val="FootnoteText"/>
      </w:pPr>
      <w:r>
        <w:t>Aeschylus</w:t>
      </w:r>
      <w:r w:rsidR="00CA4AC0">
        <w:t>,</w:t>
      </w:r>
      <w:r>
        <w:t xml:space="preserve"> Eumenides</w:t>
      </w:r>
      <w:r w:rsidR="004414AF">
        <w:t xml:space="preserve">. </w:t>
      </w:r>
    </w:p>
    <w:p w14:paraId="671D6E94" w14:textId="58548EA4" w:rsidR="008074CB" w:rsidRDefault="00766341" w:rsidP="009A04F2">
      <w:r>
        <w:t xml:space="preserve">Xenophon, </w:t>
      </w:r>
      <w:r w:rsidR="00D47175">
        <w:t>Oec</w:t>
      </w:r>
      <w:r w:rsidR="00B13E37">
        <w:t>onomicus 7.5</w:t>
      </w:r>
      <w:r w:rsidR="00C15F22">
        <w:t>.</w:t>
      </w:r>
    </w:p>
    <w:p w14:paraId="2C6E8600" w14:textId="77777777" w:rsidR="00766341" w:rsidRDefault="00766341" w:rsidP="009A04F2"/>
    <w:p w14:paraId="44686CB5" w14:textId="063898A6" w:rsidR="00347E5F" w:rsidRPr="006F596A" w:rsidRDefault="00347E5F" w:rsidP="00347E5F">
      <w:pPr>
        <w:pStyle w:val="FootnoteText"/>
      </w:pPr>
      <w:r>
        <w:t xml:space="preserve">Harrison, A.R.W. (1998) </w:t>
      </w:r>
      <w:r>
        <w:rPr>
          <w:i/>
        </w:rPr>
        <w:t>Th</w:t>
      </w:r>
      <w:bookmarkStart w:id="0" w:name="_GoBack"/>
      <w:bookmarkEnd w:id="0"/>
      <w:r>
        <w:rPr>
          <w:i/>
        </w:rPr>
        <w:t xml:space="preserve">e Law of Athens. </w:t>
      </w:r>
      <w:r w:rsidRPr="006F596A">
        <w:t>2</w:t>
      </w:r>
      <w:r w:rsidRPr="006F596A">
        <w:rPr>
          <w:vertAlign w:val="superscript"/>
        </w:rPr>
        <w:t>nd</w:t>
      </w:r>
      <w:r w:rsidRPr="006F596A">
        <w:t xml:space="preserve"> Ed. London: </w:t>
      </w:r>
      <w:r w:rsidR="000E1596" w:rsidRPr="006F596A">
        <w:t>Gerald Duckworth &amp; Co. Ltd</w:t>
      </w:r>
      <w:r w:rsidR="006F596A" w:rsidRPr="006F596A">
        <w:t>.</w:t>
      </w:r>
    </w:p>
    <w:p w14:paraId="685FC562" w14:textId="4FBF7FFE" w:rsidR="009A04F2" w:rsidRDefault="003E01F0" w:rsidP="003E01F0">
      <w:pPr>
        <w:pStyle w:val="FootnoteText"/>
      </w:pPr>
      <w:r w:rsidRPr="00B10326">
        <w:t>MacDowell,</w:t>
      </w:r>
      <w:r>
        <w:t xml:space="preserve"> D.M. (</w:t>
      </w:r>
      <w:r w:rsidRPr="00B10326">
        <w:t>1978</w:t>
      </w:r>
      <w:r>
        <w:t xml:space="preserve">) </w:t>
      </w:r>
      <w:r w:rsidR="00C53590">
        <w:rPr>
          <w:i/>
        </w:rPr>
        <w:t xml:space="preserve">The </w:t>
      </w:r>
      <w:r w:rsidRPr="00DE3DDC">
        <w:rPr>
          <w:i/>
        </w:rPr>
        <w:t>Law in Classical Athens</w:t>
      </w:r>
      <w:r>
        <w:t xml:space="preserve">. </w:t>
      </w:r>
      <w:r w:rsidR="00237724">
        <w:t>London: Thames and Hudson</w:t>
      </w:r>
      <w:r w:rsidR="006F596A">
        <w:t>.</w:t>
      </w:r>
    </w:p>
    <w:p w14:paraId="414C6B4D" w14:textId="2770BD06" w:rsidR="009A04F2" w:rsidRPr="009A04F2" w:rsidRDefault="009A04F2">
      <w:r w:rsidRPr="009A04F2">
        <w:t>Po</w:t>
      </w:r>
      <w:r w:rsidR="00A03344">
        <w:t>meroy</w:t>
      </w:r>
      <w:r w:rsidRPr="009A04F2">
        <w:t>, Sarah B. (19</w:t>
      </w:r>
      <w:r w:rsidR="00751032">
        <w:t>94</w:t>
      </w:r>
      <w:r w:rsidRPr="009A04F2">
        <w:t>). Goddesses, Whores, Wives, and Slaves. Women in Classical Antiquity. London</w:t>
      </w:r>
      <w:r w:rsidR="007058A3">
        <w:t xml:space="preserve">: </w:t>
      </w:r>
      <w:r w:rsidR="002624A7">
        <w:t>Pimlico.</w:t>
      </w:r>
    </w:p>
    <w:p w14:paraId="2F19BB93" w14:textId="093DC707" w:rsidR="009A04F2" w:rsidRDefault="009A04F2" w:rsidP="009A04F2"/>
    <w:p w14:paraId="22091C1B" w14:textId="77777777" w:rsidR="009A04F2" w:rsidRPr="001802B5" w:rsidRDefault="009A04F2" w:rsidP="009A04F2"/>
    <w:sectPr w:rsidR="009A04F2" w:rsidRPr="001802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A471E68" w14:textId="77777777" w:rsidR="00DC607F" w:rsidRDefault="00DC607F" w:rsidP="00301F6E">
      <w:r>
        <w:separator/>
      </w:r>
    </w:p>
  </w:endnote>
  <w:endnote w:type="continuationSeparator" w:id="0">
    <w:p w14:paraId="2BE7EBE2" w14:textId="77777777" w:rsidR="00DC607F" w:rsidRDefault="00DC607F" w:rsidP="00301F6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0B09DF1" w14:textId="77777777" w:rsidR="00DC607F" w:rsidRDefault="00DC607F" w:rsidP="00301F6E">
      <w:r>
        <w:separator/>
      </w:r>
    </w:p>
  </w:footnote>
  <w:footnote w:type="continuationSeparator" w:id="0">
    <w:p w14:paraId="706921EA" w14:textId="77777777" w:rsidR="00DC607F" w:rsidRDefault="00DC607F" w:rsidP="00301F6E">
      <w:r>
        <w:continuationSeparator/>
      </w:r>
    </w:p>
  </w:footnote>
  <w:footnote w:id="1">
    <w:p w14:paraId="78FDFB39" w14:textId="160BFC02" w:rsidR="00C2189B" w:rsidRPr="00B7146E" w:rsidRDefault="00C2189B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B7146E">
        <w:t>Pomeroy, S.B. (19</w:t>
      </w:r>
      <w:r w:rsidR="009C51D8">
        <w:t>94</w:t>
      </w:r>
      <w:r w:rsidR="00B7146E">
        <w:t xml:space="preserve">) </w:t>
      </w:r>
      <w:r w:rsidR="00B7146E">
        <w:rPr>
          <w:i/>
        </w:rPr>
        <w:t xml:space="preserve">Goddesses, Whores, Wives and Slaves:Women in Classical Antiquity. </w:t>
      </w:r>
      <w:r w:rsidR="00B7146E">
        <w:t xml:space="preserve">p.59 </w:t>
      </w:r>
    </w:p>
  </w:footnote>
  <w:footnote w:id="2">
    <w:p w14:paraId="57AC1CEE" w14:textId="59ADAFB5" w:rsidR="00FB5964" w:rsidRPr="008C4AFC" w:rsidRDefault="00FB5964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Pomeroy, </w:t>
      </w:r>
      <w:r w:rsidR="00615877">
        <w:t xml:space="preserve">S.B. </w:t>
      </w:r>
      <w:r w:rsidR="00D61A63">
        <w:t>(</w:t>
      </w:r>
      <w:r>
        <w:t>19</w:t>
      </w:r>
      <w:r w:rsidR="009C51D8">
        <w:t>94</w:t>
      </w:r>
      <w:r w:rsidR="00F9657F">
        <w:t xml:space="preserve">) </w:t>
      </w:r>
      <w:r w:rsidR="008C4AFC">
        <w:rPr>
          <w:i/>
        </w:rPr>
        <w:t xml:space="preserve">Goddesses, </w:t>
      </w:r>
      <w:r w:rsidR="00A35520">
        <w:rPr>
          <w:i/>
        </w:rPr>
        <w:t>Whores, Wives and Slaves:</w:t>
      </w:r>
      <w:r w:rsidR="00F9657F">
        <w:rPr>
          <w:i/>
        </w:rPr>
        <w:t>Women</w:t>
      </w:r>
      <w:r w:rsidR="008C4AFC">
        <w:rPr>
          <w:i/>
        </w:rPr>
        <w:t xml:space="preserve"> in Classical Antiquity. </w:t>
      </w:r>
      <w:r>
        <w:t xml:space="preserve">p.59 </w:t>
      </w:r>
    </w:p>
  </w:footnote>
  <w:footnote w:id="3">
    <w:p w14:paraId="096822C1" w14:textId="4953FC48" w:rsidR="00D61A63" w:rsidRDefault="00D61A63">
      <w:pPr>
        <w:pStyle w:val="FootnoteText"/>
      </w:pPr>
      <w:r>
        <w:rPr>
          <w:rStyle w:val="FootnoteReference"/>
        </w:rPr>
        <w:footnoteRef/>
      </w:r>
      <w:r>
        <w:t xml:space="preserve"> Pomeroy,</w:t>
      </w:r>
      <w:r w:rsidR="00615877">
        <w:t xml:space="preserve"> S.B.</w:t>
      </w:r>
      <w:r>
        <w:t xml:space="preserve"> (19</w:t>
      </w:r>
      <w:r w:rsidR="009C51D8">
        <w:t>94</w:t>
      </w:r>
      <w:r>
        <w:t>)</w:t>
      </w:r>
      <w:r w:rsidR="00A35520">
        <w:t xml:space="preserve"> </w:t>
      </w:r>
      <w:r w:rsidR="00A35520">
        <w:rPr>
          <w:i/>
        </w:rPr>
        <w:t>Goddesses, Whores, Wives and Slaves:Women in Classical Antiquity</w:t>
      </w:r>
      <w:r w:rsidR="00A35520">
        <w:t xml:space="preserve">. </w:t>
      </w:r>
      <w:r>
        <w:t xml:space="preserve">p.62 </w:t>
      </w:r>
    </w:p>
  </w:footnote>
  <w:footnote w:id="4">
    <w:p w14:paraId="3414A20A" w14:textId="72EC0347" w:rsidR="00301F6E" w:rsidRDefault="00301F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0326">
        <w:t xml:space="preserve"> MacDowell,</w:t>
      </w:r>
      <w:r w:rsidR="00AA5400">
        <w:t xml:space="preserve"> D</w:t>
      </w:r>
      <w:r w:rsidR="00E9006F">
        <w:t>.M. (</w:t>
      </w:r>
      <w:r w:rsidRPr="00B10326">
        <w:t>1978</w:t>
      </w:r>
      <w:r w:rsidR="00E9006F">
        <w:t xml:space="preserve">) </w:t>
      </w:r>
      <w:r w:rsidR="00E9006F" w:rsidRPr="00DE3DDC">
        <w:rPr>
          <w:i/>
        </w:rPr>
        <w:t xml:space="preserve">The Law in </w:t>
      </w:r>
      <w:r w:rsidR="00A40411" w:rsidRPr="00DE3DDC">
        <w:rPr>
          <w:i/>
        </w:rPr>
        <w:t>Classical Athens</w:t>
      </w:r>
      <w:r w:rsidR="00DE3DDC">
        <w:t xml:space="preserve">. </w:t>
      </w:r>
    </w:p>
  </w:footnote>
  <w:footnote w:id="5">
    <w:p w14:paraId="34891324" w14:textId="250766BB" w:rsidR="00F25964" w:rsidRDefault="00F25964">
      <w:pPr>
        <w:pStyle w:val="FootnoteText"/>
      </w:pPr>
      <w:r>
        <w:rPr>
          <w:rStyle w:val="FootnoteReference"/>
        </w:rPr>
        <w:footnoteRef/>
      </w:r>
      <w:r>
        <w:t xml:space="preserve"> Xenophon,</w:t>
      </w:r>
      <w:r w:rsidR="00766341">
        <w:t xml:space="preserve"> </w:t>
      </w:r>
      <w:r w:rsidR="00D47175">
        <w:t>Oec</w:t>
      </w:r>
      <w:r w:rsidR="00A14B06">
        <w:t>on</w:t>
      </w:r>
      <w:r w:rsidR="00BA4A37">
        <w:t xml:space="preserve">omicus </w:t>
      </w:r>
      <w:r w:rsidR="008B0886">
        <w:t>7.5.</w:t>
      </w:r>
    </w:p>
  </w:footnote>
  <w:footnote w:id="6">
    <w:p w14:paraId="28ECF1D8" w14:textId="2973C9AA" w:rsidR="004127CC" w:rsidRPr="001C31E2" w:rsidRDefault="004127CC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873924">
        <w:t>Harrison, A.R.W.</w:t>
      </w:r>
      <w:r w:rsidR="001C31E2">
        <w:t xml:space="preserve"> (1998) </w:t>
      </w:r>
      <w:r w:rsidR="001C31E2">
        <w:rPr>
          <w:i/>
        </w:rPr>
        <w:t>The Law of Athens</w:t>
      </w:r>
      <w:r w:rsidR="00A8474D">
        <w:rPr>
          <w:i/>
        </w:rPr>
        <w:t>. 2</w:t>
      </w:r>
      <w:r w:rsidR="00A8474D" w:rsidRPr="00A8474D">
        <w:rPr>
          <w:i/>
          <w:vertAlign w:val="superscript"/>
        </w:rPr>
        <w:t>nd</w:t>
      </w:r>
      <w:r w:rsidR="00A8474D">
        <w:rPr>
          <w:i/>
        </w:rPr>
        <w:t xml:space="preserve"> </w:t>
      </w:r>
      <w:r w:rsidR="00347E5F">
        <w:rPr>
          <w:i/>
        </w:rPr>
        <w:t>Ed.</w:t>
      </w:r>
      <w:r w:rsidR="001C31E2">
        <w:rPr>
          <w:i/>
        </w:rPr>
        <w:t xml:space="preserve"> </w:t>
      </w:r>
      <w:r w:rsidR="00E004F4">
        <w:rPr>
          <w:i/>
        </w:rPr>
        <w:t>p.45</w:t>
      </w:r>
    </w:p>
  </w:footnote>
  <w:footnote w:id="7">
    <w:p w14:paraId="4E78D08F" w14:textId="2C2145B2" w:rsidR="003A64DC" w:rsidRDefault="003A64DC">
      <w:pPr>
        <w:pStyle w:val="FootnoteText"/>
      </w:pPr>
      <w:r>
        <w:rPr>
          <w:rStyle w:val="FootnoteReference"/>
        </w:rPr>
        <w:footnoteRef/>
      </w:r>
      <w:r>
        <w:t xml:space="preserve"> Pomeroy, S.B. (19</w:t>
      </w:r>
      <w:r w:rsidR="00751032">
        <w:t>94</w:t>
      </w:r>
      <w:r>
        <w:t xml:space="preserve">) </w:t>
      </w:r>
      <w:r>
        <w:rPr>
          <w:i/>
        </w:rPr>
        <w:t>Goddesses, Whores, Wives and Slaves:Women in Classical Antiquity</w:t>
      </w:r>
      <w:r>
        <w:t xml:space="preserve">. </w:t>
      </w:r>
      <w:r w:rsidR="00351A71">
        <w:t>P.72</w:t>
      </w:r>
    </w:p>
  </w:footnote>
  <w:footnote w:id="8">
    <w:p w14:paraId="267DCD00" w14:textId="1A46BEA7" w:rsidR="00F11C5C" w:rsidRDefault="00F11C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4B99">
        <w:t>Aes</w:t>
      </w:r>
      <w:r w:rsidR="00774B83">
        <w:t xml:space="preserve">ch. Eum, 658-66. 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7C51193"/>
    <w:multiLevelType w:val="hybridMultilevel"/>
    <w:tmpl w:val="E684D92E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1A530D"/>
    <w:multiLevelType w:val="hybridMultilevel"/>
    <w:tmpl w:val="A74EE832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17B3"/>
    <w:rsid w:val="000031BD"/>
    <w:rsid w:val="00030E5E"/>
    <w:rsid w:val="000830CC"/>
    <w:rsid w:val="000A34C2"/>
    <w:rsid w:val="000B0147"/>
    <w:rsid w:val="000C12AE"/>
    <w:rsid w:val="000E1596"/>
    <w:rsid w:val="000E4B5F"/>
    <w:rsid w:val="001246D9"/>
    <w:rsid w:val="00136DA7"/>
    <w:rsid w:val="00145B67"/>
    <w:rsid w:val="001512B8"/>
    <w:rsid w:val="001802B5"/>
    <w:rsid w:val="0019426A"/>
    <w:rsid w:val="001C31E2"/>
    <w:rsid w:val="002055D5"/>
    <w:rsid w:val="00237724"/>
    <w:rsid w:val="00253F31"/>
    <w:rsid w:val="002624A7"/>
    <w:rsid w:val="00301F6E"/>
    <w:rsid w:val="00327A1A"/>
    <w:rsid w:val="00332B79"/>
    <w:rsid w:val="00347E5F"/>
    <w:rsid w:val="00351A71"/>
    <w:rsid w:val="00361191"/>
    <w:rsid w:val="00374420"/>
    <w:rsid w:val="00375674"/>
    <w:rsid w:val="00376B74"/>
    <w:rsid w:val="00393729"/>
    <w:rsid w:val="003A3454"/>
    <w:rsid w:val="003A64DC"/>
    <w:rsid w:val="003E01F0"/>
    <w:rsid w:val="0040060F"/>
    <w:rsid w:val="004127CC"/>
    <w:rsid w:val="004414AF"/>
    <w:rsid w:val="00452BC5"/>
    <w:rsid w:val="00470E80"/>
    <w:rsid w:val="00476525"/>
    <w:rsid w:val="004A03A0"/>
    <w:rsid w:val="004B02ED"/>
    <w:rsid w:val="00502FF9"/>
    <w:rsid w:val="0050394A"/>
    <w:rsid w:val="00561396"/>
    <w:rsid w:val="005830C4"/>
    <w:rsid w:val="0059383E"/>
    <w:rsid w:val="00615877"/>
    <w:rsid w:val="006577D9"/>
    <w:rsid w:val="0067124F"/>
    <w:rsid w:val="006A6D11"/>
    <w:rsid w:val="006B1EC5"/>
    <w:rsid w:val="006F596A"/>
    <w:rsid w:val="007058A3"/>
    <w:rsid w:val="00726F99"/>
    <w:rsid w:val="00751032"/>
    <w:rsid w:val="00766341"/>
    <w:rsid w:val="00774B83"/>
    <w:rsid w:val="007B354B"/>
    <w:rsid w:val="008074CB"/>
    <w:rsid w:val="008317B3"/>
    <w:rsid w:val="00873924"/>
    <w:rsid w:val="00894C6E"/>
    <w:rsid w:val="008A3FE4"/>
    <w:rsid w:val="008B0886"/>
    <w:rsid w:val="008C4AFC"/>
    <w:rsid w:val="008D1919"/>
    <w:rsid w:val="008E20FC"/>
    <w:rsid w:val="009277BF"/>
    <w:rsid w:val="0094115B"/>
    <w:rsid w:val="00941FDB"/>
    <w:rsid w:val="00966458"/>
    <w:rsid w:val="00967D8A"/>
    <w:rsid w:val="00980536"/>
    <w:rsid w:val="00980777"/>
    <w:rsid w:val="009943FB"/>
    <w:rsid w:val="009A04F2"/>
    <w:rsid w:val="009C51D8"/>
    <w:rsid w:val="009F6C0A"/>
    <w:rsid w:val="009F7243"/>
    <w:rsid w:val="00A03344"/>
    <w:rsid w:val="00A12302"/>
    <w:rsid w:val="00A14589"/>
    <w:rsid w:val="00A14B06"/>
    <w:rsid w:val="00A35520"/>
    <w:rsid w:val="00A40411"/>
    <w:rsid w:val="00A8474D"/>
    <w:rsid w:val="00AA13DA"/>
    <w:rsid w:val="00AA5400"/>
    <w:rsid w:val="00AD39D2"/>
    <w:rsid w:val="00AE0927"/>
    <w:rsid w:val="00AF3E8B"/>
    <w:rsid w:val="00B10326"/>
    <w:rsid w:val="00B13E37"/>
    <w:rsid w:val="00B3362E"/>
    <w:rsid w:val="00B7146E"/>
    <w:rsid w:val="00B8351C"/>
    <w:rsid w:val="00B93A73"/>
    <w:rsid w:val="00B94CA0"/>
    <w:rsid w:val="00BA4A37"/>
    <w:rsid w:val="00BB1299"/>
    <w:rsid w:val="00BC2086"/>
    <w:rsid w:val="00BE0BED"/>
    <w:rsid w:val="00C15F22"/>
    <w:rsid w:val="00C2189B"/>
    <w:rsid w:val="00C53590"/>
    <w:rsid w:val="00C7786F"/>
    <w:rsid w:val="00CA4AC0"/>
    <w:rsid w:val="00CC0484"/>
    <w:rsid w:val="00CC4B99"/>
    <w:rsid w:val="00CE512A"/>
    <w:rsid w:val="00CF58DD"/>
    <w:rsid w:val="00CF6679"/>
    <w:rsid w:val="00D034D9"/>
    <w:rsid w:val="00D16AF1"/>
    <w:rsid w:val="00D47175"/>
    <w:rsid w:val="00D61A63"/>
    <w:rsid w:val="00DA0E87"/>
    <w:rsid w:val="00DA2732"/>
    <w:rsid w:val="00DA6A95"/>
    <w:rsid w:val="00DA75C1"/>
    <w:rsid w:val="00DC607F"/>
    <w:rsid w:val="00DD43F2"/>
    <w:rsid w:val="00DE3DDC"/>
    <w:rsid w:val="00DF5E1D"/>
    <w:rsid w:val="00E004F4"/>
    <w:rsid w:val="00E02092"/>
    <w:rsid w:val="00E1638F"/>
    <w:rsid w:val="00E34D60"/>
    <w:rsid w:val="00E37DAD"/>
    <w:rsid w:val="00E56247"/>
    <w:rsid w:val="00E57813"/>
    <w:rsid w:val="00E9006F"/>
    <w:rsid w:val="00E9762B"/>
    <w:rsid w:val="00EC7FAA"/>
    <w:rsid w:val="00EE1ECB"/>
    <w:rsid w:val="00F0773A"/>
    <w:rsid w:val="00F11C5C"/>
    <w:rsid w:val="00F25964"/>
    <w:rsid w:val="00F36E04"/>
    <w:rsid w:val="00F666CD"/>
    <w:rsid w:val="00F840C3"/>
    <w:rsid w:val="00F90DC1"/>
    <w:rsid w:val="00F9657F"/>
    <w:rsid w:val="00FA7A55"/>
    <w:rsid w:val="00FB5964"/>
    <w:rsid w:val="00FD14E8"/>
    <w:rsid w:val="00FE05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CE5AA"/>
  <w15:chartTrackingRefBased/>
  <w15:docId w15:val="{9B2FF77F-3308-EA4B-BF4D-E3580365EA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6E04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301F6E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01F6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01F6E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67124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7124F"/>
  </w:style>
  <w:style w:type="paragraph" w:styleId="Footer">
    <w:name w:val="footer"/>
    <w:basedOn w:val="Normal"/>
    <w:link w:val="FooterChar"/>
    <w:uiPriority w:val="99"/>
    <w:unhideWhenUsed/>
    <w:rsid w:val="006712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712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381</Words>
  <Characters>2176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Smith (1801719)</dc:creator>
  <cp:keywords/>
  <dc:description/>
  <cp:lastModifiedBy>Rebecca Smith (1801719)</cp:lastModifiedBy>
  <cp:revision>2</cp:revision>
  <dcterms:created xsi:type="dcterms:W3CDTF">2018-10-04T10:37:00Z</dcterms:created>
  <dcterms:modified xsi:type="dcterms:W3CDTF">2018-10-04T10:37:00Z</dcterms:modified>
</cp:coreProperties>
</file>