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rial" w:hAnsi="Arial"/>
          <w:sz w:val="24"/>
          <w:szCs w:val="24"/>
        </w:rPr>
      </w:pPr>
    </w:p>
    <w:p>
      <w:pPr>
        <w:pStyle w:val="Body"/>
        <w:jc w:val="center"/>
        <w:rPr>
          <w:rFonts w:ascii="Arial" w:cs="Arial" w:hAnsi="Arial" w:eastAsia="Arial"/>
          <w:sz w:val="24"/>
          <w:szCs w:val="24"/>
          <w:u w:val="single"/>
        </w:rPr>
      </w:pPr>
      <w:r>
        <w:rPr>
          <w:rFonts w:ascii="Arial" w:hAnsi="Arial"/>
          <w:sz w:val="24"/>
          <w:szCs w:val="24"/>
          <w:u w:val="single"/>
          <w:rtl w:val="0"/>
          <w:lang w:val="en-US"/>
        </w:rPr>
        <w:t xml:space="preserve">Miss Stephanie Lock | Student Number: </w:t>
      </w:r>
      <w:r>
        <w:rPr>
          <w:rFonts w:ascii="Arial" w:hAnsi="Arial"/>
          <w:sz w:val="24"/>
          <w:szCs w:val="24"/>
          <w:u w:val="single"/>
          <w:rtl w:val="0"/>
        </w:rPr>
        <w:t>2112756</w:t>
      </w:r>
    </w:p>
    <w:p>
      <w:pPr>
        <w:pStyle w:val="Body"/>
        <w:jc w:val="center"/>
        <w:rPr>
          <w:rFonts w:ascii="Arial" w:cs="Arial" w:hAnsi="Arial" w:eastAsia="Arial"/>
          <w:sz w:val="24"/>
          <w:szCs w:val="24"/>
          <w:u w:val="single"/>
        </w:rPr>
      </w:pPr>
    </w:p>
    <w:p>
      <w:pPr>
        <w:pStyle w:val="Body"/>
        <w:bidi w:val="0"/>
        <w:spacing w:before="120" w:after="12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MSc Digital Skills for the Health and Care Professions</w:t>
      </w:r>
    </w:p>
    <w:p>
      <w:pPr>
        <w:pStyle w:val="Body"/>
        <w:bidi w:val="0"/>
        <w:spacing w:before="120" w:after="12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lang w:val="en-US"/>
        </w:rPr>
        <w:t>University of Wales Trinity St David</w:t>
      </w:r>
    </w:p>
    <w:p>
      <w:pPr>
        <w:pStyle w:val="Body"/>
        <w:jc w:val="center"/>
        <w:rPr>
          <w:rFonts w:ascii="Arial" w:cs="Arial" w:hAnsi="Arial" w:eastAsia="Arial"/>
          <w:sz w:val="24"/>
          <w:szCs w:val="24"/>
          <w:u w:val="single"/>
        </w:rPr>
      </w:pPr>
    </w:p>
    <w:p>
      <w:pPr>
        <w:pStyle w:val="Body"/>
        <w:jc w:val="center"/>
        <w:rPr>
          <w:rFonts w:ascii="Arial" w:cs="Arial" w:hAnsi="Arial" w:eastAsia="Arial"/>
          <w:sz w:val="24"/>
          <w:szCs w:val="24"/>
          <w:u w:val="single"/>
        </w:rPr>
      </w:pPr>
      <w:r>
        <w:rPr>
          <w:rFonts w:ascii="Arial" w:hAnsi="Arial"/>
          <w:sz w:val="24"/>
          <w:szCs w:val="24"/>
          <w:u w:val="single"/>
          <w:rtl w:val="0"/>
          <w:lang w:val="en-US"/>
        </w:rPr>
        <w:t>Digital Transformation of Patient Engagement Within Tier 3 Weight Management Service Cardiff and Vale University Health Board</w:t>
      </w:r>
    </w:p>
    <w:p>
      <w:pPr>
        <w:pStyle w:val="Body"/>
        <w:jc w:val="center"/>
        <w:rPr>
          <w:rFonts w:ascii="Arial" w:cs="Arial" w:hAnsi="Arial" w:eastAsia="Arial"/>
          <w:sz w:val="24"/>
          <w:szCs w:val="24"/>
          <w:u w:val="single"/>
        </w:rPr>
      </w:pPr>
    </w:p>
    <w:p>
      <w:pPr>
        <w:pStyle w:val="Body"/>
        <w:bidi w:val="0"/>
        <w:spacing w:before="120" w:after="12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The Digital Professional for Health and Care</w:t>
      </w:r>
    </w:p>
    <w:p>
      <w:pPr>
        <w:pStyle w:val="Body"/>
        <w:bidi w:val="0"/>
        <w:spacing w:before="120" w:after="120"/>
        <w:ind w:left="0" w:right="0" w:firstLine="0"/>
        <w:jc w:val="center"/>
        <w:rPr>
          <w:rFonts w:ascii="Arial" w:cs="Arial" w:hAnsi="Arial" w:eastAsia="Arial"/>
          <w:b w:val="1"/>
          <w:bCs w:val="1"/>
          <w:sz w:val="24"/>
          <w:szCs w:val="24"/>
          <w:u w:color="000000"/>
          <w:rtl w:val="0"/>
          <w:lang w:val="en-US"/>
        </w:rPr>
      </w:pPr>
    </w:p>
    <w:p>
      <w:pPr>
        <w:pStyle w:val="Body"/>
        <w:bidi w:val="0"/>
        <w:spacing w:before="120" w:after="12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lang w:val="en-US"/>
        </w:rPr>
        <w:t>2021</w:t>
      </w:r>
    </w:p>
    <w:p>
      <w:pPr>
        <w:pStyle w:val="Body"/>
        <w:rPr>
          <w:rFonts w:ascii="Arial" w:cs="Arial" w:hAnsi="Arial" w:eastAsia="Arial"/>
          <w:sz w:val="24"/>
          <w:szCs w:val="24"/>
          <w:u w:val="single"/>
        </w:rPr>
      </w:pPr>
    </w:p>
    <w:p>
      <w:pPr>
        <w:pStyle w:val="Body"/>
        <w:rPr>
          <w:rFonts w:ascii="Arial" w:cs="Arial" w:hAnsi="Arial" w:eastAsia="Arial"/>
          <w:sz w:val="24"/>
          <w:szCs w:val="24"/>
        </w:rPr>
      </w:pPr>
      <w:r>
        <w:rPr>
          <w:rFonts w:ascii="Arial" w:hAnsi="Arial"/>
          <w:b w:val="1"/>
          <w:bCs w:val="1"/>
          <w:sz w:val="24"/>
          <w:szCs w:val="24"/>
          <w:rtl w:val="0"/>
          <w:lang w:val="en-US"/>
        </w:rPr>
        <w:t>Selected Domain</w:t>
      </w:r>
    </w:p>
    <w:p>
      <w:pPr>
        <w:pStyle w:val="Body"/>
        <w:rPr>
          <w:rFonts w:ascii="Arial" w:cs="Arial" w:hAnsi="Arial" w:eastAsia="Arial"/>
          <w:sz w:val="24"/>
          <w:szCs w:val="24"/>
        </w:rPr>
      </w:pPr>
      <w:r>
        <w:rPr>
          <w:rFonts w:ascii="Arial" w:hAnsi="Arial"/>
          <w:sz w:val="24"/>
          <w:szCs w:val="24"/>
          <w:rtl w:val="0"/>
          <w:lang w:val="en-US"/>
        </w:rPr>
        <w:t>The World Health Organisation (WHO) define obesity as abnormal fat accumulation that presents as a risk to health. Obesity occurs due to an imbalance between calories consumed and calories expended</w:t>
      </w:r>
      <w:r>
        <w:rPr>
          <w:rFonts w:ascii="Arial" w:hAnsi="Arial"/>
          <w:sz w:val="24"/>
          <w:szCs w:val="24"/>
          <w:rtl w:val="0"/>
          <w:lang w:val="en-US"/>
        </w:rPr>
        <w:t xml:space="preserve"> (World Obesity Charity</w:t>
      </w:r>
      <w:r>
        <w:rPr>
          <w:rFonts w:ascii="Arial" w:hAnsi="Arial"/>
          <w:sz w:val="24"/>
          <w:szCs w:val="24"/>
          <w:rtl w:val="0"/>
          <w:lang w:val="en-US"/>
        </w:rPr>
        <w:t>, 2019</w:t>
      </w:r>
      <w:r>
        <w:rPr>
          <w:rFonts w:ascii="Arial" w:hAnsi="Arial"/>
          <w:sz w:val="24"/>
          <w:szCs w:val="24"/>
          <w:rtl w:val="0"/>
        </w:rPr>
        <w:t>)</w:t>
      </w:r>
      <w:r>
        <w:rPr>
          <w:rFonts w:ascii="Arial" w:hAnsi="Arial"/>
          <w:sz w:val="24"/>
          <w:szCs w:val="24"/>
          <w:rtl w:val="0"/>
          <w:lang w:val="en-US"/>
        </w:rPr>
        <w:t>. It</w:t>
      </w:r>
      <w:r>
        <w:rPr>
          <w:rFonts w:ascii="Arial" w:hAnsi="Arial" w:hint="default"/>
          <w:sz w:val="24"/>
          <w:szCs w:val="24"/>
          <w:rtl w:val="0"/>
          <w:lang w:val="en-US"/>
        </w:rPr>
        <w:t>’</w:t>
      </w:r>
      <w:r>
        <w:rPr>
          <w:rFonts w:ascii="Arial" w:hAnsi="Arial"/>
          <w:sz w:val="24"/>
          <w:szCs w:val="24"/>
          <w:rtl w:val="0"/>
          <w:lang w:val="en-US"/>
        </w:rPr>
        <w:t xml:space="preserve">s measured by body mass index </w:t>
      </w:r>
      <w:r>
        <w:rPr>
          <w:rFonts w:ascii="Arial" w:hAnsi="Arial"/>
          <w:sz w:val="24"/>
          <w:szCs w:val="24"/>
          <w:rtl w:val="0"/>
        </w:rPr>
        <w:t>(BMI)</w:t>
      </w:r>
      <w:r>
        <w:rPr>
          <w:rFonts w:ascii="Arial" w:hAnsi="Arial"/>
          <w:sz w:val="24"/>
          <w:szCs w:val="24"/>
          <w:rtl w:val="0"/>
          <w:lang w:val="en-US"/>
        </w:rPr>
        <w:t xml:space="preserve"> - </w:t>
      </w:r>
      <w:r>
        <w:rPr>
          <w:rFonts w:ascii="Arial" w:hAnsi="Arial"/>
          <w:sz w:val="24"/>
          <w:szCs w:val="24"/>
          <w:rtl w:val="0"/>
          <w:lang w:val="en-US"/>
        </w:rPr>
        <w:t>the weight in kilograms divided by the square of the height in meters</w:t>
      </w:r>
      <w:r>
        <w:rPr>
          <w:rFonts w:ascii="Arial" w:hAnsi="Arial"/>
          <w:sz w:val="24"/>
          <w:szCs w:val="24"/>
          <w:rtl w:val="0"/>
          <w:lang w:val="en-US"/>
        </w:rPr>
        <w:t>. Anything &gt;25 is considered overweight and &gt;30 is considered obese (WHO, 2020). Increased BMI is a risk factor that predisposes people to various chronic diseases  such as Type 2 Diabetes, coronary heart disease, breast and bowel cancer and stroke (NHS, 2020).</w:t>
      </w:r>
    </w:p>
    <w:p>
      <w:pPr>
        <w:pStyle w:val="Body"/>
        <w:rPr>
          <w:rFonts w:ascii="Arial" w:cs="Arial" w:hAnsi="Arial" w:eastAsia="Arial"/>
          <w:sz w:val="24"/>
          <w:szCs w:val="24"/>
        </w:rPr>
      </w:pPr>
    </w:p>
    <w:p>
      <w:pPr>
        <w:pStyle w:val="Body"/>
        <w:rPr>
          <w:rFonts w:ascii="Arial" w:cs="Arial" w:hAnsi="Arial" w:eastAsia="Arial"/>
          <w:outline w:val="0"/>
          <w:color w:val="ed220b"/>
          <w:sz w:val="24"/>
          <w:szCs w:val="24"/>
          <w14:textFill>
            <w14:solidFill>
              <w14:srgbClr w14:val="EE220C"/>
            </w14:solidFill>
          </w14:textFill>
        </w:rPr>
      </w:pPr>
      <w:r>
        <w:rPr>
          <w:rFonts w:ascii="Arial" w:hAnsi="Arial"/>
          <w:sz w:val="24"/>
          <w:szCs w:val="24"/>
          <w:rtl w:val="0"/>
          <w:lang w:val="en-US"/>
        </w:rPr>
        <w:t>It was identified in the UK in 2017 that 1 in 4 people were obese. The prevalence of being overweight or obese is higher in men than woman (68% of men and 58% of Woman). It also is more prevalent in lower educated and less financially stable individuals (Welsh Gov, 2020). Obese patients are often stigmatised within healthcare settings whether it is a conscious or unconscious act, there is evidence to suggest that obese patients are more likely to be denied health care, experience barriers to service provision which are unjust, be treated with a lack of respect and inferior quality of care (WHO, 2016). This often creates a lack of faith in healthcare services for obese individuals, which means that more time, care and understanding needs to be given to these individuals to create a stronger therapeutic alliance and enable engagement. (Phelan et al, 2015)</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A case for action was published by the Welsh Government (2019) in response to the growing burden. It has estimated that obesity and associated illness cost the </w:t>
      </w:r>
      <w:r>
        <w:rPr>
          <w:rFonts w:ascii="Arial" w:hAnsi="Arial"/>
          <w:outline w:val="0"/>
          <w:color w:val="212121"/>
          <w:sz w:val="24"/>
          <w:szCs w:val="24"/>
          <w:rtl w:val="0"/>
          <w:lang w:val="en-US"/>
          <w14:textFill>
            <w14:solidFill>
              <w14:srgbClr w14:val="212121"/>
            </w14:solidFill>
          </w14:textFill>
        </w:rPr>
        <w:t xml:space="preserve">NHS Wales </w:t>
      </w:r>
      <w:r>
        <w:rPr>
          <w:rFonts w:ascii="Arial" w:hAnsi="Arial"/>
          <w:sz w:val="24"/>
          <w:szCs w:val="24"/>
          <w:rtl w:val="0"/>
          <w:lang w:val="en-US"/>
        </w:rPr>
        <w:t xml:space="preserve">over </w:t>
      </w:r>
      <w:r>
        <w:rPr>
          <w:rFonts w:ascii="Arial" w:hAnsi="Arial" w:hint="default"/>
          <w:outline w:val="0"/>
          <w:color w:val="212121"/>
          <w:sz w:val="24"/>
          <w:szCs w:val="24"/>
          <w:rtl w:val="0"/>
          <w:lang w:val="en-US"/>
          <w14:textFill>
            <w14:solidFill>
              <w14:srgbClr w14:val="212121"/>
            </w14:solidFill>
          </w14:textFill>
        </w:rPr>
        <w:t>£</w:t>
      </w:r>
      <w:r>
        <w:rPr>
          <w:rFonts w:ascii="Arial" w:hAnsi="Arial"/>
          <w:outline w:val="0"/>
          <w:color w:val="212121"/>
          <w:sz w:val="24"/>
          <w:szCs w:val="24"/>
          <w:rtl w:val="0"/>
          <w:lang w:val="en-US"/>
          <w14:textFill>
            <w14:solidFill>
              <w14:srgbClr w14:val="212121"/>
            </w14:solidFill>
          </w14:textFill>
        </w:rPr>
        <w:t>73m</w:t>
      </w:r>
      <w:r>
        <w:rPr>
          <w:rFonts w:ascii="Arial" w:hAnsi="Arial"/>
          <w:outline w:val="0"/>
          <w:color w:val="ed220b"/>
          <w:sz w:val="24"/>
          <w:szCs w:val="24"/>
          <w:rtl w:val="0"/>
          <w:lang w:val="en-US"/>
          <w14:textFill>
            <w14:solidFill>
              <w14:srgbClr w14:val="EE220C"/>
            </w14:solidFill>
          </w14:textFill>
        </w:rPr>
        <w:t xml:space="preserve"> </w:t>
      </w:r>
      <w:r>
        <w:rPr>
          <w:rFonts w:ascii="Arial" w:hAnsi="Arial"/>
          <w:sz w:val="24"/>
          <w:szCs w:val="24"/>
          <w:rtl w:val="0"/>
          <w:lang w:val="en-US"/>
        </w:rPr>
        <w:t>annually. As a response to this the Welsh Government proposed an obesity Strategy, Healthy Weight, Healthy Wales, a long term strategy to implement behaviour change. It proposes the use of prevention, integration, collaboration, involvement and monitoring delivery. By 2022 the Welsh Government aims to put policy in place that encourages more healthy food and drink options; improved access to safe, active environments to encourage exercise, investment in current natural resources to unlock potential that already exists; healthy wellbeing in learning environments (Gov.Wales, 2020).</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In the clinical management of this patient group the NICE guidelines (2016) recommend a tiered system in the approach to managing obese service users. Delivery should encompass the following fundamentals: being person centred, psychologically and behaviourally informed, focused on the long term, supported and integrated by appropriately trained staff, continuation of support for ongoing journey of weight management.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Tier 1 is for patients with a BMI between 25-30 and no co-morbidities, and is a provision of guidance to self manage with the support of local community groups.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Tier 2 criteria is those with a BMI of &gt;30 with no co-morbidities or those &gt;25 with co-morbidities. This begins to include a psychological aspect, and is run by specially trained Dieticians who have a background in mental health.</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Tier 3 is for individuals with a BMI &gt;40, or a BMI &gt;35 with co-morbidities or significant considerations. This level of service provides access to a specialist multidisciplinary team who independently assess service users and provide recommendations regarding psychological, medical, dietary, pharmacological and physical assessment. It helps them understand why they eat in the way that they eat, followed by strategies to help them manage this.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Tier 4 is for service users who have been deemed both physically and psychological optimised for bariatric surgery. The service is run by a specialist bariatric surgeon,  physician, specialist nurse, anaesthetist, specialist dietician and a psychologist practitioner. These patients will need to be monitored by the weight management service for the rest of their lives.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Cardiff and Vale University Health Board (C&amp;V UHB) Weight Management Service (WMS) follows this 4 tier approach.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This project is specifically targeting the tier 3 service. This tier of the WMS focusses more on the psychological aspect of a persons relationship with food and eating. It also is helping them to address any musculoskeletal conditions, manage any co-morbidities e.g. sleep apnoea or diabetes, and to increase mobility and accessibility</w:t>
      </w:r>
      <w:r>
        <w:rPr>
          <w:rFonts w:ascii="Arial" w:hAnsi="Arial"/>
          <w:outline w:val="0"/>
          <w:color w:val="ed220b"/>
          <w:sz w:val="24"/>
          <w:szCs w:val="24"/>
          <w:rtl w:val="0"/>
          <w:lang w:val="en-US"/>
          <w14:textFill>
            <w14:solidFill>
              <w14:srgbClr w14:val="EE220C"/>
            </w14:solidFill>
          </w14:textFill>
        </w:rPr>
        <w:t xml:space="preserve"> </w:t>
      </w:r>
      <w:r>
        <w:rPr>
          <w:rFonts w:ascii="Arial" w:hAnsi="Arial"/>
          <w:sz w:val="24"/>
          <w:szCs w:val="24"/>
          <w:rtl w:val="0"/>
          <w:lang w:val="en-US"/>
        </w:rPr>
        <w:t>around their home and local environment to enable movement and exercise. The purpose is to promote weight loss and healthy lifestyle change, or physically and psychologically optimise them for the Tier 4 service which is bariatric surgery.</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 multi disciplinary team (MDT) is made up of a clinical psychologist, physician, dietician, physiotherapist, specialist nurse, occupational therapist, and often draws in other agencies such as social workers or community specialists. The service is currently only funded for each clinician to provide input one day each week, there is currently no funding for an admin team. This means that all waiting lists and bookings are managed by clinicians.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Over 30% of the Tier 3 service users in C&amp;V UHB</w:t>
      </w:r>
      <w:r>
        <w:rPr>
          <w:rFonts w:ascii="Arial" w:hAnsi="Arial"/>
          <w:outline w:val="0"/>
          <w:color w:val="ed220b"/>
          <w:sz w:val="24"/>
          <w:szCs w:val="24"/>
          <w:rtl w:val="0"/>
          <w:lang w:val="en-US"/>
          <w14:textFill>
            <w14:solidFill>
              <w14:srgbClr w14:val="EE220C"/>
            </w14:solidFill>
          </w14:textFill>
        </w:rPr>
        <w:t xml:space="preserve"> </w:t>
      </w:r>
      <w:r>
        <w:rPr>
          <w:rFonts w:ascii="Arial" w:hAnsi="Arial"/>
          <w:sz w:val="24"/>
          <w:szCs w:val="24"/>
          <w:rtl w:val="0"/>
          <w:lang w:val="en-US"/>
        </w:rPr>
        <w:t xml:space="preserve">have an Adverse Childhood Event (ACE) </w:t>
      </w:r>
      <w:r>
        <w:rPr>
          <w:rFonts w:ascii="Arial" w:hAnsi="Arial"/>
          <w:sz w:val="24"/>
          <w:szCs w:val="24"/>
          <w:rtl w:val="0"/>
        </w:rPr>
        <w:t xml:space="preserve">score </w:t>
      </w:r>
      <w:r>
        <w:rPr>
          <w:rFonts w:ascii="Arial" w:hAnsi="Arial"/>
          <w:sz w:val="24"/>
          <w:szCs w:val="24"/>
          <w:rtl w:val="0"/>
          <w:lang w:val="en-US"/>
        </w:rPr>
        <w:t xml:space="preserve">(Felitti et al, 1998) of &gt;7 which is an indicator of high levels of childhood abuse, neglect and household dysfunction. These patients therefore require longer appointment times as much of their treatment is centred around developing a deeper understanding of ACE and previous emotional trauma which needs to be managed in a very sensitive way (Joyce et al, 2019).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An audit review of </w:t>
      </w:r>
      <w:r>
        <w:rPr>
          <w:rFonts w:ascii="Arial" w:hAnsi="Arial" w:hint="default"/>
          <w:sz w:val="24"/>
          <w:szCs w:val="24"/>
          <w:rtl w:val="0"/>
          <w:lang w:val="en-US"/>
        </w:rPr>
        <w:t>“</w:t>
      </w:r>
      <w:r>
        <w:rPr>
          <w:rFonts w:ascii="Arial" w:hAnsi="Arial"/>
          <w:sz w:val="24"/>
          <w:szCs w:val="24"/>
          <w:rtl w:val="0"/>
          <w:lang w:val="en-US"/>
        </w:rPr>
        <w:t>Patient engagement within Tier 3 weight management service</w:t>
      </w:r>
      <w:r>
        <w:rPr>
          <w:rFonts w:ascii="Arial" w:hAnsi="Arial" w:hint="default"/>
          <w:sz w:val="24"/>
          <w:szCs w:val="24"/>
          <w:rtl w:val="0"/>
          <w:lang w:val="en-US"/>
        </w:rPr>
        <w:t xml:space="preserve">” </w:t>
      </w:r>
      <w:r>
        <w:rPr>
          <w:rFonts w:ascii="Arial" w:hAnsi="Arial"/>
          <w:sz w:val="24"/>
          <w:szCs w:val="24"/>
          <w:rtl w:val="0"/>
          <w:lang w:val="en-US"/>
        </w:rPr>
        <w:t>delivered between 2017 and 2021 demonstrated that on average only 43% of patients who joined the service would still be enrolled after 1 year. This is despite a lenient approach to patients who do not attend (DNA) appointments, and multiple telephone calls and letters to attempt to re-engage them in the system, which demonstrates that patient engagement is low. This, combined with various other factors, contributes to poor outcomes for the service users, and reduces the clinical and cost efficiency of the service.</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Project Aim</w:t>
      </w:r>
    </w:p>
    <w:p>
      <w:pPr>
        <w:pStyle w:val="Body"/>
        <w:rPr>
          <w:rFonts w:ascii="Arial" w:cs="Arial" w:hAnsi="Arial" w:eastAsia="Arial"/>
          <w:sz w:val="24"/>
          <w:szCs w:val="24"/>
        </w:rPr>
      </w:pPr>
      <w:r>
        <w:rPr>
          <w:rFonts w:ascii="Arial" w:hAnsi="Arial"/>
          <w:sz w:val="24"/>
          <w:szCs w:val="24"/>
          <w:rtl w:val="0"/>
          <w:lang w:val="en-US"/>
        </w:rPr>
        <w:t>Patient engagement in its current form requires a lot of clinician time, sadly this area is over stretched so C&amp;V WMS is unable to meet the demands required to consistently maintain commitment from patients. This reduced engagement is associated with worse physical and mental health outcomes and a reduction in overall weight loss.</w:t>
      </w:r>
      <w:r>
        <w:rPr>
          <w:rFonts w:ascii="Arial Unicode MS" w:cs="Arial Unicode MS" w:hAnsi="Arial Unicode MS" w:eastAsia="Arial Unicode MS"/>
          <w:b w:val="0"/>
          <w:bCs w:val="0"/>
          <w:i w:val="0"/>
          <w:iCs w:val="0"/>
          <w:outline w:val="0"/>
          <w:color w:val="ed220b"/>
          <w:sz w:val="24"/>
          <w:szCs w:val="24"/>
          <w14:textFill>
            <w14:solidFill>
              <w14:srgbClr w14:val="EE220C"/>
            </w14:solidFill>
          </w14:textFill>
        </w:rPr>
        <w:br w:type="textWrapping"/>
      </w:r>
      <w:r>
        <w:rPr>
          <w:rFonts w:ascii="Arial" w:hAnsi="Arial"/>
          <w:sz w:val="24"/>
          <w:szCs w:val="24"/>
          <w:rtl w:val="0"/>
          <w:lang w:val="en-US"/>
        </w:rPr>
        <w:t xml:space="preserve">It has been identified within the C&amp;V UHB WMS that the utilisation of digital tools can play a significant role in bridging the gap between face to face sessions and successful self management plans and behaviour change when the service users leave the care centres and return to their local community and activities of daily living (C&amp;V Digital Strategy, 2020). Currently the only platform that is utilised is the </w:t>
      </w:r>
      <w:r>
        <w:rPr>
          <w:rFonts w:ascii="Arial" w:hAnsi="Arial" w:hint="default"/>
          <w:sz w:val="24"/>
          <w:szCs w:val="24"/>
          <w:rtl w:val="0"/>
          <w:lang w:val="en-US"/>
        </w:rPr>
        <w:t>“</w:t>
      </w:r>
      <w:r>
        <w:rPr>
          <w:rFonts w:ascii="Arial" w:hAnsi="Arial"/>
          <w:sz w:val="24"/>
          <w:szCs w:val="24"/>
          <w:rtl w:val="0"/>
          <w:lang w:val="en-US"/>
        </w:rPr>
        <w:t>Keeping Me Well</w:t>
      </w:r>
      <w:r>
        <w:rPr>
          <w:rFonts w:ascii="Arial" w:hAnsi="Arial" w:hint="default"/>
          <w:sz w:val="24"/>
          <w:szCs w:val="24"/>
          <w:rtl w:val="0"/>
          <w:lang w:val="en-US"/>
        </w:rPr>
        <w:t>”</w:t>
      </w:r>
      <w:r>
        <w:rPr>
          <w:rFonts w:ascii="Arial" w:hAnsi="Arial"/>
          <w:outline w:val="0"/>
          <w:color w:val="ed220b"/>
          <w:sz w:val="24"/>
          <w:szCs w:val="24"/>
          <w:rtl w:val="0"/>
          <w:lang w:val="en-US"/>
          <w14:textFill>
            <w14:solidFill>
              <w14:srgbClr w14:val="EE220C"/>
            </w14:solidFill>
          </w14:textFill>
        </w:rPr>
        <w:t xml:space="preserve"> </w:t>
      </w:r>
      <w:r>
        <w:rPr>
          <w:rFonts w:ascii="Arial" w:hAnsi="Arial"/>
          <w:sz w:val="24"/>
          <w:szCs w:val="24"/>
          <w:rtl w:val="0"/>
          <w:lang w:val="en-US"/>
        </w:rPr>
        <w:t>website which has information and guidance around diet and exercise, however does not incorporate individualised programming, or any way in which the user can monitor their adherence to their overall management plan. Comparable services</w:t>
      </w:r>
      <w:r>
        <w:rPr>
          <w:rFonts w:ascii="Arial" w:hAnsi="Arial"/>
          <w:outline w:val="0"/>
          <w:color w:val="ed220b"/>
          <w:sz w:val="24"/>
          <w:szCs w:val="24"/>
          <w:rtl w:val="0"/>
          <w:lang w:val="en-US"/>
          <w14:textFill>
            <w14:solidFill>
              <w14:srgbClr w14:val="EE220C"/>
            </w14:solidFill>
          </w14:textFill>
        </w:rPr>
        <w:t xml:space="preserve"> </w:t>
      </w:r>
      <w:r>
        <w:rPr>
          <w:rFonts w:ascii="Arial" w:hAnsi="Arial"/>
          <w:sz w:val="24"/>
          <w:szCs w:val="24"/>
          <w:rtl w:val="0"/>
          <w:lang w:val="en-US"/>
        </w:rPr>
        <w:t>in England have utilised digital platforms such as OVIVA and Second Nature which have a more structured 12 week plan that aim to support patient activation and sustained self management using well designed user interfaces (UI) with user experience (UX) at the core of their design and development.</w:t>
      </w:r>
    </w:p>
    <w:p>
      <w:pPr>
        <w:pStyle w:val="Body"/>
        <w:rPr>
          <w:rFonts w:ascii="Arial" w:cs="Arial" w:hAnsi="Arial" w:eastAsia="Arial"/>
          <w:sz w:val="24"/>
          <w:szCs w:val="24"/>
        </w:rPr>
      </w:pPr>
      <w:r>
        <w:rPr>
          <w:rFonts w:ascii="Arial" w:hAnsi="Arial"/>
          <w:sz w:val="24"/>
          <w:szCs w:val="24"/>
          <w:rtl w:val="0"/>
          <w:lang w:val="en-US"/>
        </w:rPr>
        <w:t>The recent evidence was reviewed to better understand current adherence to weight management programmes within the UK, and how the use of gamification, optimised UI and UX can help improve health outcomes and sustain long term behaviour change.</w:t>
      </w:r>
    </w:p>
    <w:p>
      <w:pPr>
        <w:pStyle w:val="Body"/>
        <w:rPr>
          <w:rFonts w:ascii="Arial" w:cs="Arial" w:hAnsi="Arial" w:eastAsia="Arial"/>
          <w:sz w:val="24"/>
          <w:szCs w:val="24"/>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rPr>
          <w:rFonts w:ascii="Arial" w:cs="Arial" w:hAnsi="Arial" w:eastAsia="Arial"/>
          <w:b w:val="1"/>
          <w:bCs w:val="1"/>
          <w:sz w:val="24"/>
          <w:szCs w:val="24"/>
        </w:rPr>
      </w:pPr>
      <w:r>
        <w:rPr>
          <w:rFonts w:ascii="Arial" w:hAnsi="Arial"/>
          <w:b w:val="1"/>
          <w:bCs w:val="1"/>
          <w:sz w:val="24"/>
          <w:szCs w:val="24"/>
          <w:rtl w:val="0"/>
          <w:lang w:val="en-US"/>
        </w:rPr>
        <w:t>Search Strategy</w:t>
      </w:r>
    </w:p>
    <w:p>
      <w:pPr>
        <w:pStyle w:val="Body"/>
        <w:rPr>
          <w:rFonts w:ascii="Arial" w:cs="Arial" w:hAnsi="Arial" w:eastAsia="Arial"/>
          <w:sz w:val="24"/>
          <w:szCs w:val="24"/>
        </w:rPr>
      </w:pPr>
      <w:r>
        <w:rPr>
          <w:rFonts w:ascii="Arial" w:hAnsi="Arial"/>
          <w:sz w:val="24"/>
          <w:szCs w:val="24"/>
          <w:rtl w:val="0"/>
          <w:lang w:val="en-US"/>
        </w:rPr>
        <w:t>The identification of literature was carried out using the following tools: PubMed, Sage, University of Wales Trinity Saint David Library and TRIP Database. These sources were identified has having a direct link to health and care, as well as informatics. They also allowed easy access to full articles. Google scholar was used as a means of scope search, the algorithm draws a large but non specific field of data, this was not used to identify more specific literature as it does not allow for indexing of search and therefore creates a broad scope of literature therefore increasing the risk of scope drift.</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The search was carried out between November 10th and Nov 30th 2021. The key search terms were identified using PICO (Population, Intervention, Comparison, Outcome) as identified below:</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Population: Tier three weight management service user / obese adults.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Intervention: User Interface (UI) / User Experience (UX) / gamification of weight management plan.</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Comparison: Multi Disciplinary Team treatment plan / Keeping me well.</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Outcome: Weight loss/ long term behaviour change/ lifestyle modification/engagement.</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I also interchanged the phrase behaviour change with lifestyle modification.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On initial searching over 800 results were found, and so database filters were used to refine the results including:</w:t>
      </w:r>
    </w:p>
    <w:p>
      <w:pPr>
        <w:pStyle w:val="Body"/>
        <w:rPr>
          <w:rFonts w:ascii="Arial" w:cs="Arial" w:hAnsi="Arial" w:eastAsia="Arial"/>
          <w:sz w:val="24"/>
          <w:szCs w:val="24"/>
        </w:rPr>
      </w:pPr>
      <w:r>
        <w:rPr>
          <w:rFonts w:ascii="Arial" w:hAnsi="Arial"/>
          <w:sz w:val="24"/>
          <w:szCs w:val="24"/>
          <w:rtl w:val="0"/>
          <w:lang w:val="en-US"/>
        </w:rPr>
        <w:t>Year published, country of origin and source (focussing on high quality systematic reviews and guidelines). The top results were then reviewed via the abstract first to understand the relevance and following this further, more in depth analysis of the research was carried out. To aid accurate referencing and quick retrieval Mendeley research software was used.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To select the appropriate literature, several steps were taken to asses the validity, trustworthiness and potential for bias. The literature from 2015 and onwards was selected as this is when Informed Health And Care - A Digital Strategy For Wales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"http://wales.Gov"</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Welsh.Gov</w:t>
      </w:r>
      <w:r>
        <w:rPr>
          <w:rFonts w:ascii="Arial" w:cs="Arial" w:hAnsi="Arial" w:eastAsia="Arial"/>
          <w:sz w:val="24"/>
          <w:szCs w:val="24"/>
        </w:rPr>
        <w:fldChar w:fldCharType="end" w:fldLock="0"/>
      </w:r>
      <w:r>
        <w:rPr>
          <w:rFonts w:ascii="Arial" w:hAnsi="Arial"/>
          <w:sz w:val="24"/>
          <w:szCs w:val="24"/>
          <w:rtl w:val="0"/>
          <w:lang w:val="en-US"/>
        </w:rPr>
        <w:t xml:space="preserve"> 2015) was published. This is relevant because NICE published guidelines on the 4 tier system for weight management in 2016. However systematic reviews surrounding service user engagement were used prior to this point, to better understand the historic approach to weight management and the effectiveness of previous practice. This was done initially by reading through the abstract, results and conclusions sections, and if deemed appropriate then a more in-depth review of the paper was carried out using varying CASP checklists.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When using all of the search terms and their appropriate </w:t>
      </w:r>
      <w:r>
        <w:rPr>
          <w:rFonts w:ascii="Arial" w:hAnsi="Arial"/>
          <w:sz w:val="24"/>
          <w:szCs w:val="24"/>
          <w:rtl w:val="0"/>
          <w:lang w:val="nl-NL"/>
        </w:rPr>
        <w:t>boolean operators</w:t>
      </w:r>
      <w:r>
        <w:rPr>
          <w:rFonts w:ascii="Arial" w:hAnsi="Arial"/>
          <w:sz w:val="24"/>
          <w:szCs w:val="24"/>
          <w:rtl w:val="0"/>
          <w:lang w:val="en-US"/>
        </w:rPr>
        <w:t>, insufficient studies were found. As a result a the literature review was categorised into the following sub-searches:</w:t>
      </w:r>
    </w:p>
    <w:p>
      <w:pPr>
        <w:pStyle w:val="Body"/>
        <w:rPr>
          <w:rFonts w:ascii="Arial" w:cs="Arial" w:hAnsi="Arial" w:eastAsia="Arial"/>
          <w:b w:val="1"/>
          <w:bCs w:val="1"/>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Adherence of obese adults to tier three weight management programmes</w:t>
      </w:r>
    </w:p>
    <w:p>
      <w:pPr>
        <w:pStyle w:val="Body"/>
        <w:rPr>
          <w:rFonts w:ascii="Arial" w:cs="Arial" w:hAnsi="Arial" w:eastAsia="Arial"/>
          <w:b w:val="1"/>
          <w:bCs w:val="1"/>
          <w:sz w:val="24"/>
          <w:szCs w:val="24"/>
        </w:rPr>
      </w:pPr>
    </w:p>
    <w:p>
      <w:pPr>
        <w:pStyle w:val="Body"/>
        <w:rPr>
          <w:rFonts w:ascii="Arial" w:cs="Arial" w:hAnsi="Arial" w:eastAsia="Arial"/>
          <w:sz w:val="24"/>
          <w:szCs w:val="24"/>
        </w:rPr>
      </w:pPr>
      <w:r>
        <w:rPr>
          <w:rFonts w:ascii="Arial" w:hAnsi="Arial"/>
          <w:sz w:val="24"/>
          <w:szCs w:val="24"/>
          <w:rtl w:val="0"/>
          <w:lang w:val="en-US"/>
        </w:rPr>
        <w:t>Brown et al (2017) carried out a systematic review of 1 randomised control trial, 3 controlled and 10 observational studies to understand the impact, practice and characteristics of tier 3 weight management programmes across the UK. This did demonstrate that the traditional face to face weight management programme does result in overall weight loss averaging between 2.2 and 12.5 kg although the heterogeneous nature of the study means that it was unable to state a time scale for this, it also identified that the drop out rate was high across the studies (43-62%). The low quality study design of the majority of the included studies was noted.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Similarly, Jennings et al 2014 based their research on the Fakenham tier three weight management service with a cohort of 230 over 12 months. They found that 102 service users achieved 5% weight loss, however the drop out rate was 14.6% at 6 months and 45.1% at 1 year, although this was a small cohort study, the weight management service in this hospital is very similar to the structure in Cardiff and Vale, and equally reflects the weight loss and drop out rates. This therefore leads us to want to understand why engagement into weight management services are so low.</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In trying to identify if there was a patient preference to the approach to service delivery Huntress et al 2021 compared 4 forms of intervention or a tier 3 weight management programme over a 12-16 week period. The intervention offered was either face to face consultations, telephone consultation or online coaching using the OVIVA smart phone application. Although the authors have declared that there was no conclusive evidence with regards to changes in weight loss, it demonstrated that individual preferences were to select a digital platform over face to face and telephone intervention. It was not conclusive as to why this approach was favoured, and further qualitative interviews here would be useful to decipher if patients are choosing the path that perhaps is easier or less confrontational or if it is due to convenience or simply preferring a digital approach. It did however identify that all interventions had resulted in weight loss, and that the use of digital technology was a way of increasing weight management treatment options. This ultimately saves on expenses such as treatment rooms, clinician time, hospital parking spaces and health related travel.</w:t>
      </w:r>
    </w:p>
    <w:p>
      <w:pPr>
        <w:pStyle w:val="Body"/>
        <w:rPr>
          <w:rFonts w:ascii="Arial" w:cs="Arial" w:hAnsi="Arial" w:eastAsia="Arial"/>
          <w:sz w:val="24"/>
          <w:szCs w:val="24"/>
        </w:rPr>
      </w:pPr>
      <w:r>
        <w:rPr>
          <w:rFonts w:ascii="Arial" w:hAnsi="Arial"/>
          <w:sz w:val="24"/>
          <w:szCs w:val="24"/>
          <w:rtl w:val="0"/>
          <w:lang w:val="en-US"/>
        </w:rPr>
        <w:t>Golubric et al (2018) aimed to assess the outcomes of a 3 phase, 24 week programme to improve weight loss prior to bariatric surgery, they</w:t>
      </w:r>
      <w:r>
        <w:rPr>
          <w:rFonts w:ascii="Arial" w:hAnsi="Arial" w:hint="default"/>
          <w:sz w:val="24"/>
          <w:szCs w:val="24"/>
          <w:rtl w:val="0"/>
          <w:lang w:val="en-US"/>
        </w:rPr>
        <w:t>’</w:t>
      </w:r>
      <w:r>
        <w:rPr>
          <w:rFonts w:ascii="Arial" w:hAnsi="Arial"/>
          <w:sz w:val="24"/>
          <w:szCs w:val="24"/>
          <w:rtl w:val="0"/>
          <w:lang w:val="en-US"/>
        </w:rPr>
        <w:t xml:space="preserve">re study was prospective non randomised control trial which aimed to either optimise or prevent the need for bariatric surgery to initially enable weight loss, followed by weight stabilisation and then weight maintenance. The service provided fortnightly, face to face sessions with a specialist dietician to implement a dietary regime. It started with consuming only a nutritional shake based diet then in phase 2 gradually reintroducing solid food, and finally weaning off shakes in phase 3. This programme was successful in the time period outlined in helping participants reduce weight by an average of 20kg and then maintain, which shows that having regular intervention and a structured framework is a successful way to manage weight. It does have constraints, it is unrealistic for most weight management programmes to offer this level of input due to the high capacity of patients and limited staff resources. It also does not demonstrate how patients manage their weight following the 3 8 week phases, this is a particularly important as the literature demonstrates that longer term engagement is poor amongst weight management programmes. Also this study was not randomised and was a small study so does not demonstrate the general obese population.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In summary, the literature demonstrates that there is poor long term engagement into weight management programmes, which has an effect on over all health outcomes. There is inconclusive evidence to advise what the best form of intervention is, but it seems that regular intervention is more beneficial than having large gaps in between assessment and treatment.</w:t>
      </w:r>
    </w:p>
    <w:p>
      <w:pPr>
        <w:pStyle w:val="Body"/>
        <w:rPr>
          <w:rFonts w:ascii="Arial" w:cs="Arial" w:hAnsi="Arial" w:eastAsia="Arial"/>
          <w:b w:val="1"/>
          <w:bCs w:val="1"/>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Using gamification for long term positive health behaviour change</w:t>
      </w:r>
    </w:p>
    <w:p>
      <w:pPr>
        <w:pStyle w:val="Body"/>
        <w:rPr>
          <w:rFonts w:ascii="Arial" w:cs="Arial" w:hAnsi="Arial" w:eastAsia="Arial"/>
          <w:b w:val="1"/>
          <w:bCs w:val="1"/>
          <w:sz w:val="24"/>
          <w:szCs w:val="24"/>
        </w:rPr>
      </w:pPr>
    </w:p>
    <w:p>
      <w:pPr>
        <w:pStyle w:val="Body"/>
        <w:rPr>
          <w:rFonts w:ascii="Arial" w:cs="Arial" w:hAnsi="Arial" w:eastAsia="Arial"/>
          <w:sz w:val="24"/>
          <w:szCs w:val="24"/>
        </w:rPr>
      </w:pPr>
      <w:r>
        <w:rPr>
          <w:rFonts w:ascii="Arial" w:hAnsi="Arial"/>
          <w:sz w:val="24"/>
          <w:szCs w:val="24"/>
          <w:rtl w:val="0"/>
          <w:lang w:val="en-US"/>
        </w:rPr>
        <w:t>Sherington et al (2016) conducted a systematic review and meta analysis of the provision of personalised feedback for weight loss in obese adults. It compared 12 studies that explored the use of personal feedback as a form of behaviour change technique, versus not using personal feedback. It showed that regardless of whether personal feedback was delivered in face to face appointments or digitally the outcomes were improved with both weight loss and engagement than not having any personal feedback. It did not demonstrate any change in effectiveness of weight loss if the feedback was provided from a digital platform or in a one to one session from a clinician. From the 12 studies used, only one was from the UK limiting the relevance to this project, however this is a good indicator to show that the use of informatics and positive gamification could be a way to provide ongoing input to service users in a service that is struggling with capacity.</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Patel et al 2019 conducted a randomised control trial to identify the effectiveness on physical activity in obese and overweight patients using behaviourally designed gamification interventions. A large population of 602 participants were part of a 36 week trial. 4 groups were identified, 3 of them were pursuing different types of digital intervention with an aspect of gamification. The control group still used where able tech and kept track of their step count, but did not have access to the more motivational technology. The study showed that all 3 groups that received varying levels of gamification as part of their intervention had significantly increased physical activity in the 36 week plan than the control group. The key types of gamification offered to the 3 groups were collaboration and competition, achievable goal variants, a point deduction system, and a buddy incentive system where a family member was emailed a progress report. This demonstrates that if a digital platform is going to be used, it is beneficial to have an aspect of gamification to encourage user engagement. However this is an American study, and the participants were all members of a large consultancy firm, this means that they were likely to be IT literate and college educated. It therefore does not directly relate to the service users within C&amp;V UHB. The demographic of the Cardiff and Vale weight management service is varied, but there is an increased association with unemployment, poor education and financial deprivation (WMS Audit, 2021). Across Wales 85% of the population access the internet, and it has been identified that the remaining 15% tend to be more elderly, from lower economic backgrounds and those with long term conditions and disabilities (Gann, 2019). When implementing a digital branch to weight management it is key to ensure that this is not the only approach available. It could however enable clinicians to offer more time to those that are unable to access technology.</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Considering that most people in Wales have a mobile phone, identification of how health apps are being used is of particular significance. Edwards et al (2016) systematically reviewed the behaviour change techniques identified in the top downloaded health apps (as identified by Google Play and the App Store). They found that the most popular health apps had not adopted gamification into into their structure, and mainly focussed on advice and education, and the ability to input progress with regards to weight, diet, and levels of exercise. The study recommended that there is likely the potential to improve health outcomes and long term behaviour change with the use pf gamification.</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 xml:space="preserve">Aims and objectives </w:t>
      </w:r>
    </w:p>
    <w:p>
      <w:pPr>
        <w:pStyle w:val="Body"/>
        <w:rPr>
          <w:rFonts w:ascii="Arial" w:cs="Arial" w:hAnsi="Arial" w:eastAsia="Arial"/>
          <w:b w:val="1"/>
          <w:bCs w:val="1"/>
          <w:sz w:val="24"/>
          <w:szCs w:val="24"/>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 clearly identify and outline the aims and objectives of this project SMART (specific, measurable, achievable, relevant and timed) aspects have been described as follows: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Specific: Overall business aim - Facilitating long term behaviour change resulting in weight loss and healthy lifestyle choices for Tier 3 WMS users. Encouraging service user engagement with a digital weight management plan by implementing gamification. The structure of this digital plan has been created and carried out in other health-boards. It starts with an assessment by each member of the MDT to identify appropriate plan selection. These are formulated into a patient specific plan, typically lasting 10-12 weeks. The goal of this project is to keep the service user engaged in the plan, to encourage long term behaviour change.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Measurable: Patient recorded outcome measures (PROMS) will include: step count, app engagement insights, and tick chart for engagement with diet. Patient recorded experience measures will include: Patient Specific Functional Score (PSFS),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patient wellness questionnaire, MH questionnaire, app engagement questionnaire, user experience measures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These are completed on the app and give patient continual feedback and associated encouragement. It will also work as a continual assessment tool for the clinician. It will also be vital to have open discussion with patients face to face to get more in depth level of feedback especially in the early pilot phases. This will enable continual improvements and adjustments. Positive change in PSFS will be a key performance indicator of project success.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Achievable: To make this achievable, a project manager and app designer will be required to ensure that the app creation incorporates the fundamental aspects to maintain engagement, for example: personal best achievements, congratulatory imagery &amp; colour scheme, notification reminders to engage. Summary reports for the patient with focus on the positives. It will also need to take a sociotechnical approach to ensure that the weight management team are engaged, and helping to incorporate service change practices away from the traditional face to face. Coproduction with clinician and service user to design the app in a way that helps the service use buy into the new framework of a less paternalistic model.</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Relevant: This project has relevance to the broader scope, firstly improving individuals health outcomes, with the primary goal of reducing weight, which should have a positive effect on other health outcomes eg. Reduced cardiac risk factors, reduction in diabetes, improve mental health. This the will impact the burden on other areas within health, eg orthopaedic waiting lists, mental health services, diabetic services, reduced the demand on prescription medication. On a wider scale it should reduce the economic burden with a reduction on sick leave and unemployment, allowing better contribution and engagement into society.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Timed: The app has be designed using a prototype of other pre-made weight management applications such as OVIVA, then the ramification aspect will be added on top of the fundamental programmes. The project pilot will take place over 6 months, followed by a 12-18 month post-pilot roll out designed to enable continual, data collection, improvements and audit.</w:t>
      </w: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 xml:space="preserve">Methodology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For this project, PRINCE II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will be the primary project management methodology. However, considering the nature of this project, the complex population it is being implemented with and the clinical and non clinical MDT working on its implementation - a blend of approaches would be appropriate. Combining principles from both PRINCE II and the Scrum framework from the Agile approach - the PRINCE II Agile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n-US"/>
          <w14:textOutline>
            <w14:noFill/>
          </w14:textOutline>
          <w14:textFill>
            <w14:solidFill>
              <w14:srgbClr w14:val="000000"/>
            </w14:solidFill>
          </w14:textFill>
        </w:rPr>
        <w:t xml:space="preserve">TM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will be the project management methodology of choice. It is a blend of the more rigid, linear, Kanban based, Waterfall method with the incremental and iterative components from the agile framework - rooted in the Kaizen approach.</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PRINCE II is being used as it has clearly defined roles and accountability for sub sections of the psychological, physical and dietary components to the App. The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project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will</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have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agreed roles and responsibilities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 engage the clinical MDT,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service u</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ser and</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App developing project management team, as well as other stakeholder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 i</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nterests.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This will encourage adaptability. Waterfall avoids scope creep and helps complete one single project whereas Scrum can be appropriate for more work streams this will help to maintain a clear aim of gamification of the app to encourage engagement. The project will work following the principles of co-production with an App designer and developer. Being guided by the project manager, is essential as clinicians will not have the specialist skills to develop the App. Patient and public involvement is vital in the design and development phase as well as the ongoing improvement - to ensure the end product has all key stakeholders in mind through its lifecycle.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bid manager</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will be an individual or team member that is able to maintain and develop contracts through effective staff and confident customer management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They will communicate with representatives from both the Welsh Government and the Health-board in relation to how the project is financed. Continual business justification through regular dashboard updates will provide key stakeholders with the real time data needed to have confidence the project is delivering as agreed. The transferable nature of this project will benefit these stakeholders in the long run by saving costs spent on clinicians time, reducing pressure on hospital parking and creating more space and time for individuals that need it most. It will encourage service users with chronic conditions to self manage and develop healthier life styles, reducing costs in both primary and secondary care such as orthopaedic intervention, pharmacy, cardiology etc. Although the initial cost of the app design will be high due to focus on user interface which will aim to increase app accessibility. The longer term running costs will be low.</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testing phase comes only after the build phase in a Waterfall approach which will allow for better understanding of how to tailor the project based on analysis of a richer data set. In comparison to this, the Agile framework would allow a continuous, iterative approach, creating a faster and more responsive software development life cycle. Therefore as suggested, a blend of the two approaches would appear to be most appropriate.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Different parts of the project will be delegated to specialists in that particular area, ensuring each work-stream is owned by the most appropriate person. This may help with clinician engagement and socio-technological implementation as individual clinicians will have ownership.</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Successful implementation of this project requires an approach that is both proactively planned in a linear fashion (Kanban) but also iterative in nature so that continuous improvement and modification where necessary is possible to maintain responsiveness. This is the Kaizen approach. Its translation from Japanese means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change for the good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This is also relevant when considering continued business justification. Project specific key performance indicators monitored via a dashboard and weekly highlight report will allow tracking and measurement of the programme.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Managing by exception - handling cases that deviate from the norm. Iterative process will assist with this and our weekly highlight report will allow us to identify these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The scale of this project will start relatively focussed, but the design will be transferrable to other areas of health, particularly chronic and complex conditions where patients are encouraged to self manage. It has the potential to be a large scale project with roll out in multiple areas of health, or even in schools for health education, or community based projects.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The outcome is moderately predictable. It is not going to be a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One app for all</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where all people directed to it will be fully engaged. It is important to remember that not everybody engages well with technology, and that it is to be used in conjunction with more traditional face to face intervention.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rPr>
          <w:rFonts w:ascii="Arial" w:cs="Arial" w:hAnsi="Arial" w:eastAsia="Arial"/>
          <w:b w:val="1"/>
          <w:bCs w:val="1"/>
          <w:sz w:val="24"/>
          <w:szCs w:val="24"/>
        </w:rPr>
      </w:pPr>
      <w:r>
        <w:rPr>
          <w:rFonts w:ascii="Arial" w:hAnsi="Arial"/>
          <w:b w:val="1"/>
          <w:bCs w:val="1"/>
          <w:sz w:val="24"/>
          <w:szCs w:val="24"/>
          <w:rtl w:val="0"/>
          <w:lang w:val="en-US"/>
        </w:rPr>
        <w:t>Measures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In order to understand and reduce the complexity of this project the NASSS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(non-adoption, abandonment, scale-up, spread, sustainability)</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framework was used. This consists of 7 domains and which have been described in relation to this project: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1: Condition: this is obesity, this is a complex condition which incorporates mental health and childhood psychological trauma, which therefore has not got a clear pathway or protocol. It is often linked with multiple co-morbidities both physical and mental. A multi-professional approach is essential and assessment and treatment must be patient centred, not prescriptive. This is therefore a highly complex domain, but will draw similarities to other complex areas of health eg chronic pain.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2: Technology: The technology used is a mobile phone based app which utilises gamification. It would be able to link in with other wearable technology eg. Smartwatch. This means that it will require complex app design that can connect with health data to identify when encouragement is needed. It would also be able to identify when positive behaviour was being carried out and reinforce this. The collection and and display of data will be clear and focus on reinforcing positive behaviour.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3: The value proposition: This app design will be transferable to other areas and departments of health, which increased the value for the developer and health care system. It also holds value for the individual as it is a tool that can be used to continue to support positive behaviour change, and therefore weight loss. As it is integrates the WMS will be offloaded by reducing the demand for face to face appointments and increase engagement in between appointments. It aims to create better adherence to a weight management plan which should improve overall service outcomes.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4: individuals/adopters. Staff, service users, service users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families and carers will be encouraged to use this app. It might be that certain individuals with reduced IT literacy or those who may be financially excluded from owning a smart phone could find themselves in a disadvantaged position. There is also a risk that this sort of gamification could cause unhealthy behaviours, or create more anxiety if certain goals are not accomplished.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5: The healthcare organisation. Further investigation to formally assess the readiness for change and implementation of a new project within the WMS would need to be carried out, but complexity for this is low. The project is not aiming to change the approach in which the service is carried out, but to add an adjunct that can be used alongside the service. Essentially this means that the clinicians will have involvement in the app design, but onwards from that will be able to utilise the app as a treatment and data collection tool.</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6: The Wider System: Throughout the pandemic there has been a shift in healthcare delivery to telephone and digital services where possible. This has come with a sense of despondency from service users who are used to face to face delivery, and often present as unsatisfied with the virtual approach. This attitude could affect the uptake on a digital component of the weight management service, which is why it is vital to offer a combination of face to face and virtual approaches. However the project fits in well with both the Digital Strategy for Wales and the Healthy weight Healthy Wales government strategies.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Domain 7: Embedding and adaption over time. The project will ensure that regular data collection via the app of both PROMS and PREMS is assessed on a 6 monthly basis. This will be reviewed in a regular audit cycle, alongside updates of new technologies that may be implemented into the app. A project lead will be responsible for uptake of delivery from the team of clinicians. This will ensure that new technologies are used and not forgotten about. If this app development is successful and service users engage well with it, this will encourage further recommendation of its use, and so hopefully there will be a level of organic implementation that way.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How will impact be measured?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Quantitative measures will include: step count, number of active minutes per day/week, calories burnt (all measured using wearable tech, simple pedometer, phone or manually inputting if unable to access any of these), weight loss (inputted weekly and recored on in the tracking section of the App).</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Qualitative measures will include: feedback and monitoring, reward and threat, goals and planning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rPr>
          <w:rFonts w:ascii="Arial" w:cs="Arial" w:hAnsi="Arial" w:eastAsia="Arial"/>
          <w:b w:val="1"/>
          <w:bCs w:val="1"/>
          <w:sz w:val="24"/>
          <w:szCs w:val="24"/>
        </w:rPr>
      </w:pPr>
      <w:r>
        <w:rPr>
          <w:rFonts w:ascii="Arial" w:hAnsi="Arial"/>
          <w:b w:val="1"/>
          <w:bCs w:val="1"/>
          <w:sz w:val="24"/>
          <w:szCs w:val="24"/>
          <w:rtl w:val="0"/>
          <w:lang w:val="en-US"/>
        </w:rPr>
        <w:t xml:space="preserve">Section 5 - Improvements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Direct improvements predicted to be achieved from implementation of this plan include improved patient engagement of individuals accessing Tier 3 WMS in C&amp;VUHB. Service users are expected to have increased interactions through an easy to access Phone based App which integrates with wearable tech and draws on the principles of gamification to encourage more frequent engagement with digital treatment plan focused on addressing their underlying clinical issues (diet, exercise, psych). </w:t>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br w:type="textWrapping"/>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Service users are more likely to attend face to face appointments with members of the MDT coordinating their care with a more focused list of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work-ons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due to the increased engagement during day to day life (between appointments).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Cost savings for health board, WMS and Welsh Government. Longer term improved health outcomes for those that are currently in Tier 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Indirect improvements may come in the form of reduced health travel as a result of fewer face to face appointments typically undertaken on hospital sites. Reduced risk of transmission of Covid-19 and other variants, particularly pertinent for an already highly vulnerable patient group.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Causality: It is a priority for local authorities UK wide to tackle obesity. Schemes such as sugar tax, the National Exercise Referral Scheme, education in schools regarding healthy lifestyle will make it increasingly difficult to understand the outcomes of project implementation, especially regarding objective measures such as weight loss and the affect of that on other services. By tracking patient engagement in the WMS via routine face to face interactions, and time spent actively on the application as monitored by insights, we will be able to build a better picture of project outcomes.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Future opportunities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principles explored in this project could be extrapolated to other areas of clinical care. Gamification and improved UI/UX could drastically improve the care of service users with similar long term conditions who would benefit from more regular engagement and tracking e.g. smoking cessation, type 2 diabetes, long term persistent pain and chronic fatigue patients to name a few.</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Another opportunity lies in further research and development with this tool in children and adolescents who are identified to be at risk of becoming obese. The aim with this population will be to embed healthy lifestyle choices in their behaviour from an early age. This preventative approach will be an essential component to overcoming the obesity epidemic in coming years.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Possible unintended consequences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It must be considered that gamification within this population may lead to reduced desire to engage with their self management plan.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Those with poor IT and Health literacy, those that are financially excluded from access to the latest technology must be considered and therefore a hybrid approach must be considered. Face to face services therefore are not to be substituted for digital tools entirely but in fact should work side by side to optimise the care journey for all citizens.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Conclusion: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 summary, much of the literature surrounding gamification suggests it is a useful tool, not because it has the ability to completely replace traditional modes of health intervention, but as an adjunct. There is evidence to suggest that it improves engagement with a digital plan. There is also a pattern of poor engagement within WMS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and the services themselves are typically unable to offer the intensity of input that is required for true positive health outcomes. Therefore combining both traditional intervention with a digital platform that uses gamification could help with continuity of care between long waits for appointments.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Words = 5500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References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Afshin, A., Forouzanfar, M.H., Reitsma, M.B., Sur, P., Estep, K., Lee, A., Marczak, L., Mokdad, A.H., Moradi-Lakeh, M., Naghavi, M., Salama, J.S., Vos, T., Abate, K.H., Abbafati, C., Ahmed, M.B., Al-Aly, Z., Alkerwi, A., Al-Raddadi, R., Amare, A.T., Amberbir, A., Amegah, A.K., Amini, E., Amrock, S.M., Anjana, R.M., Arnlov, J., Asayesh, H., Banerjee, A., Barac, A., Baye, E., Bennett, D.A., Beyene, A.S., Biadgilign, S., Biryukov, S., Bjertness, E., Boneya, D.J., Campos-Nonato, I., Carrero, J.J., Cecilio, P., Cercy, K., Ciobanu, L.G., Cornaby, L., Damtew, S.A., Dandona, L., Dandona, R., Dharmaratne, S.D., Duncan, B.B., Eshrati, B., Esteghamati, A., Habtewold, T.D. and Tegegne, B.S. (2017) 'Health Effects of Overweight and Obesity in 195 Countries over 25 Years', The New England journal of medicine; N Engl J Med, 377(1), pp. 13-27. doi: 10.1056/NEJMoa1614362.</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Alkharaiji, M., Anyanwagu, U., Donnelly, R. and Idris, I. (2019) 'Tier 3 specialist weight management service and pre</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bariatric multicomponent weight management programmes for adults with obesity living in the UK: A systematic review', Endocrinology, diabetes &amp; metabolism; Endocrinol Diabetes Metab, 2(1), pp. e00042-n/a. doi: 10.1002/edm2.42.</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Beynon, C., M.P.H. (2016) 'Risk factors associated with childhood obesity in Wales: a secondary analysis of cross-sectional data from the Welsh Health Survey', The Lancet (British edition), 388, pp. S24. doi: 10.1016/S0140-6736(16)32260-7.</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Brown, T.J., O'Malley, C., Blackshaw, J., Coulton, V., Tedstone, A., Summerbell, C. and Ells, L.J. (2017a) 'Exploring the evidence base for Tier 3 weight management interventions for adults: a systematic review', Clinical obesity, 7(5), pp. 260-272. doi: 10.1111/cob.12204.</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Corepal, R., Best, P., O</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Neill, R., Tully, M.A., Edwards, M., Jago, R., Miller, S.J., Kee, F. and Hunter, R.F. (2018b) 'Exploring the use of a gamified intervention for encouraging physical activity in adolescents: a qualitative longitudinal study in Northern Ireland', BMJ open; BMJ Open, 8(4), pp. e019663. doi: 10.1136/bmjopen-2017-019663.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Dombrowski, S.U., Knittle, K., Avenell, A., Ara</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ú</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jo-Soares, V. and Sniehotta, F.F. (2014) 'Long term maintenance of weight loss with non-surgical interventions in obese adults: systematic review and meta-analyses of randomised controlled trials', BMJ : British Medical Journal; BMJ, 348, pp. g2646. doi: 10.1136/bmj.g2646.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Edwards, E.A., Lumsden, J., Rivas, C., Steed, L., Edwards, L.A., Thiyagarajan, A., Sohanpal, R., Caton, H., Griffiths, C.J., Munaf</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ò</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M.R., Taylor, S. and Walton, R.T. (2016) 'Gamification for health promotion: systematic review of behaviour change techniques in smartphone apps', BMJ open; BMJ Open, 6(10), pp. e012447. doi: 10.1136/bmjopen-2016-012447.</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Felitti, V.J., Anda, R.F., Nordenberg, D., Williamson, D.F., Spitz, A.M., Edwards, V., Koss, M.P. and Marks, J.S. (1998a) 'Relationship of Childhood Abuse and Household Dysfunction to Many of the Leading Causes of Death in Adults: The Adverse Childhood Experiences (ACE) Study', American Journal of Preventive Medicine; Am J Prev Med, 14(4), pp. 245-258. doi: 10.1016/S0749-3797(98)00017-8.</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Fleming TM, Bavin L, Stasiak K, Hermansson-Webb E, Merry SN, Cheek C, Lucassen M, Lau HM, Pollmuller B, Hetrick S (2017) '. Serious Games and Gamification for Mental Health: Current Status and Promising Directions. Front Psychiatry. 7:215. doi: 10.3389/fpsyt.2016.00215. PMID: 28119636; PMCID: PMC5222787.', Front Psychiatry, 10.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Fortunato, M., Harrison, J., Oon, A.L., Small, D., Hilbert, V., Rareshide, C. and Patel, M. (2019) 'Remotely Monitored Gamification and Social Incentives to Improve Glycemic Control Among Adults With Uncontrolled Type 2 Diabetes (iDiabetes): Protocol for a Randomized Controlled Trial', JMIR research protocols; JMIR Res Protoc, 8(11), pp. e14180. doi: 10.2196/14180.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Gann, B. (2019) 'Transforming lives: Combating digital health inequality', IFLA journal, 45(3), pp. 187-198. doi: 10.1177/0340035219845013.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Greenhalgh, T., Maylor, H., Shaw, S., Wherton, J., Papoutsi, C., Betton, V., Nelissen, N., Gremyr, A., Rushforth, A., Koshkouei, M. and Taylor, J. (2020) 'The NASSS-CAT Tools for Understanding, Guiding, Monitoring, and Researching Technology Implementation Projects in Health and Social Care: Protocol for an Evaluation Study in Real-World Settings', JMIR research protocols; JMIR Res Protoc, 9(5), pp. e16861. doi: 10.2196/16861.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Huntriss, R., Haines, M., Jones, L. and Mulligan, D. (2021b) 'A service evaluation exploring the effectiveness of a locally commissioned tier 3 weight management programme offering face</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face, telephone and digital dietetic support', Clinical obesity, 11(3), pp. n/a. doi: 10.1111/cob.12444.</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Jakicic, J.M. and Rogers, R.J. (2020) 'Gamification and social incentives increase physical activity', Nature reviews.Endocrinology; Nat Rev Endocrinol, 16(1), pp. 10-12. doi: 10.1038/s41574-019-0281-8.</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Javier, J.R., Hoffman, L.R. and Shah, S.I. (2019) 'Making the case for ACEs: adverse childhood experiences, obesity, and long-term health', Pediatric research; Pediatr Res, 86(4), pp. 420-422. doi: 10.1038/s41390-019-0509-2.</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Jennings, A., Hughes, C.A., Kumaravel, B., Bachmann, M.O., Steel, N., Capehorn, M. and Cheema, K. (2014a) 'Evaluation of a multidisciplinary Tier 3 weight management service for adults with morbid obesity, or obesity and comorbidities, based in primary care', Clinical obesity; Clinical Obesity, 4(5), pp. 254-266. doi: 10.1111/cob.12066.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Kar, P., Goward, C., Whitman, M., Davies, M., Willner, T. and Shaw, K. (2020a) 'Engagement and effectiveness of digitally enabled behavioural change support for people living with type 2 diabetes', Practical diabetes (2011), 37(5), pp. 167-172a. doi: 10.1002/pdi.2295.</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Okunogbe, A., Nugent, R., Spencer, G., Ralston, J. and Wilding, J. (2021) 'Economic impacts of overweight and obesity: current and future estimates for eight countries', BMJ global health, 6(10), pp. e006351. doi: 10.1136/bmjgh-2021-006351.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Page, M.J., McKenzie, J.E., Bossuyt, P.M., Boutron, I., Hoffmann, T.C., Mulrow, C.D., Shamseer, L., Tetzlaff, J.M., Akl, E.A., Brennan, S.E., Chou, R., Glanville, J., Grimshaw, .M., Hr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ó</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bjartsson, A., Lalu, M.M., Li, T., Loder, E.W., Mayo-Wilson, E., McDonald, S., McGuinness, L.A., Stewart, L.A., Thomas, J., Tricco, A.C., Welch, V.A., Whiting, P. and Moher, D. (2021) 'The PRISMA 2020 statement: an updated guideline for reporting systematic reviews', BMJ (Online); BMJ, 372, pp. n71. doi: 10.1136/bmj.n71.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Partridge, S.R. and Redfern, J. (2018a) 'Strategies to Engage Adolescents in Digital Health Interventions for Obesity Prevention and Management', Healthcare (Basel); Healthcare (Basel), 6(3), pp. 70. doi: 10.3390/healthcare6030070.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Payne, H.E., Moxley, V.B. and MacDonald, E. (2015) 'Health Behavior Theory in Physical Activity Game Apps: A Content Analysis', JMIR serious games; JMIR Serious Games, 3(2), pp. e4. doi: 10.2196/games.4187.</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Phelan, S.M., Burgess, D.J., Yeazel, M.W., Hellerstedt, W.L., Griffin, J.M. and van Ryn, M. (2015) 'Impact of weight bias and stigma on quality of care and outcomes for patients with obesity', Obesity reviews; Obes Rev, 16(4), pp. 319-326. doi: 10.1111/obr.12266.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Podina, I.R., Faur, A.L., Fodor, L.A. and Boian, R. (2018) 'Usability and user experience testing of the cognitive-behavioral Sigma smartphone app for weight management', Journal of evidence-based psychotherapies, 18(1), pp. 45-56. doi: 10.24193/jebp.2018.1.4.</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Rivera, J., McPherson, A.C., Hamilton, J., Birken, C., Coons, M., Peters, M., Iyer, S., George, T., Nguyen, C. and Stinson, J. (2018) 'User-Centered Design of a Mobile App for Weight and Health Management in Adolescents With Complex Health Needs: Qualitative Study', JMIR formative research; JMIR Form Res, 2(1), pp. e7. doi: 10.2196/formative.8248.</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Sanders, D. and Scott, P. (2020) 'Literature review: technological interventions and their impact on quality of life for people living with dementia', BMJ health &amp; care informatics; BMJ Health Care Inform, 27(1), pp. e100064. doi: 10.1136/bmjhci-2019-100064.</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Sherrington, A., Newham, J.J., Bell, R., Adamson, A., McColl, E. and Araujo-Soares, V. (2016a) 'Systematic review and meta-analysis of internet-delivered interventions providing personalized feedback for weight loss in overweight and obese adults', Obesity reviews; Obesity Reviews, 17(6), pp. 541-551. doi: 10.1111/obr.12396.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Welbourn, R., Hopkins, J., Dixon, J.B., Finer, N., Hughes, C., Viner, R. and Wass, J. (2018) 'Commissioning guidance for weight assessment and management in adults and children with severe complex obesity', Obesity reviews; Obes Rev, 19(1), pp. 14-27. doi: 10.1111/obr.12601.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noFill/>
          </w14:textOutline>
          <w14:textFill>
            <w14:solidFill>
              <w14:srgbClr w14:val="000000"/>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