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15DA715"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735181">
              <w:rPr>
                <w:b/>
                <w:color w:val="auto"/>
                <w:sz w:val="32"/>
              </w:rPr>
              <w:t>Shane Black</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30FD827F" w:rsidR="00575A8F" w:rsidRDefault="00735181" w:rsidP="00E6298B">
            <w:pPr>
              <w:overflowPunct/>
              <w:autoSpaceDE/>
              <w:autoSpaceDN/>
              <w:adjustRightInd/>
              <w:ind w:right="107"/>
              <w:textAlignment w:val="auto"/>
              <w:rPr>
                <w:b/>
                <w:color w:val="auto"/>
                <w:sz w:val="32"/>
              </w:rPr>
            </w:pPr>
            <w:r>
              <w:rPr>
                <w:b/>
                <w:color w:val="auto"/>
                <w:sz w:val="32"/>
              </w:rPr>
              <w:t>2134303</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741056D"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735181">
        <w:rPr>
          <w:rFonts w:asciiTheme="minorHAnsi" w:hAnsiTheme="minorHAnsi" w:cs="Times New Roman"/>
          <w:color w:val="auto"/>
          <w:sz w:val="22"/>
          <w:szCs w:val="22"/>
          <w:lang w:eastAsia="en-US"/>
        </w:rPr>
        <w:t xml:space="preserve">Throughout this essay I will compare and discuss the strategies that I have used to cope with stress and develop resilience throughout the initial 6 months of my career as a Police Constable. To aid my reflective writing in this essay I will be using Driscoll’s ‘Model of Reflection’ (Driscoll, 1994). Driscoll based his reflection model on the work of </w:t>
      </w:r>
      <w:proofErr w:type="spellStart"/>
      <w:r w:rsidRPr="00735181">
        <w:rPr>
          <w:rFonts w:asciiTheme="minorHAnsi" w:hAnsiTheme="minorHAnsi" w:cs="Times New Roman"/>
          <w:color w:val="auto"/>
          <w:sz w:val="22"/>
          <w:szCs w:val="22"/>
          <w:lang w:eastAsia="en-US"/>
        </w:rPr>
        <w:t>Borton</w:t>
      </w:r>
      <w:proofErr w:type="spellEnd"/>
      <w:r w:rsidRPr="00735181">
        <w:rPr>
          <w:rFonts w:asciiTheme="minorHAnsi" w:hAnsiTheme="minorHAnsi" w:cs="Times New Roman"/>
          <w:color w:val="auto"/>
          <w:sz w:val="22"/>
          <w:szCs w:val="22"/>
          <w:lang w:eastAsia="en-US"/>
        </w:rPr>
        <w:t xml:space="preserve">, </w:t>
      </w:r>
      <w:proofErr w:type="spellStart"/>
      <w:r w:rsidRPr="00735181">
        <w:rPr>
          <w:rFonts w:asciiTheme="minorHAnsi" w:hAnsiTheme="minorHAnsi" w:cs="Times New Roman"/>
          <w:color w:val="auto"/>
          <w:sz w:val="22"/>
          <w:szCs w:val="22"/>
          <w:lang w:eastAsia="en-US"/>
        </w:rPr>
        <w:t>Borton’s</w:t>
      </w:r>
      <w:proofErr w:type="spellEnd"/>
      <w:r w:rsidRPr="00735181">
        <w:rPr>
          <w:rFonts w:asciiTheme="minorHAnsi" w:hAnsiTheme="minorHAnsi" w:cs="Times New Roman"/>
          <w:color w:val="auto"/>
          <w:sz w:val="22"/>
          <w:szCs w:val="22"/>
          <w:lang w:eastAsia="en-US"/>
        </w:rPr>
        <w:t xml:space="preserve"> concept of ‘What? So What? Now What?’ (</w:t>
      </w:r>
      <w:proofErr w:type="spellStart"/>
      <w:r w:rsidRPr="00735181">
        <w:rPr>
          <w:rFonts w:asciiTheme="minorHAnsi" w:hAnsiTheme="minorHAnsi" w:cs="Times New Roman"/>
          <w:color w:val="auto"/>
          <w:sz w:val="22"/>
          <w:szCs w:val="22"/>
          <w:lang w:eastAsia="en-US"/>
        </w:rPr>
        <w:t>Borton</w:t>
      </w:r>
      <w:proofErr w:type="spellEnd"/>
      <w:r w:rsidRPr="00735181">
        <w:rPr>
          <w:rFonts w:asciiTheme="minorHAnsi" w:hAnsiTheme="minorHAnsi" w:cs="Times New Roman"/>
          <w:color w:val="auto"/>
          <w:sz w:val="22"/>
          <w:szCs w:val="22"/>
          <w:lang w:eastAsia="en-US"/>
        </w:rPr>
        <w:t>, 1970) was expanded by Driscoll in 1994 and applied to nurses in a clinical setting recognising that nurses may work with individuals whose character can cause them to adjust their level of care or approach to tasks involving those individuals. The ‘What?’ element of Driscoll’s model directly follows the experience which requires reflection, this is a description of the event itself and then purposefully reflecting on specific aspects of that event. Next follows the ‘So What?’ stage of the model, this stage is an analysis of the event which then requires the discovery of any learning that may arise from dealing with the event, this stage can be better thought of as the reflective stage. The final stage is ‘Now What?’, up to this point the individual has experienced the event, analysed it, and reflected on any learning required, this final stage of the model is the proposed actions following the event.</w:t>
      </w:r>
    </w:p>
    <w:p w14:paraId="2479FF8A"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774D1BE8"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735181">
        <w:rPr>
          <w:rFonts w:asciiTheme="minorHAnsi" w:hAnsiTheme="minorHAnsi" w:cs="Times New Roman"/>
          <w:color w:val="auto"/>
          <w:sz w:val="22"/>
          <w:szCs w:val="22"/>
          <w:lang w:eastAsia="en-US"/>
        </w:rPr>
        <w:t xml:space="preserve">Prior to joining South Wales Police as a Constable, I was a member of staff for several years working within the custody units around the South Wales force area, during my time within this role I encountered many situations that would be deemed stressful. Until I joined as a Constable and began feeling what I believed to be stressed I had never considered my previous experiences as particularly stressful. </w:t>
      </w:r>
      <w:proofErr w:type="spellStart"/>
      <w:r w:rsidRPr="00735181">
        <w:rPr>
          <w:rFonts w:asciiTheme="minorHAnsi" w:hAnsiTheme="minorHAnsi" w:cs="Times New Roman"/>
          <w:color w:val="auto"/>
          <w:sz w:val="22"/>
          <w:szCs w:val="22"/>
          <w:lang w:eastAsia="en-US"/>
        </w:rPr>
        <w:t>Pearlin</w:t>
      </w:r>
      <w:proofErr w:type="spellEnd"/>
      <w:r w:rsidRPr="00735181">
        <w:rPr>
          <w:rFonts w:asciiTheme="minorHAnsi" w:hAnsiTheme="minorHAnsi" w:cs="Times New Roman"/>
          <w:color w:val="auto"/>
          <w:sz w:val="22"/>
          <w:szCs w:val="22"/>
          <w:lang w:eastAsia="en-US"/>
        </w:rPr>
        <w:t xml:space="preserve"> et al (1981, quoted in Julia A. Malia ‘Basic Concepts and Models of Family Stress’ 2007) defines stress as a process rather than a singular event. On reflection, if stress is a process rather than a single event it is possible that I did not experience a stressful process but rather a sporadic singular stressful event. Every Mind Matters (NHS 2022) describes stress as “the bodies reaction to feeling threatened or under pressure” and goes on to say that it can be motivating however extreme or prolonged exposure can lead to physical, mental, and emotional exhaustion. </w:t>
      </w:r>
    </w:p>
    <w:p w14:paraId="64349E1F"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51A2FB6E"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735181">
        <w:rPr>
          <w:rFonts w:asciiTheme="minorHAnsi" w:hAnsiTheme="minorHAnsi" w:cs="Times New Roman"/>
          <w:color w:val="auto"/>
          <w:sz w:val="22"/>
          <w:szCs w:val="22"/>
          <w:lang w:eastAsia="en-US"/>
        </w:rPr>
        <w:t>The Oxford dictionary defines resilience as “</w:t>
      </w:r>
      <w:r w:rsidRPr="00735181">
        <w:rPr>
          <w:rFonts w:asciiTheme="minorHAnsi" w:hAnsiTheme="minorHAnsi" w:cs="Times New Roman"/>
          <w:i/>
          <w:iCs/>
          <w:color w:val="auto"/>
          <w:sz w:val="22"/>
          <w:szCs w:val="22"/>
          <w:lang w:eastAsia="en-US"/>
        </w:rPr>
        <w:t>the ability of people and things to recover quickly after something unpleasant, such as shock, injury, etc</w:t>
      </w:r>
      <w:r w:rsidRPr="00735181">
        <w:rPr>
          <w:rFonts w:asciiTheme="minorHAnsi" w:hAnsiTheme="minorHAnsi" w:cs="Times New Roman"/>
          <w:color w:val="auto"/>
          <w:sz w:val="22"/>
          <w:szCs w:val="22"/>
          <w:lang w:eastAsia="en-US"/>
        </w:rPr>
        <w:t xml:space="preserve">”. Given the nature of the work that a Constable undertakes I believe resilience to be of great importance. In research from </w:t>
      </w:r>
      <w:proofErr w:type="spellStart"/>
      <w:r w:rsidRPr="00735181">
        <w:rPr>
          <w:rFonts w:asciiTheme="minorHAnsi" w:hAnsiTheme="minorHAnsi" w:cs="Times New Roman"/>
          <w:color w:val="auto"/>
          <w:sz w:val="22"/>
          <w:szCs w:val="22"/>
          <w:lang w:eastAsia="en-US"/>
        </w:rPr>
        <w:t>Mutongwizo</w:t>
      </w:r>
      <w:proofErr w:type="spellEnd"/>
      <w:r w:rsidRPr="00735181">
        <w:rPr>
          <w:rFonts w:asciiTheme="minorHAnsi" w:hAnsiTheme="minorHAnsi" w:cs="Times New Roman"/>
          <w:color w:val="auto"/>
          <w:sz w:val="22"/>
          <w:szCs w:val="22"/>
          <w:lang w:eastAsia="en-US"/>
        </w:rPr>
        <w:t xml:space="preserve"> et al (2019) the term ‘resilience policing’ is coined to better demonstrate the need for the Police Service to better help develop the resilience </w:t>
      </w:r>
      <w:r w:rsidRPr="00735181">
        <w:rPr>
          <w:rFonts w:asciiTheme="minorHAnsi" w:hAnsiTheme="minorHAnsi" w:cs="Times New Roman"/>
          <w:color w:val="auto"/>
          <w:sz w:val="22"/>
          <w:szCs w:val="22"/>
          <w:lang w:eastAsia="en-US"/>
        </w:rPr>
        <w:lastRenderedPageBreak/>
        <w:t>and manage trauma of its officers and staff due to a constantly changing ‘</w:t>
      </w:r>
      <w:proofErr w:type="spellStart"/>
      <w:r w:rsidRPr="00735181">
        <w:rPr>
          <w:rFonts w:asciiTheme="minorHAnsi" w:hAnsiTheme="minorHAnsi" w:cs="Times New Roman"/>
          <w:color w:val="auto"/>
          <w:sz w:val="22"/>
          <w:szCs w:val="22"/>
          <w:lang w:eastAsia="en-US"/>
        </w:rPr>
        <w:t>harmscape</w:t>
      </w:r>
      <w:proofErr w:type="spellEnd"/>
      <w:r w:rsidRPr="00735181">
        <w:rPr>
          <w:rFonts w:asciiTheme="minorHAnsi" w:hAnsiTheme="minorHAnsi" w:cs="Times New Roman"/>
          <w:color w:val="auto"/>
          <w:sz w:val="22"/>
          <w:szCs w:val="22"/>
          <w:lang w:eastAsia="en-US"/>
        </w:rPr>
        <w:t xml:space="preserve">’ (Holley, C., </w:t>
      </w:r>
      <w:proofErr w:type="spellStart"/>
      <w:r w:rsidRPr="00735181">
        <w:rPr>
          <w:rFonts w:asciiTheme="minorHAnsi" w:hAnsiTheme="minorHAnsi" w:cs="Times New Roman"/>
          <w:color w:val="auto"/>
          <w:sz w:val="22"/>
          <w:szCs w:val="22"/>
          <w:lang w:eastAsia="en-US"/>
        </w:rPr>
        <w:t>Mutongwizo</w:t>
      </w:r>
      <w:proofErr w:type="spellEnd"/>
      <w:r w:rsidRPr="00735181">
        <w:rPr>
          <w:rFonts w:asciiTheme="minorHAnsi" w:hAnsiTheme="minorHAnsi" w:cs="Times New Roman"/>
          <w:color w:val="auto"/>
          <w:sz w:val="22"/>
          <w:szCs w:val="22"/>
          <w:lang w:eastAsia="en-US"/>
        </w:rPr>
        <w:t xml:space="preserve">, T. and Shearing, C., 2020) within our communities. </w:t>
      </w:r>
    </w:p>
    <w:p w14:paraId="74948193"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003BE3B6"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735181">
        <w:rPr>
          <w:rFonts w:asciiTheme="minorHAnsi" w:hAnsiTheme="minorHAnsi" w:cs="Times New Roman"/>
          <w:color w:val="auto"/>
          <w:sz w:val="22"/>
          <w:szCs w:val="22"/>
          <w:lang w:eastAsia="en-US"/>
        </w:rPr>
        <w:t>I have always found comfort in routine and to change from a shift pattern to working Monday to Friday was a stress that I had not anticipated. Bates et al (2021) wrote the article ‘Life Interrupted: Family Routines Buffer Stress during the COVID-19 Pandemic’ which highlights the importance of keeping a routine in family life to tackle and reduce stress in your personal life. To tackle this issue, I had to rely on the help of my family, as my routine was changing there was also aspects of their routine which changed. I found that although I was not home as much throughout the day to help with work around the home, I was now available more in the evenings to help with the bedtime routine for my daughter and was also now available more often on weekends to help with childcare. I focused on a new routine rather than dwelling on my previous one.</w:t>
      </w:r>
    </w:p>
    <w:p w14:paraId="149B619C"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27FC62C2"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735181">
        <w:rPr>
          <w:rFonts w:asciiTheme="minorHAnsi" w:hAnsiTheme="minorHAnsi" w:cs="Times New Roman"/>
          <w:color w:val="auto"/>
          <w:sz w:val="22"/>
          <w:szCs w:val="22"/>
          <w:lang w:eastAsia="en-US"/>
        </w:rPr>
        <w:t xml:space="preserve">Physical activity has always been an important part of my life and a way to ‘let loose’ when needed. In research from </w:t>
      </w:r>
      <w:proofErr w:type="spellStart"/>
      <w:r w:rsidRPr="00735181">
        <w:rPr>
          <w:rFonts w:asciiTheme="minorHAnsi" w:hAnsiTheme="minorHAnsi" w:cs="Times New Roman"/>
          <w:color w:val="auto"/>
          <w:sz w:val="22"/>
          <w:szCs w:val="22"/>
          <w:lang w:eastAsia="en-US"/>
        </w:rPr>
        <w:t>Rueggeberg</w:t>
      </w:r>
      <w:proofErr w:type="spellEnd"/>
      <w:r w:rsidRPr="00735181">
        <w:rPr>
          <w:rFonts w:asciiTheme="minorHAnsi" w:hAnsiTheme="minorHAnsi" w:cs="Times New Roman"/>
          <w:color w:val="auto"/>
          <w:sz w:val="22"/>
          <w:szCs w:val="22"/>
          <w:lang w:eastAsia="en-US"/>
        </w:rPr>
        <w:t xml:space="preserve">, </w:t>
      </w:r>
      <w:proofErr w:type="spellStart"/>
      <w:r w:rsidRPr="00735181">
        <w:rPr>
          <w:rFonts w:asciiTheme="minorHAnsi" w:hAnsiTheme="minorHAnsi" w:cs="Times New Roman"/>
          <w:color w:val="auto"/>
          <w:sz w:val="22"/>
          <w:szCs w:val="22"/>
          <w:lang w:eastAsia="en-US"/>
        </w:rPr>
        <w:t>Wrosch</w:t>
      </w:r>
      <w:proofErr w:type="spellEnd"/>
      <w:r w:rsidRPr="00735181">
        <w:rPr>
          <w:rFonts w:asciiTheme="minorHAnsi" w:hAnsiTheme="minorHAnsi" w:cs="Times New Roman"/>
          <w:color w:val="auto"/>
          <w:sz w:val="22"/>
          <w:szCs w:val="22"/>
          <w:lang w:eastAsia="en-US"/>
        </w:rPr>
        <w:t xml:space="preserve"> and Miller (2012), a direct link between physical activity and stress reduction in adults with a high stress level was found. I have played field hockey in a competitive capacity for my local team from a young age and the shift in my routine allowed me to focus more of my time in the club and activity. The biggest benefit I saw was an increase in my physical fitness level, in turn I began sleeping better and feeling more refreshed in the mornings. I was able to have more of a social interaction with my friends from the club, many of which I have known since a very young age, and I felt more relaxed in general. The physical activity gave me an immense sense of satisfaction and I found that I was able to study better in the evenings knowing that I had a training session or a game to attend to reduce my stress levels. I am already planning how I am going to maintain this in the future when my shifts restart as a Constable and have discussed attending the gym with members of my new team before shifts.</w:t>
      </w:r>
    </w:p>
    <w:p w14:paraId="18658075"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08FDB53D"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735181">
        <w:rPr>
          <w:rFonts w:asciiTheme="minorHAnsi" w:hAnsiTheme="minorHAnsi" w:cs="Times New Roman"/>
          <w:color w:val="auto"/>
          <w:sz w:val="22"/>
          <w:szCs w:val="22"/>
          <w:lang w:eastAsia="en-US"/>
        </w:rPr>
        <w:t xml:space="preserve">Video gaming is another activity that I have enjoyed since I was young. Research by Hasan, </w:t>
      </w:r>
      <w:proofErr w:type="spellStart"/>
      <w:r w:rsidRPr="00735181">
        <w:rPr>
          <w:rFonts w:asciiTheme="minorHAnsi" w:hAnsiTheme="minorHAnsi" w:cs="Times New Roman"/>
          <w:color w:val="auto"/>
          <w:sz w:val="22"/>
          <w:szCs w:val="22"/>
          <w:lang w:eastAsia="en-US"/>
        </w:rPr>
        <w:t>Bégue</w:t>
      </w:r>
      <w:proofErr w:type="spellEnd"/>
      <w:r w:rsidRPr="00735181">
        <w:rPr>
          <w:rFonts w:asciiTheme="minorHAnsi" w:hAnsiTheme="minorHAnsi" w:cs="Times New Roman"/>
          <w:color w:val="auto"/>
          <w:sz w:val="22"/>
          <w:szCs w:val="22"/>
          <w:lang w:eastAsia="en-US"/>
        </w:rPr>
        <w:t xml:space="preserve"> and Bushman (2012) suggests that video games, particularly violent ones, actually increase stress levels. However, whilst essentially agreeing with Hasan, </w:t>
      </w:r>
      <w:proofErr w:type="spellStart"/>
      <w:r w:rsidRPr="00735181">
        <w:rPr>
          <w:rFonts w:asciiTheme="minorHAnsi" w:hAnsiTheme="minorHAnsi" w:cs="Times New Roman"/>
          <w:color w:val="auto"/>
          <w:sz w:val="22"/>
          <w:szCs w:val="22"/>
          <w:lang w:eastAsia="en-US"/>
        </w:rPr>
        <w:t>Bégue</w:t>
      </w:r>
      <w:proofErr w:type="spellEnd"/>
      <w:r w:rsidRPr="00735181">
        <w:rPr>
          <w:rFonts w:asciiTheme="minorHAnsi" w:hAnsiTheme="minorHAnsi" w:cs="Times New Roman"/>
          <w:color w:val="auto"/>
          <w:sz w:val="22"/>
          <w:szCs w:val="22"/>
          <w:lang w:eastAsia="en-US"/>
        </w:rPr>
        <w:t xml:space="preserve"> and Bushman (2012), </w:t>
      </w:r>
      <w:proofErr w:type="spellStart"/>
      <w:r w:rsidRPr="00735181">
        <w:rPr>
          <w:rFonts w:asciiTheme="minorHAnsi" w:hAnsiTheme="minorHAnsi" w:cs="Times New Roman"/>
          <w:color w:val="auto"/>
          <w:sz w:val="22"/>
          <w:szCs w:val="22"/>
          <w:lang w:eastAsia="en-US"/>
        </w:rPr>
        <w:t>Triberti</w:t>
      </w:r>
      <w:proofErr w:type="spellEnd"/>
      <w:r w:rsidRPr="00735181">
        <w:rPr>
          <w:rFonts w:asciiTheme="minorHAnsi" w:hAnsiTheme="minorHAnsi" w:cs="Times New Roman"/>
          <w:color w:val="auto"/>
          <w:sz w:val="22"/>
          <w:szCs w:val="22"/>
          <w:lang w:eastAsia="en-US"/>
        </w:rPr>
        <w:t xml:space="preserve"> (2016, cited in Porter and </w:t>
      </w:r>
      <w:proofErr w:type="spellStart"/>
      <w:r w:rsidRPr="00735181">
        <w:rPr>
          <w:rFonts w:asciiTheme="minorHAnsi" w:hAnsiTheme="minorHAnsi" w:cs="Times New Roman"/>
          <w:color w:val="auto"/>
          <w:sz w:val="22"/>
          <w:szCs w:val="22"/>
          <w:lang w:eastAsia="en-US"/>
        </w:rPr>
        <w:t>Goolkasian</w:t>
      </w:r>
      <w:proofErr w:type="spellEnd"/>
      <w:r w:rsidRPr="00735181">
        <w:rPr>
          <w:rFonts w:asciiTheme="minorHAnsi" w:hAnsiTheme="minorHAnsi" w:cs="Times New Roman"/>
          <w:color w:val="auto"/>
          <w:sz w:val="22"/>
          <w:szCs w:val="22"/>
          <w:lang w:eastAsia="en-US"/>
        </w:rPr>
        <w:t xml:space="preserve"> 2019) states that users are able to take positive emotions from such games by having a sense of achievement or enjoyment by playing. By finding time to play video games I have always achieve a sense of relief, I find that complicated games provide a welcomed distraction when stress levels are increasing.</w:t>
      </w:r>
    </w:p>
    <w:p w14:paraId="081EA980"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1B5939CA"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735181">
        <w:rPr>
          <w:rFonts w:asciiTheme="minorHAnsi" w:hAnsiTheme="minorHAnsi" w:cs="Times New Roman"/>
          <w:color w:val="auto"/>
          <w:sz w:val="22"/>
          <w:szCs w:val="22"/>
          <w:lang w:eastAsia="en-US"/>
        </w:rPr>
        <w:t>The above are my primary outlets when dealing with stress and both provided stress relief at different times and often when one or the other is unable to. If I find that physical exertion is high or that I am carrying an injury from physical activities then video gaming is a perfect way for me to unwind, however, sometimes I feel that I am mentally exhausted, and some form of physical activity will help me relieve stress. I have discovered during the 6 months of initial training that both methods working in tandem is what I needed to relieve stress and in turn increase my resilience, therefore I believe continuing with both this way will help me tremendously in the future.</w:t>
      </w:r>
    </w:p>
    <w:p w14:paraId="490ACD41"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b/>
          <w:bCs/>
          <w:color w:val="auto"/>
          <w:sz w:val="32"/>
          <w:szCs w:val="32"/>
          <w:lang w:eastAsia="en-US"/>
        </w:rPr>
      </w:pPr>
      <w:r w:rsidRPr="00735181">
        <w:rPr>
          <w:rFonts w:asciiTheme="minorHAnsi" w:hAnsiTheme="minorHAnsi" w:cs="Times New Roman"/>
          <w:b/>
          <w:bCs/>
          <w:color w:val="auto"/>
          <w:sz w:val="32"/>
          <w:szCs w:val="32"/>
          <w:lang w:eastAsia="en-US"/>
        </w:rPr>
        <w:t>Word count: 1,074</w:t>
      </w: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5FFD6120"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Conflict management and policing is something that appears to go hand in hand. Prior to joining South Wales Police my understanding of the role of a constable was one that was dominated by the need to manage high levels of conflict daily. My experiences so far paint a slightly different picture than my preconceptions of the role. Coming from a policing background within the custody environment my understanding around how much conflict I would face was distorted, it is not only the amount of conflict that has taken me by surprise but also the conflict I would encounter from different members of our community who have varying beliefs or cultural backgrounds. </w:t>
      </w:r>
    </w:p>
    <w:p w14:paraId="1683FF77"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60EC2EDA"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Reith (1956) concluded that Sir Robert Peel’s 9 principles for policing marked an approach that was “unique in history and throughout the world, because it derived, not from fear, but almost exclusively from public co-operation with the police” (Reith 1956), with conflict management in mind it becomes clear that in order to police your communities effectively you must have their support. However, it is difficult to hide from the damning headlines that have recently hit the news which would surely mean that confidence in policing is in decline, according to the 2020 Crime Survey of England and Wales published in 2021, confidence in the police has been on a steady decline between 2017 and 2020, falling from 62% in 2017 to 55% in 2020 (Brown, 2021). As I have touched upon above, so far, my experience of conflict within the communities that I police has been varied, there are some groups within the communities that immediately react to my presence in a negative way and others that are generally open to a discussion or will stop and engage with me.</w:t>
      </w:r>
    </w:p>
    <w:p w14:paraId="5FCE4AFE"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081FDE66"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I will firstly describe the incident itself that involved conflict and will then look to critically assess the situation and my involvement within the incident. The incident I will focus on happened during the early hours on a night shift, whilst out on mobile patrol with my tutor officer we were alerted by the control room </w:t>
      </w:r>
      <w:r w:rsidRPr="00735181">
        <w:rPr>
          <w:rFonts w:asciiTheme="minorHAnsi" w:hAnsiTheme="minorHAnsi" w:cs="Calibri"/>
          <w:color w:val="auto"/>
          <w:sz w:val="22"/>
          <w:szCs w:val="22"/>
          <w:lang w:eastAsia="en-US"/>
        </w:rPr>
        <w:lastRenderedPageBreak/>
        <w:t xml:space="preserve">to an intruder alarm being sounded in a nearby building site where a large block of flats is being build. This call was graded as an emergency and due to numerous intelligence logs of the surrounding area a number of other local units attached themselves to the incident. The building site itself is large however there is a single point of entry and exit covered by a large metal gate which at the time of night we were in the area is usually locked. Surrounding the site are several residential properties and a small grocery shop which is situated around the corner and approximately 10 metres down the road onto a busy carriageway. This shop itself has numerous intelligence logs around drug dealing and other criminality in the area, it is this shop that is the scene of my incident. </w:t>
      </w:r>
    </w:p>
    <w:p w14:paraId="49A3A6A7"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263D25F8"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My tutor officer and I arrived at the intruder alarm last and were then stood down when other units present deemed that there were no obvious signs of a break in, and the key holder was on the way to allow us entry to check the perimeter. We turned the police vehicle around and drove around the corner and back towards the shop, as we turned the corner, we observed a red Volkswagen Golf hand a package through the nearside front window which was taken by a group of youths standing on the corner, the vehicle appeared to notice our presence and left the scene at speed whilst the group of youths walked around the corner and briefly out of sight. This was the perfect opportunity for a stop search.</w:t>
      </w:r>
    </w:p>
    <w:p w14:paraId="12E651A5"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28D6E369"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Use of stop and search powers is something that was covered several times during my initial 6 months training and with studies into the use of stop and search powers showing that Black, Asian, and Ethnic Minority (BAME) people are disproportionately targeted compared to white people (Institutional racism in the police: how entrenched has it become? Centre for Crime and Justice Studies, 2020) I was nervous for not only using the power itself but who was I about to use this power against. According to the Office of National Statistics research (Police powers and procedures: Stop and search and arrests, England and Wales, year ending 31 March 2022, 2022) based on self-defined ethnicity, individuals from a black or black British background were searched at a rate of 6.2 times higher than someone who defines themselves as from a white ethnic group. I consider myself to be very open minded around cultural, religious, or ethnic matters so was very aware of the statistics and varying opinions of the police within my basic command unit (BCU) and have been keen since starting in my BCU to not fall into the statistics and to ensure that my searches were always justified.</w:t>
      </w:r>
    </w:p>
    <w:p w14:paraId="56DEFD06"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439DACC4"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As the van approached where the shop was located and where the group turned the corner I had a rush of adrenaline, Swink (2010) describes how a big hit of adrenaline can cause someone to lose situational awareness, our brain prepares for a fight or flight response, and we lose peripheral vision leading us to focus on what’s right in front of us. I found myself in this situation, my mind began racing back to all the training I received and what information I had to include in the search to make it lawful. Section 2 of the Police and Criminal Evidence Act (1984) highlights the information that must be provided to the person being searched, the mnemonic to remember this is GOWISLEY. In order to conduct a lawful stop search you must provide the person with the grounds for the search (G), the object of the search (O), your warrant card should you be in plain clothes or if requested (W), your identity (I), the station which you are attached to (S), the persons entitlement to receive a copy of the stop search and how to obtain it (E), the legal power which you are using to stop and search them (L), and finally you must inform then that they are detained (Y). As the police vehicle came to a stop at the location I had tunnel vision, the individual that I saw receive the package from the vehicle was firmly in my sights and I requested he come towards me and away from the shop and his </w:t>
      </w:r>
      <w:r w:rsidRPr="00735181">
        <w:rPr>
          <w:rFonts w:asciiTheme="minorHAnsi" w:hAnsiTheme="minorHAnsi" w:cs="Calibri"/>
          <w:color w:val="auto"/>
          <w:sz w:val="22"/>
          <w:szCs w:val="22"/>
          <w:lang w:eastAsia="en-US"/>
        </w:rPr>
        <w:lastRenderedPageBreak/>
        <w:t>friends, at this point I did not perceive any danger or the gravity of the situation that my actions were about to create.</w:t>
      </w:r>
    </w:p>
    <w:p w14:paraId="12F9B006"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0FE2A156"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The individual became aggressive so I made the decision to place him in handcuffs for my own safety and to affect a more controlled search, once the handcuffs were applied, I focused solely on searching the individual, I consider myself to be a very competent searcher with extensive experience of searching people in a controlled custody environment which may have been my downfall on this occasion. This was not a controlled custody environment. I noticed a hand go into my detainee’s pocket which caused me to take hold of it and look up, no more than a couple of minutes had passed since I placed him in handcuffs but the scene had changed. The crowd size had more than doubled and all were shouting and trying to get passed my tutor officer, unbeknownst to me someone had managed to get behind me and I felt a shove to my back, this person was quickly pushed away from me by 4 other officers who had heard the commotion from up the road at the previous call and came to assist. The escalation I witnessed by the group of youths reminded me of football hooliganism and scenes you would witness on the news, researchers have found that hooliganism in the UK is “</w:t>
      </w:r>
      <w:r w:rsidRPr="00735181">
        <w:rPr>
          <w:rFonts w:asciiTheme="minorHAnsi" w:hAnsiTheme="minorHAnsi" w:cs="Calibri"/>
          <w:i/>
          <w:iCs/>
          <w:color w:val="auto"/>
          <w:sz w:val="22"/>
          <w:szCs w:val="22"/>
          <w:lang w:eastAsia="en-US"/>
        </w:rPr>
        <w:t>underpinned by shared experiences that create a brother in arms mentality</w:t>
      </w:r>
      <w:r w:rsidRPr="00735181">
        <w:rPr>
          <w:rFonts w:asciiTheme="minorHAnsi" w:hAnsiTheme="minorHAnsi" w:cs="Calibri"/>
          <w:color w:val="auto"/>
          <w:sz w:val="22"/>
          <w:szCs w:val="22"/>
          <w:lang w:eastAsia="en-US"/>
        </w:rPr>
        <w:t xml:space="preserve">” (Understanding football violence could help the fight against terror, 2017). Although it was only the one person I was searching and had used force on, handcuffing, the whole group appeared to band with him and turn against our presence. </w:t>
      </w:r>
    </w:p>
    <w:p w14:paraId="04541AD7"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29965F3B"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I had completed my search and removed the handcuffs; the male now joined the large group of youths who were all threatening and aggressive. The adrenaline rush was now at its peak, and I had a decision to make, stand my ground or leave the scene, the search was negative and I could not think of grounds on the spot to search any of the others present, officers were also severely outnumbered in an area that has intelligence for drug dealing and knife crime, the decision was made for all officers to withdraw. Whilst in the vehicle leaving the scene my tutor gave me some advice on dealing with situations such as this and praised how I kept calm and conducted the search. I had to admit that I felt like a duck, I may have looked calm on the surface but below my feet were paddling furiously.</w:t>
      </w:r>
    </w:p>
    <w:p w14:paraId="08D02BF6"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35332175"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There was not any language or ethnic elements on this occasion however I believe that culture may have played a part. The group were white males, and all were in their mid to late teens. We have already touched on how confidence in the police is on the decline in general, according to Mann (2021) 51% of respondents aged 18-24 distrust the police compared to 23% that do trust the police and </w:t>
      </w:r>
      <w:proofErr w:type="spellStart"/>
      <w:r w:rsidRPr="00735181">
        <w:rPr>
          <w:rFonts w:asciiTheme="minorHAnsi" w:hAnsiTheme="minorHAnsi" w:cs="Calibri"/>
          <w:color w:val="auto"/>
          <w:sz w:val="22"/>
          <w:szCs w:val="22"/>
          <w:lang w:eastAsia="en-US"/>
        </w:rPr>
        <w:t>Hinsliff</w:t>
      </w:r>
      <w:proofErr w:type="spellEnd"/>
      <w:r w:rsidRPr="00735181">
        <w:rPr>
          <w:rFonts w:asciiTheme="minorHAnsi" w:hAnsiTheme="minorHAnsi" w:cs="Calibri"/>
          <w:color w:val="auto"/>
          <w:sz w:val="22"/>
          <w:szCs w:val="22"/>
          <w:lang w:eastAsia="en-US"/>
        </w:rPr>
        <w:t xml:space="preserve"> (2022) suggests that the bond between the public and the police is “visibly unravelling” (</w:t>
      </w:r>
      <w:proofErr w:type="spellStart"/>
      <w:r w:rsidRPr="00735181">
        <w:rPr>
          <w:rFonts w:asciiTheme="minorHAnsi" w:hAnsiTheme="minorHAnsi" w:cs="Calibri"/>
          <w:color w:val="auto"/>
          <w:sz w:val="22"/>
          <w:szCs w:val="22"/>
          <w:lang w:eastAsia="en-US"/>
        </w:rPr>
        <w:t>Hinsliff</w:t>
      </w:r>
      <w:proofErr w:type="spellEnd"/>
      <w:r w:rsidRPr="00735181">
        <w:rPr>
          <w:rFonts w:asciiTheme="minorHAnsi" w:hAnsiTheme="minorHAnsi" w:cs="Calibri"/>
          <w:color w:val="auto"/>
          <w:sz w:val="22"/>
          <w:szCs w:val="22"/>
          <w:lang w:eastAsia="en-US"/>
        </w:rPr>
        <w:t>, 2022) therefor it’s possible that the decline and distrust is becoming a cultural issue amongst the general public.</w:t>
      </w:r>
    </w:p>
    <w:p w14:paraId="05975BFA"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1AB02A76"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As I have done previously, I will again use Driscoll’s ‘Model of Reflection’ (1994) to critically analyse and reflect on this experience. I have discussed the ‘What?’ element above so will now look at the ‘So What?’ element. On this occasion the subject became immediately aggressive and difficult with me, my instinct was to mirror this behaviour however I quickly realised that this was not the best course of action. I remembered “</w:t>
      </w:r>
      <w:proofErr w:type="spellStart"/>
      <w:r w:rsidRPr="00735181">
        <w:rPr>
          <w:rFonts w:asciiTheme="minorHAnsi" w:hAnsiTheme="minorHAnsi" w:cs="Calibri"/>
          <w:color w:val="auto"/>
          <w:sz w:val="22"/>
          <w:szCs w:val="22"/>
          <w:lang w:eastAsia="en-US"/>
        </w:rPr>
        <w:t>Betari</w:t>
      </w:r>
      <w:proofErr w:type="spellEnd"/>
      <w:r w:rsidRPr="00735181">
        <w:rPr>
          <w:rFonts w:asciiTheme="minorHAnsi" w:hAnsiTheme="minorHAnsi" w:cs="Calibri"/>
          <w:color w:val="auto"/>
          <w:sz w:val="22"/>
          <w:szCs w:val="22"/>
          <w:lang w:eastAsia="en-US"/>
        </w:rPr>
        <w:t xml:space="preserve"> Box” which is a cyclical model that explains how people behaviours can affect each other, it summarises how my attitude affects my behaviour which in turn affects your attitude and then your behaviour. With this in mind I was keen to keep myself calm and professional despite what was being said to me by the subject, ultimately this calmness and professionalism allowed me to complete the search without </w:t>
      </w:r>
      <w:r w:rsidRPr="00735181">
        <w:rPr>
          <w:rFonts w:asciiTheme="minorHAnsi" w:hAnsiTheme="minorHAnsi" w:cs="Calibri"/>
          <w:color w:val="auto"/>
          <w:sz w:val="22"/>
          <w:szCs w:val="22"/>
          <w:lang w:eastAsia="en-US"/>
        </w:rPr>
        <w:lastRenderedPageBreak/>
        <w:t xml:space="preserve">escalation from the subject. Another conflict management model that I find works particularly well is Fisher, </w:t>
      </w:r>
      <w:proofErr w:type="spellStart"/>
      <w:r w:rsidRPr="00735181">
        <w:rPr>
          <w:rFonts w:asciiTheme="minorHAnsi" w:hAnsiTheme="minorHAnsi" w:cs="Calibri"/>
          <w:color w:val="auto"/>
          <w:sz w:val="22"/>
          <w:szCs w:val="22"/>
          <w:lang w:eastAsia="en-US"/>
        </w:rPr>
        <w:t>Ury</w:t>
      </w:r>
      <w:proofErr w:type="spellEnd"/>
      <w:r w:rsidRPr="00735181">
        <w:rPr>
          <w:rFonts w:asciiTheme="minorHAnsi" w:hAnsiTheme="minorHAnsi" w:cs="Calibri"/>
          <w:color w:val="auto"/>
          <w:sz w:val="22"/>
          <w:szCs w:val="22"/>
          <w:lang w:eastAsia="en-US"/>
        </w:rPr>
        <w:t xml:space="preserve"> and Patton (2011) ‘Interest-Based Relational Approach’ (IRB). Fisher, </w:t>
      </w:r>
      <w:proofErr w:type="spellStart"/>
      <w:r w:rsidRPr="00735181">
        <w:rPr>
          <w:rFonts w:asciiTheme="minorHAnsi" w:hAnsiTheme="minorHAnsi" w:cs="Calibri"/>
          <w:color w:val="auto"/>
          <w:sz w:val="22"/>
          <w:szCs w:val="22"/>
          <w:lang w:eastAsia="en-US"/>
        </w:rPr>
        <w:t>Ury</w:t>
      </w:r>
      <w:proofErr w:type="spellEnd"/>
      <w:r w:rsidRPr="00735181">
        <w:rPr>
          <w:rFonts w:asciiTheme="minorHAnsi" w:hAnsiTheme="minorHAnsi" w:cs="Calibri"/>
          <w:color w:val="auto"/>
          <w:sz w:val="22"/>
          <w:szCs w:val="22"/>
          <w:lang w:eastAsia="en-US"/>
        </w:rPr>
        <w:t xml:space="preserve"> and Patton (2011) argue in their book ‘</w:t>
      </w:r>
      <w:r w:rsidRPr="00735181">
        <w:rPr>
          <w:rFonts w:asciiTheme="minorHAnsi" w:hAnsiTheme="minorHAnsi" w:cs="Calibri"/>
          <w:i/>
          <w:iCs/>
          <w:color w:val="auto"/>
          <w:sz w:val="22"/>
          <w:szCs w:val="22"/>
          <w:lang w:eastAsia="en-US"/>
        </w:rPr>
        <w:t>Getting to Yes</w:t>
      </w:r>
      <w:r w:rsidRPr="00735181">
        <w:rPr>
          <w:rFonts w:asciiTheme="minorHAnsi" w:hAnsiTheme="minorHAnsi" w:cs="Calibri"/>
          <w:color w:val="auto"/>
          <w:sz w:val="22"/>
          <w:szCs w:val="22"/>
          <w:lang w:eastAsia="en-US"/>
        </w:rPr>
        <w:t>’ that you should “</w:t>
      </w:r>
      <w:r w:rsidRPr="00735181">
        <w:rPr>
          <w:rFonts w:asciiTheme="minorHAnsi" w:hAnsiTheme="minorHAnsi" w:cs="Calibri"/>
          <w:i/>
          <w:iCs/>
          <w:color w:val="auto"/>
          <w:sz w:val="22"/>
          <w:szCs w:val="22"/>
          <w:lang w:eastAsia="en-US"/>
        </w:rPr>
        <w:t>separate people and their emotions from the problem</w:t>
      </w:r>
      <w:r w:rsidRPr="00735181">
        <w:rPr>
          <w:rFonts w:asciiTheme="minorHAnsi" w:hAnsiTheme="minorHAnsi" w:cs="Calibri"/>
          <w:color w:val="auto"/>
          <w:sz w:val="22"/>
          <w:szCs w:val="22"/>
          <w:lang w:eastAsia="en-US"/>
        </w:rPr>
        <w:t>”. Reflecting on the situation I found myself in during the stop search, I had already neutralised the threat that the subject was providing by using justified and proportionate use of force and by keeping in mind ‘</w:t>
      </w:r>
      <w:proofErr w:type="spellStart"/>
      <w:r w:rsidRPr="00735181">
        <w:rPr>
          <w:rFonts w:asciiTheme="minorHAnsi" w:hAnsiTheme="minorHAnsi" w:cs="Calibri"/>
          <w:color w:val="auto"/>
          <w:sz w:val="22"/>
          <w:szCs w:val="22"/>
          <w:lang w:eastAsia="en-US"/>
        </w:rPr>
        <w:t>Betari</w:t>
      </w:r>
      <w:proofErr w:type="spellEnd"/>
      <w:r w:rsidRPr="00735181">
        <w:rPr>
          <w:rFonts w:asciiTheme="minorHAnsi" w:hAnsiTheme="minorHAnsi" w:cs="Calibri"/>
          <w:color w:val="auto"/>
          <w:sz w:val="22"/>
          <w:szCs w:val="22"/>
          <w:lang w:eastAsia="en-US"/>
        </w:rPr>
        <w:t xml:space="preserve"> Box’ to avoid escalating the situation, I now had to find a way to avoid the situation around me from escalating further. At that moment in time, I was fearful of the large group around me shouting and being threatening, my instinct was to protect myself and colleagues, the easy option would be to use force to attempt to get myself out of this situation, however, by separating myself and my own emotions from the problem I ensured that I remained calm and left the situation safely. </w:t>
      </w:r>
    </w:p>
    <w:p w14:paraId="7359C3E3"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55BCBF32"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Next comes the “What Now?” element of reflectivity. On this occasion myself and my colleagues left the incident safely and without further escalation, the stop search itself was negative however I gained much needed experience using this police power and experienced my first real conflict situation outside of the custody environment. My tutor officer gave me feedback on the situation as a whole which was positive, and I was particularly happy how I handled the conflict itself. There are elements that I believe personally I could work on and improve for next time, my situational awareness could be better, if it were not for my supportive colleagues, I could have found myself in real trouble when the size of the group increased and tensions rose, it has made me value the support of my colleagues and reinforced the understanding of what my colleagues expect of me in a similar situation. On reflection I should not have put myself between the subject and the other members of the group, by facing the group I could have observed the scene better and kept an eye on my colleague at the same time. The models of conflict that I am familiar with proved effective this time, ‘</w:t>
      </w:r>
      <w:proofErr w:type="spellStart"/>
      <w:r w:rsidRPr="00735181">
        <w:rPr>
          <w:rFonts w:asciiTheme="minorHAnsi" w:hAnsiTheme="minorHAnsi" w:cs="Calibri"/>
          <w:color w:val="auto"/>
          <w:sz w:val="22"/>
          <w:szCs w:val="22"/>
          <w:lang w:eastAsia="en-US"/>
        </w:rPr>
        <w:t>Betari</w:t>
      </w:r>
      <w:proofErr w:type="spellEnd"/>
      <w:r w:rsidRPr="00735181">
        <w:rPr>
          <w:rFonts w:asciiTheme="minorHAnsi" w:hAnsiTheme="minorHAnsi" w:cs="Calibri"/>
          <w:color w:val="auto"/>
          <w:sz w:val="22"/>
          <w:szCs w:val="22"/>
          <w:lang w:eastAsia="en-US"/>
        </w:rPr>
        <w:t xml:space="preserve"> Box’ is something that I have used for many years however IRB is relatively new to me, I believe it could be effective when dealing with something that is not so personal however I know I would struggle to remove my emotions from the situation when dealing with a situation more personal to me.</w:t>
      </w:r>
    </w:p>
    <w:p w14:paraId="44FFB203"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205CF68E"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b/>
          <w:bCs/>
          <w:color w:val="auto"/>
          <w:sz w:val="32"/>
          <w:szCs w:val="32"/>
          <w:lang w:eastAsia="en-US"/>
        </w:rPr>
      </w:pPr>
      <w:r w:rsidRPr="00735181">
        <w:rPr>
          <w:rFonts w:asciiTheme="minorHAnsi" w:hAnsiTheme="minorHAnsi" w:cs="Times New Roman"/>
          <w:b/>
          <w:bCs/>
          <w:color w:val="auto"/>
          <w:sz w:val="32"/>
          <w:szCs w:val="32"/>
          <w:lang w:eastAsia="en-US"/>
        </w:rPr>
        <w:t>Word count: 2,181</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677F2D34"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735181">
        <w:rPr>
          <w:rFonts w:asciiTheme="minorHAnsi" w:hAnsiTheme="minorHAnsi" w:cs="Calibri"/>
          <w:color w:val="auto"/>
          <w:sz w:val="22"/>
          <w:szCs w:val="22"/>
          <w:lang w:eastAsia="en-US"/>
        </w:rPr>
        <w:t xml:space="preserve">My previous experience within South Wales Police is one where I had little to no contact with victims, in a custody environment your focus is on the suspected offended or detained persons welfare needs. I have always had the view that the police service is victim focused with this being further enforced in our initial 6 months training, firstly by introducing me to the Victim Code (College of Policing, 2021). The Victim Code (College of Policing, 2021) was introduced following the release of the Home Offices ‘Victim Strategy’ (Home Office, 2018) where the Government highlights how they will improve support for all victims of crime. The College of Policing (CoP), in its Victim Code, states that “the Code sets out the services and minimum standards that must be provided to victims of crime by organisations, this is enshrined within 12 rights” (CoP, 2021). In this essay I will be describing and critically analysing an incident that I attended whilst on duty that involves a suspected hate crime against a 14-year-old person. I will be using </w:t>
      </w:r>
      <w:r w:rsidRPr="00735181">
        <w:rPr>
          <w:rFonts w:asciiTheme="minorHAnsi" w:hAnsiTheme="minorHAnsi" w:cs="Times New Roman"/>
          <w:color w:val="auto"/>
          <w:sz w:val="22"/>
          <w:szCs w:val="22"/>
          <w:lang w:eastAsia="en-US"/>
        </w:rPr>
        <w:t>Driscoll’s ‘Model of Reflection’ (Driscoll, 1994) to review and analysis this incident.</w:t>
      </w:r>
    </w:p>
    <w:p w14:paraId="14F601C7"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3CAEF99F"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I was assigned a priority but non-emergency call by my shift Sergeant to attend and investigate appropriately. The main text of the call only informed me that in the early hours of the morning the victims had stones thrown at their living room windows which have caused the windows to shatter. I attended the call the same morning with a colleague and was met outside by a male who identified himself as the reporting person and owner of the property. It was clear to see from the outset that 2 windows had been smashed to the living room at the front of the house by what appears to typical red house bricks, one brick was observed outside on the floor surrounded by broken glass. My colleague and I were invited into the house where we were introduced to his wife who is also the owner of the property. We had a conversation around what has happened and how they were feeling now. The occupants explained that there was some background to the incident that is concerning for them, they believed that the damage was targeted at their </w:t>
      </w:r>
      <w:r w:rsidRPr="00735181">
        <w:rPr>
          <w:rFonts w:asciiTheme="minorHAnsi" w:hAnsiTheme="minorHAnsi" w:cs="Calibri"/>
          <w:color w:val="auto"/>
          <w:sz w:val="22"/>
          <w:szCs w:val="22"/>
          <w:lang w:eastAsia="en-US"/>
        </w:rPr>
        <w:lastRenderedPageBreak/>
        <w:t>14-year-old child due to his gender identity, there had been previous incidents in school involving bullying which they believed are now linked to this incident.</w:t>
      </w:r>
    </w:p>
    <w:p w14:paraId="1FAB29CC"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046F3335"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I considered all investigatory lines of enquiry and made a quick note in my notebook of what was required to ensure I did not miss anything out. I noticed numerous security cameras at the front of the house when I arrived, both occupants guided us upstairs to view the footage, the incident could clearly be seen from start to finish with 2 males appearing in view holding something in their hands before they threw the objects towards the house and ran away, clothing could clearly be seen however their faces were covered. Next on my list was statements, I identified the need for 2 statements in this instance, one from the reporting person and another from the 14-year-old child due the incident appearing to be a hate crime. It was agreed with my colleague that he would take a statement from the reporting person, and I will take the other statement. Due to their age and the sensitivity of the incident I believed it appropriate that there be an appropriate adult present when taken the statement, their mother agreed to this and introduced me to them. </w:t>
      </w:r>
    </w:p>
    <w:p w14:paraId="390C1F4B"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21194C13"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Before speaking to them it was explained to me that they identified as gender neutral and had for some time, the incidents in school had revolved around their gender identity, and the 2 people seen to throw objects at the house appeared the same age as them. I do not have much experience when dealing with individuals who identify this way which made me nervous from the start, I did not want to insult them or their family in any way and wanted to ensure that I gave 100% to this investigation. To combat my nerves, I initiated a general conversation with them around their gender identity and ensured I was addressing them correctly throughout. I also noticed a gaming computer that was switched on in the corner of the room, to build rapport I had a long conversation with them around gaming and the computer itself which is something I am also heavily interested in and spend my spare time gaming. Initially they were withdrawn and appeared apprehensive about talking to me, the initial conversations I had with them appeared to ease them greatly at which point I approached the idea of providing a statement regarding the incident I have attended for. They explained how the incident has caused them great distress to the point they did not want to attend school on that day and was weary about returning at all, they also believed that the incident targeted them due to their gender identity. Once the statement was completed, I explained what happens next and had a conversation around attending court, they were adamant that they were not willing to attend and did not want to play any further part in the investigation past provided the statement. </w:t>
      </w:r>
    </w:p>
    <w:p w14:paraId="628847D9"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21392C98"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Several rights within the Victims Code were applicable in this instance. Right 4 provides victims with referrals to services that support their individual needs, right 7 gives victims the right to provide a Victim Personal Statement (VPS), right 8 gives victims the right to be given information about the trial process and their role as a witness, and right 12 gives victims the right to make a complaint should their rights under the code not be met. As they had explained in the statement that they were fearful I explained in detail how there are special measures that can be put in place at court, under the Youth Justice and Criminal Evidence Act 1999 the victim would be entitled to an enhanced service due them being considered as a vulnerable witness and victim which includes special measures in court and access to support services. On this occasion they are considered vulnerable due to being under 18 years of age and also as they are a victim of a hate crime. All support was declined, and they still not wish to attend court, I did however explain that I would be submitting a Public Protection Notice (PPN) and what this would involve which they were reciprocal to.</w:t>
      </w:r>
    </w:p>
    <w:p w14:paraId="2970981D"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5F8862A8"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lastRenderedPageBreak/>
        <w:t xml:space="preserve">In 2022 the Home Office released official statistics surrounding recorded hate crimes by the police in England and Wales. The data shows an increase of 26% in recorded hate crimes compared to the previous year, which is the biggest percentage increase since the year ending March 2017 (Hate crime, England and Wales, 2021 to 2022, 2022). When I think of hate crime I automatically think of racial or religious hatred, on reflection, my mindset has certainly changed over the past few years whereby I am now recognising other bias and hatred towards other social groups such as homophobia and transphobia, my childhood, teens, and time in university was very diverse and inclusive with many friends from different backgrounds and social groups, during these periods of my life I do not recall experiencing or witnessing any sort of hatred towards a social group which admittedly left me a little naïve to the subject. The article </w:t>
      </w:r>
      <w:r w:rsidRPr="00735181">
        <w:rPr>
          <w:rFonts w:asciiTheme="minorHAnsi" w:hAnsiTheme="minorHAnsi" w:cs="Calibri"/>
          <w:i/>
          <w:iCs/>
          <w:color w:val="auto"/>
          <w:sz w:val="22"/>
          <w:szCs w:val="22"/>
          <w:lang w:eastAsia="en-US"/>
        </w:rPr>
        <w:t>Why has there been a rise in hate crimes in the past two years?</w:t>
      </w:r>
      <w:r w:rsidRPr="00735181">
        <w:rPr>
          <w:rFonts w:asciiTheme="minorHAnsi" w:hAnsiTheme="minorHAnsi" w:cs="Calibri"/>
          <w:color w:val="auto"/>
          <w:sz w:val="22"/>
          <w:szCs w:val="22"/>
          <w:lang w:eastAsia="en-US"/>
        </w:rPr>
        <w:t xml:space="preserve"> (No date) highlights that homophobic and transphobic hate crime has been gathering momentum over the past 6 years and religious hate crime has decreased and “victims of transgender hate crimes feel the impacts of victimization most” (Williams and </w:t>
      </w:r>
      <w:proofErr w:type="spellStart"/>
      <w:r w:rsidRPr="00735181">
        <w:rPr>
          <w:rFonts w:asciiTheme="minorHAnsi" w:hAnsiTheme="minorHAnsi" w:cs="Calibri"/>
          <w:color w:val="auto"/>
          <w:sz w:val="22"/>
          <w:szCs w:val="22"/>
          <w:lang w:eastAsia="en-US"/>
        </w:rPr>
        <w:t>Tregidga</w:t>
      </w:r>
      <w:proofErr w:type="spellEnd"/>
      <w:r w:rsidRPr="00735181">
        <w:rPr>
          <w:rFonts w:asciiTheme="minorHAnsi" w:hAnsiTheme="minorHAnsi" w:cs="Calibri"/>
          <w:color w:val="auto"/>
          <w:sz w:val="22"/>
          <w:szCs w:val="22"/>
          <w:lang w:eastAsia="en-US"/>
        </w:rPr>
        <w:t>, 2014</w:t>
      </w:r>
      <w:r w:rsidRPr="00735181">
        <w:rPr>
          <w:rFonts w:asciiTheme="minorHAnsi" w:hAnsiTheme="minorHAnsi" w:cs="Times New Roman"/>
          <w:color w:val="auto"/>
          <w:sz w:val="22"/>
          <w:szCs w:val="22"/>
          <w:lang w:eastAsia="en-US"/>
        </w:rPr>
        <w:t>, pp. 946–967</w:t>
      </w:r>
      <w:r w:rsidRPr="00735181">
        <w:rPr>
          <w:rFonts w:asciiTheme="minorHAnsi" w:hAnsiTheme="minorHAnsi" w:cs="Calibri"/>
          <w:color w:val="auto"/>
          <w:sz w:val="22"/>
          <w:szCs w:val="22"/>
          <w:lang w:eastAsia="en-US"/>
        </w:rPr>
        <w:t>). The nature and victims of hate crimes are changing however the definition of a hate crime covers the nature of offences against several protected characteristics. The definition of a hate crime according to the police and Crown Prosecution Service (CPS) is:</w:t>
      </w:r>
    </w:p>
    <w:p w14:paraId="0E3DA3DF"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6DC45782" w14:textId="77777777" w:rsidR="00735181" w:rsidRPr="00735181" w:rsidRDefault="00735181" w:rsidP="00735181">
      <w:pPr>
        <w:overflowPunct/>
        <w:autoSpaceDE/>
        <w:autoSpaceDN/>
        <w:adjustRightInd/>
        <w:spacing w:after="160" w:line="259" w:lineRule="auto"/>
        <w:jc w:val="center"/>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w:t>
      </w:r>
      <w:r w:rsidRPr="00735181">
        <w:rPr>
          <w:rFonts w:asciiTheme="minorHAnsi" w:hAnsiTheme="minorHAnsi" w:cs="Calibri"/>
          <w:i/>
          <w:iCs/>
          <w:color w:val="auto"/>
          <w:sz w:val="22"/>
          <w:szCs w:val="22"/>
          <w:lang w:eastAsia="en-US"/>
        </w:rPr>
        <w:t>Any criminal offence which is perceived by the victim or any other person, to be motivated by hostility or prejudice, based on a person's disability or perceived disability; race or perceived race; or religion or perceived religion; or sexual orientation or perceived sexual orientation or transgender identity or perceived transgender identity</w:t>
      </w:r>
      <w:r w:rsidRPr="00735181">
        <w:rPr>
          <w:rFonts w:asciiTheme="minorHAnsi" w:hAnsiTheme="minorHAnsi" w:cs="Calibri"/>
          <w:color w:val="auto"/>
          <w:sz w:val="22"/>
          <w:szCs w:val="22"/>
          <w:lang w:eastAsia="en-US"/>
        </w:rPr>
        <w:t>." (Hate crime, The Crown Prosecution Service, 2023)</w:t>
      </w:r>
    </w:p>
    <w:p w14:paraId="205E0A98"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52C92024"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I was initially dealing with an incident of criminal damage contrary to section 1 of the Criminal Damage Act 1971 however due to the victim perceiving the offence to be motivated by hostility or prejudice based on a persons protected characteristic this was now a hate crime. </w:t>
      </w:r>
    </w:p>
    <w:p w14:paraId="08E2E464"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0360859B"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Once the initial investigations such as statements were taken, I returned to the police vehicle with my tutor to discuss what the next steps in the investigation were and to await the attendance of an officer from the Crime Scene Investigation (CSI) team. Along with having photographs of the damage taken I had identified possible forensic opportunities on the bricks that were thrown through the windows. Further investigation could be completed at the scene such as house to house enquiries with the neighbours and identifying any further CCTV opportunities in the immediate vicinity. I discussed support opportunities for the entire family with my tutor and we agreed a comprehensive PPN would be the most appropriate place to start so that the relevant department could approach the subject in more detail, my tutor also suggested referring the incident directly to a hate crime officer within the community along with the appropriate log entries that automatically bring it to their attention. I was unsure how we should approach arrest enquiries as the 2 suspects had hidden their identity on the CCTV that we had obtained, my tutor suggested referring the matter to the local neighbourhood team to see if they could assist in any way.</w:t>
      </w:r>
    </w:p>
    <w:p w14:paraId="28F24468"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71370CFD"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Following CSI attendance, I returned to the station to ensure I had enough time to complete a comprehensive PPN. The following day I returned to duty at 1500 to a message from our Public Service Centre (PSC), the school involved had contacted police with information that may be helpful to our enquiries, I attempted to contact the school to discuss however due to the time was unable to speak to anyone, I attempted again the following shift however was unsuccessful, I was conscious that I would be </w:t>
      </w:r>
      <w:r w:rsidRPr="00735181">
        <w:rPr>
          <w:rFonts w:asciiTheme="minorHAnsi" w:hAnsiTheme="minorHAnsi" w:cs="Calibri"/>
          <w:color w:val="auto"/>
          <w:sz w:val="22"/>
          <w:szCs w:val="22"/>
          <w:lang w:eastAsia="en-US"/>
        </w:rPr>
        <w:lastRenderedPageBreak/>
        <w:t>starting my night shifts the following day and then onto rest days so would be unable to speak to the school in a timely manner. I had to rethink my approach to progressing the investigation due to my shift pattern.</w:t>
      </w:r>
    </w:p>
    <w:p w14:paraId="67FA437D"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06FBFCBD"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Using Driscoll’s ‘Model of Reflection’ (1994) I have discussed the “What?” element above and will now reflect on the “So What?”. On my second afternoon shift whereby my attempts to contact the school were unsuccessful a second time I approach the local neighbourhood team who were already aware of ongoing issues involving the victim and other pupils at the school, they had agreed to view the occurrence and would provide any support available. The neighbourhood team also suggested approaching the school liaison officer who would be able to help contact the school. I sent a task to the school liaison officer that afternoon requesting help with the contact and advice on how to approach the enquiries with the school. During this incident I had the opportunity to deal with something from start to finish which I had not previously had the opportunity to. I realised how important it is to support and in turn work together with other departments. The following day the school liaison officer and a neighbourhood officer had progressed several enquiries on my behalf. Without this support I would not have been able to progress matters this quickly which would have potentially had an adverse effect on the victim’s confidence in the police.</w:t>
      </w:r>
    </w:p>
    <w:p w14:paraId="0C1B8879"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174F4B13"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Throughout this incident it was important to remember the values highlighted within the Police Code of Ethics (College of Policing, 2014). The Code of Ethics defines the standards of behaviour for everyone who works in policing. Although most aspects of the Code could apply here, I believe acting with authority, respect and courtesy, equality and diversity, and duties and responsibilities particularly applied here. </w:t>
      </w:r>
    </w:p>
    <w:p w14:paraId="57FFC575"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0A470421"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Reflecting on the “Now What?” element I have seen the importance of collaborative working within the police to achieve the best possible outcome for our service users whether they are victims or witnesses. Once I returned from duty after my rest days, I was approached by the neighbourhood team who updated me on the occurrence. With the help of the school 2 suspects had been identified, arrested, and questioned. Both suspects admitted to the damage and targeting the victim directly due to their gender identity. The victim and family were now received specialist support from the relevant departments and the local neighbourhood team had agreed to adopt a strategy in the local to avoid any further incidents of this nature. Overall, I am very happy with how this occurrence came to a satisfactory conclusion for all, the case is still progressing and will eventually appear in court where I will attend and support the victims to the best of my ability once again.  </w:t>
      </w:r>
    </w:p>
    <w:p w14:paraId="61762BAB"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0D763C7B"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b/>
          <w:bCs/>
          <w:color w:val="auto"/>
          <w:sz w:val="32"/>
          <w:szCs w:val="32"/>
          <w:lang w:eastAsia="en-US"/>
        </w:rPr>
      </w:pPr>
      <w:r w:rsidRPr="00735181">
        <w:rPr>
          <w:rFonts w:asciiTheme="minorHAnsi" w:hAnsiTheme="minorHAnsi" w:cs="Calibri"/>
          <w:b/>
          <w:bCs/>
          <w:color w:val="auto"/>
          <w:sz w:val="32"/>
          <w:szCs w:val="32"/>
          <w:lang w:eastAsia="en-US"/>
        </w:rPr>
        <w:t>Word count: 2,199</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26D82466"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Decision making and the National Decision-Making Model (NDM, 2014) is not something new to me. During my time with South Wales Police before I held the post of Constable, I had extensive training using the NDM, as a member of Police Staff within the custody environment it was the NDM that we used to guide our decision making whether it was a quick dynamic decision, or a planned event. Throughout this essay I will be reflecting on and critically analysing an incident that I dealt with early into my tutorship, and that remains on my workload to progress and investigate. I will also critically review my responsibilities regarding the provision of the Criminal Procedure and Investigation Act (CPIA, 1996) whilst conducting the investigation.</w:t>
      </w:r>
    </w:p>
    <w:p w14:paraId="4CF92164"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0C82C5FC"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Early into my tutorship I was on mobile patrol with my tutor when an emergency call relating to a domestic incident near our location was broadcast over the air, my tutor and I requested the call be assigned to us and we made our way to the location on an emergency response. The initial details were scarce as the call was an abandoned 999 where the caller had ended the call before any details were taken, the only information we had was the location due to the telephone number being linked to an address and the sound of a female shouting and a disturbance in the background. We attended the address however there was no answer and there appeared to be nobody in the property at that time. We sat in our marked police vehicle to make some further enquiries around the address and telephone number and discovered that the number and address has numerous occurrences attached regarding domestic abuse whereby the victim is a female. I called the reporting person on my mobile which was answered however the line was silent. Minutes later a vehicle pulled up behind us and a female approached our vehicle in distress. </w:t>
      </w:r>
    </w:p>
    <w:p w14:paraId="0FF2010F"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521F4BE1"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lastRenderedPageBreak/>
        <w:t>We were invited into the property by the female who identified herself as the caller. She did not appear to have suffered any physical harm and confirmed the same when I enquired, however she was in a highly panicked and distressed state and peered through the curtains out of the living room window on numerous occasions. Details of the reasons for them call were not forthcoming, and she appeared to be struggling to concentrate. I was aware of the history surrounding the caller and her ex-partner but did not have time to dissect the most recent incidents reporting between them. My immediate concern was safeguarding and eventually the caller agreed for us to escort her to her parents address which was a short drive away. When at her parents she appeared to ease slightly and explained that her ex-partner had followed her in his car from her place of work and then pulled up next to her at traffic lights and made threats to “slit her throat in her sleep”. My immediate thought process was to conduct arrest enquiries and arrest for Threats to Kill contrary to section 16 of the Offences Against the Person Act (1861). We attended the suspects home address which appeared empty. I returned to the station to complete further enquiries and did not revisit the victim at this time due to agreeing to providing her with breathing space, I had agreed to call her in 2 hours to check on her welfare and arrange for a statement to be taken. Further enquiries had uncovered that the suspect was on bail with conditions not to contact the victim by any means due to another incident 3 days prior, therefor this was also a breach of bail, the initial investigation had enquiries outstanding including a download of the suspect’s phone. By initially considering the NDM (CoP, 2014) we would not be able to arrest for a breach of bail due to investigatory needs as the original officer in case was not able to send the file to the Crown Prosecution Service (CPS), and we had to consider that the decision to arrest for a new offence may not be the most appropriate response at this time. By ‘spinning’ the decision-making model I was able to firstly make a decision using the initial information that was available to me, I was then able to revisit the decision when further information had been gained.</w:t>
      </w:r>
    </w:p>
    <w:p w14:paraId="15AECFC2"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6E64F0DC"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The NDM (CoP, 2014) has 6 key elements, when used it provides a cyclical decision-making model that is designed to assist all police officers and staff in their decision making. At the model’s heart is the Police Code of Ethics (CoP, 2014) which highlights the professional standards and values that all police officers and staff are expected to adhere to. The Code includes 9 policing principles and 10 standards of professional behaviour, these principles and standards underpin everything that an officer or police staff does. </w:t>
      </w:r>
    </w:p>
    <w:p w14:paraId="31790848"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0B3F7C6A"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The first part of the NDM (CoP, 2014) is to gather information and intelligence. In this initial phase a decision maker must define the situation and assess the information and/or intelligence that is available to them. The second part is to assess threat and risk and to develop a working strategy, during this stage the decision maker must use the information and/or intelligence gained within the previous stage and conduct a risk assessment before developing a working strategy. When developing a working strategy, it is important to consider any potential effects on the public or others involved. Once a working strategy has been developed the decision maker can move onto the third part which is to consider the powers and policies available, any decision made must comply with the relevant legislation and local policies. Part four of the NDM is to identify options and contingencies available, should the original strategy be unsuccessful the decision maker should consider different ways to make the decision or have a contingency in place that provides the least risk of harm. The fifth and last part of this model is to take action and review what happened, this stage has 2 steps, firstly is the ‘action’ stage where the decision maker is required to implement appropriate decisions using the previous steps of the model, the second part is to ‘review’ and reflect on the incident once it has reached its conclusion. Operationally I find using this model very effective, particularly when dealing with an incident there and then when decisions must be made almost instantly. </w:t>
      </w:r>
    </w:p>
    <w:p w14:paraId="1D94A236"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6A1FB1D4"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lastRenderedPageBreak/>
        <w:t>The NDM was useful when dealing with this incident. I initially attended a call with very little information available and the linked address was empty, my initial risk assessment was low, powers of entry to the address were considered before I called the reporting person and made further enquiries whilst at scene. When the reporting person attended the address, I continued to ‘spin’ the NDM when factors changed, I now had more information and intelligence available for a further risk assessment, an alternative working strategy was considered, and action was decided. The NDM was then used further once new information had been gained. The final part of the NDM, review, is completed when updating my supervisor of actions taken or during a debrief of the incident in my experience, due to the nature of the NDM I have experienced the need to complete the NDM quickly at an incident which has resulted in the review stage being completed between officers there and then and often leads to the NDM being ‘spun’ again to gain a new outlook on the situation.</w:t>
      </w:r>
    </w:p>
    <w:p w14:paraId="5CF60567"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653A3621"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I did return to the victim’s parents address shortly after and completed a statement. I explained to the victim my position regarding the incident and how I would initially be treating this as a breach of bail rather than a new offence. The victim was still in touch with the original officer in case who had made an appointment with her for an update the following day when they return to duty. The victim was initially confused and slightly annoyed by my apparent lack of action however I explained the entire situation and what action I would be taking which eased her concerns. Safeguarding was one of my main priorities, so we discussed this in depth, the victim consented to a Public Protection Notice being submitted and a victims support referral, initial safeguarding measures were agreed with her parents. Although I used my discretion on this occasion to not pursue the threats, I did explain that my tutor and I would approach our supervisor for advice regarding this and should anything change, I would notify her.</w:t>
      </w:r>
    </w:p>
    <w:p w14:paraId="053B778B"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5565C405"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Taylor (2016) states that “Discretion pervades police work since it involves the continuous exercise of choice or judgement”. Since starting in my station, I have been surprised how much discretion I am able to use, although the use of discretion was covered in our initial 6 months training, I did not think it would be as prevalent in my day to day as it is. As Taylor (2016) mentioned, it involves using our own judgment which in turn involves being confident and accountable of that decision or choice or judgment, discretion is defined as “</w:t>
      </w:r>
      <w:r w:rsidRPr="00735181">
        <w:rPr>
          <w:rFonts w:asciiTheme="minorHAnsi" w:hAnsiTheme="minorHAnsi" w:cs="Calibri"/>
          <w:i/>
          <w:iCs/>
          <w:color w:val="auto"/>
          <w:sz w:val="22"/>
          <w:szCs w:val="22"/>
          <w:lang w:eastAsia="en-US"/>
        </w:rPr>
        <w:t>freedom or authority to make judgments and to act as one sees fit</w:t>
      </w:r>
      <w:r w:rsidRPr="00735181">
        <w:rPr>
          <w:rFonts w:asciiTheme="minorHAnsi" w:hAnsiTheme="minorHAnsi" w:cs="Calibri"/>
          <w:color w:val="auto"/>
          <w:sz w:val="22"/>
          <w:szCs w:val="22"/>
          <w:lang w:eastAsia="en-US"/>
        </w:rPr>
        <w:t xml:space="preserve">” (Discretion definition and meaning, Collins English Dictionary, 2023). In this instance I used my discretion based on my understanding of the relevant legislation and local policy, my tutor officer agreed with my decision and when advice was sought from my supervisor he also agreed with the decision. It was decided to treat this as a breach of bail due to the evidential difficulties we would have with the threats however this breach would add significant weight to the original charge which the suspect is on bail for. </w:t>
      </w:r>
    </w:p>
    <w:p w14:paraId="3C1DDA52"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604D41D8"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On my return to duty the next day I had a message from our Public Service Centre requesting that I contact the suspect. Neighbours had informed him that the police attended his address the previous day and he would like to know why. As this was an active investigation into the suspect, I had to be mindful of what was disclosed to him. I called the suspect as requested who wished to discuss an incident that had occurred that he suspected was the cause of my visit to his address. I listened to what he was saying but reminded him that at this time I was unable to discuss this in depth with him, before the call ended, he referred to an assault against him during the incident and a previous incident that was reported whereby he was assaulted by his ex-partner who was currently the aggrieved in this case. This information would be disclosable to the defence should the case reach court.</w:t>
      </w:r>
    </w:p>
    <w:p w14:paraId="0EE3F54E"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5A467226"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Disclosure is an important part of any investigation. The Criminal Procedure &amp; Investigation Act (CPIA, 1996) concerns how information gained is managed and used during an investigation and how it is disclosed. The Act stipulates how all information gained in the investigation must be disclosed. There are generally 3 types of evidence according to the CPIA (1996) which is used for disclosure purposes, the first is evidence which is any information being entered as evidenced and exhibited during the case, the second type is unused material which is any information gained during the investigation but is not being used as an exhibit by the prosecution, and the third type is non-relevant material which is any information gained during the investigation but deemed not relevant to the case by the prosecution. All this information must be disclosed to the defence through the disclosure process highlighted in the CPIA (1996). Disclosure in criminal proceedings is highly important and a key part of the criminal justice system, failure to disclose information correctly may lead to a case being dismissed at court as seen in R v </w:t>
      </w:r>
      <w:proofErr w:type="spellStart"/>
      <w:r w:rsidRPr="00735181">
        <w:rPr>
          <w:rFonts w:asciiTheme="minorHAnsi" w:hAnsiTheme="minorHAnsi" w:cs="Calibri"/>
          <w:color w:val="auto"/>
          <w:sz w:val="22"/>
          <w:szCs w:val="22"/>
          <w:lang w:eastAsia="en-US"/>
        </w:rPr>
        <w:t>Mouncher</w:t>
      </w:r>
      <w:proofErr w:type="spellEnd"/>
      <w:r w:rsidRPr="00735181">
        <w:rPr>
          <w:rFonts w:asciiTheme="minorHAnsi" w:hAnsiTheme="minorHAnsi" w:cs="Calibri"/>
          <w:color w:val="auto"/>
          <w:sz w:val="22"/>
          <w:szCs w:val="22"/>
          <w:lang w:eastAsia="en-US"/>
        </w:rPr>
        <w:t xml:space="preserve"> and others (2011) where the failure to disclose contact between the police, CPS, and key witnesses allowed the defence to undermine the confidence in the disclosure process which ultimately led to jury being directed to return not guilty verdicts by the court.</w:t>
      </w:r>
    </w:p>
    <w:p w14:paraId="5B95FA37"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23ACE4BA"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Although the case I have discussed in this essay has not yet reached court there was need to build a case file following a charging decision from the CPS for the original offences committed, the breach of bail, and following advice from a supervisor the male was arrested by myself for the threats and subsequently interviewed and charged with the offence.</w:t>
      </w:r>
    </w:p>
    <w:p w14:paraId="3ACF77C1"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44320C31"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On reflection I am overall happy with my involvement and use of discretion whilst dealing with this occurrence. I have used the NDM many times in my career within South Wales Police and feel confident in using this model daily. Feedback from my supervisor following the incident did result in the decision to arrest the suspect being made whereas my initial decision was different however the feedback from my supervisor on this was positive and he understood and agreed with my decision based on the information I had to hand at the time.</w:t>
      </w:r>
    </w:p>
    <w:p w14:paraId="4F0A8EEA"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63197C0D"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b/>
          <w:bCs/>
          <w:color w:val="auto"/>
          <w:sz w:val="32"/>
          <w:szCs w:val="32"/>
          <w:lang w:eastAsia="en-US"/>
        </w:rPr>
      </w:pPr>
      <w:r w:rsidRPr="00735181">
        <w:rPr>
          <w:rFonts w:asciiTheme="minorHAnsi" w:hAnsiTheme="minorHAnsi" w:cs="Calibri"/>
          <w:b/>
          <w:bCs/>
          <w:color w:val="auto"/>
          <w:sz w:val="32"/>
          <w:szCs w:val="32"/>
          <w:lang w:eastAsia="en-US"/>
        </w:rPr>
        <w:t>Word count: 2,164</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77777777" w:rsidR="00575A8F" w:rsidRPr="00270EEB" w:rsidRDefault="00575A8F" w:rsidP="00E6298B">
            <w:pPr>
              <w:ind w:right="107"/>
              <w:jc w:val="both"/>
              <w:rPr>
                <w:sz w:val="24"/>
                <w:szCs w:val="24"/>
              </w:rPr>
            </w:pPr>
          </w:p>
        </w:tc>
        <w:tc>
          <w:tcPr>
            <w:tcW w:w="2426" w:type="dxa"/>
            <w:shd w:val="clear" w:color="auto" w:fill="auto"/>
          </w:tcPr>
          <w:p w14:paraId="6F2EF39C" w14:textId="77777777" w:rsidR="00575A8F" w:rsidRPr="00270EEB" w:rsidRDefault="00575A8F" w:rsidP="00E6298B">
            <w:pPr>
              <w:ind w:right="107"/>
              <w:jc w:val="both"/>
              <w:rPr>
                <w:sz w:val="24"/>
                <w:szCs w:val="24"/>
              </w:rPr>
            </w:pPr>
          </w:p>
        </w:tc>
        <w:tc>
          <w:tcPr>
            <w:tcW w:w="2426" w:type="dxa"/>
            <w:shd w:val="clear" w:color="auto" w:fill="auto"/>
          </w:tcPr>
          <w:p w14:paraId="3851D535" w14:textId="2253C381" w:rsidR="28A9B94D" w:rsidRDefault="28A9B94D" w:rsidP="28A9B94D">
            <w:pPr>
              <w:jc w:val="both"/>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77777777" w:rsidR="00575A8F" w:rsidRPr="00270EEB" w:rsidRDefault="00575A8F" w:rsidP="00E6298B">
            <w:pPr>
              <w:ind w:right="107"/>
              <w:jc w:val="both"/>
              <w:rPr>
                <w:sz w:val="24"/>
                <w:szCs w:val="24"/>
              </w:rPr>
            </w:pPr>
          </w:p>
        </w:tc>
        <w:tc>
          <w:tcPr>
            <w:tcW w:w="2426" w:type="dxa"/>
            <w:shd w:val="clear" w:color="auto" w:fill="auto"/>
          </w:tcPr>
          <w:p w14:paraId="7A4C9A77" w14:textId="77777777" w:rsidR="00575A8F" w:rsidRPr="00270EEB" w:rsidRDefault="00575A8F" w:rsidP="00E6298B">
            <w:pPr>
              <w:ind w:right="107"/>
              <w:jc w:val="both"/>
              <w:rPr>
                <w:sz w:val="24"/>
                <w:szCs w:val="24"/>
              </w:rPr>
            </w:pPr>
          </w:p>
        </w:tc>
        <w:tc>
          <w:tcPr>
            <w:tcW w:w="2426" w:type="dxa"/>
            <w:shd w:val="clear" w:color="auto" w:fill="auto"/>
          </w:tcPr>
          <w:p w14:paraId="003BC03B" w14:textId="3F66D33F" w:rsidR="28A9B94D" w:rsidRDefault="28A9B94D" w:rsidP="28A9B94D">
            <w:pPr>
              <w:jc w:val="both"/>
              <w:rPr>
                <w:sz w:val="24"/>
                <w:szCs w:val="24"/>
              </w:rPr>
            </w:pP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7777777" w:rsidR="00575A8F" w:rsidRPr="00270EEB" w:rsidRDefault="00575A8F" w:rsidP="00E6298B">
            <w:pPr>
              <w:ind w:right="107"/>
              <w:jc w:val="both"/>
              <w:rPr>
                <w:sz w:val="24"/>
                <w:szCs w:val="24"/>
              </w:rPr>
            </w:pP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42FDD12" w14:textId="77777777" w:rsidR="003B71D1" w:rsidRDefault="003B71D1" w:rsidP="003B71D1">
      <w:pPr>
        <w:pStyle w:val="ListParagraph"/>
      </w:pPr>
      <w:r w:rsidRPr="00C11552">
        <w:t>Bates, C.R. et al. (2021b)</w:t>
      </w:r>
      <w:r w:rsidRPr="00AB6553">
        <w:rPr>
          <w:i/>
          <w:iCs/>
        </w:rPr>
        <w:t xml:space="preserve"> “Life Interrupted: Family Routines Buffer Stress during the COVID-19 Pandemic,” Journal of Child and Family Studies, 30(11), pp. 2641–2651. Available at: https://doi.org/10.1007/s10826-021-02063-6</w:t>
      </w:r>
      <w:r>
        <w:t xml:space="preserve"> (Accessed: 11 January 2023)</w:t>
      </w:r>
    </w:p>
    <w:p w14:paraId="4B40E0B1" w14:textId="77777777" w:rsidR="003B71D1" w:rsidRDefault="003B71D1" w:rsidP="003B71D1">
      <w:pPr>
        <w:pStyle w:val="ListParagraph"/>
      </w:pPr>
    </w:p>
    <w:p w14:paraId="12F8C863" w14:textId="77777777" w:rsidR="003B71D1" w:rsidRDefault="003B71D1" w:rsidP="003B71D1">
      <w:pPr>
        <w:pStyle w:val="ListParagraph"/>
      </w:pPr>
      <w:proofErr w:type="spellStart"/>
      <w:r w:rsidRPr="00771462">
        <w:t>Borton</w:t>
      </w:r>
      <w:proofErr w:type="spellEnd"/>
      <w:r w:rsidRPr="00771462">
        <w:t>, T. (1970</w:t>
      </w:r>
      <w:r w:rsidRPr="00C11552">
        <w:rPr>
          <w:i/>
          <w:iCs/>
        </w:rPr>
        <w:t>) Reach Touch and Teach</w:t>
      </w:r>
      <w:r w:rsidRPr="00771462">
        <w:t>. New York: McGraw-Hill Paperbacks</w:t>
      </w:r>
    </w:p>
    <w:p w14:paraId="6D2C2886" w14:textId="77777777" w:rsidR="003B71D1" w:rsidRDefault="003B71D1" w:rsidP="003B71D1">
      <w:pPr>
        <w:pStyle w:val="ListParagraph"/>
      </w:pPr>
    </w:p>
    <w:p w14:paraId="521B7D1D" w14:textId="77777777" w:rsidR="003B71D1" w:rsidRDefault="003B71D1" w:rsidP="003B71D1">
      <w:pPr>
        <w:pStyle w:val="ListParagraph"/>
      </w:pPr>
      <w:r w:rsidRPr="00493411">
        <w:t xml:space="preserve">Brown, J. (2021) </w:t>
      </w:r>
      <w:r>
        <w:t>“</w:t>
      </w:r>
      <w:r w:rsidRPr="00A57C8C">
        <w:rPr>
          <w:i/>
          <w:iCs/>
        </w:rPr>
        <w:t>Policing in the UK</w:t>
      </w:r>
      <w:r>
        <w:rPr>
          <w:i/>
          <w:iCs/>
        </w:rPr>
        <w:t xml:space="preserve">” </w:t>
      </w:r>
      <w:r w:rsidRPr="00202273">
        <w:rPr>
          <w:i/>
          <w:iCs/>
        </w:rPr>
        <w:t>Institutional racism in the police: how entrenched has it become?</w:t>
      </w:r>
      <w:r w:rsidRPr="00B44BF2">
        <w:t xml:space="preserve"> Centre for Crime and Justice Studies (</w:t>
      </w:r>
      <w:r>
        <w:t>2020</w:t>
      </w:r>
      <w:r w:rsidRPr="00B44BF2">
        <w:t xml:space="preserve">). Available at: </w:t>
      </w:r>
      <w:hyperlink r:id="rId20" w:history="1">
        <w:r w:rsidRPr="00D80FDF">
          <w:rPr>
            <w:rStyle w:val="Hyperlink"/>
          </w:rPr>
          <w:t>https://www.crimeandjustice.org.uk/resources/institutional-racism-police-how-entrenched-has-it-become</w:t>
        </w:r>
      </w:hyperlink>
      <w:r>
        <w:t xml:space="preserve"> (Accessed: 19</w:t>
      </w:r>
      <w:r w:rsidRPr="00202273">
        <w:rPr>
          <w:vertAlign w:val="superscript"/>
        </w:rPr>
        <w:t>th</w:t>
      </w:r>
      <w:r>
        <w:t xml:space="preserve"> February 2023)</w:t>
      </w:r>
    </w:p>
    <w:p w14:paraId="039B92B0" w14:textId="77777777" w:rsidR="003B71D1" w:rsidRDefault="003B71D1" w:rsidP="003B71D1">
      <w:pPr>
        <w:pStyle w:val="ListParagraph"/>
      </w:pPr>
    </w:p>
    <w:p w14:paraId="0257128D" w14:textId="77777777" w:rsidR="003B71D1" w:rsidRDefault="003B71D1" w:rsidP="003B71D1">
      <w:pPr>
        <w:pStyle w:val="ListParagraph"/>
      </w:pPr>
      <w:r>
        <w:t xml:space="preserve">Changing Minds (2021) </w:t>
      </w:r>
      <w:r w:rsidRPr="00C63A84">
        <w:rPr>
          <w:i/>
          <w:iCs/>
        </w:rPr>
        <w:t xml:space="preserve">The </w:t>
      </w:r>
      <w:proofErr w:type="spellStart"/>
      <w:r w:rsidRPr="00C63A84">
        <w:rPr>
          <w:i/>
          <w:iCs/>
        </w:rPr>
        <w:t>Betari</w:t>
      </w:r>
      <w:proofErr w:type="spellEnd"/>
      <w:r w:rsidRPr="00C63A84">
        <w:rPr>
          <w:i/>
          <w:iCs/>
        </w:rPr>
        <w:t xml:space="preserve"> Box</w:t>
      </w:r>
      <w:r>
        <w:t xml:space="preserve">. Available at: </w:t>
      </w:r>
      <w:hyperlink r:id="rId21" w:history="1">
        <w:r w:rsidRPr="00E01BA0">
          <w:rPr>
            <w:rStyle w:val="Hyperlink"/>
          </w:rPr>
          <w:t>http://changingminds.org/explanations/behaviors/betari_box.htm</w:t>
        </w:r>
      </w:hyperlink>
      <w:r>
        <w:t xml:space="preserve"> (Accessed: 20</w:t>
      </w:r>
      <w:r w:rsidRPr="009B200D">
        <w:rPr>
          <w:vertAlign w:val="superscript"/>
        </w:rPr>
        <w:t>th</w:t>
      </w:r>
      <w:r>
        <w:t xml:space="preserve"> February 2023)</w:t>
      </w:r>
    </w:p>
    <w:p w14:paraId="616F6FEE" w14:textId="77777777" w:rsidR="003B71D1" w:rsidRDefault="003B71D1" w:rsidP="003B71D1">
      <w:pPr>
        <w:pStyle w:val="ListParagraph"/>
      </w:pPr>
    </w:p>
    <w:p w14:paraId="0B25ECF6" w14:textId="77777777" w:rsidR="003B71D1" w:rsidRDefault="003B71D1" w:rsidP="003B71D1">
      <w:pPr>
        <w:pStyle w:val="ListParagraph"/>
      </w:pPr>
      <w:r>
        <w:t xml:space="preserve">College of Policing (2014) </w:t>
      </w:r>
      <w:r w:rsidRPr="007B2D87">
        <w:rPr>
          <w:i/>
          <w:iCs/>
        </w:rPr>
        <w:t>Code of Ethics</w:t>
      </w:r>
      <w:r>
        <w:t>. Available at: https://assets.college.police.uk/s3fspublic/2021-02/code_of_ethics.pdf (Accessed: 8</w:t>
      </w:r>
      <w:r w:rsidRPr="00BF5FA0">
        <w:rPr>
          <w:vertAlign w:val="superscript"/>
        </w:rPr>
        <w:t>th</w:t>
      </w:r>
      <w:r>
        <w:t xml:space="preserve"> March 2023).</w:t>
      </w:r>
    </w:p>
    <w:p w14:paraId="49004846" w14:textId="77777777" w:rsidR="003B71D1" w:rsidRDefault="003B71D1" w:rsidP="003B71D1">
      <w:pPr>
        <w:pStyle w:val="ListParagraph"/>
      </w:pPr>
    </w:p>
    <w:p w14:paraId="2AE17408" w14:textId="77777777" w:rsidR="003B71D1" w:rsidRDefault="003B71D1" w:rsidP="003B71D1">
      <w:pPr>
        <w:pStyle w:val="ListParagraph"/>
      </w:pPr>
      <w:r>
        <w:t xml:space="preserve">College of Policing (2014) </w:t>
      </w:r>
      <w:r w:rsidRPr="007B2D87">
        <w:rPr>
          <w:i/>
          <w:iCs/>
        </w:rPr>
        <w:t>National Decision Model</w:t>
      </w:r>
      <w:r>
        <w:t xml:space="preserve">. Available at: </w:t>
      </w:r>
      <w:r w:rsidRPr="00F44D44">
        <w:rPr>
          <w:u w:val="single"/>
        </w:rPr>
        <w:t>https://www.college.police.uk/app/national-decision-model</w:t>
      </w:r>
      <w:r>
        <w:t xml:space="preserve"> (Accessed: 12</w:t>
      </w:r>
      <w:r w:rsidRPr="007B2D87">
        <w:rPr>
          <w:vertAlign w:val="superscript"/>
        </w:rPr>
        <w:t>th</w:t>
      </w:r>
      <w:r>
        <w:t xml:space="preserve"> March 2023)</w:t>
      </w:r>
    </w:p>
    <w:p w14:paraId="262D1F24" w14:textId="77777777" w:rsidR="003B71D1" w:rsidRDefault="003B71D1" w:rsidP="003B71D1">
      <w:pPr>
        <w:pStyle w:val="ListParagraph"/>
      </w:pPr>
    </w:p>
    <w:p w14:paraId="2C105F74" w14:textId="77777777" w:rsidR="003B71D1" w:rsidRDefault="003B71D1" w:rsidP="003B71D1">
      <w:pPr>
        <w:pStyle w:val="ListParagraph"/>
      </w:pPr>
      <w:r>
        <w:t xml:space="preserve">College of Policing (2021) </w:t>
      </w:r>
      <w:r w:rsidRPr="00D83596">
        <w:rPr>
          <w:i/>
          <w:iCs/>
        </w:rPr>
        <w:t>Victims Code for Policing</w:t>
      </w:r>
      <w:r>
        <w:t xml:space="preserve">. Available at: </w:t>
      </w:r>
      <w:r w:rsidRPr="00C11552">
        <w:rPr>
          <w:u w:val="single"/>
        </w:rPr>
        <w:t>https://www.college.police.uk/guidance/victims-code/victims-rights-policing</w:t>
      </w:r>
      <w:r w:rsidRPr="00C11552">
        <w:t xml:space="preserve"> </w:t>
      </w:r>
      <w:r>
        <w:t>(Accessed: 6</w:t>
      </w:r>
      <w:r w:rsidRPr="00202273">
        <w:rPr>
          <w:vertAlign w:val="superscript"/>
        </w:rPr>
        <w:t>th</w:t>
      </w:r>
      <w:r>
        <w:t xml:space="preserve"> March 2023).</w:t>
      </w:r>
    </w:p>
    <w:p w14:paraId="0B2AA189" w14:textId="77777777" w:rsidR="003B71D1" w:rsidRDefault="003B71D1" w:rsidP="003B71D1">
      <w:pPr>
        <w:pStyle w:val="ListParagraph"/>
      </w:pPr>
    </w:p>
    <w:p w14:paraId="7D83C7AD" w14:textId="77777777" w:rsidR="003B71D1" w:rsidRDefault="003B71D1" w:rsidP="003B71D1">
      <w:pPr>
        <w:pStyle w:val="ListParagraph"/>
      </w:pPr>
      <w:r w:rsidRPr="005016CF">
        <w:rPr>
          <w:i/>
          <w:iCs/>
        </w:rPr>
        <w:t>Criminal Damage Act 1971, S.1</w:t>
      </w:r>
      <w:r w:rsidRPr="005016CF">
        <w:t xml:space="preserve">. Available at: </w:t>
      </w:r>
      <w:hyperlink r:id="rId22" w:history="1">
        <w:r w:rsidRPr="004772E5">
          <w:rPr>
            <w:rStyle w:val="Hyperlink"/>
          </w:rPr>
          <w:t>https://www.legislation.gov.uk/ukpga/1971/48/contents</w:t>
        </w:r>
      </w:hyperlink>
      <w:r>
        <w:t xml:space="preserve"> (Accessed: 7</w:t>
      </w:r>
      <w:r w:rsidRPr="005016CF">
        <w:rPr>
          <w:vertAlign w:val="superscript"/>
        </w:rPr>
        <w:t>th</w:t>
      </w:r>
      <w:r>
        <w:t xml:space="preserve"> March 2023)</w:t>
      </w:r>
    </w:p>
    <w:p w14:paraId="43903FEB" w14:textId="77777777" w:rsidR="003B71D1" w:rsidRDefault="003B71D1" w:rsidP="003B71D1">
      <w:pPr>
        <w:pStyle w:val="ListParagraph"/>
      </w:pPr>
    </w:p>
    <w:p w14:paraId="0FF0EED2" w14:textId="77777777" w:rsidR="003B71D1" w:rsidRDefault="003B71D1" w:rsidP="003B71D1">
      <w:pPr>
        <w:pStyle w:val="ListParagraph"/>
      </w:pPr>
      <w:r w:rsidRPr="007B2D87">
        <w:rPr>
          <w:i/>
          <w:iCs/>
        </w:rPr>
        <w:t>Criminal Procedure and Investigation Act 1996</w:t>
      </w:r>
      <w:r>
        <w:t xml:space="preserve">. Available at:  </w:t>
      </w:r>
      <w:r w:rsidRPr="00F44D44">
        <w:rPr>
          <w:u w:val="single"/>
        </w:rPr>
        <w:t>https://www.legislation.gov.uk/ukpga/1996/25/contents</w:t>
      </w:r>
      <w:r w:rsidRPr="007B2D87">
        <w:t xml:space="preserve"> </w:t>
      </w:r>
      <w:r>
        <w:t>(Accessed: 12</w:t>
      </w:r>
      <w:r w:rsidRPr="00662007">
        <w:rPr>
          <w:vertAlign w:val="superscript"/>
        </w:rPr>
        <w:t>th</w:t>
      </w:r>
      <w:r>
        <w:t xml:space="preserve"> March 2023)</w:t>
      </w:r>
    </w:p>
    <w:p w14:paraId="2906969A" w14:textId="77777777" w:rsidR="003B71D1" w:rsidRDefault="003B71D1" w:rsidP="003B71D1">
      <w:pPr>
        <w:pStyle w:val="ListParagraph"/>
      </w:pPr>
    </w:p>
    <w:p w14:paraId="7CCC6124" w14:textId="77777777" w:rsidR="003B71D1" w:rsidRDefault="003B71D1" w:rsidP="003B71D1">
      <w:pPr>
        <w:pStyle w:val="ListParagraph"/>
      </w:pPr>
      <w:r w:rsidRPr="00220EEF">
        <w:rPr>
          <w:i/>
          <w:iCs/>
        </w:rPr>
        <w:t>Discretion definition and meaning</w:t>
      </w:r>
      <w:r w:rsidRPr="00220EEF">
        <w:t xml:space="preserve"> | Collins English Dictionary” (2023) Collins Dictionaries. Available at: </w:t>
      </w:r>
      <w:hyperlink r:id="rId23" w:history="1">
        <w:r w:rsidRPr="00F55FBA">
          <w:rPr>
            <w:rStyle w:val="Hyperlink"/>
          </w:rPr>
          <w:t>https://www.collinsdictionary.com/dictionary/english/discretion</w:t>
        </w:r>
      </w:hyperlink>
      <w:r>
        <w:t xml:space="preserve"> (Accessed: 12</w:t>
      </w:r>
      <w:r w:rsidRPr="00220EEF">
        <w:rPr>
          <w:vertAlign w:val="superscript"/>
        </w:rPr>
        <w:t>th</w:t>
      </w:r>
      <w:r>
        <w:t xml:space="preserve"> March 2023)</w:t>
      </w:r>
    </w:p>
    <w:p w14:paraId="47B7A20E" w14:textId="77777777" w:rsidR="003B71D1" w:rsidRDefault="003B71D1" w:rsidP="003B71D1">
      <w:pPr>
        <w:pStyle w:val="ListParagraph"/>
      </w:pPr>
    </w:p>
    <w:p w14:paraId="6AD0D637" w14:textId="77777777" w:rsidR="003B71D1" w:rsidRDefault="003B71D1" w:rsidP="003B71D1">
      <w:pPr>
        <w:pStyle w:val="ListParagraph"/>
      </w:pPr>
      <w:r w:rsidRPr="00B80D0C">
        <w:t xml:space="preserve">Driscoll, J. </w:t>
      </w:r>
      <w:r>
        <w:t>(</w:t>
      </w:r>
      <w:r w:rsidRPr="00B80D0C">
        <w:t>1994</w:t>
      </w:r>
      <w:r>
        <w:t>)</w:t>
      </w:r>
      <w:r w:rsidRPr="00B80D0C">
        <w:t xml:space="preserve"> </w:t>
      </w:r>
      <w:r w:rsidRPr="00F44D44">
        <w:rPr>
          <w:i/>
          <w:iCs/>
        </w:rPr>
        <w:t>Reflective practice for practise. Senior Nurse</w:t>
      </w:r>
      <w:r w:rsidRPr="00B80D0C">
        <w:t>, 14(1), pp.47-50.</w:t>
      </w:r>
    </w:p>
    <w:p w14:paraId="68B6E1BB" w14:textId="77777777" w:rsidR="003B71D1" w:rsidRDefault="003B71D1" w:rsidP="003B71D1">
      <w:pPr>
        <w:pStyle w:val="ListParagraph"/>
      </w:pPr>
    </w:p>
    <w:p w14:paraId="4AFEB68C" w14:textId="77777777" w:rsidR="003B71D1" w:rsidRDefault="003B71D1" w:rsidP="003B71D1">
      <w:pPr>
        <w:pStyle w:val="ListParagraph"/>
        <w:rPr>
          <w:shd w:val="clear" w:color="auto" w:fill="FFFFFF"/>
        </w:rPr>
      </w:pPr>
      <w:r w:rsidRPr="0067066E">
        <w:rPr>
          <w:shd w:val="clear" w:color="auto" w:fill="FFFFFF"/>
        </w:rPr>
        <w:t xml:space="preserve">Fisher, R., </w:t>
      </w:r>
      <w:proofErr w:type="spellStart"/>
      <w:r w:rsidRPr="0067066E">
        <w:rPr>
          <w:shd w:val="clear" w:color="auto" w:fill="FFFFFF"/>
        </w:rPr>
        <w:t>Ury</w:t>
      </w:r>
      <w:proofErr w:type="spellEnd"/>
      <w:r w:rsidRPr="0067066E">
        <w:rPr>
          <w:shd w:val="clear" w:color="auto" w:fill="FFFFFF"/>
        </w:rPr>
        <w:t xml:space="preserve">, W.L. and Patton, B. (2011) </w:t>
      </w:r>
      <w:r w:rsidRPr="0067066E">
        <w:rPr>
          <w:i/>
          <w:iCs/>
          <w:shd w:val="clear" w:color="auto" w:fill="FFFFFF"/>
        </w:rPr>
        <w:t>Getting to Yes: Negotiating Agreement Without Giving In</w:t>
      </w:r>
      <w:r w:rsidRPr="0067066E">
        <w:rPr>
          <w:shd w:val="clear" w:color="auto" w:fill="FFFFFF"/>
        </w:rPr>
        <w:t xml:space="preserve">. National Geographic Books </w:t>
      </w:r>
    </w:p>
    <w:p w14:paraId="28ADFD1D" w14:textId="77777777" w:rsidR="003B71D1" w:rsidRPr="0000343F" w:rsidRDefault="003B71D1" w:rsidP="003B71D1">
      <w:pPr>
        <w:pStyle w:val="ListParagraph"/>
        <w:rPr>
          <w:color w:val="FF0000"/>
        </w:rPr>
      </w:pPr>
    </w:p>
    <w:p w14:paraId="35D41CB9" w14:textId="77777777" w:rsidR="003B71D1" w:rsidRDefault="003B71D1" w:rsidP="003B71D1">
      <w:pPr>
        <w:pStyle w:val="ListParagraph"/>
        <w:rPr>
          <w:rStyle w:val="Hyperlink"/>
        </w:rPr>
      </w:pPr>
      <w:r w:rsidRPr="0067066E">
        <w:t xml:space="preserve">Hasan, Y., </w:t>
      </w:r>
      <w:proofErr w:type="spellStart"/>
      <w:r w:rsidRPr="0067066E">
        <w:t>Bègue</w:t>
      </w:r>
      <w:proofErr w:type="spellEnd"/>
      <w:r w:rsidRPr="0067066E">
        <w:t>, L. and Bushman, B.J. (2013) “</w:t>
      </w:r>
      <w:r w:rsidRPr="0000343F">
        <w:rPr>
          <w:i/>
          <w:iCs/>
        </w:rPr>
        <w:t>Violent Video Games Stress People Out and Make Them More Aggressive</w:t>
      </w:r>
      <w:r w:rsidRPr="0067066E">
        <w:t xml:space="preserve">” 39(1), pp. 64–70. Available at: </w:t>
      </w:r>
      <w:hyperlink r:id="rId24" w:history="1">
        <w:r w:rsidRPr="00E01BA0">
          <w:rPr>
            <w:rStyle w:val="Hyperlink"/>
          </w:rPr>
          <w:t>https://doi.org/10.1002/ab.21454</w:t>
        </w:r>
      </w:hyperlink>
    </w:p>
    <w:p w14:paraId="255EC139" w14:textId="77777777" w:rsidR="003B71D1" w:rsidRDefault="003B71D1" w:rsidP="003B71D1">
      <w:pPr>
        <w:pStyle w:val="ListParagraph"/>
      </w:pPr>
    </w:p>
    <w:p w14:paraId="3F275D48" w14:textId="77777777" w:rsidR="003B71D1" w:rsidRDefault="003B71D1" w:rsidP="003B71D1">
      <w:pPr>
        <w:pStyle w:val="ListParagraph"/>
      </w:pPr>
      <w:r w:rsidRPr="00945027">
        <w:rPr>
          <w:i/>
          <w:iCs/>
        </w:rPr>
        <w:t>Hate crime, England and Wales, 2021 to 2022</w:t>
      </w:r>
      <w:r w:rsidRPr="00945027">
        <w:t xml:space="preserve"> (2022). Available at: </w:t>
      </w:r>
      <w:hyperlink r:id="rId25" w:history="1">
        <w:r w:rsidRPr="004772E5">
          <w:rPr>
            <w:rStyle w:val="Hyperlink"/>
          </w:rPr>
          <w:t>https://www.gov.uk/government/statistics/hate-crime-england-and-wales-2021-to-2022/hate-crime-england-and-wales-2021-to-2022</w:t>
        </w:r>
      </w:hyperlink>
      <w:r>
        <w:t xml:space="preserve"> (Accessed: 7</w:t>
      </w:r>
      <w:r w:rsidRPr="00945027">
        <w:rPr>
          <w:vertAlign w:val="superscript"/>
        </w:rPr>
        <w:t>th</w:t>
      </w:r>
      <w:r>
        <w:t xml:space="preserve"> March 2023)</w:t>
      </w:r>
    </w:p>
    <w:p w14:paraId="64326820" w14:textId="77777777" w:rsidR="003B71D1" w:rsidRDefault="003B71D1" w:rsidP="003B71D1">
      <w:pPr>
        <w:pStyle w:val="ListParagraph"/>
      </w:pPr>
    </w:p>
    <w:p w14:paraId="7CD16CB6" w14:textId="77777777" w:rsidR="003B71D1" w:rsidRDefault="003B71D1" w:rsidP="003B71D1">
      <w:pPr>
        <w:pStyle w:val="ListParagraph"/>
      </w:pPr>
      <w:r w:rsidRPr="00FD01AB">
        <w:rPr>
          <w:i/>
          <w:iCs/>
        </w:rPr>
        <w:t>Hate crime | The Crown Prosecution Service</w:t>
      </w:r>
      <w:r w:rsidRPr="00FD01AB">
        <w:t xml:space="preserve"> (2023). Available at: </w:t>
      </w:r>
      <w:hyperlink r:id="rId26" w:history="1">
        <w:r w:rsidRPr="004772E5">
          <w:rPr>
            <w:rStyle w:val="Hyperlink"/>
          </w:rPr>
          <w:t>https://www.cps.gov.uk/crime-info/hate-crime</w:t>
        </w:r>
      </w:hyperlink>
      <w:r>
        <w:t xml:space="preserve"> (Accessed: 7</w:t>
      </w:r>
      <w:r w:rsidRPr="00FD01AB">
        <w:rPr>
          <w:vertAlign w:val="superscript"/>
        </w:rPr>
        <w:t>th</w:t>
      </w:r>
      <w:r>
        <w:t xml:space="preserve"> March 2023)</w:t>
      </w:r>
    </w:p>
    <w:p w14:paraId="09448133" w14:textId="77777777" w:rsidR="003B71D1" w:rsidRDefault="003B71D1" w:rsidP="003B71D1">
      <w:pPr>
        <w:pStyle w:val="ListParagraph"/>
      </w:pPr>
    </w:p>
    <w:p w14:paraId="241D3767" w14:textId="77777777" w:rsidR="003B71D1" w:rsidRDefault="003B71D1" w:rsidP="003B71D1">
      <w:pPr>
        <w:pStyle w:val="ListParagraph"/>
      </w:pPr>
      <w:proofErr w:type="spellStart"/>
      <w:r w:rsidRPr="00B3335E">
        <w:t>Hinsliff</w:t>
      </w:r>
      <w:proofErr w:type="spellEnd"/>
      <w:r w:rsidRPr="00B3335E">
        <w:t xml:space="preserve">, G. (2022) </w:t>
      </w:r>
      <w:r>
        <w:t>“</w:t>
      </w:r>
      <w:r w:rsidRPr="0000343F">
        <w:rPr>
          <w:i/>
          <w:iCs/>
        </w:rPr>
        <w:t>As the scandals keep coming, distrust of the police has gone mainstream</w:t>
      </w:r>
      <w:r>
        <w:rPr>
          <w:i/>
          <w:iCs/>
        </w:rPr>
        <w:t xml:space="preserve">” </w:t>
      </w:r>
      <w:r w:rsidRPr="00B3335E">
        <w:t xml:space="preserve">Available at: </w:t>
      </w:r>
      <w:hyperlink r:id="rId27" w:history="1">
        <w:r w:rsidRPr="00726F2F">
          <w:rPr>
            <w:rStyle w:val="Hyperlink"/>
          </w:rPr>
          <w:t>https://www.theguardian.com/commentisfree/2022/feb/03/scandals-police-met-partygate-whatsapp-crisis-policing</w:t>
        </w:r>
      </w:hyperlink>
      <w:r>
        <w:t xml:space="preserve"> (Accessed: 20</w:t>
      </w:r>
      <w:r w:rsidRPr="00B3335E">
        <w:rPr>
          <w:vertAlign w:val="superscript"/>
        </w:rPr>
        <w:t>th</w:t>
      </w:r>
      <w:r>
        <w:t xml:space="preserve"> February 2023)</w:t>
      </w:r>
    </w:p>
    <w:p w14:paraId="0FE334E6" w14:textId="77777777" w:rsidR="003B71D1" w:rsidRDefault="003B71D1" w:rsidP="003B71D1">
      <w:pPr>
        <w:pStyle w:val="ListParagraph"/>
      </w:pPr>
    </w:p>
    <w:p w14:paraId="1A71242A" w14:textId="77777777" w:rsidR="003B71D1" w:rsidRDefault="003B71D1" w:rsidP="003B71D1">
      <w:pPr>
        <w:pStyle w:val="ListParagraph"/>
        <w:rPr>
          <w:rStyle w:val="Hyperlink"/>
        </w:rPr>
      </w:pPr>
      <w:r w:rsidRPr="006A5A85">
        <w:lastRenderedPageBreak/>
        <w:t xml:space="preserve">Holley, C., </w:t>
      </w:r>
      <w:proofErr w:type="spellStart"/>
      <w:r w:rsidRPr="006A5A85">
        <w:t>Mutongwizo</w:t>
      </w:r>
      <w:proofErr w:type="spellEnd"/>
      <w:r w:rsidRPr="006A5A85">
        <w:t>, T. and Shearing, C. (2020) “</w:t>
      </w:r>
      <w:r w:rsidRPr="0000343F">
        <w:rPr>
          <w:i/>
          <w:iCs/>
        </w:rPr>
        <w:t xml:space="preserve">Conceptualizing Policing and Security: New </w:t>
      </w:r>
      <w:proofErr w:type="spellStart"/>
      <w:r w:rsidRPr="0000343F">
        <w:rPr>
          <w:i/>
          <w:iCs/>
        </w:rPr>
        <w:t>Harmscapes</w:t>
      </w:r>
      <w:proofErr w:type="spellEnd"/>
      <w:r w:rsidRPr="0000343F">
        <w:rPr>
          <w:i/>
          <w:iCs/>
        </w:rPr>
        <w:t>, the Anthropocene, and Technology</w:t>
      </w:r>
      <w:r w:rsidRPr="006A5A85">
        <w:t xml:space="preserve">” Annual Review of Criminology, 3(1), pp. 341–358. Available at: </w:t>
      </w:r>
      <w:hyperlink r:id="rId28" w:history="1">
        <w:r w:rsidRPr="00813C82">
          <w:rPr>
            <w:rStyle w:val="Hyperlink"/>
          </w:rPr>
          <w:t>https://doi.org/10.1146/annurev-criminol-011419-041330</w:t>
        </w:r>
      </w:hyperlink>
    </w:p>
    <w:p w14:paraId="0185131D" w14:textId="77777777" w:rsidR="003B71D1" w:rsidRDefault="003B71D1" w:rsidP="003B71D1">
      <w:pPr>
        <w:pStyle w:val="ListParagraph"/>
        <w:rPr>
          <w:rStyle w:val="Hyperlink"/>
        </w:rPr>
      </w:pPr>
    </w:p>
    <w:p w14:paraId="693AE752" w14:textId="77777777" w:rsidR="003B71D1" w:rsidRDefault="003B71D1" w:rsidP="003B71D1">
      <w:pPr>
        <w:pStyle w:val="ListParagraph"/>
      </w:pPr>
      <w:r>
        <w:t xml:space="preserve">Home Office (2018) </w:t>
      </w:r>
      <w:r w:rsidRPr="00D83596">
        <w:rPr>
          <w:i/>
          <w:iCs/>
        </w:rPr>
        <w:t>Victims Strategy</w:t>
      </w:r>
      <w:r>
        <w:t xml:space="preserve">. London: Her Majesty’s Stationary Office. Available at: </w:t>
      </w:r>
      <w:r w:rsidRPr="0000343F">
        <w:rPr>
          <w:u w:val="single"/>
        </w:rPr>
        <w:t>https://assets.publishing.service.gov.uk/government/uploads/system/uploads/attachment_data/file/746930/victim-strategy.pdf</w:t>
      </w:r>
      <w:r>
        <w:t xml:space="preserve"> (Accessed: 6</w:t>
      </w:r>
      <w:r w:rsidRPr="00D83596">
        <w:rPr>
          <w:vertAlign w:val="superscript"/>
        </w:rPr>
        <w:t>th</w:t>
      </w:r>
      <w:r>
        <w:t xml:space="preserve"> March 2023)</w:t>
      </w:r>
    </w:p>
    <w:p w14:paraId="13C91FF1" w14:textId="77777777" w:rsidR="003B71D1" w:rsidRDefault="003B71D1" w:rsidP="003B71D1">
      <w:pPr>
        <w:pStyle w:val="ListParagraph"/>
      </w:pPr>
    </w:p>
    <w:p w14:paraId="25DB15C0" w14:textId="77777777" w:rsidR="003B71D1" w:rsidRDefault="003B71D1" w:rsidP="003B71D1">
      <w:pPr>
        <w:pStyle w:val="ListParagraph"/>
      </w:pPr>
      <w:r w:rsidRPr="001516A5">
        <w:t xml:space="preserve">Julia A. Malia (2006) </w:t>
      </w:r>
      <w:r>
        <w:t>“</w:t>
      </w:r>
      <w:r w:rsidRPr="001114BD">
        <w:rPr>
          <w:i/>
          <w:iCs/>
        </w:rPr>
        <w:t>Basic Concepts and Models of Family Stress, Stress, Trauma, and Crisis</w:t>
      </w:r>
      <w:r>
        <w:t>”</w:t>
      </w:r>
      <w:r w:rsidRPr="001516A5">
        <w:t xml:space="preserve"> 9:3-4, 141-160, DOI: 10.1080/15434610600853717</w:t>
      </w:r>
    </w:p>
    <w:p w14:paraId="60DE3F3D" w14:textId="77777777" w:rsidR="003B71D1" w:rsidRDefault="003B71D1" w:rsidP="003B71D1">
      <w:pPr>
        <w:pStyle w:val="ListParagraph"/>
      </w:pPr>
    </w:p>
    <w:p w14:paraId="492CF4DB" w14:textId="77777777" w:rsidR="003B71D1" w:rsidRDefault="003B71D1" w:rsidP="003B71D1">
      <w:pPr>
        <w:pStyle w:val="ListParagraph"/>
      </w:pPr>
      <w:r w:rsidRPr="000D38F1">
        <w:t xml:space="preserve">Mann, B. (2021) </w:t>
      </w:r>
      <w:r>
        <w:t>“</w:t>
      </w:r>
      <w:r w:rsidRPr="000D38F1">
        <w:rPr>
          <w:i/>
          <w:iCs/>
        </w:rPr>
        <w:t>More Britons now unconfident than confident in the police to deal with crime locally</w:t>
      </w:r>
      <w:r>
        <w:t>”</w:t>
      </w:r>
      <w:r w:rsidRPr="000D38F1">
        <w:t xml:space="preserve"> Available at: </w:t>
      </w:r>
      <w:hyperlink r:id="rId29" w:history="1">
        <w:r w:rsidRPr="00726F2F">
          <w:rPr>
            <w:rStyle w:val="Hyperlink"/>
          </w:rPr>
          <w:t>https://yougov.co.uk/topics/politics/articles-reports/2021/10/06/more-britons-now-unconfident-confident-police-deal</w:t>
        </w:r>
      </w:hyperlink>
      <w:r>
        <w:t xml:space="preserve"> (Accessed: 20</w:t>
      </w:r>
      <w:r w:rsidRPr="000D38F1">
        <w:rPr>
          <w:vertAlign w:val="superscript"/>
        </w:rPr>
        <w:t>th</w:t>
      </w:r>
      <w:r>
        <w:t xml:space="preserve"> February 2023)</w:t>
      </w:r>
    </w:p>
    <w:p w14:paraId="5CBA4C66" w14:textId="77777777" w:rsidR="003B71D1" w:rsidRDefault="003B71D1" w:rsidP="003B71D1">
      <w:pPr>
        <w:pStyle w:val="ListParagraph"/>
      </w:pPr>
    </w:p>
    <w:p w14:paraId="7211D2E6" w14:textId="77777777" w:rsidR="003B71D1" w:rsidRDefault="003B71D1" w:rsidP="003B71D1">
      <w:pPr>
        <w:pStyle w:val="ListParagraph"/>
      </w:pPr>
      <w:proofErr w:type="spellStart"/>
      <w:r w:rsidRPr="00E50CA4">
        <w:t>Mutongwizo</w:t>
      </w:r>
      <w:proofErr w:type="spellEnd"/>
      <w:r w:rsidRPr="00E50CA4">
        <w:t>, T. et al. (2019) “</w:t>
      </w:r>
      <w:r w:rsidRPr="001114BD">
        <w:rPr>
          <w:i/>
          <w:iCs/>
        </w:rPr>
        <w:t>Resilience Policing: An Emerging Response to Shifting Harm Landscapes and Reshaping Community Policing</w:t>
      </w:r>
      <w:r w:rsidRPr="00E50CA4">
        <w:t xml:space="preserve">” Policing: A Journal of Policy and Practice, 15(1), pp. 606–621. Available at: </w:t>
      </w:r>
      <w:hyperlink r:id="rId30" w:history="1">
        <w:r w:rsidRPr="00C00FC5">
          <w:rPr>
            <w:rStyle w:val="Hyperlink"/>
          </w:rPr>
          <w:t>https://doi.org/10.1093/police/paz033</w:t>
        </w:r>
      </w:hyperlink>
      <w:r>
        <w:t xml:space="preserve"> (Accessed: 11 January 2023)</w:t>
      </w:r>
    </w:p>
    <w:p w14:paraId="30D4A656" w14:textId="77777777" w:rsidR="003B71D1" w:rsidRDefault="003B71D1" w:rsidP="003B71D1">
      <w:pPr>
        <w:pStyle w:val="ListParagraph"/>
      </w:pPr>
    </w:p>
    <w:p w14:paraId="68FDF08E" w14:textId="77777777" w:rsidR="003B71D1" w:rsidRDefault="003B71D1" w:rsidP="003B71D1">
      <w:pPr>
        <w:pStyle w:val="ListParagraph"/>
      </w:pPr>
      <w:r w:rsidRPr="00C0264E">
        <w:rPr>
          <w:i/>
          <w:iCs/>
        </w:rPr>
        <w:t>Offences against the Person Act 1861</w:t>
      </w:r>
      <w:r w:rsidRPr="00C0264E">
        <w:t xml:space="preserve">. Available at: </w:t>
      </w:r>
      <w:hyperlink r:id="rId31" w:history="1">
        <w:r w:rsidRPr="00F55FBA">
          <w:rPr>
            <w:rStyle w:val="Hyperlink"/>
          </w:rPr>
          <w:t>https://www.legislation.gov.uk/ukpga/Vict/24-25/100/section/16</w:t>
        </w:r>
      </w:hyperlink>
      <w:r w:rsidRPr="00C0264E">
        <w:t>.</w:t>
      </w:r>
      <w:r>
        <w:t xml:space="preserve"> (Accessed: 12</w:t>
      </w:r>
      <w:r w:rsidRPr="00C0264E">
        <w:rPr>
          <w:vertAlign w:val="superscript"/>
        </w:rPr>
        <w:t>th</w:t>
      </w:r>
      <w:r>
        <w:t xml:space="preserve"> March 2023.</w:t>
      </w:r>
    </w:p>
    <w:p w14:paraId="71026414" w14:textId="77777777" w:rsidR="003B71D1" w:rsidRDefault="003B71D1" w:rsidP="003B71D1">
      <w:pPr>
        <w:pStyle w:val="ListParagraph"/>
      </w:pPr>
    </w:p>
    <w:p w14:paraId="03C65412" w14:textId="77777777" w:rsidR="003B71D1" w:rsidRDefault="003B71D1" w:rsidP="003B71D1">
      <w:pPr>
        <w:pStyle w:val="ListParagraph"/>
        <w:rPr>
          <w:rStyle w:val="Hyperlink"/>
        </w:rPr>
      </w:pPr>
      <w:proofErr w:type="spellStart"/>
      <w:r w:rsidRPr="00A56BB3">
        <w:t>Pearlin</w:t>
      </w:r>
      <w:proofErr w:type="spellEnd"/>
      <w:r w:rsidRPr="00A56BB3">
        <w:t>, L.I. et al. (1981) “</w:t>
      </w:r>
      <w:r w:rsidRPr="00A56BB3">
        <w:rPr>
          <w:i/>
          <w:iCs/>
        </w:rPr>
        <w:t>The Stress Process</w:t>
      </w:r>
      <w:r w:rsidRPr="00A56BB3">
        <w:t xml:space="preserve">” Journal of Health and Social Behaviour, 22(4), p. 337. Available at: </w:t>
      </w:r>
      <w:hyperlink r:id="rId32" w:history="1">
        <w:r w:rsidRPr="00E01BA0">
          <w:rPr>
            <w:rStyle w:val="Hyperlink"/>
          </w:rPr>
          <w:t>https://doi.org/10.2307/2136676</w:t>
        </w:r>
      </w:hyperlink>
    </w:p>
    <w:p w14:paraId="6A93F34E" w14:textId="77777777" w:rsidR="003B71D1" w:rsidRDefault="003B71D1" w:rsidP="003B71D1">
      <w:pPr>
        <w:pStyle w:val="ListParagraph"/>
      </w:pPr>
    </w:p>
    <w:p w14:paraId="48E9DD17" w14:textId="77777777" w:rsidR="003B71D1" w:rsidRDefault="003B71D1" w:rsidP="003B71D1">
      <w:pPr>
        <w:pStyle w:val="ListParagraph"/>
      </w:pPr>
      <w:r w:rsidRPr="00A43F8F">
        <w:rPr>
          <w:i/>
          <w:iCs/>
        </w:rPr>
        <w:t>Police and Criminal Evidence Act 1984</w:t>
      </w:r>
      <w:r w:rsidRPr="00A43F8F">
        <w:t xml:space="preserve">. Available at: </w:t>
      </w:r>
      <w:hyperlink r:id="rId33" w:history="1">
        <w:r w:rsidRPr="00D80FDF">
          <w:rPr>
            <w:rStyle w:val="Hyperlink"/>
          </w:rPr>
          <w:t>https://www.legislation.gov.uk</w:t>
        </w:r>
      </w:hyperlink>
      <w:r>
        <w:t xml:space="preserve"> (Accessed: 19</w:t>
      </w:r>
      <w:r w:rsidRPr="00A43F8F">
        <w:rPr>
          <w:vertAlign w:val="superscript"/>
        </w:rPr>
        <w:t>th</w:t>
      </w:r>
      <w:r>
        <w:t xml:space="preserve"> February 2023)</w:t>
      </w:r>
    </w:p>
    <w:p w14:paraId="4ED38875" w14:textId="77777777" w:rsidR="003B71D1" w:rsidRDefault="003B71D1" w:rsidP="003B71D1">
      <w:pPr>
        <w:pStyle w:val="ListParagraph"/>
      </w:pPr>
    </w:p>
    <w:p w14:paraId="2426C6D3" w14:textId="77777777" w:rsidR="003B71D1" w:rsidRDefault="003B71D1" w:rsidP="003B71D1">
      <w:pPr>
        <w:pStyle w:val="ListParagraph"/>
      </w:pPr>
      <w:r w:rsidRPr="004E0966">
        <w:rPr>
          <w:i/>
          <w:iCs/>
        </w:rPr>
        <w:t>Police powers and procedures: Stop and search and arrests, England and Wales, year ending 31 March 2022</w:t>
      </w:r>
      <w:r w:rsidRPr="004E0966">
        <w:t xml:space="preserve"> (2022). Available at: </w:t>
      </w:r>
      <w:hyperlink r:id="rId34" w:history="1">
        <w:r w:rsidRPr="00D80FDF">
          <w:rPr>
            <w:rStyle w:val="Hyperlink"/>
          </w:rPr>
          <w:t>https://www.gov.uk/government/statistics/police-powers-and-procedures-stop-and-search-and-arrests-england-and-wales-year-ending-31-march-2022/police-powers-and-procedures-stop-and-search-and-arrests-england-and-wales-year-ending-31-march-2022</w:t>
        </w:r>
      </w:hyperlink>
      <w:r>
        <w:t xml:space="preserve"> (Accessed: 19</w:t>
      </w:r>
      <w:r w:rsidRPr="004E0966">
        <w:rPr>
          <w:vertAlign w:val="superscript"/>
        </w:rPr>
        <w:t>th</w:t>
      </w:r>
      <w:r>
        <w:t xml:space="preserve"> February 2023)</w:t>
      </w:r>
    </w:p>
    <w:p w14:paraId="7EA649B7" w14:textId="77777777" w:rsidR="003B71D1" w:rsidRDefault="003B71D1" w:rsidP="003B71D1">
      <w:pPr>
        <w:pStyle w:val="ListParagraph"/>
      </w:pPr>
    </w:p>
    <w:p w14:paraId="4C66F31B" w14:textId="77777777" w:rsidR="003B71D1" w:rsidRDefault="003B71D1" w:rsidP="003B71D1">
      <w:pPr>
        <w:pStyle w:val="ListParagraph"/>
        <w:rPr>
          <w:rStyle w:val="Hyperlink"/>
        </w:rPr>
      </w:pPr>
      <w:r w:rsidRPr="00A56BB3">
        <w:t xml:space="preserve">Porter, A. and </w:t>
      </w:r>
      <w:proofErr w:type="spellStart"/>
      <w:r w:rsidRPr="00A56BB3">
        <w:t>Goolkasian</w:t>
      </w:r>
      <w:proofErr w:type="spellEnd"/>
      <w:r w:rsidRPr="00A56BB3">
        <w:t>, P. (2019) “</w:t>
      </w:r>
      <w:r w:rsidRPr="00A56BB3">
        <w:rPr>
          <w:i/>
          <w:iCs/>
        </w:rPr>
        <w:t>Video Games and Stress: How Stress Appraisals and Game Content Affect Cardiovascular and Emotion Outcomes</w:t>
      </w:r>
      <w:r w:rsidRPr="00A56BB3">
        <w:t xml:space="preserve">” Frontiers in Psychology, 10. Available at: </w:t>
      </w:r>
      <w:hyperlink r:id="rId35" w:history="1">
        <w:r w:rsidRPr="00E01BA0">
          <w:rPr>
            <w:rStyle w:val="Hyperlink"/>
          </w:rPr>
          <w:t>https://doi.org/10.3389/fpsyg.2019.00967</w:t>
        </w:r>
      </w:hyperlink>
    </w:p>
    <w:p w14:paraId="248935F1" w14:textId="77777777" w:rsidR="003B71D1" w:rsidRDefault="003B71D1" w:rsidP="003B71D1">
      <w:pPr>
        <w:pStyle w:val="ListParagraph"/>
      </w:pPr>
    </w:p>
    <w:p w14:paraId="3EE71DF1" w14:textId="77777777" w:rsidR="003B71D1" w:rsidRDefault="003B71D1" w:rsidP="003B71D1">
      <w:pPr>
        <w:pStyle w:val="ListParagraph"/>
      </w:pPr>
      <w:r w:rsidRPr="00274BAF">
        <w:t>Reith, C. (1956) “</w:t>
      </w:r>
      <w:r w:rsidRPr="005A3C61">
        <w:rPr>
          <w:i/>
          <w:iCs/>
        </w:rPr>
        <w:t>A new study of police history</w:t>
      </w:r>
      <w:r w:rsidRPr="00274BAF">
        <w:t xml:space="preserve">” Oliver and Boyd eBooks [Preprint]. Available at: https://ci.nii.ac.jp/ncid/BA10572558 </w:t>
      </w:r>
    </w:p>
    <w:p w14:paraId="437473A7" w14:textId="77777777" w:rsidR="003B71D1" w:rsidRPr="005A3C61" w:rsidRDefault="003B71D1" w:rsidP="003B71D1">
      <w:pPr>
        <w:pStyle w:val="ListParagraph"/>
        <w:rPr>
          <w:color w:val="FF0000"/>
        </w:rPr>
      </w:pPr>
    </w:p>
    <w:p w14:paraId="6585A3FC" w14:textId="77777777" w:rsidR="003B71D1" w:rsidRDefault="003B71D1" w:rsidP="003B71D1">
      <w:pPr>
        <w:pStyle w:val="ListParagraph"/>
      </w:pPr>
      <w:r w:rsidRPr="005A3C61">
        <w:rPr>
          <w:i/>
          <w:iCs/>
        </w:rPr>
        <w:t>Resilience noun - Definition</w:t>
      </w:r>
      <w:r w:rsidRPr="0067094D">
        <w:t xml:space="preserve">, pictures, pronunciation and usage notes | Oxford Advanced Learner’s Dictionary at OxfordLearnersDictionaries.com (no date). Available at: </w:t>
      </w:r>
      <w:hyperlink r:id="rId36" w:history="1">
        <w:r w:rsidRPr="00C00FC5">
          <w:rPr>
            <w:rStyle w:val="Hyperlink"/>
          </w:rPr>
          <w:t>https://www.oxfordlearnersdictionaries.com/definition/english/resilience</w:t>
        </w:r>
      </w:hyperlink>
      <w:r>
        <w:t xml:space="preserve"> (Accessed: 11 January 2023)</w:t>
      </w:r>
    </w:p>
    <w:p w14:paraId="52F0DDFA" w14:textId="77777777" w:rsidR="003B71D1" w:rsidRDefault="003B71D1" w:rsidP="003B71D1">
      <w:pPr>
        <w:pStyle w:val="ListParagraph"/>
      </w:pPr>
    </w:p>
    <w:p w14:paraId="7D809B14" w14:textId="77777777" w:rsidR="003B71D1" w:rsidRDefault="003B71D1" w:rsidP="003B71D1">
      <w:pPr>
        <w:pStyle w:val="ListParagraph"/>
        <w:rPr>
          <w:rStyle w:val="Hyperlink"/>
        </w:rPr>
      </w:pPr>
      <w:proofErr w:type="spellStart"/>
      <w:r w:rsidRPr="008A2BC8">
        <w:t>Rueggeberg</w:t>
      </w:r>
      <w:proofErr w:type="spellEnd"/>
      <w:r w:rsidRPr="008A2BC8">
        <w:t xml:space="preserve">, R., </w:t>
      </w:r>
      <w:proofErr w:type="spellStart"/>
      <w:r w:rsidRPr="008A2BC8">
        <w:t>Wrosch</w:t>
      </w:r>
      <w:proofErr w:type="spellEnd"/>
      <w:r w:rsidRPr="008A2BC8">
        <w:t>, C. and Miller, G.E. (2012) “</w:t>
      </w:r>
      <w:r w:rsidRPr="005A3C61">
        <w:rPr>
          <w:i/>
          <w:iCs/>
        </w:rPr>
        <w:t>The different roles of perceived stress in the association between older adults’ physical activity and physical health</w:t>
      </w:r>
      <w:r w:rsidRPr="008A2BC8">
        <w:t xml:space="preserve">” Health Psychology, 31(2), pp. 164–171. Available at: </w:t>
      </w:r>
      <w:hyperlink r:id="rId37" w:history="1">
        <w:r w:rsidRPr="00C87993">
          <w:rPr>
            <w:rStyle w:val="Hyperlink"/>
          </w:rPr>
          <w:t>https://doi.org/10.1037/a0025242</w:t>
        </w:r>
      </w:hyperlink>
    </w:p>
    <w:p w14:paraId="49CA579C" w14:textId="77777777" w:rsidR="003B71D1" w:rsidRPr="005A3C61" w:rsidRDefault="003B71D1" w:rsidP="003B71D1">
      <w:pPr>
        <w:pStyle w:val="ListParagraph"/>
        <w:rPr>
          <w:rStyle w:val="Hyperlink"/>
          <w:color w:val="auto"/>
        </w:rPr>
      </w:pPr>
    </w:p>
    <w:p w14:paraId="728FD38F" w14:textId="77777777" w:rsidR="003B71D1" w:rsidRDefault="003B71D1" w:rsidP="003B71D1">
      <w:pPr>
        <w:pStyle w:val="ListParagraph"/>
      </w:pPr>
      <w:r w:rsidRPr="008F2A8E">
        <w:rPr>
          <w:i/>
          <w:iCs/>
        </w:rPr>
        <w:t>Stress - Every Mind Matters</w:t>
      </w:r>
      <w:r w:rsidRPr="002302C4">
        <w:t xml:space="preserve"> (2022). Available at: </w:t>
      </w:r>
      <w:hyperlink r:id="rId38" w:history="1">
        <w:r w:rsidRPr="001C0F32">
          <w:rPr>
            <w:rStyle w:val="Hyperlink"/>
          </w:rPr>
          <w:t>https://www.nhs.uk/every-mind-matters/mental-health-issues/stress/</w:t>
        </w:r>
      </w:hyperlink>
      <w:r>
        <w:t xml:space="preserve"> </w:t>
      </w:r>
      <w:r w:rsidRPr="008F2A8E">
        <w:t xml:space="preserve">(Accessed: </w:t>
      </w:r>
      <w:r>
        <w:t>11 January 2023</w:t>
      </w:r>
      <w:r w:rsidRPr="008F2A8E">
        <w:t>)</w:t>
      </w:r>
    </w:p>
    <w:p w14:paraId="12B417A1" w14:textId="77777777" w:rsidR="003B71D1" w:rsidRDefault="003B71D1" w:rsidP="003B71D1">
      <w:pPr>
        <w:pStyle w:val="ListParagraph"/>
      </w:pPr>
    </w:p>
    <w:p w14:paraId="21FB2693" w14:textId="77777777" w:rsidR="003B71D1" w:rsidRDefault="003B71D1" w:rsidP="003B71D1">
      <w:pPr>
        <w:pStyle w:val="ListParagraph"/>
      </w:pPr>
      <w:r w:rsidRPr="000871FC">
        <w:t>Swink, D. (2010) “</w:t>
      </w:r>
      <w:r w:rsidRPr="000871FC">
        <w:rPr>
          <w:i/>
          <w:iCs/>
        </w:rPr>
        <w:t>Adrenaline Rushes: Can They Help Us Deal with a Real Crisis?”</w:t>
      </w:r>
      <w:r w:rsidRPr="000871FC">
        <w:t xml:space="preserve"> Psychology Today, 31 January. Available at: https://www.psychologytoday.com/us/blog/threat-management/201001/adrenaline-rushes-can-they-help-us-deal-real-crisis (Accessed: 19</w:t>
      </w:r>
      <w:r w:rsidRPr="004E0966">
        <w:rPr>
          <w:vertAlign w:val="superscript"/>
        </w:rPr>
        <w:t>th</w:t>
      </w:r>
      <w:r>
        <w:t xml:space="preserve"> February</w:t>
      </w:r>
      <w:r w:rsidRPr="000871FC">
        <w:t xml:space="preserve"> 2023)</w:t>
      </w:r>
    </w:p>
    <w:p w14:paraId="3B0399E3" w14:textId="77777777" w:rsidR="003B71D1" w:rsidRDefault="003B71D1" w:rsidP="003B71D1">
      <w:pPr>
        <w:pStyle w:val="ListParagraph"/>
      </w:pPr>
    </w:p>
    <w:p w14:paraId="1433740E" w14:textId="77777777" w:rsidR="003B71D1" w:rsidRDefault="003B71D1" w:rsidP="003B71D1">
      <w:pPr>
        <w:pStyle w:val="ListParagraph"/>
      </w:pPr>
      <w:r w:rsidRPr="00AA6334">
        <w:t>Taylor, E. (2016) “</w:t>
      </w:r>
      <w:r w:rsidRPr="00AA6334">
        <w:rPr>
          <w:i/>
          <w:iCs/>
        </w:rPr>
        <w:t>Lights, Camera, Redaction… Police Body-Worn Cameras; Autonomy, Discretion and Accountability</w:t>
      </w:r>
      <w:r w:rsidRPr="00AA6334">
        <w:t>,” Surveillance and Society, 14(1), pp. 128–132</w:t>
      </w:r>
    </w:p>
    <w:p w14:paraId="14F807B8" w14:textId="77777777" w:rsidR="003B71D1" w:rsidRDefault="003B71D1" w:rsidP="003B71D1">
      <w:pPr>
        <w:pStyle w:val="ListParagraph"/>
      </w:pPr>
    </w:p>
    <w:p w14:paraId="0A4CCE07" w14:textId="77777777" w:rsidR="003B71D1" w:rsidRDefault="003B71D1" w:rsidP="003B71D1">
      <w:pPr>
        <w:pStyle w:val="ListParagraph"/>
      </w:pPr>
      <w:proofErr w:type="spellStart"/>
      <w:r w:rsidRPr="00651E42">
        <w:t>Triberti</w:t>
      </w:r>
      <w:proofErr w:type="spellEnd"/>
      <w:r w:rsidRPr="00651E42">
        <w:t>, S. (2016) “</w:t>
      </w:r>
      <w:r w:rsidRPr="005A3C61">
        <w:rPr>
          <w:i/>
          <w:iCs/>
        </w:rPr>
        <w:t>This Drives Me Nuts!”</w:t>
      </w:r>
      <w:r w:rsidRPr="00651E42">
        <w:t xml:space="preserve"> Integrating Technology in Positive Psychology Practice, pp. 266–289</w:t>
      </w:r>
    </w:p>
    <w:p w14:paraId="3F888E27" w14:textId="77777777" w:rsidR="003B71D1" w:rsidRDefault="003B71D1" w:rsidP="003B71D1">
      <w:pPr>
        <w:pStyle w:val="ListParagraph"/>
      </w:pPr>
    </w:p>
    <w:p w14:paraId="74C23D11" w14:textId="77777777" w:rsidR="003B71D1" w:rsidRDefault="003B71D1" w:rsidP="003B71D1">
      <w:pPr>
        <w:pStyle w:val="ListParagraph"/>
      </w:pPr>
      <w:r w:rsidRPr="00794DF0">
        <w:rPr>
          <w:i/>
          <w:iCs/>
        </w:rPr>
        <w:lastRenderedPageBreak/>
        <w:t>Understanding football violence could help the fight against terror</w:t>
      </w:r>
      <w:r w:rsidRPr="00794DF0">
        <w:t xml:space="preserve"> (2017). Available at: </w:t>
      </w:r>
      <w:hyperlink r:id="rId39" w:history="1">
        <w:r w:rsidRPr="00726F2F">
          <w:rPr>
            <w:rStyle w:val="Hyperlink"/>
          </w:rPr>
          <w:t>https://www.ox.ac.uk/news/2017-09-26-understanding-football-violence-could-help-fight-against-terror</w:t>
        </w:r>
      </w:hyperlink>
      <w:r>
        <w:t xml:space="preserve"> (Accessed: 20</w:t>
      </w:r>
      <w:r w:rsidRPr="00794DF0">
        <w:rPr>
          <w:vertAlign w:val="superscript"/>
        </w:rPr>
        <w:t>th</w:t>
      </w:r>
      <w:r>
        <w:t xml:space="preserve"> February 2023)</w:t>
      </w:r>
    </w:p>
    <w:p w14:paraId="5AAD9947" w14:textId="77777777" w:rsidR="003B71D1" w:rsidRDefault="003B71D1" w:rsidP="003B71D1">
      <w:pPr>
        <w:pStyle w:val="ListParagraph"/>
      </w:pPr>
    </w:p>
    <w:p w14:paraId="50DE2C68" w14:textId="77777777" w:rsidR="003B71D1" w:rsidRDefault="003B71D1" w:rsidP="003B71D1">
      <w:pPr>
        <w:pStyle w:val="ListParagraph"/>
      </w:pPr>
      <w:r w:rsidRPr="00B41227">
        <w:rPr>
          <w:i/>
          <w:iCs/>
        </w:rPr>
        <w:t>Why has there been a rise in hate crimes in the past two years?</w:t>
      </w:r>
      <w:r w:rsidRPr="00B41227">
        <w:t xml:space="preserve"> (no date). Available at: </w:t>
      </w:r>
      <w:hyperlink r:id="rId40" w:history="1">
        <w:r w:rsidRPr="004772E5">
          <w:rPr>
            <w:rStyle w:val="Hyperlink"/>
          </w:rPr>
          <w:t>https://www.crimeandinvestigation.co.uk/articles/why-has-there-been-rise-hate-crimes-past-two-years</w:t>
        </w:r>
      </w:hyperlink>
      <w:r>
        <w:t xml:space="preserve"> (Accessed: 7</w:t>
      </w:r>
      <w:r w:rsidRPr="00B41227">
        <w:rPr>
          <w:vertAlign w:val="superscript"/>
        </w:rPr>
        <w:t>th</w:t>
      </w:r>
      <w:r>
        <w:t xml:space="preserve"> March 2023)</w:t>
      </w:r>
    </w:p>
    <w:p w14:paraId="765A7608" w14:textId="77777777" w:rsidR="003B71D1" w:rsidRDefault="003B71D1" w:rsidP="003B71D1">
      <w:pPr>
        <w:pStyle w:val="ListParagraph"/>
      </w:pPr>
    </w:p>
    <w:p w14:paraId="076F1276" w14:textId="77777777" w:rsidR="003B71D1" w:rsidRDefault="003B71D1" w:rsidP="003B71D1">
      <w:pPr>
        <w:pStyle w:val="ListParagraph"/>
        <w:rPr>
          <w:rStyle w:val="Hyperlink"/>
        </w:rPr>
      </w:pPr>
      <w:r w:rsidRPr="005036A2">
        <w:t xml:space="preserve">Williams, M.L. and </w:t>
      </w:r>
      <w:proofErr w:type="spellStart"/>
      <w:r w:rsidRPr="005036A2">
        <w:t>Tregidga</w:t>
      </w:r>
      <w:proofErr w:type="spellEnd"/>
      <w:r w:rsidRPr="005036A2">
        <w:t>, J. (2014) “</w:t>
      </w:r>
      <w:r w:rsidRPr="005036A2">
        <w:rPr>
          <w:i/>
          <w:iCs/>
        </w:rPr>
        <w:t>Hate Crime Victimization in Wales</w:t>
      </w:r>
      <w:r w:rsidRPr="005036A2">
        <w:t xml:space="preserve">,” British Journal of Criminology, 54(5), pp. 946–967. Available at: </w:t>
      </w:r>
      <w:hyperlink r:id="rId41" w:history="1">
        <w:r w:rsidRPr="004772E5">
          <w:rPr>
            <w:rStyle w:val="Hyperlink"/>
          </w:rPr>
          <w:t>https://doi.org/10.1093/bjc/azu043</w:t>
        </w:r>
      </w:hyperlink>
    </w:p>
    <w:p w14:paraId="4B23EE97" w14:textId="77777777" w:rsidR="003B71D1" w:rsidRPr="0010229E" w:rsidRDefault="003B71D1" w:rsidP="003B71D1">
      <w:pPr>
        <w:pStyle w:val="ListParagraph"/>
        <w:rPr>
          <w:rStyle w:val="Hyperlink"/>
          <w:color w:val="auto"/>
        </w:rPr>
      </w:pPr>
    </w:p>
    <w:p w14:paraId="3C84F9C3" w14:textId="77777777" w:rsidR="003B71D1" w:rsidRDefault="003B71D1" w:rsidP="003B71D1">
      <w:pPr>
        <w:pStyle w:val="ListParagraph"/>
      </w:pPr>
      <w:r w:rsidRPr="00DE6B47">
        <w:rPr>
          <w:i/>
          <w:iCs/>
        </w:rPr>
        <w:t>Youth Justice and Criminal Evidence Act 1999. Part II</w:t>
      </w:r>
      <w:r>
        <w:t xml:space="preserve">. Available at: </w:t>
      </w:r>
      <w:r w:rsidRPr="0010229E">
        <w:rPr>
          <w:u w:val="single"/>
        </w:rPr>
        <w:t>https://www.legislation.gov.uk/ukpga/1999/23/contents</w:t>
      </w:r>
      <w:r>
        <w:t xml:space="preserve"> (Accessed: 6</w:t>
      </w:r>
      <w:r w:rsidRPr="00DE6B47">
        <w:rPr>
          <w:vertAlign w:val="superscript"/>
        </w:rPr>
        <w:t>th</w:t>
      </w:r>
      <w:r>
        <w:t xml:space="preserve"> March 2023)</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0BB3E" w14:textId="77777777" w:rsidR="00983D30" w:rsidRDefault="00983D30">
      <w:r>
        <w:separator/>
      </w:r>
    </w:p>
  </w:endnote>
  <w:endnote w:type="continuationSeparator" w:id="0">
    <w:p w14:paraId="0F28D501" w14:textId="77777777" w:rsidR="00983D30" w:rsidRDefault="00983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65390" w14:textId="77777777" w:rsidR="00983D30" w:rsidRDefault="00983D30">
      <w:r>
        <w:separator/>
      </w:r>
    </w:p>
  </w:footnote>
  <w:footnote w:type="continuationSeparator" w:id="0">
    <w:p w14:paraId="52DA9F37" w14:textId="77777777" w:rsidR="00983D30" w:rsidRDefault="00983D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5270021">
    <w:abstractNumId w:val="38"/>
  </w:num>
  <w:num w:numId="2" w16cid:durableId="98063764">
    <w:abstractNumId w:val="31"/>
  </w:num>
  <w:num w:numId="3" w16cid:durableId="2076733031">
    <w:abstractNumId w:val="23"/>
  </w:num>
  <w:num w:numId="4" w16cid:durableId="221916413">
    <w:abstractNumId w:val="1"/>
    <w:lvlOverride w:ilvl="0">
      <w:lvl w:ilvl="0">
        <w:start w:val="1"/>
        <w:numFmt w:val="bullet"/>
        <w:lvlText w:val=""/>
        <w:lvlJc w:val="left"/>
        <w:pPr>
          <w:ind w:left="720" w:hanging="360"/>
        </w:pPr>
        <w:rPr>
          <w:rFonts w:ascii="Symbol" w:hAnsi="Symbol" w:hint="default"/>
        </w:rPr>
      </w:lvl>
    </w:lvlOverride>
  </w:num>
  <w:num w:numId="5" w16cid:durableId="1583876688">
    <w:abstractNumId w:val="21"/>
  </w:num>
  <w:num w:numId="6" w16cid:durableId="1324577677">
    <w:abstractNumId w:val="45"/>
  </w:num>
  <w:num w:numId="7" w16cid:durableId="1935743585">
    <w:abstractNumId w:val="47"/>
  </w:num>
  <w:num w:numId="8" w16cid:durableId="527135789">
    <w:abstractNumId w:val="34"/>
  </w:num>
  <w:num w:numId="9" w16cid:durableId="1551576663">
    <w:abstractNumId w:val="32"/>
  </w:num>
  <w:num w:numId="10" w16cid:durableId="1499928309">
    <w:abstractNumId w:val="28"/>
  </w:num>
  <w:num w:numId="11" w16cid:durableId="15229394">
    <w:abstractNumId w:val="29"/>
  </w:num>
  <w:num w:numId="12" w16cid:durableId="626543111">
    <w:abstractNumId w:val="9"/>
  </w:num>
  <w:num w:numId="13" w16cid:durableId="1485315521">
    <w:abstractNumId w:val="33"/>
  </w:num>
  <w:num w:numId="14" w16cid:durableId="1028876724">
    <w:abstractNumId w:val="16"/>
  </w:num>
  <w:num w:numId="15" w16cid:durableId="1326085566">
    <w:abstractNumId w:val="15"/>
  </w:num>
  <w:num w:numId="16" w16cid:durableId="1204612">
    <w:abstractNumId w:val="26"/>
  </w:num>
  <w:num w:numId="17" w16cid:durableId="676689216">
    <w:abstractNumId w:val="7"/>
  </w:num>
  <w:num w:numId="18" w16cid:durableId="1624074439">
    <w:abstractNumId w:val="25"/>
  </w:num>
  <w:num w:numId="19" w16cid:durableId="584532529">
    <w:abstractNumId w:val="14"/>
  </w:num>
  <w:num w:numId="20" w16cid:durableId="259724203">
    <w:abstractNumId w:val="12"/>
  </w:num>
  <w:num w:numId="21" w16cid:durableId="209755574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76274306">
    <w:abstractNumId w:val="22"/>
  </w:num>
  <w:num w:numId="23" w16cid:durableId="1863934354">
    <w:abstractNumId w:val="17"/>
  </w:num>
  <w:num w:numId="24" w16cid:durableId="1515342292">
    <w:abstractNumId w:val="13"/>
  </w:num>
  <w:num w:numId="25" w16cid:durableId="286930786">
    <w:abstractNumId w:val="10"/>
  </w:num>
  <w:num w:numId="26" w16cid:durableId="1088387183">
    <w:abstractNumId w:val="27"/>
  </w:num>
  <w:num w:numId="27" w16cid:durableId="1286932100">
    <w:abstractNumId w:val="18"/>
  </w:num>
  <w:num w:numId="28" w16cid:durableId="330916643">
    <w:abstractNumId w:val="41"/>
  </w:num>
  <w:num w:numId="29" w16cid:durableId="1477843586">
    <w:abstractNumId w:val="35"/>
  </w:num>
  <w:num w:numId="30" w16cid:durableId="1034425784">
    <w:abstractNumId w:val="40"/>
  </w:num>
  <w:num w:numId="31" w16cid:durableId="851185003">
    <w:abstractNumId w:val="19"/>
  </w:num>
  <w:num w:numId="32" w16cid:durableId="1741488634">
    <w:abstractNumId w:val="43"/>
  </w:num>
  <w:num w:numId="33" w16cid:durableId="2092266334">
    <w:abstractNumId w:val="30"/>
  </w:num>
  <w:num w:numId="34" w16cid:durableId="1535074624">
    <w:abstractNumId w:val="11"/>
  </w:num>
  <w:num w:numId="35" w16cid:durableId="524171138">
    <w:abstractNumId w:val="44"/>
  </w:num>
  <w:num w:numId="36" w16cid:durableId="1694644516">
    <w:abstractNumId w:val="39"/>
  </w:num>
  <w:num w:numId="37" w16cid:durableId="910117029">
    <w:abstractNumId w:val="4"/>
  </w:num>
  <w:num w:numId="38" w16cid:durableId="381367137">
    <w:abstractNumId w:val="46"/>
  </w:num>
  <w:num w:numId="39" w16cid:durableId="2100174919">
    <w:abstractNumId w:val="42"/>
  </w:num>
  <w:num w:numId="40" w16cid:durableId="1372801070">
    <w:abstractNumId w:val="36"/>
  </w:num>
  <w:num w:numId="41" w16cid:durableId="1492018979">
    <w:abstractNumId w:val="37"/>
  </w:num>
  <w:num w:numId="42" w16cid:durableId="1668240623">
    <w:abstractNumId w:val="3"/>
  </w:num>
  <w:num w:numId="43" w16cid:durableId="1685861690">
    <w:abstractNumId w:val="5"/>
  </w:num>
  <w:num w:numId="44" w16cid:durableId="2000380516">
    <w:abstractNumId w:val="24"/>
  </w:num>
  <w:num w:numId="45" w16cid:durableId="1328509929">
    <w:abstractNumId w:val="6"/>
  </w:num>
  <w:num w:numId="46" w16cid:durableId="681707997">
    <w:abstractNumId w:val="2"/>
  </w:num>
  <w:num w:numId="47" w16cid:durableId="1656647544">
    <w:abstractNumId w:val="0"/>
  </w:num>
  <w:num w:numId="48" w16cid:durableId="2102290597">
    <w:abstractNumId w:val="20"/>
  </w:num>
  <w:num w:numId="49" w16cid:durableId="821579671">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B71D1"/>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35181"/>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83D30"/>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ps.gov.uk/crime-info/hate-crime" TargetMode="External"/><Relationship Id="rId39" Type="http://schemas.openxmlformats.org/officeDocument/2006/relationships/hyperlink" Target="https://www.ox.ac.uk/news/2017-09-26-understanding-football-violence-could-help-fight-against-terror" TargetMode="External"/><Relationship Id="rId21" Type="http://schemas.openxmlformats.org/officeDocument/2006/relationships/hyperlink" Target="http://changingminds.org/explanations/behaviors/betari_box.htm" TargetMode="External"/><Relationship Id="rId34" Type="http://schemas.openxmlformats.org/officeDocument/2006/relationships/hyperlink" Target="https://www.gov.uk/government/statistics/police-powers-and-procedures-stop-and-search-and-arrests-england-and-wales-year-ending-31-march-2022/police-powers-and-procedures-stop-and-search-and-arrests-england-and-wales-year-ending-31-march-2022"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rimeandjustice.org.uk/resources/institutional-racism-police-how-entrenched-has-it-become" TargetMode="External"/><Relationship Id="rId29" Type="http://schemas.openxmlformats.org/officeDocument/2006/relationships/hyperlink" Target="https://yougov.co.uk/topics/politics/articles-reports/2021/10/06/more-britons-now-unconfident-confident-police-deal" TargetMode="External"/><Relationship Id="rId41" Type="http://schemas.openxmlformats.org/officeDocument/2006/relationships/hyperlink" Target="https://doi.org/10.1093/bjc/azu04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02/ab.21454" TargetMode="External"/><Relationship Id="rId32" Type="http://schemas.openxmlformats.org/officeDocument/2006/relationships/hyperlink" Target="https://doi.org/10.2307/2136676" TargetMode="External"/><Relationship Id="rId37" Type="http://schemas.openxmlformats.org/officeDocument/2006/relationships/hyperlink" Target="https://doi.org/10.1037/a0025242" TargetMode="External"/><Relationship Id="rId40" Type="http://schemas.openxmlformats.org/officeDocument/2006/relationships/hyperlink" Target="https://www.crimeandinvestigation.co.uk/articles/why-has-there-been-rise-hate-crimes-past-two-year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insdictionary.com/dictionary/english/discretion" TargetMode="External"/><Relationship Id="rId28" Type="http://schemas.openxmlformats.org/officeDocument/2006/relationships/hyperlink" Target="https://doi.org/10.1146/annurev-criminol-011419-041330" TargetMode="External"/><Relationship Id="rId36" Type="http://schemas.openxmlformats.org/officeDocument/2006/relationships/hyperlink" Target="https://www.oxfordlearnersdictionaries.com/definition/english/resilienc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Vict/24-25/100/section/16" TargetMode="External"/><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legislation.gov.uk/ukpga/1971/48/contents" TargetMode="External"/><Relationship Id="rId27" Type="http://schemas.openxmlformats.org/officeDocument/2006/relationships/hyperlink" Target="https://www.theguardian.com/commentisfree/2022/feb/03/scandals-police-met-partygate-whatsapp-crisis-policing" TargetMode="External"/><Relationship Id="rId30" Type="http://schemas.openxmlformats.org/officeDocument/2006/relationships/hyperlink" Target="https://doi.org/10.1093/police/paz033" TargetMode="External"/><Relationship Id="rId35" Type="http://schemas.openxmlformats.org/officeDocument/2006/relationships/hyperlink" Target="https://doi.org/10.3389/fpsyg.2019.00967"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gov.uk/government/statistics/hate-crime-england-and-wales-2021-to-2022/hate-crime-england-and-wales-2021-to-2022" TargetMode="External"/><Relationship Id="rId33" Type="http://schemas.openxmlformats.org/officeDocument/2006/relationships/hyperlink" Target="https://www.legislation.gov.uk" TargetMode="External"/><Relationship Id="rId38" Type="http://schemas.openxmlformats.org/officeDocument/2006/relationships/hyperlink" Target="https://www.nhs.uk/every-mind-matters/mental-health-issues/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25</Pages>
  <Words>9586</Words>
  <Characters>54646</Characters>
  <Application>Microsoft Office Word</Application>
  <DocSecurity>0</DocSecurity>
  <Lines>455</Lines>
  <Paragraphs>128</Paragraphs>
  <ScaleCrop>false</ScaleCrop>
  <Company>Powys County Council</Company>
  <LinksUpToDate>false</LinksUpToDate>
  <CharactersWithSpaces>64104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Black,Shane swp8368</cp:lastModifiedBy>
  <cp:revision>3</cp:revision>
  <cp:lastPrinted>2019-08-13T11:47:00Z</cp:lastPrinted>
  <dcterms:created xsi:type="dcterms:W3CDTF">2023-03-20T12:32:00Z</dcterms:created>
  <dcterms:modified xsi:type="dcterms:W3CDTF">2023-03-20T12:45:00Z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2023-03-20T12:31:49Z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6ff1ff2b-baab-44ae-8aea-c0652d99ea83</vt:lpwstr>
  </property>
  <property fmtid="{D5CDD505-2E9C-101B-9397-08002B2CF9AE}" pid="9" name="MSIP_Label_66cf8fe5-b7b7-4df7-b38d-1c61ac2f6639_ContentBits">
    <vt:lpwstr>0</vt:lpwstr>
  </property>
</Properties>
</file>