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6000C" w14:textId="77777777" w:rsidR="008404A7" w:rsidRPr="00EA2A0D" w:rsidRDefault="008404A7">
      <w:pPr>
        <w:spacing w:before="240"/>
        <w:jc w:val="center"/>
        <w:rPr>
          <w:b/>
          <w:bCs/>
          <w:sz w:val="36"/>
          <w:szCs w:val="40"/>
        </w:rPr>
      </w:pPr>
    </w:p>
    <w:p w14:paraId="7E5969F4" w14:textId="77777777" w:rsidR="00212F30" w:rsidRDefault="00212F30" w:rsidP="00212F30">
      <w:r>
        <w:rPr>
          <w:noProof/>
        </w:rPr>
        <w:drawing>
          <wp:inline distT="0" distB="0" distL="0" distR="0" wp14:anchorId="27372B5D" wp14:editId="0A87572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742ADFA" w14:textId="77777777" w:rsidR="00212F30" w:rsidRDefault="00212F30" w:rsidP="00212F30"/>
    <w:p w14:paraId="64191EDE" w14:textId="77777777" w:rsidR="00212F30" w:rsidRDefault="00212F30" w:rsidP="00212F30"/>
    <w:p w14:paraId="32C21CB1" w14:textId="77777777" w:rsidR="00212F30" w:rsidRDefault="00212F30" w:rsidP="00212F30"/>
    <w:p w14:paraId="5BD3774F" w14:textId="77777777" w:rsidR="00212F30" w:rsidRDefault="00212F30" w:rsidP="00212F30"/>
    <w:p w14:paraId="5A94F6B4" w14:textId="77777777" w:rsidR="00212F30" w:rsidRDefault="00212F30" w:rsidP="00212F30"/>
    <w:p w14:paraId="1FC92B8A" w14:textId="77777777" w:rsidR="00212F30" w:rsidRDefault="00212F30" w:rsidP="00212F30">
      <w:pPr>
        <w:rPr>
          <w:rFonts w:asciiTheme="minorBidi" w:hAnsiTheme="minorBidi"/>
          <w:sz w:val="28"/>
          <w:szCs w:val="28"/>
        </w:rPr>
      </w:pPr>
      <w:r>
        <w:rPr>
          <w:rFonts w:asciiTheme="minorBidi" w:hAnsiTheme="minorBidi"/>
          <w:sz w:val="28"/>
          <w:szCs w:val="28"/>
        </w:rPr>
        <w:t>Name: Jenny Elizabeth Torres Crespo</w:t>
      </w:r>
    </w:p>
    <w:p w14:paraId="0397FFF0" w14:textId="77777777" w:rsidR="00212F30" w:rsidRDefault="00212F30" w:rsidP="00212F30">
      <w:pPr>
        <w:rPr>
          <w:rFonts w:asciiTheme="minorBidi" w:hAnsiTheme="minorBidi"/>
          <w:sz w:val="28"/>
          <w:szCs w:val="28"/>
        </w:rPr>
      </w:pPr>
      <w:r>
        <w:rPr>
          <w:rFonts w:asciiTheme="minorBidi" w:hAnsiTheme="minorBidi"/>
          <w:sz w:val="28"/>
          <w:szCs w:val="28"/>
        </w:rPr>
        <w:t>Student ID: 2511145</w:t>
      </w:r>
    </w:p>
    <w:p w14:paraId="79425381" w14:textId="77777777" w:rsidR="00212F30" w:rsidRDefault="00212F30" w:rsidP="00212F30">
      <w:pPr>
        <w:rPr>
          <w:rFonts w:asciiTheme="minorBidi" w:hAnsiTheme="minorBidi"/>
          <w:sz w:val="28"/>
          <w:szCs w:val="28"/>
        </w:rPr>
      </w:pPr>
      <w:r>
        <w:rPr>
          <w:rFonts w:asciiTheme="minorBidi" w:hAnsiTheme="minorBidi"/>
          <w:sz w:val="28"/>
          <w:szCs w:val="28"/>
        </w:rPr>
        <w:t>Module Code: LCHS 4003</w:t>
      </w:r>
    </w:p>
    <w:p w14:paraId="008A7A59" w14:textId="77777777" w:rsidR="00212F30" w:rsidRDefault="00212F30" w:rsidP="00212F30">
      <w:pPr>
        <w:rPr>
          <w:rFonts w:asciiTheme="minorBidi" w:hAnsiTheme="minorBidi"/>
          <w:sz w:val="28"/>
          <w:szCs w:val="28"/>
        </w:rPr>
      </w:pPr>
      <w:r>
        <w:rPr>
          <w:rFonts w:asciiTheme="minorBidi" w:hAnsiTheme="minorBidi"/>
          <w:sz w:val="28"/>
          <w:szCs w:val="28"/>
        </w:rPr>
        <w:t>Module: Introduction to Health and Social Care</w:t>
      </w:r>
    </w:p>
    <w:p w14:paraId="5B844CD2" w14:textId="77777777" w:rsidR="00212F30" w:rsidRDefault="00212F30" w:rsidP="00212F30">
      <w:pPr>
        <w:rPr>
          <w:rFonts w:asciiTheme="minorBidi" w:hAnsiTheme="minorBidi"/>
          <w:sz w:val="28"/>
          <w:szCs w:val="28"/>
        </w:rPr>
      </w:pPr>
      <w:r>
        <w:rPr>
          <w:rFonts w:asciiTheme="minorBidi" w:hAnsiTheme="minorBidi"/>
          <w:sz w:val="28"/>
          <w:szCs w:val="28"/>
        </w:rPr>
        <w:t>Lecturer: Mark Kane</w:t>
      </w:r>
    </w:p>
    <w:p w14:paraId="7D83FFBC" w14:textId="77777777" w:rsidR="00212F30" w:rsidRDefault="00212F30" w:rsidP="00212F30">
      <w:pPr>
        <w:rPr>
          <w:rFonts w:asciiTheme="minorBidi" w:hAnsiTheme="minorBidi"/>
          <w:sz w:val="28"/>
          <w:szCs w:val="28"/>
        </w:rPr>
      </w:pPr>
    </w:p>
    <w:p w14:paraId="4BF6C6BB" w14:textId="77777777" w:rsidR="00212F30" w:rsidRDefault="00212F30" w:rsidP="00212F30">
      <w:pPr>
        <w:rPr>
          <w:rFonts w:asciiTheme="minorBidi" w:hAnsiTheme="minorBidi"/>
          <w:sz w:val="28"/>
          <w:szCs w:val="28"/>
        </w:rPr>
      </w:pPr>
    </w:p>
    <w:p w14:paraId="5532E274" w14:textId="77777777" w:rsidR="00212F30" w:rsidRDefault="00212F30" w:rsidP="00212F30">
      <w:pPr>
        <w:rPr>
          <w:rFonts w:asciiTheme="minorBidi" w:hAnsiTheme="minorBidi"/>
          <w:sz w:val="28"/>
          <w:szCs w:val="28"/>
        </w:rPr>
      </w:pPr>
    </w:p>
    <w:p w14:paraId="1C2652E9" w14:textId="77777777" w:rsidR="00212F30" w:rsidRDefault="00212F30" w:rsidP="00212F30">
      <w:pPr>
        <w:rPr>
          <w:rFonts w:asciiTheme="minorBidi" w:hAnsiTheme="minorBidi"/>
          <w:sz w:val="28"/>
          <w:szCs w:val="28"/>
        </w:rPr>
      </w:pPr>
    </w:p>
    <w:p w14:paraId="05477529" w14:textId="77777777" w:rsidR="00212F30" w:rsidRDefault="00212F30" w:rsidP="00212F30">
      <w:pPr>
        <w:rPr>
          <w:rFonts w:asciiTheme="minorBidi" w:hAnsiTheme="minorBidi"/>
          <w:sz w:val="28"/>
          <w:szCs w:val="28"/>
        </w:rPr>
      </w:pPr>
    </w:p>
    <w:p w14:paraId="2166686F" w14:textId="77777777" w:rsidR="00212F30" w:rsidRDefault="00212F30" w:rsidP="00212F30">
      <w:pPr>
        <w:rPr>
          <w:rFonts w:asciiTheme="minorBidi" w:hAnsiTheme="minorBidi"/>
          <w:sz w:val="28"/>
          <w:szCs w:val="28"/>
        </w:rPr>
      </w:pPr>
    </w:p>
    <w:p w14:paraId="70C12930" w14:textId="77777777" w:rsidR="00212F30" w:rsidRDefault="00212F30" w:rsidP="00212F30">
      <w:pPr>
        <w:rPr>
          <w:rFonts w:asciiTheme="minorBidi" w:hAnsiTheme="minorBidi"/>
          <w:sz w:val="28"/>
          <w:szCs w:val="28"/>
        </w:rPr>
      </w:pPr>
    </w:p>
    <w:p w14:paraId="370C90FF" w14:textId="3D55FF7D" w:rsidR="008404A7" w:rsidRPr="00EA2A0D" w:rsidRDefault="00212F30" w:rsidP="00212F30">
      <w:pPr>
        <w:spacing w:before="240"/>
        <w:jc w:val="center"/>
        <w:rPr>
          <w:b/>
          <w:bCs/>
          <w:sz w:val="36"/>
          <w:szCs w:val="40"/>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20/04/2026</w:t>
      </w:r>
    </w:p>
    <w:p w14:paraId="782348CC" w14:textId="77777777" w:rsidR="008404A7" w:rsidRPr="00EA2A0D" w:rsidRDefault="008404A7">
      <w:pPr>
        <w:spacing w:before="240"/>
        <w:jc w:val="center"/>
        <w:rPr>
          <w:b/>
          <w:bCs/>
          <w:sz w:val="36"/>
          <w:szCs w:val="40"/>
        </w:rPr>
      </w:pPr>
    </w:p>
    <w:p w14:paraId="5B4D0359" w14:textId="53A9E9C3" w:rsidR="008404A7" w:rsidRPr="00EA2A0D" w:rsidRDefault="008404A7" w:rsidP="00212F30">
      <w:pPr>
        <w:spacing w:before="240"/>
        <w:jc w:val="center"/>
        <w:rPr>
          <w:b/>
          <w:bCs/>
          <w:sz w:val="36"/>
          <w:szCs w:val="40"/>
        </w:rPr>
      </w:pPr>
    </w:p>
    <w:p w14:paraId="1BA05355" w14:textId="77777777" w:rsidR="002C352F" w:rsidRPr="00EA2A0D" w:rsidRDefault="00E919F4">
      <w:pPr>
        <w:spacing w:before="240"/>
        <w:rPr>
          <w:b/>
          <w:bCs/>
          <w:sz w:val="32"/>
          <w:szCs w:val="32"/>
        </w:rPr>
      </w:pPr>
      <w:r w:rsidRPr="00EA2A0D">
        <w:br w:type="page"/>
      </w:r>
    </w:p>
    <w:sdt>
      <w:sdtPr>
        <w:rPr>
          <w:b/>
          <w:bCs/>
          <w:sz w:val="28"/>
          <w:szCs w:val="32"/>
        </w:rPr>
        <w:id w:val="1118725264"/>
        <w:docPartObj>
          <w:docPartGallery w:val="Table of Contents"/>
          <w:docPartUnique/>
        </w:docPartObj>
      </w:sdtPr>
      <w:sdtEndPr>
        <w:rPr>
          <w:noProof/>
          <w:sz w:val="22"/>
          <w:szCs w:val="24"/>
        </w:rPr>
      </w:sdtEndPr>
      <w:sdtContent>
        <w:p w14:paraId="70A9B0D4" w14:textId="516DD29A" w:rsidR="002C352F" w:rsidRPr="00EA2A0D" w:rsidRDefault="002C352F" w:rsidP="002C352F">
          <w:pPr>
            <w:jc w:val="center"/>
            <w:rPr>
              <w:b/>
              <w:bCs/>
              <w:sz w:val="28"/>
              <w:szCs w:val="32"/>
            </w:rPr>
          </w:pPr>
          <w:r w:rsidRPr="00EA2A0D">
            <w:rPr>
              <w:b/>
              <w:bCs/>
              <w:sz w:val="28"/>
              <w:szCs w:val="32"/>
            </w:rPr>
            <w:t>Table of Contents</w:t>
          </w:r>
        </w:p>
        <w:p w14:paraId="7B52C319" w14:textId="5277F21B" w:rsidR="002C352F" w:rsidRPr="00EA2A0D" w:rsidRDefault="002C352F" w:rsidP="003E5469">
          <w:pPr>
            <w:pStyle w:val="TOC1"/>
            <w:tabs>
              <w:tab w:val="right" w:leader="dot" w:pos="9016"/>
            </w:tabs>
            <w:rPr>
              <w:rFonts w:asciiTheme="minorHAnsi" w:eastAsiaTheme="minorEastAsia" w:hAnsiTheme="minorHAnsi" w:cstheme="minorBidi"/>
              <w:noProof/>
              <w:color w:val="auto"/>
              <w:kern w:val="2"/>
              <w:sz w:val="24"/>
              <w14:ligatures w14:val="standardContextual"/>
            </w:rPr>
          </w:pPr>
          <w:r w:rsidRPr="00EA2A0D">
            <w:fldChar w:fldCharType="begin"/>
          </w:r>
          <w:r w:rsidRPr="00EA2A0D">
            <w:instrText xml:space="preserve"> TOC \o "1-3" \h \z \u </w:instrText>
          </w:r>
          <w:r w:rsidRPr="00EA2A0D">
            <w:fldChar w:fldCharType="separate"/>
          </w:r>
          <w:r w:rsidR="003E5469">
            <w:rPr>
              <w:rFonts w:asciiTheme="minorHAnsi" w:eastAsiaTheme="minorEastAsia" w:hAnsiTheme="minorHAnsi" w:cstheme="minorBidi"/>
              <w:noProof/>
              <w:color w:val="auto"/>
              <w:kern w:val="2"/>
              <w:sz w:val="24"/>
            </w:rPr>
            <w:drawing>
              <wp:inline distT="0" distB="0" distL="0" distR="0" wp14:anchorId="5E8FCC80" wp14:editId="71A549B9">
                <wp:extent cx="5731510" cy="2018030"/>
                <wp:effectExtent l="0" t="0" r="2540" b="1270"/>
                <wp:docPr id="574017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17848" name="Picture 574017848"/>
                        <pic:cNvPicPr/>
                      </pic:nvPicPr>
                      <pic:blipFill>
                        <a:blip r:embed="rId10">
                          <a:extLst>
                            <a:ext uri="{28A0092B-C50C-407E-A947-70E740481C1C}">
                              <a14:useLocalDpi xmlns:a14="http://schemas.microsoft.com/office/drawing/2010/main" val="0"/>
                            </a:ext>
                          </a:extLst>
                        </a:blip>
                        <a:stretch>
                          <a:fillRect/>
                        </a:stretch>
                      </pic:blipFill>
                      <pic:spPr>
                        <a:xfrm>
                          <a:off x="0" y="0"/>
                          <a:ext cx="5731510" cy="2018030"/>
                        </a:xfrm>
                        <a:prstGeom prst="rect">
                          <a:avLst/>
                        </a:prstGeom>
                      </pic:spPr>
                    </pic:pic>
                  </a:graphicData>
                </a:graphic>
              </wp:inline>
            </w:drawing>
          </w:r>
        </w:p>
        <w:p w14:paraId="38F1A3C3" w14:textId="545B663B" w:rsidR="002C352F" w:rsidRPr="00EA2A0D" w:rsidRDefault="002C352F">
          <w:r w:rsidRPr="00EA2A0D">
            <w:rPr>
              <w:b/>
              <w:bCs/>
              <w:noProof/>
            </w:rPr>
            <w:fldChar w:fldCharType="end"/>
          </w:r>
        </w:p>
      </w:sdtContent>
    </w:sdt>
    <w:p w14:paraId="757839B1" w14:textId="5770C0C6" w:rsidR="008404A7" w:rsidRPr="00EA2A0D" w:rsidRDefault="00E919F4">
      <w:pPr>
        <w:spacing w:before="240"/>
        <w:rPr>
          <w:b/>
          <w:bCs/>
          <w:sz w:val="32"/>
          <w:szCs w:val="32"/>
        </w:rPr>
      </w:pPr>
      <w:r w:rsidRPr="00EA2A0D">
        <w:br w:type="page"/>
      </w:r>
    </w:p>
    <w:p w14:paraId="204A30A4" w14:textId="77777777" w:rsidR="008404A7" w:rsidRPr="00EA2A0D" w:rsidRDefault="00E919F4">
      <w:pPr>
        <w:pStyle w:val="Heading1"/>
        <w:spacing w:before="240"/>
      </w:pPr>
      <w:bookmarkStart w:id="0" w:name="_Toc226656334"/>
      <w:bookmarkStart w:id="1" w:name="_Toc227337283"/>
      <w:r w:rsidRPr="00EA2A0D">
        <w:lastRenderedPageBreak/>
        <w:t>Introduction</w:t>
      </w:r>
      <w:bookmarkEnd w:id="0"/>
      <w:bookmarkEnd w:id="1"/>
      <w:r w:rsidRPr="00EA2A0D">
        <w:t> </w:t>
      </w:r>
    </w:p>
    <w:p w14:paraId="5938C870" w14:textId="6E72B706" w:rsidR="008404A7" w:rsidRPr="00EA2A0D" w:rsidRDefault="00E919F4">
      <w:pPr>
        <w:spacing w:before="240"/>
      </w:pPr>
      <w:r w:rsidRPr="00EA2A0D">
        <w:t xml:space="preserve">The report that is going to be conducted will revolve around the case </w:t>
      </w:r>
      <w:r w:rsidR="00E011AD" w:rsidRPr="00EA2A0D">
        <w:t xml:space="preserve">and context </w:t>
      </w:r>
      <w:r w:rsidRPr="00EA2A0D">
        <w:t>of Mr Ahmed,</w:t>
      </w:r>
      <w:r w:rsidR="00623C6A" w:rsidRPr="00EA2A0D">
        <w:t xml:space="preserve"> </w:t>
      </w:r>
      <w:r w:rsidRPr="00EA2A0D">
        <w:t xml:space="preserve">a 68-year-old man, discharged from the hospital and is suffering from stroke and related issues. Mr Ahmed </w:t>
      </w:r>
      <w:r w:rsidR="00C72D19" w:rsidRPr="00EA2A0D">
        <w:t xml:space="preserve">and </w:t>
      </w:r>
      <w:r w:rsidRPr="00EA2A0D">
        <w:t xml:space="preserve">his wife </w:t>
      </w:r>
      <w:r w:rsidR="00D02834" w:rsidRPr="00EA2A0D">
        <w:t>stay</w:t>
      </w:r>
      <w:r w:rsidR="00C72D19" w:rsidRPr="00EA2A0D">
        <w:t xml:space="preserve"> </w:t>
      </w:r>
      <w:r w:rsidRPr="00EA2A0D">
        <w:t xml:space="preserve">in a flat situated on the ground floor, and that latter receives regular services from a domiciliary care agency of the local area, which helps Mr Ahmed in personal care, meal preparation and medication administration. However, recently, a concern was raised regarding the missed home visit on the part of the care agency, which led to not taking the prescribed medicine on time. The report that is going to be conducted will </w:t>
      </w:r>
      <w:r w:rsidR="00302C43" w:rsidRPr="00EA2A0D">
        <w:t>state</w:t>
      </w:r>
      <w:r w:rsidRPr="00EA2A0D">
        <w:t xml:space="preserve"> the </w:t>
      </w:r>
      <w:r w:rsidR="0090104C" w:rsidRPr="00EA2A0D">
        <w:t>significance</w:t>
      </w:r>
      <w:r w:rsidRPr="00EA2A0D">
        <w:t xml:space="preserve"> of effective</w:t>
      </w:r>
      <w:r w:rsidR="00134BE0" w:rsidRPr="00EA2A0D">
        <w:t xml:space="preserve"> </w:t>
      </w:r>
      <w:r w:rsidRPr="00EA2A0D">
        <w:t xml:space="preserve">communication in the </w:t>
      </w:r>
      <w:r w:rsidR="00D02834" w:rsidRPr="00EA2A0D">
        <w:t xml:space="preserve">selected </w:t>
      </w:r>
      <w:r w:rsidRPr="00EA2A0D">
        <w:t xml:space="preserve">case, while the </w:t>
      </w:r>
      <w:r w:rsidR="00983577" w:rsidRPr="00EA2A0D">
        <w:t>cruciality</w:t>
      </w:r>
      <w:r w:rsidRPr="00EA2A0D">
        <w:t xml:space="preserve"> of </w:t>
      </w:r>
      <w:r w:rsidR="00B458DF" w:rsidRPr="00EA2A0D">
        <w:t>efficient</w:t>
      </w:r>
      <w:r w:rsidRPr="00EA2A0D">
        <w:t xml:space="preserve"> administrative skills </w:t>
      </w:r>
      <w:r w:rsidR="00CC36AE" w:rsidRPr="00EA2A0D">
        <w:t>in</w:t>
      </w:r>
      <w:r w:rsidRPr="00EA2A0D">
        <w:t xml:space="preserve"> professional practice will also be discussed, followed by a discussion of the importance of collaboration in health and social care practice. </w:t>
      </w:r>
    </w:p>
    <w:p w14:paraId="726E47C0" w14:textId="1AB33B62" w:rsidR="008404A7" w:rsidRPr="00EA2A0D" w:rsidRDefault="00E919F4">
      <w:pPr>
        <w:pStyle w:val="Heading1"/>
        <w:spacing w:before="240"/>
      </w:pPr>
      <w:bookmarkStart w:id="2" w:name="_Toc226656335"/>
      <w:bookmarkStart w:id="3" w:name="_Toc227337284"/>
      <w:r w:rsidRPr="00EA2A0D">
        <w:t xml:space="preserve">“1. </w:t>
      </w:r>
      <w:r w:rsidR="00E61D32" w:rsidRPr="00EA2A0D">
        <w:t>Effective</w:t>
      </w:r>
      <w:r w:rsidRPr="00EA2A0D">
        <w:t xml:space="preserve"> communication and its importa</w:t>
      </w:r>
      <w:r w:rsidR="00CD44D0" w:rsidRPr="00EA2A0D">
        <w:t>nce</w:t>
      </w:r>
      <w:r w:rsidRPr="00EA2A0D">
        <w:t xml:space="preserve"> </w:t>
      </w:r>
      <w:r w:rsidR="00CD44D0" w:rsidRPr="00EA2A0D">
        <w:t>in</w:t>
      </w:r>
      <w:r w:rsidRPr="00EA2A0D">
        <w:t xml:space="preserve"> Mr Ahmed’s care”</w:t>
      </w:r>
      <w:bookmarkEnd w:id="2"/>
      <w:bookmarkEnd w:id="3"/>
    </w:p>
    <w:p w14:paraId="0BC39381" w14:textId="3FD4150E" w:rsidR="008404A7" w:rsidRPr="00EA2A0D" w:rsidRDefault="00E919F4">
      <w:pPr>
        <w:spacing w:before="240"/>
      </w:pPr>
      <w:r w:rsidRPr="00EA2A0D">
        <w:t xml:space="preserve">Effective communication in health and social care context within the UK involves a person-centred two-way process of clear, accurate and empathetic exchange of information between the patient and the service providers, or between the service providers and the family members of the patients (O'Toole, 2024). This particular way of communication also involves adherence to the </w:t>
      </w:r>
      <w:r w:rsidR="003844C7" w:rsidRPr="00EA2A0D">
        <w:t>‘</w:t>
      </w:r>
      <w:r w:rsidRPr="00EA2A0D">
        <w:t>Equality Act 2010</w:t>
      </w:r>
      <w:r w:rsidR="003844C7" w:rsidRPr="00EA2A0D">
        <w:t>”</w:t>
      </w:r>
      <w:r w:rsidRPr="00EA2A0D">
        <w:t xml:space="preserve"> of the UK. Based on the principles of this particular legislation, it is necessary that the service providers eliminate all sorts of discrimination while communicating with the patient and the patient's family members (Legislation, 2026). The communication modes must be accessible, inclusive and tailored to suit the individual patient or their family's needs. For instance, the example of Mr Ahmed’s case can be given here, as the latter understands Bengali properly and is not fluent in English. In this situation, the domiciliary care agency and the multidisciplinary team must focus on actively identifying the barriers to communication, which is language in this case, and must focus on offering tools like easy-to-read documents, rather than communicating with his wife regarding his needs. This helps in advancing the opportunity for equality and inclusivity so that equitable access can be promoted as per the principles of the </w:t>
      </w:r>
      <w:r w:rsidR="003844C7" w:rsidRPr="00EA2A0D">
        <w:t>“</w:t>
      </w:r>
      <w:r w:rsidRPr="00EA2A0D">
        <w:t>Equality Act 2010</w:t>
      </w:r>
      <w:r w:rsidR="003844C7" w:rsidRPr="00EA2A0D">
        <w:t>”</w:t>
      </w:r>
      <w:r w:rsidRPr="00EA2A0D">
        <w:t xml:space="preserve">. Another principle of this act is significantly interconnected in this scenario, and that is fostering good relations with the patients and their family members so that the principles of dignity, as well as respect and trust, can also be protected (Legislation, 2026). To foster the principles of the Equality Act 2010, in Mr Ahmed’s case, a significant model of communication can also be included to modify the communication between Mr Ahmed and the multidisciplinary team, and that communication </w:t>
      </w:r>
      <w:r w:rsidRPr="00EA2A0D">
        <w:lastRenderedPageBreak/>
        <w:t xml:space="preserve">model is the </w:t>
      </w:r>
      <w:r w:rsidR="00E0253C" w:rsidRPr="00EA2A0D">
        <w:t>“</w:t>
      </w:r>
      <w:r w:rsidRPr="00EA2A0D">
        <w:t>Transactional Model of Communication</w:t>
      </w:r>
      <w:r w:rsidR="00E0253C" w:rsidRPr="00EA2A0D">
        <w:t>”</w:t>
      </w:r>
      <w:r w:rsidRPr="00EA2A0D">
        <w:t xml:space="preserve">. The </w:t>
      </w:r>
      <w:r w:rsidR="00E0253C" w:rsidRPr="00EA2A0D">
        <w:t>“</w:t>
      </w:r>
      <w:r w:rsidRPr="00EA2A0D">
        <w:t>Transactional Model of Communication</w:t>
      </w:r>
      <w:r w:rsidR="00E0253C" w:rsidRPr="00EA2A0D">
        <w:t>”</w:t>
      </w:r>
      <w:r w:rsidRPr="00EA2A0D">
        <w:t xml:space="preserve"> can be stated as highly effective to be used in health and social care, as it recognises </w:t>
      </w:r>
      <w:r w:rsidR="00B5453F" w:rsidRPr="00EA2A0D">
        <w:t xml:space="preserve">the act of </w:t>
      </w:r>
      <w:r w:rsidRPr="00EA2A0D">
        <w:t xml:space="preserve">communication as a dynamic and simultaneous </w:t>
      </w:r>
      <w:r w:rsidR="00B5453F" w:rsidRPr="00EA2A0D">
        <w:t>procedure</w:t>
      </w:r>
      <w:r w:rsidRPr="00EA2A0D">
        <w:t xml:space="preserve"> </w:t>
      </w:r>
      <w:r w:rsidR="00B5453F" w:rsidRPr="00EA2A0D">
        <w:t>and not</w:t>
      </w:r>
      <w:r w:rsidRPr="00EA2A0D">
        <w:t xml:space="preserve"> a one-way transfer of </w:t>
      </w:r>
      <w:r w:rsidR="00CC3220" w:rsidRPr="00EA2A0D">
        <w:t xml:space="preserve">data or </w:t>
      </w:r>
      <w:r w:rsidRPr="00EA2A0D">
        <w:t xml:space="preserve">information (Mncina </w:t>
      </w:r>
      <w:r w:rsidRPr="00EA2A0D">
        <w:rPr>
          <w:i/>
          <w:iCs/>
        </w:rPr>
        <w:t xml:space="preserve">et al., </w:t>
      </w:r>
      <w:r w:rsidRPr="00EA2A0D">
        <w:t>2024). Based on this model, the service user, the latter’s family and the service provider all send and receive messages simultaneously involving active listening. The model also focuses on environmental development based on non-verbal communication, such as nodding or questioning, which helps professionals in adjusting their communication. The use of the same model in the case of Mr Ahmed the use of this model can help the multidisciplinary team to understand the need for altering the way of communication with the latter, as it is necessary that the healthcare professionals communicate directly with the patient rather than depending on the information passed on by their family member for better credibility of decisions. Here, the professionals can also opt for the use of a translator for Mr Ahmed to overcome the language barrier. </w:t>
      </w:r>
    </w:p>
    <w:p w14:paraId="68FE6DFD" w14:textId="3BD2E208" w:rsidR="008404A7" w:rsidRPr="00EA2A0D" w:rsidRDefault="00E919F4">
      <w:pPr>
        <w:pStyle w:val="Heading1"/>
        <w:spacing w:before="240"/>
      </w:pPr>
      <w:bookmarkStart w:id="4" w:name="_Toc226656336"/>
      <w:bookmarkStart w:id="5" w:name="_Toc227337285"/>
      <w:r w:rsidRPr="00EA2A0D">
        <w:t>“2.</w:t>
      </w:r>
      <w:r w:rsidR="00E5649D" w:rsidRPr="00EA2A0D">
        <w:t xml:space="preserve"> Importance</w:t>
      </w:r>
      <w:r w:rsidRPr="00EA2A0D">
        <w:t xml:space="preserve"> </w:t>
      </w:r>
      <w:r w:rsidR="00E5649D" w:rsidRPr="00EA2A0D">
        <w:t>of good</w:t>
      </w:r>
      <w:r w:rsidRPr="00EA2A0D">
        <w:t xml:space="preserve"> administrative skills in professional practice </w:t>
      </w:r>
      <w:r w:rsidR="00E5649D" w:rsidRPr="00EA2A0D">
        <w:t xml:space="preserve">and in </w:t>
      </w:r>
      <w:r w:rsidRPr="00EA2A0D">
        <w:t>Mr Ahmed’s care”</w:t>
      </w:r>
      <w:bookmarkEnd w:id="4"/>
      <w:bookmarkEnd w:id="5"/>
    </w:p>
    <w:p w14:paraId="03CE709C" w14:textId="4256F7C9" w:rsidR="008404A7" w:rsidRPr="00EA2A0D" w:rsidRDefault="00743E32">
      <w:pPr>
        <w:spacing w:before="240"/>
      </w:pPr>
      <w:r w:rsidRPr="00EA2A0D">
        <w:t>In the health and social care sector the administrative skills include the aspects of supporting clinical and management teams so that efficient services can be delivered and high-quality patient care can be provided. This is one of the foundational skills in terms of importance and necessity in the health and social care field in the UK. This directly ensures patient safety by accurate record keeping and also allows the staff to respond quickly to service-related issues (Parker, 2024). This particular skill also ensures that the information available at the point of care is relevant and updated, as inaccurate records can lead to disrupted patient care and compromise the quality of care. In Mr Ahmed</w:t>
      </w:r>
      <w:r w:rsidR="002037D8" w:rsidRPr="00EA2A0D">
        <w:t>’s case</w:t>
      </w:r>
      <w:r w:rsidRPr="00EA2A0D">
        <w:t xml:space="preserve">, the care agency missed a home visit, leading to the issue of missed medication, and this can lead to severe health issues on the part of this patient, suffering from stroke-related health issues. Here, it can be termed as a lack of administrative skills and proper reporting, as pepper reporting has focused on appointing a new team when the other one is not available, so that the medication of the patient must not be missed. A lack of record keeping is evident in this scenario, and this directly violates the principles of record keeping in health and social care in the UK. As per this factor, the records need to be up-to-date, accurate and comprehensive. In this case, the Care Quality Commission of the UK encourages practitioners to consider digital record keeping, which is faster, and the response time is also less than that of traditional methods (CQC, 2026). However, the application of the </w:t>
      </w:r>
      <w:r w:rsidR="00FD0F64" w:rsidRPr="00EA2A0D">
        <w:t>“</w:t>
      </w:r>
      <w:r w:rsidRPr="00EA2A0D">
        <w:t>Data Protection Act 2018</w:t>
      </w:r>
      <w:r w:rsidR="00FD0F64" w:rsidRPr="00EA2A0D">
        <w:t>”</w:t>
      </w:r>
      <w:r w:rsidRPr="00EA2A0D">
        <w:t xml:space="preserve"> is necessary in this scenario as it helps in maintaining confidentiality. The key principles of this act cover the range of lawfulness </w:t>
      </w:r>
      <w:r w:rsidRPr="00EA2A0D">
        <w:lastRenderedPageBreak/>
        <w:t xml:space="preserve">and fairness in protecting data, data minimisation and purpose limitation. Accuracy and integrity, accompanied by confidentiality, are the other two (Legislation, 2026). In the case of Mr Ahmed, these can be utilised in relation to the administrative skills in gathering up-to-date information about the patient.  Here, the importance of integrity and confidentiality is immense, as without due permission, the personal data of the perimeter cannot be shared with anyone. While accountability, another principle that can be seen neglected in Mr Ahmed’s case, as missing a home visit leading to medication miss is a severe violation of the accountability principle of the </w:t>
      </w:r>
      <w:r w:rsidR="00FD0F64" w:rsidRPr="00EA2A0D">
        <w:t>“</w:t>
      </w:r>
      <w:r w:rsidRPr="00EA2A0D">
        <w:t>Data Protection Act 2018</w:t>
      </w:r>
      <w:r w:rsidR="00FD0F64" w:rsidRPr="00EA2A0D">
        <w:t>”</w:t>
      </w:r>
      <w:r w:rsidRPr="00EA2A0D">
        <w:t xml:space="preserve">, UK. The </w:t>
      </w:r>
      <w:r w:rsidR="00FD0F64" w:rsidRPr="00EA2A0D">
        <w:t>‘</w:t>
      </w:r>
      <w:r w:rsidRPr="00EA2A0D">
        <w:t>Freedom of Information Act 2000</w:t>
      </w:r>
      <w:r w:rsidR="00FD0F64" w:rsidRPr="00EA2A0D">
        <w:t>”</w:t>
      </w:r>
      <w:r w:rsidRPr="00EA2A0D">
        <w:t xml:space="preserve">, of the UK, can also be signed in this scenario, as this also helps in governing the information of the patients (Legislation, 2026). While the </w:t>
      </w:r>
      <w:r w:rsidR="00FD0F64" w:rsidRPr="00EA2A0D">
        <w:t>“</w:t>
      </w:r>
      <w:r w:rsidRPr="00EA2A0D">
        <w:t>Records Management Code of Practice 2016 / 2021</w:t>
      </w:r>
      <w:r w:rsidR="00FD0F64" w:rsidRPr="00EA2A0D">
        <w:t>”</w:t>
      </w:r>
      <w:r w:rsidRPr="00EA2A0D">
        <w:t xml:space="preserve"> can also be utilised by the multidisciplinary team to set the standards of how long the records should be kept (NHS, 2026). </w:t>
      </w:r>
    </w:p>
    <w:p w14:paraId="21C2C127" w14:textId="6A7399D9" w:rsidR="008404A7" w:rsidRPr="00EA2A0D" w:rsidRDefault="00E919F4">
      <w:pPr>
        <w:pStyle w:val="Heading1"/>
        <w:spacing w:before="240"/>
      </w:pPr>
      <w:bookmarkStart w:id="6" w:name="_Toc226656337"/>
      <w:bookmarkStart w:id="7" w:name="_Toc227337286"/>
      <w:r w:rsidRPr="00EA2A0D">
        <w:t xml:space="preserve">“3. </w:t>
      </w:r>
      <w:r w:rsidR="00500622" w:rsidRPr="00EA2A0D">
        <w:t>Importance</w:t>
      </w:r>
      <w:r w:rsidRPr="00EA2A0D">
        <w:t xml:space="preserve"> of working collaboratively in Mr Ahmed’s care”</w:t>
      </w:r>
      <w:bookmarkEnd w:id="6"/>
      <w:bookmarkEnd w:id="7"/>
    </w:p>
    <w:p w14:paraId="4778BCA6" w14:textId="679F302C" w:rsidR="008404A7" w:rsidRPr="00EA2A0D" w:rsidRDefault="00070370">
      <w:pPr>
        <w:spacing w:before="240"/>
      </w:pPr>
      <w:r w:rsidRPr="00EA2A0D">
        <w:t xml:space="preserve">Collaborative working with a multidisciplinary team that involves a general practitioner (GP), </w:t>
      </w:r>
      <w:r w:rsidR="00186537" w:rsidRPr="00EA2A0D">
        <w:t xml:space="preserve">domiciliary care workers, </w:t>
      </w:r>
      <w:r w:rsidRPr="00EA2A0D">
        <w:t xml:space="preserve">district nurse, </w:t>
      </w:r>
      <w:r w:rsidR="00186537" w:rsidRPr="00EA2A0D">
        <w:t xml:space="preserve">and </w:t>
      </w:r>
      <w:r w:rsidRPr="00EA2A0D">
        <w:t>speech and language therapist</w:t>
      </w:r>
      <w:r w:rsidR="00186537" w:rsidRPr="00EA2A0D">
        <w:t xml:space="preserve"> </w:t>
      </w:r>
      <w:r w:rsidRPr="00EA2A0D">
        <w:t xml:space="preserve">is significantly effective in offering holistic and person-centred care to Mr Ahmed. Here, it is necessary to mention the importance of working collaboratively as it helps in reducing the fragmented services, helps in enhancing the patient safety, and also helps in improving the quality of care by providing a holistic person-centred approach (MD </w:t>
      </w:r>
      <w:r w:rsidRPr="00EA2A0D">
        <w:rPr>
          <w:i/>
          <w:iCs/>
        </w:rPr>
        <w:t>et al.,</w:t>
      </w:r>
      <w:r w:rsidRPr="00EA2A0D">
        <w:t xml:space="preserve"> 2025). The elderly patients like Mr Ahmed, as the latter is suffering from stroke, high blood pressure, wounds and even issues with communication, which led to language therapy and speech therapy, and in this scenario the working of the multidisciplinary team collaboratively will help in regular communication and ensuring the prevention of any contradictory advice, which will help in mitigating the physical, emotional and social needs. On the other hand, another important advantage of working collaboratively with other professionals is that it helps in enhancing patient safety and also in reducing the risk of medication errors and taking early intervention regarding comorbidity issues. The similar advantages will also be seen in the case of Mr Ahmed if the collaboration of the GP, the domiciliary care agency, and the speech and language therapist with the district nurse works together based on a holistic approach. Several approaches can be undertaken to foster effective team collaboration and address and overcome the common challenges, such as a lack of vision, issues regarding trust and respect, issues of accountability and structured communication in multi-agency work. Establishing a shared vision and goals can reduce lack of vision related issues and enhance the success quotient of the treatment. On </w:t>
      </w:r>
      <w:r w:rsidRPr="00EA2A0D">
        <w:lastRenderedPageBreak/>
        <w:t>the other hand, being involved in joint meetings, joint training and shared social events can help in building trust and respect for each other (England, 2022). Apart from that, undertaking a structured communication model like the Transactional Model of Communication can help in reducing communication gaps and increasing accountability among members. </w:t>
      </w:r>
    </w:p>
    <w:p w14:paraId="7DEA1114" w14:textId="77777777" w:rsidR="008404A7" w:rsidRPr="00EA2A0D" w:rsidRDefault="00E919F4">
      <w:pPr>
        <w:pStyle w:val="Heading1"/>
        <w:spacing w:before="240"/>
      </w:pPr>
      <w:bookmarkStart w:id="8" w:name="_Toc226656338"/>
      <w:bookmarkStart w:id="9" w:name="_Toc227337287"/>
      <w:r w:rsidRPr="00EA2A0D">
        <w:t>Conclusion</w:t>
      </w:r>
      <w:bookmarkEnd w:id="8"/>
      <w:bookmarkEnd w:id="9"/>
      <w:r w:rsidRPr="00EA2A0D">
        <w:t> </w:t>
      </w:r>
    </w:p>
    <w:p w14:paraId="179E383C" w14:textId="12059CEA" w:rsidR="008404A7" w:rsidRPr="00EA2A0D" w:rsidRDefault="00A8335E">
      <w:pPr>
        <w:spacing w:before="240"/>
      </w:pPr>
      <w:r w:rsidRPr="00EA2A0D">
        <w:t xml:space="preserve">Finally, in the concluding section of the report it can be stated that the report at the very outset has described the efficiency of effective communication parasites in the </w:t>
      </w:r>
      <w:r w:rsidR="00F8585A" w:rsidRPr="00EA2A0D">
        <w:t>“</w:t>
      </w:r>
      <w:r w:rsidRPr="00EA2A0D">
        <w:t>health and social care</w:t>
      </w:r>
      <w:r w:rsidR="00F8585A" w:rsidRPr="00EA2A0D">
        <w:t>”</w:t>
      </w:r>
      <w:r w:rsidRPr="00EA2A0D">
        <w:t xml:space="preserve"> context with special reference to </w:t>
      </w:r>
      <w:r w:rsidR="00DF2B75" w:rsidRPr="00EA2A0D">
        <w:t xml:space="preserve">Mr Ahmed’s </w:t>
      </w:r>
      <w:r w:rsidRPr="00EA2A0D">
        <w:t>case. Apart from that, the use of the principles of the Equality Act 2010 has also been considered in promoting equal opportunity and communication between the Healthcare professionals and the patient and their family. In doing so, the use of the Transactional Model of Communication has also been considered. Apart from that, the report has addressed the need for administrative skills with reference to record</w:t>
      </w:r>
      <w:r w:rsidR="00825CCD" w:rsidRPr="00EA2A0D">
        <w:t>-</w:t>
      </w:r>
      <w:r w:rsidRPr="00EA2A0D">
        <w:t xml:space="preserve">keeping and the </w:t>
      </w:r>
      <w:r w:rsidR="00E87379" w:rsidRPr="00EA2A0D">
        <w:t>“</w:t>
      </w:r>
      <w:r w:rsidRPr="00EA2A0D">
        <w:t>Data Protection Act 2018</w:t>
      </w:r>
      <w:r w:rsidR="00E87379" w:rsidRPr="00EA2A0D">
        <w:t>”</w:t>
      </w:r>
      <w:r w:rsidRPr="00EA2A0D">
        <w:t xml:space="preserve"> of the UK. Apart from that, other legislation has also been suggested, followed by an analysis of the importance of collaboratively working in a multidisciplinary team and overcoming the related challenges. </w:t>
      </w:r>
    </w:p>
    <w:p w14:paraId="2BE014F7" w14:textId="77777777" w:rsidR="008404A7" w:rsidRPr="00EA2A0D" w:rsidRDefault="00E919F4">
      <w:pPr>
        <w:spacing w:before="240"/>
        <w:rPr>
          <w:b/>
          <w:bCs/>
        </w:rPr>
      </w:pPr>
      <w:r w:rsidRPr="00EA2A0D">
        <w:rPr>
          <w:b/>
          <w:bCs/>
        </w:rPr>
        <w:br w:type="page"/>
      </w:r>
    </w:p>
    <w:sdt>
      <w:sdtPr>
        <w:rPr>
          <w:b w:val="0"/>
          <w:bCs w:val="0"/>
          <w:sz w:val="28"/>
          <w:szCs w:val="24"/>
        </w:rPr>
        <w:id w:val="6962404"/>
        <w:docPartObj>
          <w:docPartGallery w:val="Table of Contents"/>
          <w:docPartUnique/>
        </w:docPartObj>
      </w:sdtPr>
      <w:sdtEndPr>
        <w:rPr>
          <w:b/>
          <w:bCs/>
          <w:noProof/>
          <w:sz w:val="22"/>
        </w:rPr>
      </w:sdtEndPr>
      <w:sdtContent>
        <w:p w14:paraId="54446931" w14:textId="77777777" w:rsidR="003E5469" w:rsidRPr="00EA2A0D" w:rsidRDefault="003E5469" w:rsidP="003E5469">
          <w:pPr>
            <w:pStyle w:val="Heading1"/>
            <w:spacing w:before="240"/>
          </w:pPr>
          <w:r w:rsidRPr="00EA2A0D">
            <w:t>Reference list </w:t>
          </w:r>
        </w:p>
        <w:p w14:paraId="7FAA2E28" w14:textId="6BED751F" w:rsidR="003E5469" w:rsidRDefault="003E5469" w:rsidP="003E5469">
          <w:pPr>
            <w:jc w:val="center"/>
            <w:rPr>
              <w:rFonts w:asciiTheme="minorHAnsi" w:eastAsiaTheme="minorEastAsia" w:hAnsiTheme="minorHAnsi" w:cstheme="minorBidi"/>
              <w:noProof/>
              <w:color w:val="auto"/>
              <w:kern w:val="2"/>
              <w:sz w:val="24"/>
            </w:rPr>
          </w:pPr>
          <w:r w:rsidRPr="00EA2A0D">
            <w:fldChar w:fldCharType="begin"/>
          </w:r>
          <w:r w:rsidRPr="00EA2A0D">
            <w:instrText xml:space="preserve"> TOC \o "1-3" \h \z \u </w:instrText>
          </w:r>
          <w:r w:rsidRPr="00EA2A0D">
            <w:fldChar w:fldCharType="separate"/>
          </w:r>
        </w:p>
        <w:p w14:paraId="65BAE1B4" w14:textId="58CE9196" w:rsidR="003E5469" w:rsidRPr="00EA2A0D" w:rsidRDefault="003E5469" w:rsidP="003E5469">
          <w:pPr>
            <w:rPr>
              <w:rFonts w:asciiTheme="minorHAnsi" w:eastAsiaTheme="minorEastAsia" w:hAnsiTheme="minorHAnsi" w:cstheme="minorBidi"/>
              <w:noProof/>
              <w:color w:val="auto"/>
              <w:kern w:val="2"/>
              <w:sz w:val="24"/>
              <w14:ligatures w14:val="standardContextual"/>
            </w:rPr>
          </w:pPr>
          <w:r>
            <w:rPr>
              <w:rFonts w:asciiTheme="minorHAnsi" w:eastAsiaTheme="minorEastAsia" w:hAnsiTheme="minorHAnsi" w:cstheme="minorBidi"/>
              <w:noProof/>
              <w:color w:val="auto"/>
              <w:kern w:val="2"/>
              <w:sz w:val="24"/>
            </w:rPr>
            <w:drawing>
              <wp:inline distT="0" distB="0" distL="0" distR="0" wp14:anchorId="07B404EE" wp14:editId="621AF9CD">
                <wp:extent cx="5731510" cy="5842635"/>
                <wp:effectExtent l="0" t="0" r="2540" b="5715"/>
                <wp:docPr id="13648922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892264" name="Picture 1364892264"/>
                        <pic:cNvPicPr/>
                      </pic:nvPicPr>
                      <pic:blipFill>
                        <a:blip r:embed="rId11">
                          <a:extLst>
                            <a:ext uri="{28A0092B-C50C-407E-A947-70E740481C1C}">
                              <a14:useLocalDpi xmlns:a14="http://schemas.microsoft.com/office/drawing/2010/main" val="0"/>
                            </a:ext>
                          </a:extLst>
                        </a:blip>
                        <a:stretch>
                          <a:fillRect/>
                        </a:stretch>
                      </pic:blipFill>
                      <pic:spPr>
                        <a:xfrm>
                          <a:off x="0" y="0"/>
                          <a:ext cx="5731510" cy="5842635"/>
                        </a:xfrm>
                        <a:prstGeom prst="rect">
                          <a:avLst/>
                        </a:prstGeom>
                      </pic:spPr>
                    </pic:pic>
                  </a:graphicData>
                </a:graphic>
              </wp:inline>
            </w:drawing>
          </w:r>
        </w:p>
        <w:p w14:paraId="3EB9BE7A" w14:textId="77777777" w:rsidR="003E5469" w:rsidRPr="00EA2A0D" w:rsidRDefault="003E5469" w:rsidP="003E5469">
          <w:r w:rsidRPr="00EA2A0D">
            <w:rPr>
              <w:b/>
              <w:bCs/>
              <w:noProof/>
            </w:rPr>
            <w:fldChar w:fldCharType="end"/>
          </w:r>
        </w:p>
      </w:sdtContent>
    </w:sdt>
    <w:p w14:paraId="76CD113A" w14:textId="77777777" w:rsidR="003E5469" w:rsidRPr="00EA2A0D" w:rsidRDefault="003E5469" w:rsidP="003E5469">
      <w:pPr>
        <w:spacing w:before="240"/>
        <w:rPr>
          <w:b/>
          <w:bCs/>
          <w:sz w:val="32"/>
          <w:szCs w:val="32"/>
        </w:rPr>
      </w:pPr>
      <w:r w:rsidRPr="00EA2A0D">
        <w:br w:type="page"/>
      </w:r>
    </w:p>
    <w:p w14:paraId="75750FD9" w14:textId="0F0CFC3D" w:rsidR="008404A7" w:rsidRPr="00EA2A0D" w:rsidRDefault="008404A7" w:rsidP="003E5469">
      <w:pPr>
        <w:spacing w:before="240"/>
      </w:pPr>
    </w:p>
    <w:sectPr w:rsidR="008404A7" w:rsidRPr="00EA2A0D">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95E2D" w14:textId="77777777" w:rsidR="00B72840" w:rsidRDefault="00B72840">
      <w:pPr>
        <w:spacing w:line="240" w:lineRule="auto"/>
      </w:pPr>
      <w:r>
        <w:separator/>
      </w:r>
    </w:p>
  </w:endnote>
  <w:endnote w:type="continuationSeparator" w:id="0">
    <w:p w14:paraId="002551A6" w14:textId="77777777" w:rsidR="00B72840" w:rsidRDefault="00B728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panose1 w:val="00000000000000000000"/>
    <w:charset w:val="00"/>
    <w:family w:val="roman"/>
    <w:notTrueType/>
    <w:pitch w:val="default"/>
  </w:font>
  <w:font w:name="Play">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1" w:fontKey="{5A7465F3-40BD-48A3-B9B6-F191328BF1FA}"/>
  </w:font>
  <w:font w:name="Calibri">
    <w:panose1 w:val="020F0502020204030204"/>
    <w:charset w:val="00"/>
    <w:family w:val="swiss"/>
    <w:pitch w:val="variable"/>
    <w:sig w:usb0="E4002EFF" w:usb1="C200247B" w:usb2="00000009" w:usb3="00000000" w:csb0="000001FF" w:csb1="00000000"/>
    <w:embedRegular r:id="rId2" w:fontKey="{50EFA9E5-FCE1-4794-8F89-6AB0E70D37BA}"/>
  </w:font>
  <w:font w:name="Cambria">
    <w:panose1 w:val="02040503050406030204"/>
    <w:charset w:val="00"/>
    <w:family w:val="roman"/>
    <w:pitch w:val="variable"/>
    <w:sig w:usb0="E00006FF" w:usb1="420024FF" w:usb2="02000000" w:usb3="00000000" w:csb0="0000019F" w:csb1="00000000"/>
    <w:embedRegular r:id="rId3" w:fontKey="{FFBDD788-61A4-4BF6-8804-F93167B792A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46A57" w14:textId="078F2BF2" w:rsidR="008404A7" w:rsidRDefault="00E919F4">
    <w:pPr>
      <w:pStyle w:val="Footer"/>
      <w:jc w:val="right"/>
    </w:pPr>
    <w:r>
      <w:fldChar w:fldCharType="begin"/>
    </w:r>
    <w:r>
      <w:instrText xml:space="preserve"> PAGE   \* MERGEFORMAT </w:instrText>
    </w:r>
    <w:r>
      <w:fldChar w:fldCharType="separate"/>
    </w:r>
    <w:r w:rsidR="00E61D32">
      <w:rPr>
        <w:noProof/>
      </w:rPr>
      <w:t>5</w:t>
    </w:r>
    <w:r>
      <w:rPr>
        <w:noProof/>
      </w:rPr>
      <w:fldChar w:fldCharType="end"/>
    </w:r>
  </w:p>
  <w:p w14:paraId="6B40575B" w14:textId="77777777" w:rsidR="008404A7" w:rsidRDefault="00840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7D5B9" w14:textId="77777777" w:rsidR="00B72840" w:rsidRDefault="00B72840">
      <w:pPr>
        <w:spacing w:line="240" w:lineRule="auto"/>
      </w:pPr>
      <w:r>
        <w:separator/>
      </w:r>
    </w:p>
  </w:footnote>
  <w:footnote w:type="continuationSeparator" w:id="0">
    <w:p w14:paraId="50B81780" w14:textId="77777777" w:rsidR="00B72840" w:rsidRDefault="00B728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DBDE61B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0000002"/>
    <w:multiLevelType w:val="multilevel"/>
    <w:tmpl w:val="EC64395A"/>
    <w:lvl w:ilvl="0">
      <w:start w:val="1"/>
      <w:numFmt w:val="bullet"/>
      <w:lvlText w:val="-"/>
      <w:lvlJc w:val="left"/>
      <w:pPr>
        <w:ind w:left="1080" w:hanging="360"/>
      </w:pPr>
      <w:rPr>
        <w:rFonts w:ascii="Arial" w:eastAsia="Arial" w:hAnsi="Arial" w:cs="Arial"/>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 w15:restartNumberingAfterBreak="0">
    <w:nsid w:val="00000003"/>
    <w:multiLevelType w:val="multilevel"/>
    <w:tmpl w:val="705E6A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0000004"/>
    <w:multiLevelType w:val="multilevel"/>
    <w:tmpl w:val="9044E5B4"/>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00000005"/>
    <w:multiLevelType w:val="multilevel"/>
    <w:tmpl w:val="A944FE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0000006"/>
    <w:multiLevelType w:val="multilevel"/>
    <w:tmpl w:val="10D8A5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00000007"/>
    <w:multiLevelType w:val="multilevel"/>
    <w:tmpl w:val="3BE400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00000008"/>
    <w:multiLevelType w:val="multilevel"/>
    <w:tmpl w:val="CB228A7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00000009"/>
    <w:multiLevelType w:val="multilevel"/>
    <w:tmpl w:val="C8F851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0000000A"/>
    <w:multiLevelType w:val="multilevel"/>
    <w:tmpl w:val="9CFE6C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CFB34A9"/>
    <w:multiLevelType w:val="multilevel"/>
    <w:tmpl w:val="872654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78517513">
    <w:abstractNumId w:val="0"/>
  </w:num>
  <w:num w:numId="2" w16cid:durableId="551966599">
    <w:abstractNumId w:val="2"/>
  </w:num>
  <w:num w:numId="3" w16cid:durableId="1076047312">
    <w:abstractNumId w:val="4"/>
  </w:num>
  <w:num w:numId="4" w16cid:durableId="1852642622">
    <w:abstractNumId w:val="6"/>
  </w:num>
  <w:num w:numId="5" w16cid:durableId="1524395646">
    <w:abstractNumId w:val="5"/>
  </w:num>
  <w:num w:numId="6" w16cid:durableId="788276277">
    <w:abstractNumId w:val="1"/>
  </w:num>
  <w:num w:numId="7" w16cid:durableId="53546674">
    <w:abstractNumId w:val="8"/>
  </w:num>
  <w:num w:numId="8" w16cid:durableId="780881344">
    <w:abstractNumId w:val="3"/>
  </w:num>
  <w:num w:numId="9" w16cid:durableId="1224098779">
    <w:abstractNumId w:val="10"/>
  </w:num>
  <w:num w:numId="10" w16cid:durableId="1033923410">
    <w:abstractNumId w:val="7"/>
  </w:num>
  <w:num w:numId="11" w16cid:durableId="18541452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4A7"/>
    <w:rsid w:val="00044BC6"/>
    <w:rsid w:val="00070370"/>
    <w:rsid w:val="00100AF8"/>
    <w:rsid w:val="00134BE0"/>
    <w:rsid w:val="00186537"/>
    <w:rsid w:val="002037D8"/>
    <w:rsid w:val="00212F30"/>
    <w:rsid w:val="0023412E"/>
    <w:rsid w:val="00236A7F"/>
    <w:rsid w:val="00292203"/>
    <w:rsid w:val="002C352F"/>
    <w:rsid w:val="00302C43"/>
    <w:rsid w:val="003844C7"/>
    <w:rsid w:val="003D3613"/>
    <w:rsid w:val="003E5469"/>
    <w:rsid w:val="0044262D"/>
    <w:rsid w:val="00500622"/>
    <w:rsid w:val="0057304C"/>
    <w:rsid w:val="005B495E"/>
    <w:rsid w:val="00623C6A"/>
    <w:rsid w:val="007238E3"/>
    <w:rsid w:val="00727FA6"/>
    <w:rsid w:val="00743E32"/>
    <w:rsid w:val="00825CCD"/>
    <w:rsid w:val="008404A7"/>
    <w:rsid w:val="0090104C"/>
    <w:rsid w:val="009216AC"/>
    <w:rsid w:val="00983577"/>
    <w:rsid w:val="00A50B8B"/>
    <w:rsid w:val="00A8335E"/>
    <w:rsid w:val="00AF0ED0"/>
    <w:rsid w:val="00B07762"/>
    <w:rsid w:val="00B4562D"/>
    <w:rsid w:val="00B458DF"/>
    <w:rsid w:val="00B5453F"/>
    <w:rsid w:val="00B72840"/>
    <w:rsid w:val="00C72D19"/>
    <w:rsid w:val="00CC3220"/>
    <w:rsid w:val="00CC36AE"/>
    <w:rsid w:val="00CD44D0"/>
    <w:rsid w:val="00D02834"/>
    <w:rsid w:val="00DF2B75"/>
    <w:rsid w:val="00E011AD"/>
    <w:rsid w:val="00E0253C"/>
    <w:rsid w:val="00E234F3"/>
    <w:rsid w:val="00E5649D"/>
    <w:rsid w:val="00E61D32"/>
    <w:rsid w:val="00E87379"/>
    <w:rsid w:val="00E919F4"/>
    <w:rsid w:val="00EA2A0D"/>
    <w:rsid w:val="00F11C75"/>
    <w:rsid w:val="00F275B9"/>
    <w:rsid w:val="00F57AF6"/>
    <w:rsid w:val="00F8585A"/>
    <w:rsid w:val="00FD0F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6A92E"/>
  <w15:docId w15:val="{B8B1FBA7-1413-4AFE-BF3B-FF0BB5DE1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color w:val="000000"/>
      <w:sz w:val="22"/>
    </w:rPr>
  </w:style>
  <w:style w:type="paragraph" w:styleId="Heading1">
    <w:name w:val="heading 1"/>
    <w:basedOn w:val="Normal"/>
    <w:next w:val="Normal"/>
    <w:link w:val="Heading1Char"/>
    <w:uiPriority w:val="9"/>
    <w:qFormat/>
    <w:pPr>
      <w:keepNext/>
      <w:keepLines/>
      <w:outlineLvl w:val="0"/>
    </w:pPr>
    <w:rPr>
      <w:b/>
      <w:bCs/>
      <w:sz w:val="32"/>
      <w:szCs w:val="32"/>
    </w:rPr>
  </w:style>
  <w:style w:type="paragraph" w:styleId="Heading2">
    <w:name w:val="heading 2"/>
    <w:basedOn w:val="Normal"/>
    <w:next w:val="Normal"/>
    <w:link w:val="Heading2Char"/>
    <w:uiPriority w:val="9"/>
    <w:semiHidden/>
    <w:unhideWhenUsed/>
    <w:qFormat/>
    <w:pPr>
      <w:keepNext/>
      <w:keepLines/>
      <w:spacing w:before="160" w:after="80"/>
      <w:outlineLvl w:val="1"/>
    </w:pPr>
    <w:rPr>
      <w:rFonts w:eastAsia="Play" w:cs="Play"/>
      <w:b/>
      <w:sz w:val="28"/>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E75B5"/>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E75B5"/>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E75B5"/>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qFormat/>
    <w:pPr>
      <w:keepNext/>
      <w:keepLines/>
      <w:spacing w:before="40"/>
      <w:outlineLvl w:val="6"/>
    </w:pPr>
    <w:rPr>
      <w:rFonts w:eastAsia="SimSun" w:cs="SimSun"/>
      <w:color w:val="595959"/>
    </w:rPr>
  </w:style>
  <w:style w:type="paragraph" w:styleId="Heading8">
    <w:name w:val="heading 8"/>
    <w:basedOn w:val="Normal"/>
    <w:next w:val="Normal"/>
    <w:link w:val="Heading8Char"/>
    <w:uiPriority w:val="9"/>
    <w:qFormat/>
    <w:pPr>
      <w:keepNext/>
      <w:keepLines/>
      <w:outlineLvl w:val="7"/>
    </w:pPr>
    <w:rPr>
      <w:rFonts w:eastAsia="SimSun" w:cs="SimSun"/>
      <w:i/>
      <w:iCs/>
      <w:color w:val="272727"/>
    </w:rPr>
  </w:style>
  <w:style w:type="paragraph" w:styleId="Heading9">
    <w:name w:val="heading 9"/>
    <w:basedOn w:val="Normal"/>
    <w:next w:val="Normal"/>
    <w:link w:val="Heading9Char"/>
    <w:uiPriority w:val="9"/>
    <w:qFormat/>
    <w:pPr>
      <w:keepNext/>
      <w:keepLines/>
      <w:outlineLvl w:val="8"/>
    </w:pPr>
    <w:rPr>
      <w:rFonts w:eastAsia="SimSun" w:cs="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eastAsia="Play" w:hAnsi="Play" w:cs="Play"/>
      <w:sz w:val="56"/>
      <w:szCs w:val="56"/>
    </w:rPr>
  </w:style>
  <w:style w:type="character" w:customStyle="1" w:styleId="Heading1Char">
    <w:name w:val="Heading 1 Char"/>
    <w:basedOn w:val="DefaultParagraphFont"/>
    <w:link w:val="Heading1"/>
    <w:uiPriority w:val="9"/>
    <w:rPr>
      <w:rFonts w:ascii="Aptos Display" w:eastAsia="SimSun" w:hAnsi="Aptos Display" w:cs="SimSun"/>
      <w:color w:val="2E74B5"/>
      <w:sz w:val="40"/>
      <w:szCs w:val="40"/>
    </w:rPr>
  </w:style>
  <w:style w:type="character" w:customStyle="1" w:styleId="Heading2Char">
    <w:name w:val="Heading 2 Char"/>
    <w:basedOn w:val="DefaultParagraphFont"/>
    <w:link w:val="Heading2"/>
    <w:uiPriority w:val="9"/>
    <w:rPr>
      <w:rFonts w:eastAsia="Play" w:cs="Play"/>
      <w:b/>
      <w:color w:val="000000"/>
      <w:sz w:val="28"/>
      <w:szCs w:val="32"/>
    </w:rPr>
  </w:style>
  <w:style w:type="character" w:customStyle="1" w:styleId="Heading3Char">
    <w:name w:val="Heading 3 Char"/>
    <w:basedOn w:val="DefaultParagraphFont"/>
    <w:link w:val="Heading3"/>
    <w:uiPriority w:val="9"/>
    <w:rPr>
      <w:rFonts w:eastAsia="SimSun" w:cs="SimSun"/>
      <w:color w:val="2E74B5"/>
      <w:sz w:val="28"/>
      <w:szCs w:val="28"/>
    </w:rPr>
  </w:style>
  <w:style w:type="character" w:customStyle="1" w:styleId="Heading4Char">
    <w:name w:val="Heading 4 Char"/>
    <w:basedOn w:val="DefaultParagraphFont"/>
    <w:link w:val="Heading4"/>
    <w:uiPriority w:val="9"/>
    <w:rPr>
      <w:rFonts w:eastAsia="SimSun" w:cs="SimSun"/>
      <w:i/>
      <w:iCs/>
      <w:color w:val="2E74B5"/>
    </w:rPr>
  </w:style>
  <w:style w:type="character" w:customStyle="1" w:styleId="Heading5Char">
    <w:name w:val="Heading 5 Char"/>
    <w:basedOn w:val="DefaultParagraphFont"/>
    <w:link w:val="Heading5"/>
    <w:uiPriority w:val="9"/>
    <w:rPr>
      <w:rFonts w:eastAsia="SimSun" w:cs="SimSun"/>
      <w:color w:val="2E74B5"/>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character" w:customStyle="1" w:styleId="TitleChar">
    <w:name w:val="Title Char"/>
    <w:basedOn w:val="DefaultParagraphFont"/>
    <w:link w:val="Title"/>
    <w:uiPriority w:val="10"/>
    <w:rPr>
      <w:rFonts w:ascii="Aptos Display" w:eastAsia="SimSun" w:hAnsi="Aptos Display" w:cs="SimSun"/>
      <w:spacing w:val="-10"/>
      <w:kern w:val="28"/>
      <w:sz w:val="56"/>
      <w:szCs w:val="56"/>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E74B5"/>
    </w:rPr>
  </w:style>
  <w:style w:type="paragraph" w:styleId="IntenseQuote">
    <w:name w:val="Intense Quote"/>
    <w:basedOn w:val="Normal"/>
    <w:next w:val="Normal"/>
    <w:link w:val="IntenseQuoteChar"/>
    <w:uiPriority w:val="30"/>
    <w:qFormat/>
    <w:pPr>
      <w:pBdr>
        <w:top w:val="single" w:sz="4" w:space="10" w:color="2E74B5"/>
        <w:bottom w:val="single" w:sz="4" w:space="10" w:color="2E74B5"/>
      </w:pBdr>
      <w:spacing w:before="360" w:after="360"/>
      <w:ind w:left="864" w:right="864"/>
      <w:jc w:val="center"/>
    </w:pPr>
    <w:rPr>
      <w:i/>
      <w:iCs/>
      <w:color w:val="2E74B5"/>
    </w:rPr>
  </w:style>
  <w:style w:type="character" w:customStyle="1" w:styleId="IntenseQuoteChar">
    <w:name w:val="Intense Quote Char"/>
    <w:basedOn w:val="DefaultParagraphFont"/>
    <w:link w:val="IntenseQuote"/>
    <w:uiPriority w:val="30"/>
    <w:rPr>
      <w:i/>
      <w:iCs/>
      <w:color w:val="2E74B5"/>
    </w:rPr>
  </w:style>
  <w:style w:type="character" w:styleId="IntenseReference">
    <w:name w:val="Intense Reference"/>
    <w:basedOn w:val="DefaultParagraphFont"/>
    <w:uiPriority w:val="32"/>
    <w:qFormat/>
    <w:rPr>
      <w:b/>
      <w:bCs/>
      <w:smallCaps/>
      <w:color w:val="2E74B5"/>
      <w:spacing w:val="5"/>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color w:val="595959"/>
      <w:sz w:val="28"/>
      <w:szCs w:val="28"/>
    </w:rPr>
  </w:style>
  <w:style w:type="paragraph" w:styleId="TOCHeading">
    <w:name w:val="TOC Heading"/>
    <w:basedOn w:val="Heading1"/>
    <w:next w:val="Normal"/>
    <w:uiPriority w:val="39"/>
    <w:qFormat/>
    <w:pPr>
      <w:spacing w:before="240" w:line="259" w:lineRule="auto"/>
      <w:jc w:val="left"/>
      <w:outlineLvl w:val="9"/>
    </w:pPr>
    <w:rPr>
      <w:rFonts w:ascii="Aptos Display" w:eastAsia="SimSun" w:hAnsi="Aptos Display" w:cs="SimSun"/>
      <w:b w:val="0"/>
      <w:bCs w:val="0"/>
      <w:color w:val="2E74B5"/>
      <w:lang w:val="en-US" w:eastAsia="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style>
  <w:style w:type="paragraph" w:customStyle="1" w:styleId="Normal1">
    <w:name w:val="Normal1"/>
    <w:rPr>
      <w:rFonts w:ascii="Times New Roman" w:eastAsia="Times New Roman" w:hAnsi="Times New Roman" w:cs="Times New Roman"/>
      <w:lang w:val="en-US" w:eastAsia="en-US"/>
    </w:rPr>
  </w:style>
  <w:style w:type="paragraph" w:styleId="TOC2">
    <w:name w:val="toc 2"/>
    <w:basedOn w:val="Normal"/>
    <w:next w:val="Normal"/>
    <w:uiPriority w:val="39"/>
    <w:pPr>
      <w:spacing w:after="100"/>
      <w:ind w:left="240"/>
    </w:pPr>
  </w:style>
  <w:style w:type="paragraph" w:styleId="TOC3">
    <w:name w:val="toc 3"/>
    <w:basedOn w:val="Normal"/>
    <w:next w:val="Normal"/>
    <w:autoRedefine/>
    <w:uiPriority w:val="39"/>
    <w:unhideWhenUsed/>
    <w:rsid w:val="00044BC6"/>
    <w:pPr>
      <w:spacing w:after="100" w:line="259" w:lineRule="auto"/>
      <w:ind w:left="440"/>
      <w:jc w:val="left"/>
    </w:pPr>
    <w:rPr>
      <w:rFonts w:asciiTheme="minorHAnsi" w:eastAsiaTheme="minorEastAsia" w:hAnsiTheme="minorHAnsi" w:cs="Times New Roman"/>
      <w:color w:val="auto"/>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BIcg3eqIU6ZU7Hu54JfXM4SCDQ==">CgMxLjAyDmgud3hpNGJsNG0xM3Q4Mg5oLmJrOTVnYnVnY3A5NTgAciExZFFyd0NiQWdpUDRXQU1TSXVrMklSb0o5NVc3V2s0XzA=</go:docsCustomData>
</go:gDocsCustomXmlDataStorage>
</file>

<file path=customXml/itemProps1.xml><?xml version="1.0" encoding="utf-8"?>
<ds:datastoreItem xmlns:ds="http://schemas.openxmlformats.org/officeDocument/2006/customXml" ds:itemID="{9AA422DE-1852-441C-B0A2-222D46258DB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1557</Words>
  <Characters>8880</Characters>
  <Application>Microsoft Office Word</Application>
  <DocSecurity>0</DocSecurity>
  <Lines>74</Lines>
  <Paragraphs>20</Paragraphs>
  <ScaleCrop>false</ScaleCrop>
  <Company/>
  <LinksUpToDate>false</LinksUpToDate>
  <CharactersWithSpaces>10417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ll</dc:creator>
  <cp:lastModifiedBy>Jenny Elizabeth Torres Crespo (2511145)</cp:lastModifiedBy>
  <cp:revision>3</cp:revision>
  <dcterms:created xsi:type="dcterms:W3CDTF">2026-04-20T21:27:00Z</dcterms:created>
  <dcterms:modified xsi:type="dcterms:W3CDTF">2026-04-20T21:33:00Z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2f1ea299f9a84568955af859ca3b1944</vt:lpwstr>
  </property>
</Properties>
</file>