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26"/>
        <w:gridCol w:w="4090"/>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E4CA785" w:rsidR="00A60F09" w:rsidRPr="00D346DD" w:rsidRDefault="00602C4B" w:rsidP="00A60F09">
            <w:pPr>
              <w:rPr>
                <w:rFonts w:cs="Times New Roman"/>
                <w:b/>
                <w:bCs/>
                <w:i/>
                <w:iCs/>
                <w:color w:val="auto"/>
                <w:sz w:val="22"/>
              </w:rPr>
            </w:pPr>
            <w:r w:rsidRPr="000A7D84">
              <w:rPr>
                <w:rFonts w:eastAsia="Times New Roman" w:cs="Times New Roman"/>
                <w:b/>
                <w:bCs/>
                <w:color w:val="auto"/>
                <w:sz w:val="22"/>
              </w:rPr>
              <w:t>Student Name</w:t>
            </w:r>
            <w:r w:rsidRPr="00D346DD">
              <w:rPr>
                <w:rFonts w:eastAsia="Times New Roman" w:cs="Times New Roman"/>
                <w:b/>
                <w:bCs/>
                <w:color w:val="auto"/>
                <w:sz w:val="22"/>
              </w:rPr>
              <w:t>:</w:t>
            </w:r>
            <w:r w:rsidR="00A60F09" w:rsidRPr="00D346DD">
              <w:rPr>
                <w:rFonts w:eastAsia="Times New Roman" w:cs="Times New Roman"/>
                <w:b/>
                <w:bCs/>
                <w:color w:val="auto"/>
                <w:sz w:val="22"/>
              </w:rPr>
              <w:t xml:space="preserve"> </w:t>
            </w:r>
            <w:r w:rsidR="00D346DD" w:rsidRPr="00D346DD">
              <w:rPr>
                <w:rFonts w:cs="Times New Roman"/>
                <w:b/>
                <w:bCs/>
                <w:i/>
                <w:iCs/>
                <w:color w:val="auto"/>
                <w:sz w:val="22"/>
              </w:rPr>
              <w:t>Vasile Asmarandei</w:t>
            </w:r>
          </w:p>
          <w:p w14:paraId="0225E82F" w14:textId="77A9C981" w:rsidR="00602C4B" w:rsidRPr="00D346DD" w:rsidRDefault="00602C4B" w:rsidP="00675DCB">
            <w:pPr>
              <w:keepNext/>
              <w:spacing w:before="120" w:after="0" w:line="276" w:lineRule="auto"/>
              <w:rPr>
                <w:rFonts w:cs="Times New Roman"/>
                <w:b/>
                <w:bCs/>
                <w:noProof/>
                <w:color w:val="auto"/>
                <w:sz w:val="22"/>
                <w:lang w:eastAsia="en-GB"/>
              </w:rPr>
            </w:pPr>
            <w:r w:rsidRPr="00D346DD">
              <w:rPr>
                <w:rFonts w:eastAsia="Times New Roman" w:cs="Times New Roman"/>
                <w:b/>
                <w:bCs/>
                <w:color w:val="auto"/>
                <w:sz w:val="22"/>
                <w:lang w:val="en-AU"/>
              </w:rPr>
              <w:t>Student ID:</w:t>
            </w:r>
            <w:r w:rsidRPr="00D346DD">
              <w:rPr>
                <w:rFonts w:cs="Times New Roman"/>
                <w:b/>
                <w:bCs/>
                <w:noProof/>
                <w:color w:val="auto"/>
                <w:sz w:val="22"/>
                <w:lang w:eastAsia="en-GB"/>
              </w:rPr>
              <w:t xml:space="preserve"> </w:t>
            </w:r>
            <w:r w:rsidR="00D346DD" w:rsidRPr="00D346DD">
              <w:rPr>
                <w:rFonts w:cs="Times New Roman"/>
                <w:b/>
                <w:bCs/>
                <w:i/>
                <w:iCs/>
                <w:color w:val="auto"/>
                <w:sz w:val="22"/>
              </w:rPr>
              <w:t>2212713</w:t>
            </w:r>
          </w:p>
          <w:p w14:paraId="2284ACCC" w14:textId="2823B651" w:rsidR="00602C4B" w:rsidRPr="00D346DD" w:rsidRDefault="00602C4B" w:rsidP="00602C4B">
            <w:pPr>
              <w:keepNext/>
              <w:spacing w:before="120" w:after="0" w:line="276" w:lineRule="auto"/>
              <w:rPr>
                <w:rFonts w:eastAsia="Times New Roman" w:cs="Times New Roman"/>
                <w:b/>
                <w:bCs/>
                <w:color w:val="auto"/>
                <w:sz w:val="22"/>
                <w:lang w:val="en-AU"/>
              </w:rPr>
            </w:pPr>
            <w:r w:rsidRPr="00D346DD">
              <w:rPr>
                <w:rFonts w:eastAsia="Times New Roman" w:cs="Times New Roman"/>
                <w:b/>
                <w:bCs/>
                <w:color w:val="auto"/>
                <w:sz w:val="22"/>
                <w:lang w:val="en-AU"/>
              </w:rPr>
              <w:t>Module Title:</w:t>
            </w:r>
            <w:r w:rsidR="000A7D84" w:rsidRPr="00D346DD">
              <w:rPr>
                <w:rFonts w:cs="Times New Roman"/>
                <w:b/>
                <w:bCs/>
                <w:i/>
                <w:iCs/>
                <w:color w:val="auto"/>
                <w:sz w:val="22"/>
              </w:rPr>
              <w:t xml:space="preserve"> </w:t>
            </w:r>
            <w:r w:rsidR="00D346DD" w:rsidRPr="00D346DD">
              <w:rPr>
                <w:rFonts w:cs="Times New Roman"/>
                <w:b/>
                <w:bCs/>
                <w:i/>
                <w:iCs/>
                <w:color w:val="auto"/>
                <w:sz w:val="22"/>
              </w:rPr>
              <w:t>Foreign Languages &amp; Cultural Awareness</w:t>
            </w:r>
            <w:r w:rsidR="00D346DD" w:rsidRPr="00D346DD">
              <w:rPr>
                <w:rFonts w:cs="Times New Roman"/>
                <w:b/>
                <w:bCs/>
                <w:i/>
                <w:iCs/>
                <w:color w:val="auto"/>
                <w:sz w:val="22"/>
              </w:rPr>
              <w:t xml:space="preserve"> </w:t>
            </w:r>
            <w:r w:rsidRPr="00D346DD">
              <w:rPr>
                <w:rFonts w:eastAsia="Times New Roman" w:cs="Times New Roman"/>
                <w:b/>
                <w:bCs/>
                <w:color w:val="auto"/>
                <w:sz w:val="22"/>
                <w:lang w:val="en-AU"/>
              </w:rPr>
              <w:t>Module Code:</w:t>
            </w:r>
            <w:r w:rsidR="000A7D84" w:rsidRPr="00D346DD">
              <w:rPr>
                <w:rFonts w:cs="Times New Roman"/>
                <w:b/>
                <w:bCs/>
                <w:i/>
                <w:iCs/>
                <w:color w:val="auto"/>
                <w:sz w:val="22"/>
              </w:rPr>
              <w:t xml:space="preserve"> </w:t>
            </w:r>
            <w:r w:rsidR="00D346DD" w:rsidRPr="00D346DD">
              <w:rPr>
                <w:rFonts w:cs="Times New Roman"/>
                <w:b/>
                <w:bCs/>
                <w:i/>
                <w:iCs/>
                <w:color w:val="auto"/>
                <w:sz w:val="22"/>
              </w:rPr>
              <w:t>5003</w:t>
            </w:r>
          </w:p>
          <w:p w14:paraId="489EC369" w14:textId="1752C776" w:rsidR="00602C4B" w:rsidRPr="00D346DD" w:rsidRDefault="00602C4B" w:rsidP="00602C4B">
            <w:pPr>
              <w:keepNext/>
              <w:spacing w:before="120" w:after="0" w:line="276" w:lineRule="auto"/>
              <w:rPr>
                <w:rFonts w:eastAsia="Times New Roman" w:cs="Times New Roman"/>
                <w:b/>
                <w:bCs/>
                <w:color w:val="auto"/>
                <w:sz w:val="22"/>
                <w:lang w:val="en-AU"/>
              </w:rPr>
            </w:pPr>
            <w:r w:rsidRPr="00D346DD">
              <w:rPr>
                <w:rFonts w:eastAsia="Times New Roman" w:cs="Times New Roman"/>
                <w:b/>
                <w:bCs/>
                <w:color w:val="auto"/>
                <w:sz w:val="22"/>
                <w:lang w:val="en-AU"/>
              </w:rPr>
              <w:t>Lecturer:</w:t>
            </w:r>
            <w:r w:rsidR="000A7D84" w:rsidRPr="00D346DD">
              <w:rPr>
                <w:rFonts w:cs="Times New Roman"/>
                <w:b/>
                <w:bCs/>
                <w:i/>
                <w:iCs/>
                <w:color w:val="auto"/>
                <w:sz w:val="22"/>
              </w:rPr>
              <w:t xml:space="preserve"> </w:t>
            </w:r>
            <w:r w:rsidR="00D346DD" w:rsidRPr="00D346DD">
              <w:rPr>
                <w:rFonts w:cs="Times New Roman"/>
                <w:b/>
                <w:bCs/>
                <w:i/>
                <w:iCs/>
                <w:color w:val="auto"/>
                <w:sz w:val="22"/>
              </w:rPr>
              <w:t>Lisa Bassler</w:t>
            </w:r>
          </w:p>
          <w:p w14:paraId="0260DAF0" w14:textId="75D843CC" w:rsidR="00DA485D" w:rsidRDefault="00DA485D" w:rsidP="00602C4B">
            <w:pPr>
              <w:keepNext/>
              <w:spacing w:before="120" w:after="0" w:line="276" w:lineRule="auto"/>
              <w:rPr>
                <w:rFonts w:asciiTheme="minorHAnsi" w:hAnsiTheme="minorHAnsi"/>
                <w:b/>
                <w:bCs/>
                <w:noProof/>
              </w:rPr>
            </w:pPr>
            <w:r w:rsidRPr="00D346DD">
              <w:rPr>
                <w:rFonts w:cs="Times New Roman"/>
                <w:b/>
                <w:bCs/>
                <w:noProof/>
                <w:color w:val="auto"/>
                <w:sz w:val="22"/>
              </w:rPr>
              <w:t>Date:</w:t>
            </w:r>
            <w:r w:rsidR="000A7D84" w:rsidRPr="00D346DD">
              <w:rPr>
                <w:rFonts w:cs="Times New Roman"/>
                <w:b/>
                <w:bCs/>
                <w:i/>
                <w:iCs/>
                <w:color w:val="auto"/>
                <w:sz w:val="22"/>
              </w:rPr>
              <w:t xml:space="preserve"> </w:t>
            </w:r>
            <w:r w:rsidR="00D346DD" w:rsidRPr="00D346DD">
              <w:rPr>
                <w:rFonts w:cs="Times New Roman"/>
                <w:b/>
                <w:bCs/>
                <w:i/>
                <w:iCs/>
                <w:color w:val="auto"/>
                <w:sz w:val="22"/>
              </w:rPr>
              <w:t>01/03/2024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0BE695D" w14:textId="77777777" w:rsidR="00D346DD" w:rsidRPr="00D346DD" w:rsidRDefault="00D346DD" w:rsidP="00D346DD">
            <w:pPr>
              <w:rPr>
                <w:color w:val="auto"/>
                <w:sz w:val="28"/>
                <w:szCs w:val="24"/>
              </w:rPr>
            </w:pPr>
          </w:p>
          <w:p w14:paraId="13DCF4D9" w14:textId="77777777" w:rsidR="00D346DD" w:rsidRPr="00D346DD" w:rsidRDefault="00D346DD" w:rsidP="00D346DD">
            <w:pPr>
              <w:rPr>
                <w:color w:val="auto"/>
                <w:sz w:val="28"/>
                <w:szCs w:val="24"/>
              </w:rPr>
            </w:pPr>
            <w:r w:rsidRPr="00D346DD">
              <w:rPr>
                <w:color w:val="auto"/>
                <w:sz w:val="28"/>
                <w:szCs w:val="24"/>
              </w:rPr>
              <w:t>Reflection on cultural misunderstandings</w:t>
            </w:r>
          </w:p>
          <w:p w14:paraId="1EA9EE11" w14:textId="77777777" w:rsidR="00D346DD" w:rsidRPr="00D346DD" w:rsidRDefault="00D346DD" w:rsidP="00D346DD">
            <w:pPr>
              <w:rPr>
                <w:color w:val="auto"/>
                <w:sz w:val="28"/>
                <w:szCs w:val="24"/>
              </w:rPr>
            </w:pPr>
            <w:r w:rsidRPr="00D346DD">
              <w:rPr>
                <w:color w:val="auto"/>
                <w:sz w:val="28"/>
                <w:szCs w:val="24"/>
              </w:rPr>
              <w:t>Vasile Asmarandei</w:t>
            </w:r>
          </w:p>
          <w:p w14:paraId="781ED5B8" w14:textId="77777777" w:rsidR="00D346DD" w:rsidRPr="00D346DD" w:rsidRDefault="00D346DD" w:rsidP="00D346DD">
            <w:pPr>
              <w:rPr>
                <w:color w:val="auto"/>
                <w:sz w:val="28"/>
                <w:szCs w:val="24"/>
              </w:rPr>
            </w:pPr>
            <w:r w:rsidRPr="00D346DD">
              <w:rPr>
                <w:color w:val="auto"/>
                <w:sz w:val="28"/>
                <w:szCs w:val="24"/>
              </w:rPr>
              <w:t>2212713</w:t>
            </w:r>
          </w:p>
          <w:p w14:paraId="51F9E1FD" w14:textId="77777777" w:rsidR="00D346DD" w:rsidRPr="00D346DD" w:rsidRDefault="00D346DD" w:rsidP="00D346DD">
            <w:pPr>
              <w:rPr>
                <w:color w:val="auto"/>
                <w:sz w:val="28"/>
                <w:szCs w:val="24"/>
              </w:rPr>
            </w:pPr>
            <w:r w:rsidRPr="00D346DD">
              <w:rPr>
                <w:color w:val="auto"/>
                <w:sz w:val="28"/>
                <w:szCs w:val="24"/>
              </w:rPr>
              <w:t>Foreign Languages &amp; Cultural Awareness BMIH5003</w:t>
            </w:r>
          </w:p>
          <w:p w14:paraId="7A5F8158" w14:textId="77777777" w:rsidR="00D346DD" w:rsidRPr="00D346DD" w:rsidRDefault="00D346DD" w:rsidP="00D346DD">
            <w:pPr>
              <w:rPr>
                <w:color w:val="auto"/>
                <w:sz w:val="28"/>
                <w:szCs w:val="24"/>
              </w:rPr>
            </w:pPr>
            <w:r w:rsidRPr="00D346DD">
              <w:rPr>
                <w:color w:val="auto"/>
                <w:sz w:val="28"/>
                <w:szCs w:val="24"/>
              </w:rPr>
              <w:t>Lisa Bassler</w:t>
            </w:r>
          </w:p>
          <w:p w14:paraId="3CF21663" w14:textId="77777777" w:rsidR="00D346DD" w:rsidRPr="00D346DD" w:rsidRDefault="00D346DD" w:rsidP="00D346DD">
            <w:pPr>
              <w:rPr>
                <w:color w:val="auto"/>
                <w:sz w:val="28"/>
                <w:szCs w:val="24"/>
              </w:rPr>
            </w:pPr>
            <w:r w:rsidRPr="00D346DD">
              <w:rPr>
                <w:color w:val="auto"/>
                <w:sz w:val="28"/>
                <w:szCs w:val="24"/>
              </w:rPr>
              <w:t>550 words</w:t>
            </w:r>
          </w:p>
          <w:p w14:paraId="0641FBAA" w14:textId="77777777" w:rsidR="00D346DD" w:rsidRPr="00D346DD" w:rsidRDefault="00D346DD" w:rsidP="00D346DD">
            <w:pPr>
              <w:rPr>
                <w:color w:val="auto"/>
                <w:sz w:val="28"/>
                <w:szCs w:val="24"/>
              </w:rPr>
            </w:pPr>
          </w:p>
          <w:p w14:paraId="2C60514C" w14:textId="77777777" w:rsidR="00D346DD" w:rsidRPr="00D346DD" w:rsidRDefault="00D346DD" w:rsidP="00D346DD">
            <w:pPr>
              <w:rPr>
                <w:color w:val="auto"/>
                <w:sz w:val="28"/>
                <w:szCs w:val="24"/>
              </w:rPr>
            </w:pPr>
            <w:r w:rsidRPr="00D346DD">
              <w:rPr>
                <w:color w:val="auto"/>
                <w:sz w:val="28"/>
                <w:szCs w:val="24"/>
              </w:rPr>
              <w:t xml:space="preserve">As fresh Front Desk employee, I was checking in a guest from Japan, a country known for its high-context communication style, where indirect communication is common (Thomas, 2018). The guest subtly hinted at a room preference but did not explicitly state it. On that time, unfamiliar with high-context communication, I failed to pick up on the cues and assigned a room that did not aligned with the guest's unspoken preference. This leaded to disappointment for the guest, who expected from me, as experimented Receptionist to understand the implicit request. The mistake came from my </w:t>
            </w:r>
            <w:r w:rsidRPr="00D346DD">
              <w:rPr>
                <w:color w:val="auto"/>
                <w:sz w:val="28"/>
                <w:szCs w:val="24"/>
              </w:rPr>
              <w:lastRenderedPageBreak/>
              <w:t>lack of training in recognizing and responding to high-context communication styles (Meyer, 2014). In high-context cultures, individuals often communicate indirectly, relying on contextual cues and non-verbal signals, which may not be immediately apparent to someone unfamiliar with this communication approach (Jandt, 2014). The mistake occurred because lack of training and knowledges, I was at the time unfamiliar with that culture. Now I understand what happened, I had a Cross-Cultural Communication Training meantime, I could understand and recognize various communication styles, including high-context communication, I can interpret indirect cues more effectively, ensuring a better understanding of guests' preferences, also should develop active listening skills to pick up on subtle cues and non-verbal communication. Doing my job, I have the chance to practice attentive listening during interactions with guests, paying close attention to both verbal and non-verbal signals to gather comprehensive information. As receptionist, I can cultivate cultural sensitivity and awareness, particularly regarding communication styles prevalent in different cultures by approaching interactions with an awareness of potential cultural differences, trying to adapt communication methods to better align with guests' preferences. Focused on personal development in customer service excellence, emphasizing the importance of anticipating and meeting guest needs, I am able to provide a more personalized and anticipatory service by proactively addressing guests' preferences, even when not explicitly stated.  I embrace a mindset of continuous improvement by seeking feedback from supervisors and guests and I use feedback to identify areas for improvement in understanding and responding to guests' implicit preferences, making ongoing adjustments to enhance service quality (Heckman, 2004). Through these personal development initiatives and behavioral changes, the Front Desk employee can become better equipped to handle high-context communication styles, ensuring a more nuanced and culturally sensitive approach to guest interactions. Training and self-awareness play key roles in preventing similar mistakes in the future (Heckman, 2004).</w:t>
            </w:r>
          </w:p>
          <w:p w14:paraId="139AE4AB" w14:textId="061B8E5B" w:rsidR="00085A4E" w:rsidRPr="00D346DD" w:rsidRDefault="00D346DD" w:rsidP="00D346DD">
            <w:pPr>
              <w:rPr>
                <w:color w:val="auto"/>
                <w:sz w:val="28"/>
                <w:szCs w:val="24"/>
              </w:rPr>
            </w:pPr>
            <w:r w:rsidRPr="00D346DD">
              <w:rPr>
                <w:color w:val="auto"/>
                <w:sz w:val="28"/>
                <w:szCs w:val="24"/>
              </w:rPr>
              <w:t xml:space="preserve">Now I know the fact people from Japan, China, Korea, Saudi Arabia, Brazil, people using indirect communication (Thomas, 2018), their words tend to be high-context, with an emphasis on building relationships and understanding the context of a conversation. Indirect communication is common, and people may use non-verbal cues to convey their feelings or opinions. Understanding the high-context communication style in these countries is crucial for effective cross-cultural communication. Developing awareness of cultural nuances and investing in personal development can help individuals, </w:t>
            </w:r>
            <w:r w:rsidRPr="00D346DD">
              <w:rPr>
                <w:color w:val="auto"/>
                <w:sz w:val="28"/>
                <w:szCs w:val="24"/>
              </w:rPr>
              <w:lastRenderedPageBreak/>
              <w:t>especially front desk employees, navigate communication challenges and avoid misunderstandings in international contexts (Coyle, 2017). I learnt my lesson, this situation opened my mind, my example could stimulate people to learn from mistakes and to choose to train, as personal development to avoid this kind of errors especially representing Front Desk and the brand.</w:t>
            </w:r>
          </w:p>
          <w:p w14:paraId="49CFDEEE" w14:textId="77777777" w:rsidR="00136D1F" w:rsidRPr="00D346DD" w:rsidRDefault="00136D1F" w:rsidP="007C2128">
            <w:pPr>
              <w:rPr>
                <w:color w:val="auto"/>
                <w:sz w:val="28"/>
                <w:szCs w:val="24"/>
              </w:rPr>
            </w:pPr>
          </w:p>
          <w:p w14:paraId="036CC918" w14:textId="586AA2D3" w:rsidR="00085A4E" w:rsidRPr="00D346DD" w:rsidRDefault="003164B2" w:rsidP="007C2128">
            <w:pPr>
              <w:rPr>
                <w:color w:val="auto"/>
                <w:sz w:val="28"/>
                <w:szCs w:val="24"/>
              </w:rPr>
            </w:pPr>
            <w:r w:rsidRPr="00D346DD">
              <w:rPr>
                <w:color w:val="auto"/>
                <w:sz w:val="28"/>
                <w:szCs w:val="24"/>
              </w:rPr>
              <w:t>References:</w:t>
            </w:r>
          </w:p>
          <w:p w14:paraId="11F985D3" w14:textId="77777777" w:rsidR="00D346DD" w:rsidRPr="00D346DD" w:rsidRDefault="00D346DD" w:rsidP="00D346DD">
            <w:pPr>
              <w:spacing w:line="360" w:lineRule="auto"/>
              <w:jc w:val="both"/>
              <w:rPr>
                <w:rFonts w:ascii="Arial" w:hAnsi="Arial" w:cs="Arial"/>
                <w:color w:val="auto"/>
                <w:szCs w:val="24"/>
              </w:rPr>
            </w:pPr>
          </w:p>
          <w:p w14:paraId="2C8FA920" w14:textId="77777777" w:rsidR="00D346DD" w:rsidRPr="00D346DD" w:rsidRDefault="00D346DD" w:rsidP="00D346DD">
            <w:pPr>
              <w:spacing w:line="360" w:lineRule="auto"/>
              <w:jc w:val="both"/>
              <w:rPr>
                <w:rFonts w:ascii="Arial" w:hAnsi="Arial" w:cs="Arial"/>
                <w:color w:val="auto"/>
                <w:szCs w:val="24"/>
              </w:rPr>
            </w:pPr>
            <w:r w:rsidRPr="00D346DD">
              <w:rPr>
                <w:rFonts w:ascii="Arial" w:hAnsi="Arial" w:cs="Arial"/>
                <w:color w:val="auto"/>
                <w:szCs w:val="24"/>
              </w:rPr>
              <w:t xml:space="preserve">Coyle, D. (2017) “The Culture Code: The Secrets of Highly Successful Groups,” </w:t>
            </w:r>
            <w:r w:rsidRPr="00D346DD">
              <w:rPr>
                <w:rFonts w:ascii="Arial" w:hAnsi="Arial" w:cs="Arial"/>
                <w:i/>
                <w:iCs/>
                <w:color w:val="auto"/>
                <w:szCs w:val="24"/>
              </w:rPr>
              <w:t>Library Journal. Library Journals</w:t>
            </w:r>
            <w:r w:rsidRPr="00D346DD">
              <w:rPr>
                <w:rFonts w:ascii="Arial" w:hAnsi="Arial" w:cs="Arial"/>
                <w:color w:val="auto"/>
                <w:szCs w:val="24"/>
              </w:rPr>
              <w:t>, LLC, pp. 13-.</w:t>
            </w:r>
          </w:p>
          <w:p w14:paraId="1E57F051" w14:textId="77777777" w:rsidR="00D346DD" w:rsidRPr="00D346DD" w:rsidRDefault="00D346DD" w:rsidP="00D346DD">
            <w:pPr>
              <w:spacing w:line="360" w:lineRule="auto"/>
              <w:jc w:val="both"/>
              <w:rPr>
                <w:rFonts w:ascii="Arial" w:hAnsi="Arial" w:cs="Arial"/>
                <w:color w:val="auto"/>
                <w:szCs w:val="24"/>
              </w:rPr>
            </w:pPr>
            <w:r w:rsidRPr="00D346DD">
              <w:rPr>
                <w:rFonts w:ascii="Arial" w:hAnsi="Arial" w:cs="Arial"/>
                <w:color w:val="auto"/>
                <w:szCs w:val="24"/>
              </w:rPr>
              <w:t xml:space="preserve">Heckman, L. (2004) “Thomas, David C. &amp; Kerr Inkson. Cultural Intelligence: People Skills for Global Business,” </w:t>
            </w:r>
            <w:r w:rsidRPr="00D346DD">
              <w:rPr>
                <w:rFonts w:ascii="Arial" w:hAnsi="Arial" w:cs="Arial"/>
                <w:i/>
                <w:iCs/>
                <w:color w:val="auto"/>
                <w:szCs w:val="24"/>
              </w:rPr>
              <w:t>Library Journal. Library Journals</w:t>
            </w:r>
            <w:r w:rsidRPr="00D346DD">
              <w:rPr>
                <w:rFonts w:ascii="Arial" w:hAnsi="Arial" w:cs="Arial"/>
                <w:color w:val="auto"/>
                <w:szCs w:val="24"/>
              </w:rPr>
              <w:t>, LLC, pp. 151-.</w:t>
            </w:r>
          </w:p>
          <w:p w14:paraId="2EAB160A" w14:textId="77777777" w:rsidR="00D346DD" w:rsidRPr="00D346DD" w:rsidRDefault="00D346DD" w:rsidP="00D346DD">
            <w:pPr>
              <w:spacing w:line="360" w:lineRule="auto"/>
              <w:jc w:val="both"/>
              <w:rPr>
                <w:rFonts w:ascii="Arial" w:hAnsi="Arial" w:cs="Arial"/>
                <w:color w:val="auto"/>
                <w:szCs w:val="24"/>
              </w:rPr>
            </w:pPr>
            <w:r w:rsidRPr="00D346DD">
              <w:rPr>
                <w:rFonts w:ascii="Arial" w:hAnsi="Arial" w:cs="Arial"/>
                <w:color w:val="auto"/>
                <w:szCs w:val="24"/>
              </w:rPr>
              <w:t xml:space="preserve">Jandt, F.E. (2014) “The Global Intercultural Communication Reader,” </w:t>
            </w:r>
            <w:r w:rsidRPr="00D346DD">
              <w:rPr>
                <w:rFonts w:ascii="Arial" w:hAnsi="Arial" w:cs="Arial"/>
                <w:i/>
                <w:iCs/>
                <w:color w:val="auto"/>
                <w:szCs w:val="24"/>
              </w:rPr>
              <w:t>European Journal of Communication</w:t>
            </w:r>
            <w:r w:rsidRPr="00D346DD">
              <w:rPr>
                <w:rFonts w:ascii="Arial" w:hAnsi="Arial" w:cs="Arial"/>
                <w:color w:val="auto"/>
                <w:szCs w:val="24"/>
              </w:rPr>
              <w:t>. London, England: SAGE Publications, pp. 507–509</w:t>
            </w:r>
          </w:p>
          <w:p w14:paraId="74794377" w14:textId="77777777" w:rsidR="00D346DD" w:rsidRPr="00D346DD" w:rsidRDefault="00D346DD" w:rsidP="00D346DD">
            <w:pPr>
              <w:spacing w:line="360" w:lineRule="auto"/>
              <w:jc w:val="both"/>
              <w:rPr>
                <w:rFonts w:ascii="Arial" w:hAnsi="Arial" w:cs="Arial"/>
                <w:color w:val="auto"/>
                <w:szCs w:val="24"/>
              </w:rPr>
            </w:pPr>
            <w:r w:rsidRPr="00D346DD">
              <w:rPr>
                <w:rFonts w:ascii="Arial" w:hAnsi="Arial" w:cs="Arial"/>
                <w:color w:val="auto"/>
                <w:szCs w:val="24"/>
              </w:rPr>
              <w:t xml:space="preserve">Meyer, E. (2014) </w:t>
            </w:r>
            <w:r w:rsidRPr="00D346DD">
              <w:rPr>
                <w:rFonts w:ascii="Arial" w:hAnsi="Arial" w:cs="Arial"/>
                <w:i/>
                <w:iCs/>
                <w:color w:val="auto"/>
                <w:szCs w:val="24"/>
              </w:rPr>
              <w:t>The culture map : breaking through the invisible boundaries of global business.</w:t>
            </w:r>
            <w:r w:rsidRPr="00D346DD">
              <w:rPr>
                <w:rFonts w:ascii="Arial" w:hAnsi="Arial" w:cs="Arial"/>
                <w:color w:val="auto"/>
                <w:szCs w:val="24"/>
              </w:rPr>
              <w:t xml:space="preserve"> New York: Public Affairs.</w:t>
            </w:r>
          </w:p>
          <w:p w14:paraId="6B1E1128" w14:textId="77777777" w:rsidR="00D346DD" w:rsidRPr="00D346DD" w:rsidRDefault="00D346DD" w:rsidP="00D346DD">
            <w:pPr>
              <w:spacing w:line="360" w:lineRule="auto"/>
              <w:jc w:val="both"/>
              <w:rPr>
                <w:rFonts w:ascii="Arial" w:hAnsi="Arial" w:cs="Arial"/>
                <w:color w:val="auto"/>
                <w:szCs w:val="24"/>
              </w:rPr>
            </w:pPr>
            <w:r w:rsidRPr="00D346DD">
              <w:rPr>
                <w:rFonts w:ascii="Arial" w:hAnsi="Arial" w:cs="Arial"/>
                <w:color w:val="auto"/>
                <w:szCs w:val="24"/>
              </w:rPr>
              <w:t xml:space="preserve">Thomas, D.C. (David C. and Peterson, M.F. (2018) </w:t>
            </w:r>
            <w:r w:rsidRPr="00D346DD">
              <w:rPr>
                <w:rFonts w:ascii="Arial" w:hAnsi="Arial" w:cs="Arial"/>
                <w:i/>
                <w:iCs/>
                <w:color w:val="auto"/>
                <w:szCs w:val="24"/>
              </w:rPr>
              <w:t xml:space="preserve">Cross-cultural management : essential concepts. </w:t>
            </w:r>
            <w:r w:rsidRPr="00D346DD">
              <w:rPr>
                <w:rFonts w:ascii="Arial" w:hAnsi="Arial" w:cs="Arial"/>
                <w:color w:val="auto"/>
                <w:szCs w:val="24"/>
              </w:rPr>
              <w:t>Fourth edition, International student edition. Thousand Oaks, CA: SAGE.</w:t>
            </w:r>
          </w:p>
          <w:p w14:paraId="0165466E" w14:textId="77777777" w:rsidR="005C77A4" w:rsidRPr="00D346DD" w:rsidRDefault="005C77A4" w:rsidP="007C2128">
            <w:pPr>
              <w:rPr>
                <w:color w:val="auto"/>
                <w:sz w:val="28"/>
                <w:szCs w:val="24"/>
              </w:rPr>
            </w:pPr>
          </w:p>
          <w:p w14:paraId="4119FBB0" w14:textId="77777777" w:rsidR="00DA485D" w:rsidRPr="00D346DD" w:rsidRDefault="00DA485D" w:rsidP="007C2128">
            <w:pPr>
              <w:rPr>
                <w:color w:val="auto"/>
                <w:sz w:val="28"/>
                <w:szCs w:val="24"/>
              </w:rPr>
            </w:pPr>
          </w:p>
          <w:p w14:paraId="7713527D" w14:textId="77777777" w:rsidR="0064455E" w:rsidRPr="00D346DD" w:rsidRDefault="0064455E" w:rsidP="007C2128">
            <w:pPr>
              <w:rPr>
                <w:color w:val="auto"/>
                <w:sz w:val="28"/>
                <w:szCs w:val="24"/>
              </w:rPr>
            </w:pPr>
          </w:p>
          <w:p w14:paraId="1A791157" w14:textId="77777777" w:rsidR="0064455E" w:rsidRPr="00D346DD" w:rsidRDefault="0064455E" w:rsidP="007C2128">
            <w:pPr>
              <w:rPr>
                <w:color w:val="auto"/>
                <w:sz w:val="28"/>
                <w:szCs w:val="24"/>
              </w:rPr>
            </w:pPr>
          </w:p>
          <w:p w14:paraId="20F303B5" w14:textId="77777777" w:rsidR="0064455E" w:rsidRPr="00D346DD" w:rsidRDefault="0064455E" w:rsidP="007C2128">
            <w:pPr>
              <w:rPr>
                <w:color w:val="auto"/>
                <w:sz w:val="28"/>
                <w:szCs w:val="24"/>
              </w:rPr>
            </w:pPr>
          </w:p>
          <w:p w14:paraId="353BE8D3" w14:textId="77777777" w:rsidR="005C77A4" w:rsidRPr="00D346DD" w:rsidRDefault="005C77A4" w:rsidP="007C2128">
            <w:pPr>
              <w:rPr>
                <w:color w:val="auto"/>
                <w:sz w:val="28"/>
                <w:szCs w:val="24"/>
              </w:rPr>
            </w:pPr>
          </w:p>
          <w:p w14:paraId="31B07BB9" w14:textId="77777777" w:rsidR="005C77A4" w:rsidRPr="00D346DD" w:rsidRDefault="005C77A4" w:rsidP="007C2128">
            <w:pPr>
              <w:rPr>
                <w:color w:val="auto"/>
                <w:sz w:val="28"/>
                <w:szCs w:val="24"/>
              </w:rPr>
            </w:pPr>
          </w:p>
          <w:p w14:paraId="672B87DF" w14:textId="77777777" w:rsidR="0064455E" w:rsidRPr="00D346DD" w:rsidRDefault="0064455E" w:rsidP="007C2128">
            <w:pPr>
              <w:rPr>
                <w:color w:val="auto"/>
                <w:sz w:val="28"/>
                <w:szCs w:val="24"/>
              </w:rPr>
            </w:pPr>
          </w:p>
          <w:p w14:paraId="44A016D5" w14:textId="77777777" w:rsidR="00DA485D" w:rsidRPr="00D346DD" w:rsidRDefault="00DA485D" w:rsidP="007C2128">
            <w:pPr>
              <w:rPr>
                <w:color w:val="auto"/>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23C51330"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5228E3">
              <w:rPr>
                <w:b/>
                <w:bCs/>
                <w:i/>
                <w:iCs/>
                <w:sz w:val="28"/>
                <w:szCs w:val="24"/>
              </w:rPr>
              <w:t>Presentation</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6EC73D7F" w:rsidR="00E73500" w:rsidRDefault="00D346DD" w:rsidP="006C0FE2">
            <w:pPr>
              <w:rPr>
                <w:b/>
                <w:bCs/>
                <w:sz w:val="28"/>
                <w:szCs w:val="24"/>
              </w:rPr>
            </w:pPr>
            <w:r>
              <w:rPr>
                <w:noProof/>
                <w14:ligatures w14:val="standardContextual"/>
              </w:rPr>
              <w:drawing>
                <wp:inline distT="0" distB="0" distL="0" distR="0" wp14:anchorId="6C8F1144" wp14:editId="47965FB4">
                  <wp:extent cx="5731510" cy="3223895"/>
                  <wp:effectExtent l="0" t="0" r="2540" b="0"/>
                  <wp:docPr id="9472982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9825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09BF34AA" w:rsidR="003164B2" w:rsidRDefault="00D346DD" w:rsidP="003164B2">
            <w:pPr>
              <w:rPr>
                <w:b/>
                <w:bCs/>
                <w:sz w:val="28"/>
                <w:szCs w:val="24"/>
              </w:rPr>
            </w:pPr>
            <w:r>
              <w:rPr>
                <w:b/>
                <w:bCs/>
                <w:i/>
                <w:iCs/>
                <w:noProof/>
                <w:color w:val="BFBFBF" w:themeColor="background1" w:themeShade="BF"/>
                <w:sz w:val="28"/>
                <w:szCs w:val="24"/>
              </w:rPr>
              <w:drawing>
                <wp:inline distT="0" distB="0" distL="0" distR="0" wp14:anchorId="3F78815D" wp14:editId="6C8800D4">
                  <wp:extent cx="6096635" cy="3429000"/>
                  <wp:effectExtent l="0" t="0" r="0" b="0"/>
                  <wp:docPr id="1796844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5B19BDCB" w:rsidR="003164B2" w:rsidRDefault="00D346DD" w:rsidP="00D346DD">
            <w:pPr>
              <w:rPr>
                <w:b/>
                <w:bCs/>
                <w:i/>
                <w:iCs/>
                <w:color w:val="BFBFBF" w:themeColor="background1" w:themeShade="BF"/>
                <w:sz w:val="28"/>
                <w:szCs w:val="24"/>
              </w:rPr>
            </w:pPr>
            <w:r>
              <w:rPr>
                <w:b/>
                <w:bCs/>
                <w:i/>
                <w:iCs/>
                <w:noProof/>
                <w:color w:val="BFBFBF" w:themeColor="background1" w:themeShade="BF"/>
                <w:sz w:val="28"/>
                <w:szCs w:val="24"/>
              </w:rPr>
              <w:lastRenderedPageBreak/>
              <w:drawing>
                <wp:inline distT="0" distB="0" distL="0" distR="0" wp14:anchorId="67BB9A81" wp14:editId="7D34C574">
                  <wp:extent cx="6096635" cy="3429000"/>
                  <wp:effectExtent l="0" t="0" r="0" b="0"/>
                  <wp:docPr id="8756054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5233833F" w:rsidR="003164B2" w:rsidRDefault="00D346DD" w:rsidP="00D346DD">
            <w:pPr>
              <w:rPr>
                <w:b/>
                <w:bCs/>
                <w:i/>
                <w:iCs/>
                <w:color w:val="BFBFBF" w:themeColor="background1" w:themeShade="BF"/>
                <w:sz w:val="28"/>
                <w:szCs w:val="24"/>
              </w:rPr>
            </w:pPr>
            <w:r>
              <w:rPr>
                <w:b/>
                <w:bCs/>
                <w:i/>
                <w:iCs/>
                <w:noProof/>
                <w:color w:val="BFBFBF" w:themeColor="background1" w:themeShade="BF"/>
                <w:sz w:val="28"/>
                <w:szCs w:val="24"/>
              </w:rPr>
              <w:drawing>
                <wp:inline distT="0" distB="0" distL="0" distR="0" wp14:anchorId="3B037086" wp14:editId="68D2E1FE">
                  <wp:extent cx="6096635" cy="3429000"/>
                  <wp:effectExtent l="0" t="0" r="0" b="0"/>
                  <wp:docPr id="5435591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477EA68D" w:rsidR="003164B2" w:rsidRDefault="00D346DD" w:rsidP="00D346DD">
            <w:pPr>
              <w:rPr>
                <w:b/>
                <w:bCs/>
                <w:i/>
                <w:iCs/>
                <w:color w:val="BFBFBF" w:themeColor="background1" w:themeShade="BF"/>
                <w:sz w:val="28"/>
                <w:szCs w:val="24"/>
              </w:rPr>
            </w:pPr>
            <w:r>
              <w:rPr>
                <w:b/>
                <w:bCs/>
                <w:i/>
                <w:iCs/>
                <w:noProof/>
                <w:color w:val="BFBFBF" w:themeColor="background1" w:themeShade="BF"/>
                <w:sz w:val="28"/>
                <w:szCs w:val="24"/>
              </w:rPr>
              <w:lastRenderedPageBreak/>
              <w:drawing>
                <wp:inline distT="0" distB="0" distL="0" distR="0" wp14:anchorId="7577B578" wp14:editId="21C04990">
                  <wp:extent cx="6096635" cy="3429000"/>
                  <wp:effectExtent l="0" t="0" r="0" b="0"/>
                  <wp:docPr id="16310867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8B0240" w:rsidRPr="00330917" w14:paraId="361F1A73"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4501634" w14:textId="77777777" w:rsidR="008B0240" w:rsidRDefault="00D346DD" w:rsidP="003164B2">
            <w:pPr>
              <w:rPr>
                <w:b/>
                <w:bCs/>
                <w:i/>
                <w:iCs/>
                <w:color w:val="BFBFBF" w:themeColor="background1" w:themeShade="BF"/>
                <w:sz w:val="28"/>
                <w:szCs w:val="24"/>
              </w:rPr>
            </w:pPr>
            <w:r>
              <w:rPr>
                <w:b/>
                <w:bCs/>
                <w:i/>
                <w:iCs/>
                <w:noProof/>
                <w:color w:val="BFBFBF" w:themeColor="background1" w:themeShade="BF"/>
                <w:sz w:val="28"/>
                <w:szCs w:val="24"/>
              </w:rPr>
              <w:drawing>
                <wp:inline distT="0" distB="0" distL="0" distR="0" wp14:anchorId="607A891A" wp14:editId="0A4ABDA9">
                  <wp:extent cx="4924425" cy="2769701"/>
                  <wp:effectExtent l="0" t="0" r="0" b="0"/>
                  <wp:docPr id="13851022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35009" cy="2775654"/>
                          </a:xfrm>
                          <a:prstGeom prst="rect">
                            <a:avLst/>
                          </a:prstGeom>
                          <a:noFill/>
                        </pic:spPr>
                      </pic:pic>
                    </a:graphicData>
                  </a:graphic>
                </wp:inline>
              </w:drawing>
            </w:r>
          </w:p>
          <w:p w14:paraId="6B0EE975" w14:textId="376EFD07" w:rsidR="00D346DD" w:rsidRDefault="00D346DD" w:rsidP="003164B2">
            <w:pPr>
              <w:rPr>
                <w:b/>
                <w:bCs/>
                <w:i/>
                <w:iCs/>
                <w:color w:val="BFBFBF" w:themeColor="background1" w:themeShade="BF"/>
                <w:sz w:val="28"/>
                <w:szCs w:val="24"/>
              </w:rPr>
            </w:pPr>
            <w:r>
              <w:rPr>
                <w:b/>
                <w:bCs/>
                <w:i/>
                <w:iCs/>
                <w:noProof/>
                <w:color w:val="BFBFBF" w:themeColor="background1" w:themeShade="BF"/>
                <w:sz w:val="28"/>
                <w:szCs w:val="24"/>
              </w:rPr>
              <w:lastRenderedPageBreak/>
              <w:drawing>
                <wp:inline distT="0" distB="0" distL="0" distR="0" wp14:anchorId="53E27AC5" wp14:editId="021CB109">
                  <wp:extent cx="6096635" cy="3429000"/>
                  <wp:effectExtent l="0" t="0" r="0" b="0"/>
                  <wp:docPr id="16693230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5228E3" w:rsidRPr="00330917" w14:paraId="79F2067A"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C31B4E6" w14:textId="77777777" w:rsidR="005228E3" w:rsidRDefault="005228E3" w:rsidP="005228E3">
            <w:pPr>
              <w:rPr>
                <w:b/>
                <w:bCs/>
                <w:sz w:val="28"/>
                <w:szCs w:val="24"/>
              </w:rPr>
            </w:pPr>
            <w:r>
              <w:rPr>
                <w:b/>
                <w:bCs/>
                <w:sz w:val="28"/>
                <w:szCs w:val="24"/>
              </w:rPr>
              <w:lastRenderedPageBreak/>
              <w:t>References (no screenshots):</w:t>
            </w:r>
          </w:p>
          <w:p w14:paraId="1D7CBD41" w14:textId="77777777" w:rsidR="00E6650E" w:rsidRDefault="00E6650E" w:rsidP="00E6650E">
            <w:pPr>
              <w:pStyle w:val="NormalWeb"/>
              <w:spacing w:before="0" w:beforeAutospacing="0" w:after="0" w:afterAutospacing="0"/>
              <w:jc w:val="both"/>
            </w:pPr>
            <w:r>
              <w:rPr>
                <w:rFonts w:ascii="Arial" w:eastAsia="+mn-ea" w:hAnsi="Arial" w:cs="+mn-cs"/>
                <w:color w:val="222222"/>
                <w:kern w:val="24"/>
                <w:sz w:val="28"/>
                <w:szCs w:val="28"/>
              </w:rPr>
              <w:t>Burns, A., &amp; Hill, D. (2013). Teaching speaking in a second language. </w:t>
            </w:r>
            <w:r>
              <w:rPr>
                <w:rFonts w:ascii="Arial" w:eastAsia="+mn-ea" w:hAnsi="Arial" w:cs="+mn-cs"/>
                <w:i/>
                <w:iCs/>
                <w:color w:val="222222"/>
                <w:kern w:val="24"/>
                <w:sz w:val="28"/>
                <w:szCs w:val="28"/>
              </w:rPr>
              <w:t>Applied linguistics and materials development</w:t>
            </w:r>
            <w:r>
              <w:rPr>
                <w:rFonts w:ascii="Arial" w:eastAsia="+mn-ea" w:hAnsi="Arial" w:cs="+mn-cs"/>
                <w:color w:val="222222"/>
                <w:kern w:val="24"/>
                <w:sz w:val="28"/>
                <w:szCs w:val="28"/>
              </w:rPr>
              <w:t>, 231-248.</w:t>
            </w:r>
          </w:p>
          <w:p w14:paraId="55752F25" w14:textId="77777777" w:rsidR="00E6650E" w:rsidRDefault="00E6650E" w:rsidP="00E6650E">
            <w:pPr>
              <w:pStyle w:val="NormalWeb"/>
              <w:spacing w:before="0" w:beforeAutospacing="0" w:after="0" w:afterAutospacing="0"/>
              <w:jc w:val="both"/>
            </w:pPr>
            <w:r>
              <w:rPr>
                <w:rFonts w:ascii="Arial" w:eastAsia="+mn-ea" w:hAnsi="Arial" w:cs="+mn-cs"/>
                <w:color w:val="222222"/>
                <w:kern w:val="24"/>
                <w:sz w:val="28"/>
                <w:szCs w:val="28"/>
              </w:rPr>
              <w:t>Fidrmuc, J. (2012). The economics of multilingualism in the EU. In </w:t>
            </w:r>
            <w:r>
              <w:rPr>
                <w:rFonts w:ascii="Arial" w:eastAsia="+mn-ea" w:hAnsi="Arial" w:cs="+mn-cs"/>
                <w:i/>
                <w:iCs/>
                <w:color w:val="222222"/>
                <w:kern w:val="24"/>
                <w:sz w:val="28"/>
                <w:szCs w:val="28"/>
              </w:rPr>
              <w:t>Research handbook on the economics of European Union Law</w:t>
            </w:r>
            <w:r>
              <w:rPr>
                <w:rFonts w:ascii="Arial" w:eastAsia="+mn-ea" w:hAnsi="Arial" w:cs="+mn-cs"/>
                <w:color w:val="222222"/>
                <w:kern w:val="24"/>
                <w:sz w:val="28"/>
                <w:szCs w:val="28"/>
              </w:rPr>
              <w:t>. Edward Elgar Publishing.</w:t>
            </w:r>
          </w:p>
          <w:p w14:paraId="0B9E71B1" w14:textId="77777777" w:rsidR="00E6650E" w:rsidRDefault="00E6650E" w:rsidP="00E6650E">
            <w:pPr>
              <w:pStyle w:val="NormalWeb"/>
              <w:spacing w:before="0" w:beforeAutospacing="0" w:after="0" w:afterAutospacing="0"/>
              <w:jc w:val="both"/>
            </w:pPr>
            <w:r>
              <w:rPr>
                <w:rFonts w:ascii="Arial" w:eastAsia="+mn-ea" w:hAnsi="Arial" w:cs="+mn-cs"/>
                <w:color w:val="222222"/>
                <w:kern w:val="24"/>
                <w:sz w:val="28"/>
                <w:szCs w:val="28"/>
              </w:rPr>
              <w:t>Goethals, P. (2016). “Multilingualism and international tourism: a content-and discourse-based approach to language-related judgments in web 2.0 hotel reviews”. </w:t>
            </w:r>
            <w:r>
              <w:rPr>
                <w:rFonts w:ascii="Arial" w:eastAsia="+mn-ea" w:hAnsi="Arial" w:cs="+mn-cs"/>
                <w:i/>
                <w:iCs/>
                <w:color w:val="222222"/>
                <w:kern w:val="24"/>
                <w:sz w:val="28"/>
                <w:szCs w:val="28"/>
              </w:rPr>
              <w:t>language and Intercultural communication</w:t>
            </w:r>
            <w:r>
              <w:rPr>
                <w:rFonts w:ascii="Arial" w:eastAsia="+mn-ea" w:hAnsi="Arial" w:cs="+mn-cs"/>
                <w:color w:val="222222"/>
                <w:kern w:val="24"/>
                <w:sz w:val="28"/>
                <w:szCs w:val="28"/>
              </w:rPr>
              <w:t>, </w:t>
            </w:r>
            <w:r>
              <w:rPr>
                <w:rFonts w:ascii="Arial" w:eastAsia="+mn-ea" w:hAnsi="Arial" w:cs="+mn-cs"/>
                <w:i/>
                <w:iCs/>
                <w:color w:val="222222"/>
                <w:kern w:val="24"/>
                <w:sz w:val="28"/>
                <w:szCs w:val="28"/>
              </w:rPr>
              <w:t>16</w:t>
            </w:r>
            <w:r>
              <w:rPr>
                <w:rFonts w:ascii="Arial" w:eastAsia="+mn-ea" w:hAnsi="Arial" w:cs="+mn-cs"/>
                <w:color w:val="222222"/>
                <w:kern w:val="24"/>
                <w:sz w:val="28"/>
                <w:szCs w:val="28"/>
              </w:rPr>
              <w:t>(2), 235-253.</w:t>
            </w:r>
          </w:p>
          <w:p w14:paraId="587C3F35" w14:textId="77777777" w:rsidR="00E6650E" w:rsidRDefault="00E6650E" w:rsidP="00E6650E">
            <w:pPr>
              <w:pStyle w:val="NormalWeb"/>
              <w:spacing w:before="0" w:beforeAutospacing="0" w:after="0" w:afterAutospacing="0"/>
              <w:jc w:val="both"/>
            </w:pPr>
            <w:r>
              <w:rPr>
                <w:rFonts w:ascii="Arial" w:eastAsia="+mn-ea" w:hAnsi="Arial" w:cs="+mn-cs"/>
                <w:color w:val="222222"/>
                <w:kern w:val="24"/>
                <w:sz w:val="28"/>
                <w:szCs w:val="28"/>
              </w:rPr>
              <w:t>Park, J. (2017). The Culture Map: Breaking Through the Invisible Boundaries of Global Business. </w:t>
            </w:r>
            <w:r>
              <w:rPr>
                <w:rFonts w:ascii="Arial" w:eastAsia="+mn-ea" w:hAnsi="Arial" w:cs="+mn-cs"/>
                <w:i/>
                <w:iCs/>
                <w:color w:val="222222"/>
                <w:kern w:val="24"/>
                <w:sz w:val="28"/>
                <w:szCs w:val="28"/>
              </w:rPr>
              <w:t>Journal of Adventist Mission Studies</w:t>
            </w:r>
            <w:r>
              <w:rPr>
                <w:rFonts w:ascii="Arial" w:eastAsia="+mn-ea" w:hAnsi="Arial" w:cs="+mn-cs"/>
                <w:color w:val="222222"/>
                <w:kern w:val="24"/>
                <w:sz w:val="28"/>
                <w:szCs w:val="28"/>
              </w:rPr>
              <w:t>, </w:t>
            </w:r>
            <w:r>
              <w:rPr>
                <w:rFonts w:ascii="Arial" w:eastAsia="+mn-ea" w:hAnsi="Arial" w:cs="+mn-cs"/>
                <w:i/>
                <w:iCs/>
                <w:color w:val="222222"/>
                <w:kern w:val="24"/>
                <w:sz w:val="28"/>
                <w:szCs w:val="28"/>
              </w:rPr>
              <w:t>13</w:t>
            </w:r>
            <w:r>
              <w:rPr>
                <w:rFonts w:ascii="Arial" w:eastAsia="+mn-ea" w:hAnsi="Arial" w:cs="+mn-cs"/>
                <w:color w:val="222222"/>
                <w:kern w:val="24"/>
                <w:sz w:val="28"/>
                <w:szCs w:val="28"/>
              </w:rPr>
              <w:t>(1), 144-145.</w:t>
            </w:r>
          </w:p>
          <w:p w14:paraId="3191BF07" w14:textId="77777777" w:rsidR="00E6650E" w:rsidRDefault="00E6650E" w:rsidP="00E6650E">
            <w:pPr>
              <w:pStyle w:val="NormalWeb"/>
              <w:spacing w:before="0" w:beforeAutospacing="0" w:after="0" w:afterAutospacing="0"/>
              <w:jc w:val="both"/>
            </w:pPr>
            <w:proofErr w:type="spellStart"/>
            <w:r>
              <w:rPr>
                <w:rFonts w:ascii="Arial" w:eastAsia="+mn-ea" w:hAnsi="Arial" w:cs="+mn-cs"/>
                <w:color w:val="222222"/>
                <w:kern w:val="24"/>
                <w:sz w:val="28"/>
                <w:szCs w:val="28"/>
              </w:rPr>
              <w:t>Pimsleur</w:t>
            </w:r>
            <w:proofErr w:type="spellEnd"/>
            <w:r>
              <w:rPr>
                <w:rFonts w:ascii="Arial" w:eastAsia="+mn-ea" w:hAnsi="Arial" w:cs="+mn-cs"/>
                <w:color w:val="222222"/>
                <w:kern w:val="24"/>
                <w:sz w:val="28"/>
                <w:szCs w:val="28"/>
              </w:rPr>
              <w:t>, P. (2013). </w:t>
            </w:r>
            <w:r>
              <w:rPr>
                <w:rFonts w:ascii="Arial" w:eastAsia="+mn-ea" w:hAnsi="Arial" w:cs="+mn-cs"/>
                <w:i/>
                <w:iCs/>
                <w:color w:val="222222"/>
                <w:kern w:val="24"/>
                <w:sz w:val="28"/>
                <w:szCs w:val="28"/>
              </w:rPr>
              <w:t>How to learn a foreign language</w:t>
            </w:r>
            <w:r>
              <w:rPr>
                <w:rFonts w:ascii="Arial" w:eastAsia="+mn-ea" w:hAnsi="Arial" w:cs="+mn-cs"/>
                <w:color w:val="222222"/>
                <w:kern w:val="24"/>
                <w:sz w:val="28"/>
                <w:szCs w:val="28"/>
              </w:rPr>
              <w:t>. Simon and Schuster.</w:t>
            </w:r>
          </w:p>
          <w:p w14:paraId="3F5A432A" w14:textId="77777777" w:rsidR="00E6650E" w:rsidRDefault="00E6650E" w:rsidP="00E6650E">
            <w:pPr>
              <w:pStyle w:val="NormalWeb"/>
              <w:spacing w:before="0" w:beforeAutospacing="0" w:after="0" w:afterAutospacing="0"/>
              <w:jc w:val="both"/>
            </w:pPr>
            <w:r>
              <w:rPr>
                <w:rFonts w:ascii="Arial" w:eastAsia="+mn-ea" w:hAnsi="Arial" w:cs="+mn-cs"/>
                <w:color w:val="222222"/>
                <w:kern w:val="24"/>
                <w:sz w:val="28"/>
                <w:szCs w:val="28"/>
              </w:rPr>
              <w:t>Scovel, T. (2001). </w:t>
            </w:r>
            <w:r>
              <w:rPr>
                <w:rFonts w:ascii="Arial" w:eastAsia="+mn-ea" w:hAnsi="Arial" w:cs="+mn-cs"/>
                <w:i/>
                <w:iCs/>
                <w:color w:val="222222"/>
                <w:kern w:val="24"/>
                <w:sz w:val="28"/>
                <w:szCs w:val="28"/>
              </w:rPr>
              <w:t>Learning new languages: A guide to second language acquisition</w:t>
            </w:r>
            <w:r>
              <w:rPr>
                <w:rFonts w:ascii="Arial" w:eastAsia="+mn-ea" w:hAnsi="Arial" w:cs="+mn-cs"/>
                <w:color w:val="222222"/>
                <w:kern w:val="24"/>
                <w:sz w:val="28"/>
                <w:szCs w:val="28"/>
              </w:rPr>
              <w:t>. Boston: Heinle &amp; Heinle.</w:t>
            </w:r>
          </w:p>
          <w:p w14:paraId="04CF7103" w14:textId="77777777" w:rsidR="00E6650E" w:rsidRDefault="00E6650E" w:rsidP="00E6650E">
            <w:pPr>
              <w:pStyle w:val="NormalWeb"/>
              <w:spacing w:before="0" w:beforeAutospacing="0" w:after="0" w:afterAutospacing="0"/>
              <w:jc w:val="both"/>
            </w:pPr>
            <w:r>
              <w:rPr>
                <w:rFonts w:ascii="Arial" w:eastAsia="+mn-ea" w:hAnsi="Arial" w:cs="+mn-cs"/>
                <w:color w:val="222222"/>
                <w:kern w:val="24"/>
                <w:sz w:val="28"/>
                <w:szCs w:val="28"/>
              </w:rPr>
              <w:t>Suleh, E. O., &amp; Osuji, G. E. (2017). </w:t>
            </w:r>
            <w:r>
              <w:rPr>
                <w:rFonts w:ascii="Arial" w:eastAsia="+mn-ea" w:hAnsi="Arial" w:cs="+mn-cs"/>
                <w:i/>
                <w:iCs/>
                <w:color w:val="222222"/>
                <w:kern w:val="24"/>
                <w:sz w:val="28"/>
                <w:szCs w:val="28"/>
              </w:rPr>
              <w:t>Multilingualism and its contribution to sustainable socio-economic development</w:t>
            </w:r>
            <w:r>
              <w:rPr>
                <w:rFonts w:ascii="Arial" w:eastAsia="+mn-ea" w:hAnsi="Arial" w:cs="+mn-cs"/>
                <w:color w:val="222222"/>
                <w:kern w:val="24"/>
                <w:sz w:val="28"/>
                <w:szCs w:val="28"/>
              </w:rPr>
              <w:t>. CUEA PRESS Nairobi-Kenya.</w:t>
            </w:r>
          </w:p>
          <w:p w14:paraId="252F2FE5" w14:textId="07738600" w:rsidR="00E6650E" w:rsidRDefault="00E6650E" w:rsidP="00E6650E">
            <w:pPr>
              <w:pStyle w:val="NormalWeb"/>
              <w:spacing w:before="0" w:beforeAutospacing="0" w:after="0" w:afterAutospacing="0"/>
              <w:jc w:val="both"/>
            </w:pPr>
            <w:r>
              <w:rPr>
                <w:rFonts w:ascii="Calibri" w:eastAsia="+mn-ea" w:hAnsi="Calibri" w:cs="+mn-cs"/>
                <w:color w:val="000000"/>
                <w:kern w:val="24"/>
                <w:sz w:val="28"/>
                <w:szCs w:val="28"/>
              </w:rPr>
              <w:t xml:space="preserve">“Britain and France flags” images available at: </w:t>
            </w:r>
            <w:hyperlink r:id="rId15" w:history="1">
              <w:r>
                <w:rPr>
                  <w:rStyle w:val="Hyperlink"/>
                  <w:rFonts w:ascii="Calibri" w:eastAsia="+mn-ea" w:hAnsi="Calibri" w:cs="+mn-cs"/>
                  <w:color w:val="000000"/>
                  <w:kern w:val="24"/>
                  <w:sz w:val="28"/>
                  <w:szCs w:val="28"/>
                </w:rPr>
                <w:t>https://www.google.com/search?sca_esv=0f23f44a810f0132&amp;sxsrf=ACQVn08GcxHl6oNdyW0-</w:t>
              </w:r>
              <w:r>
                <w:rPr>
                  <w:rStyle w:val="Hyperlink"/>
                  <w:rFonts w:ascii="Calibri" w:eastAsia="+mn-ea" w:hAnsi="Calibri" w:cs="+mn-cs"/>
                  <w:color w:val="000000"/>
                  <w:kern w:val="24"/>
                  <w:sz w:val="28"/>
                  <w:szCs w:val="28"/>
                </w:rPr>
                <w:t>G</w:t>
              </w:r>
              <w:r>
                <w:rPr>
                  <w:rStyle w:val="Hyperlink"/>
                  <w:rFonts w:ascii="Calibri" w:eastAsia="+mn-ea" w:hAnsi="Calibri" w:cs="+mn-cs"/>
                  <w:color w:val="000000"/>
                  <w:kern w:val="24"/>
                  <w:sz w:val="28"/>
                  <w:szCs w:val="28"/>
                </w:rPr>
                <w:t>njnyCFPYxiJmg:1708439220469&amp;q</w:t>
              </w:r>
            </w:hyperlink>
            <w:hyperlink r:id="rId16" w:history="1">
              <w:r>
                <w:rPr>
                  <w:rStyle w:val="Hyperlink"/>
                  <w:rFonts w:ascii="Calibri" w:eastAsia="+mn-ea" w:hAnsi="Calibri" w:cs="+mn-cs"/>
                  <w:color w:val="000000"/>
                  <w:kern w:val="24"/>
                  <w:sz w:val="28"/>
                  <w:szCs w:val="28"/>
                </w:rPr>
                <w:t>=</w:t>
              </w:r>
            </w:hyperlink>
            <w:r>
              <w:rPr>
                <w:rFonts w:ascii="Calibri" w:eastAsia="+mn-ea" w:hAnsi="Calibri" w:cs="+mn-cs"/>
                <w:color w:val="000000"/>
                <w:kern w:val="24"/>
                <w:sz w:val="28"/>
                <w:szCs w:val="28"/>
              </w:rPr>
              <w:t>Britain+and+France+flags&amp;tbm=isch&amp;source=lnms&amp;sa=X&amp;ved=2ahUKEwjNw-</w:t>
            </w:r>
            <w:r>
              <w:rPr>
                <w:rFonts w:ascii="Calibri" w:eastAsia="+mn-ea" w:hAnsi="Calibri" w:cs="+mn-cs"/>
                <w:color w:val="000000"/>
                <w:kern w:val="24"/>
                <w:sz w:val="28"/>
                <w:szCs w:val="28"/>
              </w:rPr>
              <w:lastRenderedPageBreak/>
              <w:t>yGkLqEAxUEQEEAHSy5Ai4Q0pQJegQIDBAB&amp;biw=1250&amp;bih=638  last accessed 20/02/2024</w:t>
            </w:r>
          </w:p>
          <w:p w14:paraId="78DE0EFD" w14:textId="77777777" w:rsidR="005228E3" w:rsidRDefault="005228E3" w:rsidP="003164B2">
            <w:pPr>
              <w:rPr>
                <w:b/>
                <w:bCs/>
                <w:sz w:val="28"/>
                <w:szCs w:val="24"/>
              </w:rPr>
            </w:pPr>
          </w:p>
        </w:tc>
      </w:tr>
      <w:tr w:rsidR="008B0240" w:rsidRPr="00330917" w14:paraId="215CC9AE" w14:textId="77777777" w:rsidTr="00A93688">
        <w:trPr>
          <w:trHeight w:val="1942"/>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53F99F7" w14:textId="77777777" w:rsidR="008B0240" w:rsidRDefault="008B0240" w:rsidP="005228E3">
            <w:pPr>
              <w:rPr>
                <w:b/>
                <w:bCs/>
                <w:sz w:val="28"/>
                <w:szCs w:val="24"/>
              </w:rPr>
            </w:pPr>
            <w:r>
              <w:rPr>
                <w:b/>
                <w:bCs/>
                <w:sz w:val="28"/>
                <w:szCs w:val="24"/>
              </w:rPr>
              <w:lastRenderedPageBreak/>
              <w:t>Component 3:</w:t>
            </w:r>
          </w:p>
          <w:p w14:paraId="5BFAE7D5" w14:textId="77777777" w:rsidR="008B0240" w:rsidRDefault="008B0240" w:rsidP="005228E3">
            <w:pPr>
              <w:rPr>
                <w:b/>
                <w:bCs/>
                <w:sz w:val="28"/>
                <w:szCs w:val="24"/>
              </w:rPr>
            </w:pPr>
          </w:p>
          <w:p w14:paraId="282EAAD7" w14:textId="6682D7DE" w:rsidR="008B0240" w:rsidRDefault="008B0240" w:rsidP="005228E3">
            <w:pPr>
              <w:rPr>
                <w:b/>
                <w:bCs/>
                <w:sz w:val="28"/>
                <w:szCs w:val="24"/>
              </w:rPr>
            </w:pPr>
            <w:r w:rsidRPr="00A93688">
              <w:rPr>
                <w:b/>
                <w:bCs/>
                <w:i/>
                <w:iCs/>
                <w:color w:val="FF0000"/>
                <w:sz w:val="28"/>
                <w:szCs w:val="24"/>
              </w:rPr>
              <w:t>LIVE PRESENTATION</w:t>
            </w:r>
            <w:r w:rsidR="00A93688" w:rsidRPr="00A93688">
              <w:rPr>
                <w:b/>
                <w:bCs/>
                <w:color w:val="FF0000"/>
                <w:sz w:val="28"/>
                <w:szCs w:val="24"/>
              </w:rPr>
              <w:t xml:space="preserve"> (no links need to be submitted here)</w:t>
            </w:r>
          </w:p>
        </w:tc>
      </w:tr>
      <w:tr w:rsidR="008B0240" w:rsidRPr="00330917" w14:paraId="61461D66" w14:textId="77777777" w:rsidTr="008B0240">
        <w:trPr>
          <w:trHeight w:val="2706"/>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9BCB5D3" w14:textId="77777777" w:rsidR="008B0240" w:rsidRPr="00FA18FF" w:rsidRDefault="008B0240" w:rsidP="008B0240">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579867A5" w14:textId="77777777" w:rsidR="008B0240" w:rsidRDefault="008B0240" w:rsidP="008B0240">
            <w:pPr>
              <w:spacing w:after="0" w:line="240" w:lineRule="auto"/>
              <w:rPr>
                <w:rFonts w:eastAsia="Carlito" w:cs="Times New Roman"/>
                <w:b/>
                <w:color w:val="auto"/>
                <w:sz w:val="28"/>
                <w:szCs w:val="28"/>
                <w:lang w:val="en-US"/>
              </w:rPr>
            </w:pPr>
          </w:p>
          <w:p w14:paraId="02145679" w14:textId="08F79F88" w:rsidR="008B0240" w:rsidRDefault="008B0240" w:rsidP="005228E3">
            <w:pPr>
              <w:rPr>
                <w:b/>
                <w:bCs/>
                <w:sz w:val="28"/>
                <w:szCs w:val="24"/>
              </w:rPr>
            </w:pPr>
            <w:r>
              <w:rPr>
                <w:rFonts w:eastAsia="Carlito" w:cs="Times New Roman"/>
                <w:b/>
                <w:color w:val="auto"/>
                <w:sz w:val="28"/>
                <w:szCs w:val="28"/>
                <w:lang w:val="en-US"/>
              </w:rPr>
              <w:t>Weighting: 25%</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1C53A19" w14:textId="77777777" w:rsidR="00E6650E" w:rsidRPr="00E6650E" w:rsidRDefault="00E6650E" w:rsidP="00E6650E">
            <w:pPr>
              <w:rPr>
                <w:b/>
                <w:bCs/>
                <w:sz w:val="28"/>
                <w:szCs w:val="24"/>
              </w:rPr>
            </w:pPr>
          </w:p>
          <w:p w14:paraId="2652914C" w14:textId="77777777" w:rsidR="00E6650E" w:rsidRPr="00E6650E" w:rsidRDefault="00E6650E" w:rsidP="00E6650E">
            <w:pPr>
              <w:rPr>
                <w:sz w:val="28"/>
                <w:szCs w:val="24"/>
              </w:rPr>
            </w:pPr>
            <w:r w:rsidRPr="00E6650E">
              <w:rPr>
                <w:sz w:val="28"/>
                <w:szCs w:val="24"/>
              </w:rPr>
              <w:t>Reflection on self-development</w:t>
            </w:r>
          </w:p>
          <w:p w14:paraId="489CDDA3" w14:textId="77777777" w:rsidR="00E6650E" w:rsidRPr="00E6650E" w:rsidRDefault="00E6650E" w:rsidP="00E6650E">
            <w:pPr>
              <w:rPr>
                <w:sz w:val="28"/>
                <w:szCs w:val="24"/>
              </w:rPr>
            </w:pPr>
            <w:r w:rsidRPr="00E6650E">
              <w:rPr>
                <w:sz w:val="28"/>
                <w:szCs w:val="24"/>
              </w:rPr>
              <w:t>Vasile Asmarandei</w:t>
            </w:r>
          </w:p>
          <w:p w14:paraId="44EF8590" w14:textId="77777777" w:rsidR="00E6650E" w:rsidRPr="00E6650E" w:rsidRDefault="00E6650E" w:rsidP="00E6650E">
            <w:pPr>
              <w:rPr>
                <w:sz w:val="28"/>
                <w:szCs w:val="24"/>
              </w:rPr>
            </w:pPr>
            <w:r w:rsidRPr="00E6650E">
              <w:rPr>
                <w:sz w:val="28"/>
                <w:szCs w:val="24"/>
              </w:rPr>
              <w:t>2212713</w:t>
            </w:r>
          </w:p>
          <w:p w14:paraId="33E3CCDD" w14:textId="77777777" w:rsidR="00E6650E" w:rsidRPr="00E6650E" w:rsidRDefault="00E6650E" w:rsidP="00E6650E">
            <w:pPr>
              <w:rPr>
                <w:sz w:val="28"/>
                <w:szCs w:val="24"/>
              </w:rPr>
            </w:pPr>
            <w:r w:rsidRPr="00E6650E">
              <w:rPr>
                <w:sz w:val="28"/>
                <w:szCs w:val="24"/>
              </w:rPr>
              <w:t>Foreign Languages &amp; Cultural Awareness BMIH5003</w:t>
            </w:r>
          </w:p>
          <w:p w14:paraId="4537152C" w14:textId="77777777" w:rsidR="00E6650E" w:rsidRPr="00E6650E" w:rsidRDefault="00E6650E" w:rsidP="00E6650E">
            <w:pPr>
              <w:rPr>
                <w:sz w:val="28"/>
                <w:szCs w:val="24"/>
              </w:rPr>
            </w:pPr>
            <w:r w:rsidRPr="00E6650E">
              <w:rPr>
                <w:sz w:val="28"/>
                <w:szCs w:val="24"/>
              </w:rPr>
              <w:t>Lisa Bassler</w:t>
            </w:r>
          </w:p>
          <w:p w14:paraId="6D341F7C" w14:textId="77777777" w:rsidR="00E6650E" w:rsidRPr="00E6650E" w:rsidRDefault="00E6650E" w:rsidP="00E6650E">
            <w:pPr>
              <w:rPr>
                <w:sz w:val="28"/>
                <w:szCs w:val="24"/>
              </w:rPr>
            </w:pPr>
            <w:r w:rsidRPr="00E6650E">
              <w:rPr>
                <w:sz w:val="28"/>
                <w:szCs w:val="24"/>
              </w:rPr>
              <w:t>519 words</w:t>
            </w:r>
          </w:p>
          <w:p w14:paraId="2FC93F10" w14:textId="77777777" w:rsidR="00E6650E" w:rsidRPr="00E6650E" w:rsidRDefault="00E6650E" w:rsidP="00E6650E">
            <w:pPr>
              <w:rPr>
                <w:sz w:val="28"/>
                <w:szCs w:val="24"/>
              </w:rPr>
            </w:pPr>
          </w:p>
          <w:p w14:paraId="568526D9" w14:textId="77777777" w:rsidR="00E6650E" w:rsidRPr="00E6650E" w:rsidRDefault="00E6650E" w:rsidP="00E6650E">
            <w:pPr>
              <w:rPr>
                <w:sz w:val="28"/>
                <w:szCs w:val="24"/>
              </w:rPr>
            </w:pPr>
            <w:r w:rsidRPr="00E6650E">
              <w:rPr>
                <w:sz w:val="28"/>
                <w:szCs w:val="24"/>
              </w:rPr>
              <w:t xml:space="preserve">Preparing the presentation on the benefits of multilingualism and language awareness skills for hotel staff was a valuable learning experience. I still remember how I started, I considered initially all hotels across the world are using mainly English, the same as international organisms and forums. Now I learned the hotels use a lot of languages, the multilingualism is a main characteristic for international hospitality, blending people and cultures everywhere (Aronin, 2012). I gained insights into the significance of effective </w:t>
            </w:r>
            <w:r w:rsidRPr="00E6650E">
              <w:rPr>
                <w:sz w:val="28"/>
                <w:szCs w:val="24"/>
              </w:rPr>
              <w:lastRenderedPageBreak/>
              <w:t>communication in the hospitality industry, especially considering the diverse linguistic backgrounds of guests and staff. Researching French, a modern European language, understanding its nuances, and applying it to real-world hotel scenarios deepened my appreciation for the role language plays in delivering exceptional service (White, 2005).</w:t>
            </w:r>
          </w:p>
          <w:p w14:paraId="4D302B19" w14:textId="77777777" w:rsidR="00E6650E" w:rsidRPr="00E6650E" w:rsidRDefault="00E6650E" w:rsidP="00E6650E">
            <w:pPr>
              <w:rPr>
                <w:sz w:val="28"/>
                <w:szCs w:val="24"/>
              </w:rPr>
            </w:pPr>
            <w:r w:rsidRPr="00E6650E">
              <w:rPr>
                <w:sz w:val="28"/>
                <w:szCs w:val="24"/>
              </w:rPr>
              <w:t>Initially, my focus was on the practical benefits of multilingualism in a hotel setting. However, as I delved into the research, my understanding evolved to recognize the cultural and business etiquette aspects tied to language. I realized that language awareness is not just about communication efficiency but also about creating a culturally sensitive and welcoming environment. The examples from the hotel industry illuminated the profound impact language can have on guest satisfaction and the overall success of the business (Thorpe, 2014).</w:t>
            </w:r>
          </w:p>
          <w:p w14:paraId="4BF236DF" w14:textId="77777777" w:rsidR="00E6650E" w:rsidRPr="00E6650E" w:rsidRDefault="00E6650E" w:rsidP="00E6650E">
            <w:pPr>
              <w:rPr>
                <w:sz w:val="28"/>
                <w:szCs w:val="24"/>
              </w:rPr>
            </w:pPr>
            <w:r w:rsidRPr="00E6650E">
              <w:rPr>
                <w:sz w:val="28"/>
                <w:szCs w:val="24"/>
              </w:rPr>
              <w:t>Researching specific details about French as modern European language, such as politeness norms in a business context, also other cultural aspect as different perception of the time, presented a challenge (Abramson, 2018). Because not just language could be different, also people from different cultures have other perceptions about certain aspects. Sometimes even opposite. This makes us humans, awesome by unicity. To overcome this, I engaged in thorough literature reviews, language learning platforms, and consulted cultural guides. Additionally, reaching out to native speakers and industry experts provided firsthand insights. This process not only addressed the challenges but also reinforced the importance of seeking diverse perspectives to enhance the quality and authenticity of the presentation.</w:t>
            </w:r>
          </w:p>
          <w:p w14:paraId="262FEC38" w14:textId="77777777" w:rsidR="00E6650E" w:rsidRPr="00E6650E" w:rsidRDefault="00E6650E" w:rsidP="00E6650E">
            <w:pPr>
              <w:rPr>
                <w:sz w:val="28"/>
                <w:szCs w:val="24"/>
              </w:rPr>
            </w:pPr>
            <w:r w:rsidRPr="00E6650E">
              <w:rPr>
                <w:sz w:val="28"/>
                <w:szCs w:val="24"/>
              </w:rPr>
              <w:t>My perception of the role of language expanded beyond mere communication facilitation. I initially viewed multilingualism as a practical skill, but through the research process, I came to appreciate it as a strategic asset that contributes significantly to guest satisfaction, cultural inclusivity, and the overall success of a hotel (Pinto, 2021). The presentation helped me recognize language as a powerful tool for building positive relationships and exceeding guest expectations. I hope the staff became more interested training this skill, more motivated too.</w:t>
            </w:r>
          </w:p>
          <w:p w14:paraId="1785E6B4" w14:textId="77777777" w:rsidR="00E6650E" w:rsidRPr="00E6650E" w:rsidRDefault="00E6650E" w:rsidP="00E6650E">
            <w:pPr>
              <w:rPr>
                <w:sz w:val="28"/>
                <w:szCs w:val="24"/>
              </w:rPr>
            </w:pPr>
            <w:r w:rsidRPr="00E6650E">
              <w:rPr>
                <w:sz w:val="28"/>
                <w:szCs w:val="24"/>
              </w:rPr>
              <w:t xml:space="preserve">This learning experience emphasized the importance of in-depth research, cultural sensitivity, and seeking diverse perspectives when preparing educational materials (Hofstede, 2016). In the future, I will approach similar tasks with a more holistic mindset, ensuring a comprehensive understanding of the subject matter. Additionally, I will continue to leverage real-world </w:t>
            </w:r>
            <w:r w:rsidRPr="00E6650E">
              <w:rPr>
                <w:sz w:val="28"/>
                <w:szCs w:val="24"/>
              </w:rPr>
              <w:lastRenderedPageBreak/>
              <w:t>examples and practical applications to make the content relatable and engaging for the audience.</w:t>
            </w:r>
          </w:p>
          <w:p w14:paraId="76EC9EFD" w14:textId="06F05060" w:rsidR="008B0240" w:rsidRPr="00E6650E" w:rsidRDefault="00E6650E" w:rsidP="00E6650E">
            <w:pPr>
              <w:rPr>
                <w:sz w:val="28"/>
                <w:szCs w:val="24"/>
              </w:rPr>
            </w:pPr>
            <w:r w:rsidRPr="00E6650E">
              <w:rPr>
                <w:sz w:val="28"/>
                <w:szCs w:val="24"/>
              </w:rPr>
              <w:t>In conclusion, the preparation of the presentation on multilingualism and language awareness skills for hotel staff has been an enriching experience that deepened my understanding of the subject and provided valuable insights into the intersection of language, culture, and hospitality.</w:t>
            </w:r>
          </w:p>
          <w:p w14:paraId="6E9C585A" w14:textId="77777777" w:rsidR="008B0240" w:rsidRDefault="008B0240" w:rsidP="008B0240">
            <w:pPr>
              <w:rPr>
                <w:b/>
                <w:bCs/>
                <w:sz w:val="28"/>
                <w:szCs w:val="24"/>
              </w:rPr>
            </w:pPr>
          </w:p>
          <w:p w14:paraId="547FF908" w14:textId="6EEF3146" w:rsidR="005C77A4" w:rsidRDefault="008B0240" w:rsidP="006C0FE2">
            <w:pPr>
              <w:rPr>
                <w:b/>
                <w:bCs/>
                <w:sz w:val="28"/>
                <w:szCs w:val="24"/>
              </w:rPr>
            </w:pPr>
            <w:r>
              <w:rPr>
                <w:b/>
                <w:bCs/>
                <w:sz w:val="28"/>
                <w:szCs w:val="24"/>
              </w:rPr>
              <w:t>References:</w:t>
            </w:r>
          </w:p>
          <w:p w14:paraId="567D18D5" w14:textId="77777777" w:rsidR="00E6650E" w:rsidRPr="00E6650E" w:rsidRDefault="00E6650E" w:rsidP="00E6650E">
            <w:pPr>
              <w:spacing w:line="360" w:lineRule="auto"/>
              <w:jc w:val="both"/>
              <w:rPr>
                <w:rFonts w:ascii="Arial" w:hAnsi="Arial" w:cs="Arial"/>
                <w:color w:val="auto"/>
                <w:szCs w:val="24"/>
              </w:rPr>
            </w:pPr>
            <w:r w:rsidRPr="00E6650E">
              <w:rPr>
                <w:rFonts w:ascii="Arial" w:hAnsi="Arial" w:cs="Arial"/>
                <w:color w:val="auto"/>
                <w:szCs w:val="24"/>
              </w:rPr>
              <w:t xml:space="preserve">Abramson, N.R., Moran, R.T. and Harris, P.R. (Philip R. (2018) </w:t>
            </w:r>
            <w:r w:rsidRPr="00E6650E">
              <w:rPr>
                <w:rFonts w:ascii="Arial" w:hAnsi="Arial" w:cs="Arial"/>
                <w:i/>
                <w:iCs/>
                <w:color w:val="auto"/>
                <w:szCs w:val="24"/>
              </w:rPr>
              <w:t>Managing cultural differences : global leadership for the 21st century.</w:t>
            </w:r>
            <w:r w:rsidRPr="00E6650E">
              <w:rPr>
                <w:rFonts w:ascii="Arial" w:hAnsi="Arial" w:cs="Arial"/>
                <w:color w:val="auto"/>
                <w:szCs w:val="24"/>
              </w:rPr>
              <w:t xml:space="preserve"> Tenth edition. Abingdon, Oxon ; Routledge.</w:t>
            </w:r>
          </w:p>
          <w:p w14:paraId="182E8371" w14:textId="77777777" w:rsidR="00E6650E" w:rsidRPr="00E6650E" w:rsidRDefault="00E6650E" w:rsidP="00E6650E">
            <w:pPr>
              <w:spacing w:line="360" w:lineRule="auto"/>
              <w:jc w:val="both"/>
              <w:rPr>
                <w:rFonts w:ascii="Arial" w:hAnsi="Arial" w:cs="Arial"/>
                <w:color w:val="auto"/>
                <w:szCs w:val="24"/>
              </w:rPr>
            </w:pPr>
            <w:r w:rsidRPr="00E6650E">
              <w:rPr>
                <w:rFonts w:ascii="Arial" w:hAnsi="Arial" w:cs="Arial"/>
                <w:color w:val="auto"/>
                <w:szCs w:val="24"/>
              </w:rPr>
              <w:t xml:space="preserve">Aronin, L. and Singleton, D.M. (David M. (2012) </w:t>
            </w:r>
            <w:r w:rsidRPr="00E6650E">
              <w:rPr>
                <w:rFonts w:ascii="Arial" w:hAnsi="Arial" w:cs="Arial"/>
                <w:i/>
                <w:iCs/>
                <w:color w:val="auto"/>
                <w:szCs w:val="24"/>
              </w:rPr>
              <w:t>Multilingualism</w:t>
            </w:r>
            <w:r w:rsidRPr="00E6650E">
              <w:rPr>
                <w:rFonts w:ascii="Arial" w:hAnsi="Arial" w:cs="Arial"/>
                <w:color w:val="auto"/>
                <w:szCs w:val="24"/>
              </w:rPr>
              <w:t>. Amsterdam ; John Benjamins Pub. Co.</w:t>
            </w:r>
          </w:p>
          <w:p w14:paraId="4B753448" w14:textId="77777777" w:rsidR="00E6650E" w:rsidRPr="00E6650E" w:rsidRDefault="00E6650E" w:rsidP="00E6650E">
            <w:pPr>
              <w:spacing w:line="360" w:lineRule="auto"/>
              <w:jc w:val="both"/>
              <w:rPr>
                <w:rFonts w:ascii="Arial" w:hAnsi="Arial" w:cs="Arial"/>
                <w:color w:val="auto"/>
                <w:szCs w:val="24"/>
              </w:rPr>
            </w:pPr>
            <w:r w:rsidRPr="00E6650E">
              <w:rPr>
                <w:rFonts w:ascii="Arial" w:hAnsi="Arial" w:cs="Arial"/>
                <w:color w:val="auto"/>
                <w:szCs w:val="24"/>
              </w:rPr>
              <w:t xml:space="preserve">Hofstede, G. (2016). “Culture's consequences: Comparing values, behaviors, institutions, and organizations across nations”. </w:t>
            </w:r>
            <w:r w:rsidRPr="00E6650E">
              <w:rPr>
                <w:rFonts w:ascii="Arial" w:hAnsi="Arial" w:cs="Arial"/>
                <w:i/>
                <w:iCs/>
                <w:color w:val="auto"/>
                <w:szCs w:val="24"/>
              </w:rPr>
              <w:t>Collegiate Aviation Review</w:t>
            </w:r>
            <w:r w:rsidRPr="00E6650E">
              <w:rPr>
                <w:rFonts w:ascii="Arial" w:hAnsi="Arial" w:cs="Arial"/>
                <w:color w:val="auto"/>
                <w:szCs w:val="24"/>
              </w:rPr>
              <w:t>, 34(2), 108.</w:t>
            </w:r>
          </w:p>
          <w:p w14:paraId="6A638AC4" w14:textId="77777777" w:rsidR="00E6650E" w:rsidRPr="00E6650E" w:rsidRDefault="00E6650E" w:rsidP="00E6650E">
            <w:pPr>
              <w:spacing w:line="360" w:lineRule="auto"/>
              <w:jc w:val="both"/>
              <w:rPr>
                <w:rFonts w:ascii="Arial" w:hAnsi="Arial" w:cs="Arial"/>
                <w:color w:val="auto"/>
                <w:szCs w:val="24"/>
              </w:rPr>
            </w:pPr>
            <w:r w:rsidRPr="00E6650E">
              <w:rPr>
                <w:rFonts w:ascii="Arial" w:hAnsi="Arial" w:cs="Arial"/>
                <w:color w:val="auto"/>
                <w:szCs w:val="24"/>
              </w:rPr>
              <w:t xml:space="preserve">Pinto, J. and Alexandre, N. (eds) (2021) </w:t>
            </w:r>
            <w:r w:rsidRPr="00E6650E">
              <w:rPr>
                <w:rFonts w:ascii="Arial" w:hAnsi="Arial" w:cs="Arial"/>
                <w:i/>
                <w:iCs/>
                <w:color w:val="auto"/>
                <w:szCs w:val="24"/>
              </w:rPr>
              <w:t>Multilingualism and third language acquisition :  Learning and teaching trends / Volume 2</w:t>
            </w:r>
            <w:r w:rsidRPr="00E6650E">
              <w:rPr>
                <w:rFonts w:ascii="Arial" w:hAnsi="Arial" w:cs="Arial"/>
                <w:color w:val="auto"/>
                <w:szCs w:val="24"/>
              </w:rPr>
              <w:t xml:space="preserve">. </w:t>
            </w:r>
            <w:proofErr w:type="spellStart"/>
            <w:r w:rsidRPr="00E6650E">
              <w:rPr>
                <w:rFonts w:ascii="Arial" w:hAnsi="Arial" w:cs="Arial"/>
                <w:color w:val="auto"/>
                <w:szCs w:val="24"/>
              </w:rPr>
              <w:t>s.l</w:t>
            </w:r>
            <w:proofErr w:type="spellEnd"/>
            <w:r w:rsidRPr="00E6650E">
              <w:rPr>
                <w:rFonts w:ascii="Arial" w:hAnsi="Arial" w:cs="Arial"/>
                <w:color w:val="auto"/>
                <w:szCs w:val="24"/>
              </w:rPr>
              <w:t>: Language Science Press.</w:t>
            </w:r>
          </w:p>
          <w:p w14:paraId="07CF6E87" w14:textId="77777777" w:rsidR="00E6650E" w:rsidRPr="00E6650E" w:rsidRDefault="00E6650E" w:rsidP="00E6650E">
            <w:pPr>
              <w:spacing w:line="360" w:lineRule="auto"/>
              <w:jc w:val="both"/>
              <w:rPr>
                <w:rFonts w:ascii="Arial" w:hAnsi="Arial" w:cs="Arial"/>
                <w:color w:val="auto"/>
                <w:szCs w:val="24"/>
              </w:rPr>
            </w:pPr>
            <w:r w:rsidRPr="00E6650E">
              <w:rPr>
                <w:rFonts w:ascii="Arial" w:hAnsi="Arial" w:cs="Arial"/>
                <w:color w:val="auto"/>
                <w:szCs w:val="24"/>
              </w:rPr>
              <w:t xml:space="preserve">Thorpe, K., Horn, A., &amp; Poeti, A. (Eds.). (2014). </w:t>
            </w:r>
            <w:r w:rsidRPr="00E6650E">
              <w:rPr>
                <w:rFonts w:ascii="Arial" w:hAnsi="Arial" w:cs="Arial"/>
                <w:i/>
                <w:iCs/>
                <w:color w:val="auto"/>
                <w:szCs w:val="24"/>
              </w:rPr>
              <w:t>Hospitality and Hostility in the Multilingual Global Village</w:t>
            </w:r>
            <w:r w:rsidRPr="00E6650E">
              <w:rPr>
                <w:rFonts w:ascii="Arial" w:hAnsi="Arial" w:cs="Arial"/>
                <w:color w:val="auto"/>
                <w:szCs w:val="24"/>
              </w:rPr>
              <w:t>. AFRICAN SUN MeDIA.</w:t>
            </w:r>
          </w:p>
          <w:p w14:paraId="3BCFE50B" w14:textId="77777777" w:rsidR="00E6650E" w:rsidRPr="00E6650E" w:rsidRDefault="00E6650E" w:rsidP="00E6650E">
            <w:pPr>
              <w:spacing w:line="360" w:lineRule="auto"/>
              <w:jc w:val="both"/>
              <w:rPr>
                <w:rFonts w:ascii="Arial" w:hAnsi="Arial" w:cs="Arial"/>
                <w:color w:val="auto"/>
                <w:szCs w:val="24"/>
              </w:rPr>
            </w:pPr>
            <w:r w:rsidRPr="00E6650E">
              <w:rPr>
                <w:rFonts w:ascii="Arial" w:hAnsi="Arial" w:cs="Arial"/>
                <w:color w:val="auto"/>
                <w:szCs w:val="24"/>
              </w:rPr>
              <w:t xml:space="preserve">White, C. (2005). “The relationship between cultural values and individual work values in the hospitality industry”. </w:t>
            </w:r>
            <w:r w:rsidRPr="00E6650E">
              <w:rPr>
                <w:rFonts w:ascii="Arial" w:hAnsi="Arial" w:cs="Arial"/>
                <w:i/>
                <w:iCs/>
                <w:color w:val="auto"/>
                <w:szCs w:val="24"/>
              </w:rPr>
              <w:t>International Journal of Tourism Research</w:t>
            </w:r>
            <w:r w:rsidRPr="00E6650E">
              <w:rPr>
                <w:rFonts w:ascii="Arial" w:hAnsi="Arial" w:cs="Arial"/>
                <w:color w:val="auto"/>
                <w:szCs w:val="24"/>
              </w:rPr>
              <w:t>, 7(4</w:t>
            </w:r>
            <w:r w:rsidRPr="00E6650E">
              <w:rPr>
                <w:rFonts w:ascii="Cambria Math" w:hAnsi="Cambria Math" w:cs="Cambria Math"/>
                <w:color w:val="auto"/>
                <w:szCs w:val="24"/>
              </w:rPr>
              <w:t>‐</w:t>
            </w:r>
            <w:r w:rsidRPr="00E6650E">
              <w:rPr>
                <w:rFonts w:ascii="Arial" w:hAnsi="Arial" w:cs="Arial"/>
                <w:color w:val="auto"/>
                <w:szCs w:val="24"/>
              </w:rPr>
              <w:t>5), 221-229.</w:t>
            </w:r>
          </w:p>
          <w:p w14:paraId="7C298544" w14:textId="77777777" w:rsidR="005C77A4" w:rsidRDefault="005C77A4"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01CFE" w14:textId="77777777" w:rsidR="00702C60" w:rsidRDefault="00702C60" w:rsidP="007C2128">
      <w:pPr>
        <w:spacing w:after="0" w:line="240" w:lineRule="auto"/>
      </w:pPr>
      <w:r>
        <w:separator/>
      </w:r>
    </w:p>
  </w:endnote>
  <w:endnote w:type="continuationSeparator" w:id="0">
    <w:p w14:paraId="00B69E83" w14:textId="77777777" w:rsidR="00702C60" w:rsidRDefault="00702C60"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mn-ea">
    <w:panose1 w:val="00000000000000000000"/>
    <w:charset w:val="00"/>
    <w:family w:val="roman"/>
    <w:notTrueType/>
    <w:pitch w:val="default"/>
  </w:font>
  <w:font w:name="+mn-c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C58D1" w14:textId="77777777" w:rsidR="00702C60" w:rsidRDefault="00702C60" w:rsidP="007C2128">
      <w:pPr>
        <w:spacing w:after="0" w:line="240" w:lineRule="auto"/>
      </w:pPr>
      <w:r>
        <w:separator/>
      </w:r>
    </w:p>
  </w:footnote>
  <w:footnote w:type="continuationSeparator" w:id="0">
    <w:p w14:paraId="0409B300" w14:textId="77777777" w:rsidR="00702C60" w:rsidRDefault="00702C60"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F762E"/>
    <w:rsid w:val="003164B2"/>
    <w:rsid w:val="003439EA"/>
    <w:rsid w:val="00373FD2"/>
    <w:rsid w:val="00452F90"/>
    <w:rsid w:val="004F3356"/>
    <w:rsid w:val="005228E3"/>
    <w:rsid w:val="005671B3"/>
    <w:rsid w:val="0059363C"/>
    <w:rsid w:val="005C77A4"/>
    <w:rsid w:val="00602C4B"/>
    <w:rsid w:val="0064455E"/>
    <w:rsid w:val="00675DCB"/>
    <w:rsid w:val="006B575E"/>
    <w:rsid w:val="006C0FE2"/>
    <w:rsid w:val="006D765B"/>
    <w:rsid w:val="00702C60"/>
    <w:rsid w:val="00723301"/>
    <w:rsid w:val="007A0095"/>
    <w:rsid w:val="007C2128"/>
    <w:rsid w:val="00833B1F"/>
    <w:rsid w:val="00834656"/>
    <w:rsid w:val="00847B3C"/>
    <w:rsid w:val="008B0240"/>
    <w:rsid w:val="008C0A30"/>
    <w:rsid w:val="00903A18"/>
    <w:rsid w:val="00910929"/>
    <w:rsid w:val="009C5BA7"/>
    <w:rsid w:val="009E74DD"/>
    <w:rsid w:val="00A135A5"/>
    <w:rsid w:val="00A60F09"/>
    <w:rsid w:val="00A93688"/>
    <w:rsid w:val="00AA645D"/>
    <w:rsid w:val="00B3346C"/>
    <w:rsid w:val="00C91424"/>
    <w:rsid w:val="00C974B9"/>
    <w:rsid w:val="00D346DD"/>
    <w:rsid w:val="00D61AED"/>
    <w:rsid w:val="00DA485D"/>
    <w:rsid w:val="00E6650E"/>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E6650E"/>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E665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145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google.com/search?sca_esv=0f23f44a810f0132&amp;sxsrf=ACQVn08GcxHl6oNdyW0-GnjnyCFPYxiJmg:1708439220469&amp;q="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google.com/search?sca_esv=0f23f44a810f0132&amp;sxsrf=ACQVn08GcxHl6oNdyW0-GnjnyCFPYxiJmg:1708439220469&amp;q="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10</Pages>
  <Words>1694</Words>
  <Characters>9661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vasile asmarandei</cp:lastModifiedBy>
  <cp:revision>39</cp:revision>
  <dcterms:created xsi:type="dcterms:W3CDTF">2023-12-20T11:14:00Z</dcterms:created>
  <dcterms:modified xsi:type="dcterms:W3CDTF">2024-03-01T10:33:00Z</dcterms:modified>
</cp:coreProperties>
</file>