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02B21E" w14:textId="73572276" w:rsidR="008A00DB" w:rsidRDefault="004849FC" w:rsidP="008A00DB">
      <w:pPr>
        <w:spacing w:before="120" w:after="120" w:line="360" w:lineRule="auto"/>
        <w:jc w:val="center"/>
        <w:rPr>
          <w:rFonts w:ascii="Arial" w:eastAsia="Arial" w:hAnsi="Arial" w:cs="Arial"/>
          <w:sz w:val="22"/>
          <w:szCs w:val="22"/>
        </w:rPr>
      </w:pPr>
      <w:r w:rsidRPr="004849FC">
        <w:rPr>
          <w:rFonts w:ascii="Arial" w:eastAsia="Arial" w:hAnsi="Arial" w:cs="Arial"/>
          <w:noProof/>
          <w:color w:val="000000"/>
          <w:lang w:val="en-US"/>
        </w:rPr>
        <w:drawing>
          <wp:inline distT="114300" distB="114300" distL="114300" distR="114300" wp14:anchorId="70D20505" wp14:editId="44179045">
            <wp:extent cx="3086100" cy="990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86100" cy="990600"/>
                    </a:xfrm>
                    <a:prstGeom prst="rect">
                      <a:avLst/>
                    </a:prstGeom>
                    <a:ln/>
                  </pic:spPr>
                </pic:pic>
              </a:graphicData>
            </a:graphic>
          </wp:inline>
        </w:drawing>
      </w:r>
    </w:p>
    <w:p w14:paraId="0C77F5A1" w14:textId="31B640A1" w:rsidR="008A00DB" w:rsidRPr="004849FC" w:rsidRDefault="004849FC" w:rsidP="008A00DB">
      <w:pPr>
        <w:spacing w:before="120" w:after="120" w:line="360" w:lineRule="auto"/>
        <w:jc w:val="center"/>
        <w:rPr>
          <w:rFonts w:ascii="Arial" w:eastAsia="Arial" w:hAnsi="Arial" w:cs="Arial"/>
          <w:b/>
          <w:sz w:val="28"/>
          <w:szCs w:val="28"/>
        </w:rPr>
      </w:pPr>
      <w:r w:rsidRPr="004849FC">
        <w:rPr>
          <w:rFonts w:ascii="Arial" w:eastAsia="Arial" w:hAnsi="Arial" w:cs="Arial"/>
          <w:b/>
          <w:sz w:val="28"/>
          <w:szCs w:val="28"/>
        </w:rPr>
        <w:t>Msc Public health and Social care in practice</w:t>
      </w:r>
    </w:p>
    <w:p w14:paraId="1F47E321" w14:textId="77777777" w:rsidR="004849FC" w:rsidRDefault="004849FC" w:rsidP="004849FC">
      <w:pPr>
        <w:spacing w:before="120" w:after="120" w:line="360" w:lineRule="auto"/>
        <w:rPr>
          <w:rFonts w:ascii="Arial" w:eastAsia="Arial" w:hAnsi="Arial" w:cs="Arial"/>
          <w:b/>
          <w:bCs/>
          <w:sz w:val="28"/>
          <w:szCs w:val="28"/>
        </w:rPr>
      </w:pPr>
    </w:p>
    <w:p w14:paraId="24A2D5C0" w14:textId="724013E3" w:rsidR="004849FC" w:rsidRPr="004849FC" w:rsidRDefault="004849FC" w:rsidP="004849FC">
      <w:pPr>
        <w:spacing w:before="120" w:after="120" w:line="360" w:lineRule="auto"/>
        <w:rPr>
          <w:rFonts w:ascii="Arial" w:eastAsia="Arial" w:hAnsi="Arial" w:cs="Arial"/>
          <w:b/>
          <w:bCs/>
          <w:sz w:val="28"/>
          <w:szCs w:val="28"/>
        </w:rPr>
      </w:pPr>
      <w:r w:rsidRPr="004849FC">
        <w:rPr>
          <w:rFonts w:ascii="Arial" w:eastAsia="Arial" w:hAnsi="Arial" w:cs="Arial"/>
          <w:b/>
          <w:bCs/>
          <w:sz w:val="28"/>
          <w:szCs w:val="28"/>
        </w:rPr>
        <w:t xml:space="preserve">Module code: </w:t>
      </w:r>
      <w:r w:rsidR="008A00DB" w:rsidRPr="004849FC">
        <w:rPr>
          <w:rFonts w:ascii="Arial" w:eastAsia="Arial" w:hAnsi="Arial" w:cs="Arial"/>
          <w:b/>
          <w:bCs/>
          <w:sz w:val="28"/>
          <w:szCs w:val="28"/>
        </w:rPr>
        <w:t xml:space="preserve">LCHS7005 </w:t>
      </w:r>
    </w:p>
    <w:p w14:paraId="33451DF5" w14:textId="695FA61E" w:rsidR="008A00DB" w:rsidRPr="004849FC" w:rsidRDefault="004849FC" w:rsidP="004849FC">
      <w:pPr>
        <w:spacing w:before="120" w:after="120" w:line="360" w:lineRule="auto"/>
        <w:rPr>
          <w:rFonts w:ascii="Arial" w:eastAsia="Arial" w:hAnsi="Arial" w:cs="Arial"/>
          <w:b/>
          <w:bCs/>
          <w:sz w:val="28"/>
          <w:szCs w:val="28"/>
        </w:rPr>
      </w:pPr>
      <w:r w:rsidRPr="004849FC">
        <w:rPr>
          <w:rFonts w:ascii="Arial" w:eastAsia="Arial" w:hAnsi="Arial" w:cs="Arial"/>
          <w:b/>
          <w:bCs/>
          <w:sz w:val="28"/>
          <w:szCs w:val="28"/>
        </w:rPr>
        <w:t xml:space="preserve">Module name: </w:t>
      </w:r>
      <w:r w:rsidR="008A00DB" w:rsidRPr="004849FC">
        <w:rPr>
          <w:rFonts w:ascii="Arial" w:eastAsia="Arial" w:hAnsi="Arial" w:cs="Arial"/>
          <w:b/>
          <w:bCs/>
          <w:sz w:val="28"/>
          <w:szCs w:val="28"/>
        </w:rPr>
        <w:t>Service Integration and Partnership Working</w:t>
      </w:r>
    </w:p>
    <w:p w14:paraId="27E782D3" w14:textId="77777777" w:rsidR="004849FC" w:rsidRPr="004849FC" w:rsidRDefault="008A00DB" w:rsidP="004849FC">
      <w:pPr>
        <w:spacing w:before="120" w:after="120" w:line="360" w:lineRule="auto"/>
        <w:rPr>
          <w:rFonts w:ascii="Arial" w:eastAsia="Arial" w:hAnsi="Arial" w:cs="Arial"/>
          <w:b/>
          <w:bCs/>
          <w:sz w:val="28"/>
          <w:szCs w:val="28"/>
        </w:rPr>
      </w:pPr>
      <w:r w:rsidRPr="004849FC">
        <w:rPr>
          <w:rFonts w:ascii="Arial" w:eastAsia="Arial" w:hAnsi="Arial" w:cs="Arial"/>
          <w:b/>
          <w:bCs/>
          <w:sz w:val="28"/>
          <w:szCs w:val="28"/>
        </w:rPr>
        <w:t>Component 2: Reflective Report</w:t>
      </w:r>
    </w:p>
    <w:p w14:paraId="361ACE5F" w14:textId="1808E358" w:rsidR="008A00DB" w:rsidRPr="004849FC" w:rsidRDefault="008A00DB" w:rsidP="004849FC">
      <w:pPr>
        <w:spacing w:before="120" w:after="120" w:line="360" w:lineRule="auto"/>
        <w:rPr>
          <w:rFonts w:ascii="Arial" w:eastAsia="Arial" w:hAnsi="Arial" w:cs="Arial"/>
          <w:b/>
          <w:bCs/>
          <w:sz w:val="28"/>
          <w:szCs w:val="28"/>
        </w:rPr>
      </w:pPr>
      <w:r w:rsidRPr="004849FC">
        <w:rPr>
          <w:rFonts w:ascii="Arial" w:eastAsia="Arial" w:hAnsi="Arial" w:cs="Arial"/>
          <w:b/>
          <w:bCs/>
          <w:sz w:val="28"/>
          <w:szCs w:val="28"/>
        </w:rPr>
        <w:t>Student Name:</w:t>
      </w:r>
      <w:r w:rsidR="004849FC" w:rsidRPr="004849FC">
        <w:rPr>
          <w:rFonts w:ascii="Arial" w:eastAsia="Arial" w:hAnsi="Arial" w:cs="Arial"/>
          <w:b/>
          <w:bCs/>
          <w:sz w:val="28"/>
          <w:szCs w:val="28"/>
        </w:rPr>
        <w:t xml:space="preserve"> Nirav Mistry</w:t>
      </w:r>
    </w:p>
    <w:p w14:paraId="3D6BEC47" w14:textId="4C5F03FC" w:rsidR="008A00DB" w:rsidRPr="004849FC" w:rsidRDefault="008A00DB" w:rsidP="004849FC">
      <w:pPr>
        <w:spacing w:before="120" w:after="120" w:line="360" w:lineRule="auto"/>
        <w:rPr>
          <w:rFonts w:ascii="Arial" w:eastAsia="Arial" w:hAnsi="Arial" w:cs="Arial"/>
          <w:b/>
          <w:bCs/>
          <w:sz w:val="28"/>
          <w:szCs w:val="28"/>
        </w:rPr>
      </w:pPr>
      <w:r w:rsidRPr="004849FC">
        <w:rPr>
          <w:rFonts w:ascii="Arial" w:eastAsia="Arial" w:hAnsi="Arial" w:cs="Arial"/>
          <w:b/>
          <w:bCs/>
          <w:sz w:val="28"/>
          <w:szCs w:val="28"/>
        </w:rPr>
        <w:t>Student ID:</w:t>
      </w:r>
      <w:r w:rsidR="004849FC" w:rsidRPr="004849FC">
        <w:rPr>
          <w:rFonts w:ascii="Arial" w:eastAsia="Arial" w:hAnsi="Arial" w:cs="Arial"/>
          <w:b/>
          <w:bCs/>
          <w:sz w:val="28"/>
          <w:szCs w:val="28"/>
        </w:rPr>
        <w:t xml:space="preserve"> 2436886</w:t>
      </w:r>
    </w:p>
    <w:p w14:paraId="5327A2CE" w14:textId="3A36C4F2" w:rsidR="008A00DB" w:rsidRPr="004849FC" w:rsidRDefault="008A00DB" w:rsidP="004849FC">
      <w:pPr>
        <w:spacing w:before="120" w:after="120" w:line="360" w:lineRule="auto"/>
        <w:rPr>
          <w:rFonts w:ascii="Arial" w:eastAsia="Arial" w:hAnsi="Arial" w:cs="Arial"/>
          <w:b/>
          <w:bCs/>
          <w:sz w:val="28"/>
          <w:szCs w:val="28"/>
        </w:rPr>
      </w:pPr>
      <w:r w:rsidRPr="004849FC">
        <w:rPr>
          <w:rFonts w:ascii="Arial" w:eastAsia="Arial" w:hAnsi="Arial" w:cs="Arial"/>
          <w:b/>
          <w:bCs/>
          <w:sz w:val="28"/>
          <w:szCs w:val="28"/>
        </w:rPr>
        <w:t>Lecturer: Diola Bijlhout</w:t>
      </w:r>
    </w:p>
    <w:p w14:paraId="24FAB6AF" w14:textId="5AEE20B7" w:rsidR="004849FC" w:rsidRPr="004849FC" w:rsidRDefault="004849FC" w:rsidP="004849FC">
      <w:pPr>
        <w:pStyle w:val="Title"/>
        <w:rPr>
          <w:b/>
          <w:color w:val="000000" w:themeColor="text1"/>
          <w:sz w:val="28"/>
          <w:szCs w:val="28"/>
        </w:rPr>
      </w:pPr>
      <w:r>
        <w:rPr>
          <w:b/>
          <w:color w:val="000000" w:themeColor="text1"/>
          <w:sz w:val="28"/>
          <w:szCs w:val="28"/>
        </w:rPr>
        <w:t>Submission Date:</w:t>
      </w:r>
      <w:r w:rsidRPr="004849FC">
        <w:rPr>
          <w:b/>
          <w:color w:val="000000" w:themeColor="text1"/>
          <w:sz w:val="28"/>
          <w:szCs w:val="28"/>
        </w:rPr>
        <w:t xml:space="preserve"> </w:t>
      </w:r>
      <w:r w:rsidRPr="004849FC">
        <w:rPr>
          <w:b/>
          <w:color w:val="000000" w:themeColor="text1"/>
          <w:sz w:val="28"/>
          <w:szCs w:val="28"/>
        </w:rPr>
        <w:t>27</w:t>
      </w:r>
      <w:r w:rsidRPr="004849FC">
        <w:rPr>
          <w:b/>
          <w:color w:val="000000" w:themeColor="text1"/>
          <w:sz w:val="28"/>
          <w:szCs w:val="28"/>
          <w:vertAlign w:val="superscript"/>
        </w:rPr>
        <w:t>th</w:t>
      </w:r>
      <w:r w:rsidRPr="004849FC">
        <w:rPr>
          <w:b/>
          <w:color w:val="000000" w:themeColor="text1"/>
          <w:sz w:val="28"/>
          <w:szCs w:val="28"/>
        </w:rPr>
        <w:t xml:space="preserve"> April 2026 (2pm)</w:t>
      </w:r>
    </w:p>
    <w:p w14:paraId="622E4ADC" w14:textId="77777777" w:rsidR="004849FC" w:rsidRPr="004849FC" w:rsidRDefault="004849FC" w:rsidP="004849FC">
      <w:pPr>
        <w:spacing w:before="120" w:after="120" w:line="360" w:lineRule="auto"/>
        <w:rPr>
          <w:rFonts w:ascii="Arial" w:eastAsia="Arial" w:hAnsi="Arial" w:cs="Arial"/>
          <w:b/>
          <w:bCs/>
          <w:sz w:val="28"/>
          <w:szCs w:val="28"/>
        </w:rPr>
      </w:pPr>
    </w:p>
    <w:p w14:paraId="329D996B" w14:textId="77777777" w:rsidR="008A00DB" w:rsidRPr="004849FC" w:rsidRDefault="008A00DB" w:rsidP="008A00DB">
      <w:pPr>
        <w:spacing w:before="120" w:after="120" w:line="360" w:lineRule="auto"/>
        <w:jc w:val="center"/>
        <w:rPr>
          <w:rFonts w:ascii="Arial" w:eastAsia="Arial" w:hAnsi="Arial" w:cs="Arial"/>
          <w:b/>
          <w:bCs/>
          <w:sz w:val="28"/>
          <w:szCs w:val="28"/>
        </w:rPr>
      </w:pPr>
    </w:p>
    <w:p w14:paraId="63137CE1" w14:textId="77777777" w:rsidR="008A00DB" w:rsidRPr="004849FC" w:rsidRDefault="008A00DB" w:rsidP="008A00DB">
      <w:pPr>
        <w:spacing w:before="120" w:after="120" w:line="360" w:lineRule="auto"/>
        <w:jc w:val="center"/>
        <w:rPr>
          <w:rFonts w:ascii="Arial" w:eastAsia="Arial" w:hAnsi="Arial" w:cs="Arial"/>
          <w:b/>
          <w:bCs/>
          <w:sz w:val="28"/>
          <w:szCs w:val="28"/>
        </w:rPr>
      </w:pPr>
    </w:p>
    <w:p w14:paraId="7DAAA9DD" w14:textId="77777777" w:rsidR="008A00DB" w:rsidRPr="004849FC" w:rsidRDefault="008A00DB" w:rsidP="008A00DB">
      <w:pPr>
        <w:spacing w:before="120" w:after="120" w:line="360" w:lineRule="auto"/>
        <w:jc w:val="center"/>
        <w:rPr>
          <w:rFonts w:ascii="Arial" w:eastAsia="Arial" w:hAnsi="Arial" w:cs="Arial"/>
          <w:b/>
          <w:bCs/>
          <w:sz w:val="28"/>
          <w:szCs w:val="28"/>
        </w:rPr>
      </w:pPr>
    </w:p>
    <w:p w14:paraId="1743733B" w14:textId="77777777" w:rsidR="008A00DB" w:rsidRDefault="008A00DB" w:rsidP="008A00DB">
      <w:pPr>
        <w:spacing w:before="120" w:after="120" w:line="360" w:lineRule="auto"/>
        <w:jc w:val="center"/>
        <w:rPr>
          <w:rFonts w:ascii="Arial" w:eastAsia="Arial" w:hAnsi="Arial" w:cs="Arial"/>
          <w:b/>
          <w:bCs/>
          <w:sz w:val="22"/>
          <w:szCs w:val="22"/>
        </w:rPr>
      </w:pPr>
    </w:p>
    <w:p w14:paraId="11A8604C" w14:textId="4676D9CB" w:rsidR="008A00DB" w:rsidRDefault="008A00DB" w:rsidP="008A00DB">
      <w:pPr>
        <w:spacing w:before="120" w:after="120" w:line="360" w:lineRule="auto"/>
        <w:jc w:val="center"/>
        <w:rPr>
          <w:rFonts w:ascii="Arial" w:eastAsia="Arial" w:hAnsi="Arial" w:cs="Arial"/>
          <w:sz w:val="22"/>
          <w:szCs w:val="22"/>
        </w:rPr>
      </w:pPr>
      <w:r>
        <w:br w:type="page"/>
      </w:r>
    </w:p>
    <w:p w14:paraId="0383107D" w14:textId="77777777" w:rsidR="008A00DB" w:rsidRPr="00B72356" w:rsidRDefault="008A00DB" w:rsidP="00B72356">
      <w:pPr>
        <w:spacing w:before="120" w:after="120" w:line="240" w:lineRule="auto"/>
        <w:jc w:val="center"/>
        <w:rPr>
          <w:rFonts w:ascii="Arial" w:eastAsia="Arial" w:hAnsi="Arial" w:cs="Arial"/>
          <w:b/>
          <w:bCs/>
          <w:sz w:val="22"/>
          <w:szCs w:val="22"/>
        </w:rPr>
      </w:pPr>
      <w:r w:rsidRPr="00B72356">
        <w:rPr>
          <w:rFonts w:ascii="Arial" w:eastAsia="Arial" w:hAnsi="Arial" w:cs="Arial"/>
          <w:b/>
          <w:bCs/>
          <w:sz w:val="22"/>
          <w:szCs w:val="22"/>
        </w:rPr>
        <w:lastRenderedPageBreak/>
        <w:t>Table of Contents</w:t>
      </w:r>
    </w:p>
    <w:sdt>
      <w:sdtPr>
        <w:rPr>
          <w:rFonts w:ascii="Arial" w:hAnsi="Arial" w:cs="Arial"/>
          <w:sz w:val="22"/>
          <w:szCs w:val="22"/>
        </w:rPr>
        <w:id w:val="1878885016"/>
        <w:docPartObj>
          <w:docPartGallery w:val="Table of Contents"/>
          <w:docPartUnique/>
        </w:docPartObj>
      </w:sdtPr>
      <w:sdtEndPr/>
      <w:sdtContent>
        <w:p w14:paraId="3FD8891F" w14:textId="31DA8387" w:rsidR="00B72356" w:rsidRPr="00B72356" w:rsidRDefault="008A00DB" w:rsidP="00B72356">
          <w:pPr>
            <w:pStyle w:val="TOC1"/>
            <w:tabs>
              <w:tab w:val="right" w:leader="dot" w:pos="9350"/>
            </w:tabs>
            <w:spacing w:line="240" w:lineRule="auto"/>
            <w:rPr>
              <w:rFonts w:ascii="Arial" w:hAnsi="Arial" w:cs="Arial"/>
              <w:noProof/>
              <w:sz w:val="22"/>
              <w:szCs w:val="22"/>
            </w:rPr>
          </w:pPr>
          <w:r w:rsidRPr="00B72356">
            <w:rPr>
              <w:rFonts w:ascii="Arial" w:hAnsi="Arial" w:cs="Arial"/>
              <w:sz w:val="22"/>
              <w:szCs w:val="22"/>
            </w:rPr>
            <w:fldChar w:fldCharType="begin"/>
          </w:r>
          <w:r w:rsidRPr="00B72356">
            <w:rPr>
              <w:rFonts w:ascii="Arial" w:hAnsi="Arial" w:cs="Arial"/>
              <w:sz w:val="22"/>
              <w:szCs w:val="22"/>
            </w:rPr>
            <w:instrText xml:space="preserve"> TOC \h \u \z \t "Heading 1,1,Heading 2,2,Heading 3,3,Heading 4,4,Heading 5,5,Heading 6,6,"</w:instrText>
          </w:r>
          <w:r w:rsidRPr="00B72356">
            <w:rPr>
              <w:rFonts w:ascii="Arial" w:hAnsi="Arial" w:cs="Arial"/>
              <w:sz w:val="22"/>
              <w:szCs w:val="22"/>
            </w:rPr>
            <w:fldChar w:fldCharType="separate"/>
          </w:r>
          <w:hyperlink w:anchor="_Toc227183405" w:history="1">
            <w:r w:rsidR="00B72356" w:rsidRPr="00B72356">
              <w:rPr>
                <w:rStyle w:val="Hyperlink"/>
                <w:rFonts w:ascii="Arial" w:eastAsia="Arial" w:hAnsi="Arial" w:cs="Arial"/>
                <w:noProof/>
                <w:sz w:val="22"/>
                <w:szCs w:val="22"/>
              </w:rPr>
              <w:t>1. Introduction</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_Toc227183405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3</w:t>
            </w:r>
            <w:r w:rsidR="00B72356" w:rsidRPr="00B72356">
              <w:rPr>
                <w:rFonts w:ascii="Arial" w:hAnsi="Arial" w:cs="Arial"/>
                <w:noProof/>
                <w:webHidden/>
                <w:sz w:val="22"/>
                <w:szCs w:val="22"/>
              </w:rPr>
              <w:fldChar w:fldCharType="end"/>
            </w:r>
          </w:hyperlink>
        </w:p>
        <w:p w14:paraId="7111522F" w14:textId="13F14916" w:rsidR="00B72356" w:rsidRPr="00B72356" w:rsidRDefault="00883F8A" w:rsidP="00B72356">
          <w:pPr>
            <w:pStyle w:val="TOC1"/>
            <w:tabs>
              <w:tab w:val="right" w:leader="dot" w:pos="9350"/>
            </w:tabs>
            <w:spacing w:line="240" w:lineRule="auto"/>
            <w:rPr>
              <w:rFonts w:ascii="Arial" w:hAnsi="Arial" w:cs="Arial"/>
              <w:noProof/>
              <w:sz w:val="22"/>
              <w:szCs w:val="22"/>
            </w:rPr>
          </w:pPr>
          <w:hyperlink w:anchor="_Toc227183406" w:history="1">
            <w:r w:rsidR="00B72356" w:rsidRPr="00B72356">
              <w:rPr>
                <w:rStyle w:val="Hyperlink"/>
                <w:rFonts w:ascii="Arial" w:eastAsia="Arial" w:hAnsi="Arial" w:cs="Arial"/>
                <w:noProof/>
                <w:sz w:val="22"/>
                <w:szCs w:val="22"/>
              </w:rPr>
              <w:t>2. Context</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_Toc227183406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3</w:t>
            </w:r>
            <w:r w:rsidR="00B72356" w:rsidRPr="00B72356">
              <w:rPr>
                <w:rFonts w:ascii="Arial" w:hAnsi="Arial" w:cs="Arial"/>
                <w:noProof/>
                <w:webHidden/>
                <w:sz w:val="22"/>
                <w:szCs w:val="22"/>
              </w:rPr>
              <w:fldChar w:fldCharType="end"/>
            </w:r>
          </w:hyperlink>
        </w:p>
        <w:p w14:paraId="408AD2CE" w14:textId="13A0EFF0"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07" w:history="1">
            <w:r w:rsidR="00B72356" w:rsidRPr="00B72356">
              <w:rPr>
                <w:rStyle w:val="Hyperlink"/>
                <w:rFonts w:ascii="Arial" w:eastAsia="Arial" w:hAnsi="Arial" w:cs="Arial"/>
                <w:noProof/>
                <w:sz w:val="22"/>
                <w:szCs w:val="22"/>
              </w:rPr>
              <w:t>2.1 Identification of Needs of the Target Vulnerable Population</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_Toc227183407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3</w:t>
            </w:r>
            <w:r w:rsidR="00B72356" w:rsidRPr="00B72356">
              <w:rPr>
                <w:rFonts w:ascii="Arial" w:hAnsi="Arial" w:cs="Arial"/>
                <w:noProof/>
                <w:webHidden/>
                <w:sz w:val="22"/>
                <w:szCs w:val="22"/>
              </w:rPr>
              <w:fldChar w:fldCharType="end"/>
            </w:r>
          </w:hyperlink>
        </w:p>
        <w:p w14:paraId="28C5FAE2" w14:textId="43488D1D"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08" w:history="1">
            <w:r w:rsidR="00B72356" w:rsidRPr="00B72356">
              <w:rPr>
                <w:rStyle w:val="Hyperlink"/>
                <w:rFonts w:ascii="Arial" w:eastAsia="Arial" w:hAnsi="Arial" w:cs="Arial"/>
                <w:noProof/>
                <w:sz w:val="22"/>
                <w:szCs w:val="22"/>
              </w:rPr>
              <w:t>2.2 Identification of the Opportunities to Address the Needs of the Target Vulnerable Population</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_Toc227183408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4</w:t>
            </w:r>
            <w:r w:rsidR="00B72356" w:rsidRPr="00B72356">
              <w:rPr>
                <w:rFonts w:ascii="Arial" w:hAnsi="Arial" w:cs="Arial"/>
                <w:noProof/>
                <w:webHidden/>
                <w:sz w:val="22"/>
                <w:szCs w:val="22"/>
              </w:rPr>
              <w:fldChar w:fldCharType="end"/>
            </w:r>
          </w:hyperlink>
        </w:p>
        <w:p w14:paraId="4E3685F8" w14:textId="16BEBD90"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09" w:history="1">
            <w:r w:rsidR="00B72356" w:rsidRPr="00B72356">
              <w:rPr>
                <w:rStyle w:val="Hyperlink"/>
                <w:rFonts w:ascii="Arial" w:eastAsia="Arial" w:hAnsi="Arial" w:cs="Arial"/>
                <w:noProof/>
                <w:sz w:val="22"/>
                <w:szCs w:val="22"/>
              </w:rPr>
              <w:t>2.3 Need for Aims to Response to the Needs of the Vulnerable Population</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_Toc227183409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4</w:t>
            </w:r>
            <w:r w:rsidR="00B72356" w:rsidRPr="00B72356">
              <w:rPr>
                <w:rFonts w:ascii="Arial" w:hAnsi="Arial" w:cs="Arial"/>
                <w:noProof/>
                <w:webHidden/>
                <w:sz w:val="22"/>
                <w:szCs w:val="22"/>
              </w:rPr>
              <w:fldChar w:fldCharType="end"/>
            </w:r>
          </w:hyperlink>
        </w:p>
        <w:p w14:paraId="1CBE5B14" w14:textId="41A196F2" w:rsidR="00B72356" w:rsidRPr="00B72356" w:rsidRDefault="00883F8A" w:rsidP="00B72356">
          <w:pPr>
            <w:pStyle w:val="TOC1"/>
            <w:tabs>
              <w:tab w:val="right" w:leader="dot" w:pos="9350"/>
            </w:tabs>
            <w:spacing w:line="240" w:lineRule="auto"/>
            <w:rPr>
              <w:rFonts w:ascii="Arial" w:hAnsi="Arial" w:cs="Arial"/>
              <w:noProof/>
              <w:sz w:val="22"/>
              <w:szCs w:val="22"/>
            </w:rPr>
          </w:pPr>
          <w:hyperlink w:anchor="_Toc227183410" w:history="1">
            <w:r w:rsidR="00B72356" w:rsidRPr="00B72356">
              <w:rPr>
                <w:rStyle w:val="Hyperlink"/>
                <w:rFonts w:ascii="Arial" w:eastAsia="Arial" w:hAnsi="Arial" w:cs="Arial"/>
                <w:noProof/>
                <w:sz w:val="22"/>
                <w:szCs w:val="22"/>
              </w:rPr>
              <w:t>3. Input</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_Toc227183410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4</w:t>
            </w:r>
            <w:r w:rsidR="00B72356" w:rsidRPr="00B72356">
              <w:rPr>
                <w:rFonts w:ascii="Arial" w:hAnsi="Arial" w:cs="Arial"/>
                <w:noProof/>
                <w:webHidden/>
                <w:sz w:val="22"/>
                <w:szCs w:val="22"/>
              </w:rPr>
              <w:fldChar w:fldCharType="end"/>
            </w:r>
          </w:hyperlink>
        </w:p>
        <w:p w14:paraId="4DB8DBE4" w14:textId="04144AFB"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11" w:history="1">
            <w:r w:rsidR="00B72356" w:rsidRPr="00B72356">
              <w:rPr>
                <w:rStyle w:val="Hyperlink"/>
                <w:rFonts w:ascii="Arial" w:eastAsia="Arial" w:hAnsi="Arial" w:cs="Arial"/>
                <w:noProof/>
                <w:sz w:val="22"/>
                <w:szCs w:val="22"/>
              </w:rPr>
              <w:t>3.1 Relevant Partners and Strategies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_Toc227183411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4</w:t>
            </w:r>
            <w:r w:rsidR="00B72356" w:rsidRPr="00B72356">
              <w:rPr>
                <w:rFonts w:ascii="Arial" w:hAnsi="Arial" w:cs="Arial"/>
                <w:noProof/>
                <w:webHidden/>
                <w:sz w:val="22"/>
                <w:szCs w:val="22"/>
              </w:rPr>
              <w:fldChar w:fldCharType="end"/>
            </w:r>
          </w:hyperlink>
        </w:p>
        <w:p w14:paraId="47D89A8F" w14:textId="55E67135"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12" w:history="1">
            <w:r w:rsidR="00B72356" w:rsidRPr="00B72356">
              <w:rPr>
                <w:rStyle w:val="Hyperlink"/>
                <w:rFonts w:ascii="Arial" w:eastAsia="Arial" w:hAnsi="Arial" w:cs="Arial"/>
                <w:noProof/>
                <w:sz w:val="22"/>
                <w:szCs w:val="22"/>
              </w:rPr>
              <w:t>3.2 Principles to Join Health and Social Care Services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_Toc227183412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5</w:t>
            </w:r>
            <w:r w:rsidR="00B72356" w:rsidRPr="00B72356">
              <w:rPr>
                <w:rFonts w:ascii="Arial" w:hAnsi="Arial" w:cs="Arial"/>
                <w:noProof/>
                <w:webHidden/>
                <w:sz w:val="22"/>
                <w:szCs w:val="22"/>
              </w:rPr>
              <w:fldChar w:fldCharType="end"/>
            </w:r>
          </w:hyperlink>
        </w:p>
        <w:p w14:paraId="5BAE4CE5" w14:textId="6C1B8B5E"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13" w:history="1">
            <w:r w:rsidR="00B72356" w:rsidRPr="00B72356">
              <w:rPr>
                <w:rStyle w:val="Hyperlink"/>
                <w:rFonts w:ascii="Arial" w:eastAsia="Arial" w:hAnsi="Arial" w:cs="Arial"/>
                <w:noProof/>
                <w:sz w:val="22"/>
                <w:szCs w:val="22"/>
              </w:rPr>
              <w:t>3.3 Human and Material Resources Needs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_Toc227183413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5</w:t>
            </w:r>
            <w:r w:rsidR="00B72356" w:rsidRPr="00B72356">
              <w:rPr>
                <w:rFonts w:ascii="Arial" w:hAnsi="Arial" w:cs="Arial"/>
                <w:noProof/>
                <w:webHidden/>
                <w:sz w:val="22"/>
                <w:szCs w:val="22"/>
              </w:rPr>
              <w:fldChar w:fldCharType="end"/>
            </w:r>
          </w:hyperlink>
        </w:p>
        <w:p w14:paraId="48C8CB14" w14:textId="64B0F83C"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14" w:history="1">
            <w:r w:rsidR="00B72356" w:rsidRPr="00B72356">
              <w:rPr>
                <w:rStyle w:val="Hyperlink"/>
                <w:rFonts w:ascii="Arial" w:eastAsia="Arial" w:hAnsi="Arial" w:cs="Arial"/>
                <w:noProof/>
                <w:sz w:val="22"/>
                <w:szCs w:val="22"/>
              </w:rPr>
              <w:t>3.4 Identification of Barriers in Achieving Service Integration and Partnership Working</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_Toc227183414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6</w:t>
            </w:r>
            <w:r w:rsidR="00B72356" w:rsidRPr="00B72356">
              <w:rPr>
                <w:rFonts w:ascii="Arial" w:hAnsi="Arial" w:cs="Arial"/>
                <w:noProof/>
                <w:webHidden/>
                <w:sz w:val="22"/>
                <w:szCs w:val="22"/>
              </w:rPr>
              <w:fldChar w:fldCharType="end"/>
            </w:r>
          </w:hyperlink>
        </w:p>
        <w:p w14:paraId="5A238898" w14:textId="70C67254"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15" w:history="1">
            <w:r w:rsidR="00B72356" w:rsidRPr="00B72356">
              <w:rPr>
                <w:rStyle w:val="Hyperlink"/>
                <w:rFonts w:ascii="Arial" w:eastAsia="Arial" w:hAnsi="Arial" w:cs="Arial"/>
                <w:noProof/>
                <w:sz w:val="22"/>
                <w:szCs w:val="22"/>
              </w:rPr>
              <w:t>3.5 Recommendations for Alternative Strategies and Solutions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_Toc227183415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6</w:t>
            </w:r>
            <w:r w:rsidR="00B72356" w:rsidRPr="00B72356">
              <w:rPr>
                <w:rFonts w:ascii="Arial" w:hAnsi="Arial" w:cs="Arial"/>
                <w:noProof/>
                <w:webHidden/>
                <w:sz w:val="22"/>
                <w:szCs w:val="22"/>
              </w:rPr>
              <w:fldChar w:fldCharType="end"/>
            </w:r>
          </w:hyperlink>
        </w:p>
        <w:p w14:paraId="203C1041" w14:textId="5A6F7313" w:rsidR="00B72356" w:rsidRPr="00B72356" w:rsidRDefault="00883F8A" w:rsidP="00B72356">
          <w:pPr>
            <w:pStyle w:val="TOC1"/>
            <w:tabs>
              <w:tab w:val="right" w:leader="dot" w:pos="9350"/>
            </w:tabs>
            <w:spacing w:line="240" w:lineRule="auto"/>
            <w:rPr>
              <w:rFonts w:ascii="Arial" w:hAnsi="Arial" w:cs="Arial"/>
              <w:noProof/>
              <w:sz w:val="22"/>
              <w:szCs w:val="22"/>
            </w:rPr>
          </w:pPr>
          <w:hyperlink w:anchor="_Toc227183416" w:history="1">
            <w:r w:rsidR="00B72356" w:rsidRPr="00B72356">
              <w:rPr>
                <w:rStyle w:val="Hyperlink"/>
                <w:rFonts w:ascii="Arial" w:eastAsia="Arial" w:hAnsi="Arial" w:cs="Arial"/>
                <w:noProof/>
                <w:sz w:val="22"/>
                <w:szCs w:val="22"/>
              </w:rPr>
              <w:t>4. Process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_Toc227183416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7</w:t>
            </w:r>
            <w:r w:rsidR="00B72356" w:rsidRPr="00B72356">
              <w:rPr>
                <w:rFonts w:ascii="Arial" w:hAnsi="Arial" w:cs="Arial"/>
                <w:noProof/>
                <w:webHidden/>
                <w:sz w:val="22"/>
                <w:szCs w:val="22"/>
              </w:rPr>
              <w:fldChar w:fldCharType="end"/>
            </w:r>
          </w:hyperlink>
        </w:p>
        <w:p w14:paraId="3B4849B5" w14:textId="5BD95260"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17" w:history="1">
            <w:r w:rsidR="00B72356" w:rsidRPr="00B72356">
              <w:rPr>
                <w:rStyle w:val="Hyperlink"/>
                <w:rFonts w:ascii="Arial" w:eastAsia="Arial" w:hAnsi="Arial" w:cs="Arial"/>
                <w:noProof/>
                <w:sz w:val="22"/>
                <w:szCs w:val="22"/>
              </w:rPr>
              <w:t>4.1 Working as a Group to Achieve Planned Activities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_Toc227183417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7</w:t>
            </w:r>
            <w:r w:rsidR="00B72356" w:rsidRPr="00B72356">
              <w:rPr>
                <w:rFonts w:ascii="Arial" w:hAnsi="Arial" w:cs="Arial"/>
                <w:noProof/>
                <w:webHidden/>
                <w:sz w:val="22"/>
                <w:szCs w:val="22"/>
              </w:rPr>
              <w:fldChar w:fldCharType="end"/>
            </w:r>
          </w:hyperlink>
        </w:p>
        <w:p w14:paraId="5F407227" w14:textId="3BB05CA9"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18" w:history="1">
            <w:r w:rsidR="00B72356" w:rsidRPr="00B72356">
              <w:rPr>
                <w:rStyle w:val="Hyperlink"/>
                <w:rFonts w:ascii="Arial" w:eastAsia="Arial" w:hAnsi="Arial" w:cs="Arial"/>
                <w:noProof/>
                <w:sz w:val="22"/>
                <w:szCs w:val="22"/>
              </w:rPr>
              <w:t>4.2 Group Members’ Roles and Responsibilities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_Toc227183418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7</w:t>
            </w:r>
            <w:r w:rsidR="00B72356" w:rsidRPr="00B72356">
              <w:rPr>
                <w:rFonts w:ascii="Arial" w:hAnsi="Arial" w:cs="Arial"/>
                <w:noProof/>
                <w:webHidden/>
                <w:sz w:val="22"/>
                <w:szCs w:val="22"/>
              </w:rPr>
              <w:fldChar w:fldCharType="end"/>
            </w:r>
          </w:hyperlink>
        </w:p>
        <w:p w14:paraId="4668345C" w14:textId="57D86689" w:rsidR="00B72356" w:rsidRPr="00B72356" w:rsidRDefault="00883F8A" w:rsidP="00B72356">
          <w:pPr>
            <w:pStyle w:val="TOC1"/>
            <w:tabs>
              <w:tab w:val="right" w:leader="dot" w:pos="9350"/>
            </w:tabs>
            <w:spacing w:line="240" w:lineRule="auto"/>
            <w:rPr>
              <w:rFonts w:ascii="Arial" w:hAnsi="Arial" w:cs="Arial"/>
              <w:noProof/>
              <w:sz w:val="22"/>
              <w:szCs w:val="22"/>
            </w:rPr>
          </w:pPr>
          <w:hyperlink w:anchor="_Toc227183419" w:history="1">
            <w:r w:rsidR="00B72356" w:rsidRPr="00B72356">
              <w:rPr>
                <w:rStyle w:val="Hyperlink"/>
                <w:rFonts w:ascii="Arial" w:eastAsia="Arial" w:hAnsi="Arial" w:cs="Arial"/>
                <w:noProof/>
                <w:sz w:val="22"/>
                <w:szCs w:val="22"/>
              </w:rPr>
              <w:t>5. Product</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_Toc227183419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8</w:t>
            </w:r>
            <w:r w:rsidR="00B72356" w:rsidRPr="00B72356">
              <w:rPr>
                <w:rFonts w:ascii="Arial" w:hAnsi="Arial" w:cs="Arial"/>
                <w:noProof/>
                <w:webHidden/>
                <w:sz w:val="22"/>
                <w:szCs w:val="22"/>
              </w:rPr>
              <w:fldChar w:fldCharType="end"/>
            </w:r>
          </w:hyperlink>
        </w:p>
        <w:p w14:paraId="26AD805F" w14:textId="44F6D645"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20" w:history="1">
            <w:r w:rsidR="00B72356" w:rsidRPr="00B72356">
              <w:rPr>
                <w:rStyle w:val="Hyperlink"/>
                <w:rFonts w:ascii="Arial" w:eastAsia="Arial" w:hAnsi="Arial" w:cs="Arial"/>
                <w:noProof/>
                <w:sz w:val="22"/>
                <w:szCs w:val="22"/>
              </w:rPr>
              <w:t>5.1 Identifying Whether Our Group Activity Was Successful</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_Toc227183420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8</w:t>
            </w:r>
            <w:r w:rsidR="00B72356" w:rsidRPr="00B72356">
              <w:rPr>
                <w:rFonts w:ascii="Arial" w:hAnsi="Arial" w:cs="Arial"/>
                <w:noProof/>
                <w:webHidden/>
                <w:sz w:val="22"/>
                <w:szCs w:val="22"/>
              </w:rPr>
              <w:fldChar w:fldCharType="end"/>
            </w:r>
          </w:hyperlink>
        </w:p>
        <w:p w14:paraId="692272E8" w14:textId="6EE15374" w:rsidR="00B72356" w:rsidRPr="00B72356" w:rsidRDefault="00883F8A" w:rsidP="00B72356">
          <w:pPr>
            <w:pStyle w:val="TOC2"/>
            <w:tabs>
              <w:tab w:val="right" w:leader="dot" w:pos="9350"/>
            </w:tabs>
            <w:spacing w:line="240" w:lineRule="auto"/>
            <w:rPr>
              <w:rFonts w:ascii="Arial" w:hAnsi="Arial" w:cs="Arial"/>
              <w:noProof/>
              <w:sz w:val="22"/>
              <w:szCs w:val="22"/>
            </w:rPr>
          </w:pPr>
          <w:hyperlink w:anchor="_Toc227183421" w:history="1">
            <w:r w:rsidR="00B72356" w:rsidRPr="00B72356">
              <w:rPr>
                <w:rStyle w:val="Hyperlink"/>
                <w:rFonts w:ascii="Arial" w:eastAsia="Arial" w:hAnsi="Arial" w:cs="Arial"/>
                <w:noProof/>
                <w:sz w:val="22"/>
                <w:szCs w:val="22"/>
              </w:rPr>
              <w:t>5.2 Identification of Relevant Competencies and Skills for HSC Professionals and Steps for Growth</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_Toc227183421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8</w:t>
            </w:r>
            <w:r w:rsidR="00B72356" w:rsidRPr="00B72356">
              <w:rPr>
                <w:rFonts w:ascii="Arial" w:hAnsi="Arial" w:cs="Arial"/>
                <w:noProof/>
                <w:webHidden/>
                <w:sz w:val="22"/>
                <w:szCs w:val="22"/>
              </w:rPr>
              <w:fldChar w:fldCharType="end"/>
            </w:r>
          </w:hyperlink>
        </w:p>
        <w:p w14:paraId="699F2989" w14:textId="4962FA72" w:rsidR="00B72356" w:rsidRPr="00B72356" w:rsidRDefault="00883F8A" w:rsidP="00B72356">
          <w:pPr>
            <w:pStyle w:val="TOC1"/>
            <w:tabs>
              <w:tab w:val="right" w:leader="dot" w:pos="9350"/>
            </w:tabs>
            <w:spacing w:line="240" w:lineRule="auto"/>
            <w:rPr>
              <w:rFonts w:ascii="Arial" w:hAnsi="Arial" w:cs="Arial"/>
              <w:noProof/>
              <w:sz w:val="22"/>
              <w:szCs w:val="22"/>
            </w:rPr>
          </w:pPr>
          <w:hyperlink w:anchor="_Toc227183422" w:history="1">
            <w:r w:rsidR="00B72356" w:rsidRPr="00B72356">
              <w:rPr>
                <w:rStyle w:val="Hyperlink"/>
                <w:rFonts w:ascii="Arial" w:eastAsia="Arial" w:hAnsi="Arial" w:cs="Arial"/>
                <w:noProof/>
                <w:sz w:val="22"/>
                <w:szCs w:val="22"/>
              </w:rPr>
              <w:t>6. Conclusion</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_Toc227183422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9</w:t>
            </w:r>
            <w:r w:rsidR="00B72356" w:rsidRPr="00B72356">
              <w:rPr>
                <w:rFonts w:ascii="Arial" w:hAnsi="Arial" w:cs="Arial"/>
                <w:noProof/>
                <w:webHidden/>
                <w:sz w:val="22"/>
                <w:szCs w:val="22"/>
              </w:rPr>
              <w:fldChar w:fldCharType="end"/>
            </w:r>
          </w:hyperlink>
        </w:p>
        <w:p w14:paraId="1A096542" w14:textId="1E84C31B" w:rsidR="00B72356" w:rsidRPr="00B72356" w:rsidRDefault="00883F8A" w:rsidP="00B72356">
          <w:pPr>
            <w:pStyle w:val="TOC1"/>
            <w:tabs>
              <w:tab w:val="right" w:leader="dot" w:pos="9350"/>
            </w:tabs>
            <w:spacing w:line="240" w:lineRule="auto"/>
            <w:rPr>
              <w:rFonts w:ascii="Arial" w:hAnsi="Arial" w:cs="Arial"/>
              <w:noProof/>
              <w:sz w:val="22"/>
              <w:szCs w:val="22"/>
            </w:rPr>
          </w:pPr>
          <w:hyperlink w:anchor="_Toc227183423" w:history="1">
            <w:r w:rsidR="00B72356" w:rsidRPr="00B72356">
              <w:rPr>
                <w:rStyle w:val="Hyperlink"/>
                <w:rFonts w:ascii="Arial" w:eastAsia="Arial" w:hAnsi="Arial" w:cs="Arial"/>
                <w:noProof/>
                <w:sz w:val="22"/>
                <w:szCs w:val="22"/>
              </w:rPr>
              <w:t>References</w:t>
            </w:r>
            <w:r w:rsidR="00B72356" w:rsidRPr="00B72356">
              <w:rPr>
                <w:rFonts w:ascii="Arial" w:hAnsi="Arial" w:cs="Arial"/>
                <w:noProof/>
                <w:webHidden/>
                <w:sz w:val="22"/>
                <w:szCs w:val="22"/>
              </w:rPr>
              <w:tab/>
            </w:r>
            <w:r w:rsidR="00B72356" w:rsidRPr="00B72356">
              <w:rPr>
                <w:rFonts w:ascii="Arial" w:hAnsi="Arial" w:cs="Arial"/>
                <w:noProof/>
                <w:webHidden/>
                <w:sz w:val="22"/>
                <w:szCs w:val="22"/>
              </w:rPr>
              <w:fldChar w:fldCharType="begin"/>
            </w:r>
            <w:r w:rsidR="00B72356" w:rsidRPr="00B72356">
              <w:rPr>
                <w:rFonts w:ascii="Arial" w:hAnsi="Arial" w:cs="Arial"/>
                <w:noProof/>
                <w:webHidden/>
                <w:sz w:val="22"/>
                <w:szCs w:val="22"/>
              </w:rPr>
              <w:instrText xml:space="preserve"> PAGEREF _Toc227183423 \h </w:instrText>
            </w:r>
            <w:r w:rsidR="00B72356" w:rsidRPr="00B72356">
              <w:rPr>
                <w:rFonts w:ascii="Arial" w:hAnsi="Arial" w:cs="Arial"/>
                <w:noProof/>
                <w:webHidden/>
                <w:sz w:val="22"/>
                <w:szCs w:val="22"/>
              </w:rPr>
            </w:r>
            <w:r w:rsidR="00B72356" w:rsidRPr="00B72356">
              <w:rPr>
                <w:rFonts w:ascii="Arial" w:hAnsi="Arial" w:cs="Arial"/>
                <w:noProof/>
                <w:webHidden/>
                <w:sz w:val="22"/>
                <w:szCs w:val="22"/>
              </w:rPr>
              <w:fldChar w:fldCharType="separate"/>
            </w:r>
            <w:r w:rsidR="00B72356" w:rsidRPr="00B72356">
              <w:rPr>
                <w:rFonts w:ascii="Arial" w:hAnsi="Arial" w:cs="Arial"/>
                <w:noProof/>
                <w:webHidden/>
                <w:sz w:val="22"/>
                <w:szCs w:val="22"/>
              </w:rPr>
              <w:t>10</w:t>
            </w:r>
            <w:r w:rsidR="00B72356" w:rsidRPr="00B72356">
              <w:rPr>
                <w:rFonts w:ascii="Arial" w:hAnsi="Arial" w:cs="Arial"/>
                <w:noProof/>
                <w:webHidden/>
                <w:sz w:val="22"/>
                <w:szCs w:val="22"/>
              </w:rPr>
              <w:fldChar w:fldCharType="end"/>
            </w:r>
          </w:hyperlink>
        </w:p>
        <w:p w14:paraId="19B999A8" w14:textId="757E4B72" w:rsidR="008A00DB" w:rsidRDefault="008A00DB" w:rsidP="00B72356">
          <w:pPr>
            <w:widowControl w:val="0"/>
            <w:tabs>
              <w:tab w:val="right" w:leader="dot" w:pos="9360"/>
            </w:tabs>
            <w:spacing w:before="60" w:after="0" w:line="240" w:lineRule="auto"/>
            <w:rPr>
              <w:b/>
              <w:bCs/>
              <w:color w:val="000000"/>
            </w:rPr>
          </w:pPr>
          <w:r w:rsidRPr="00B72356">
            <w:rPr>
              <w:rFonts w:ascii="Arial" w:hAnsi="Arial" w:cs="Arial"/>
              <w:sz w:val="22"/>
              <w:szCs w:val="22"/>
            </w:rPr>
            <w:fldChar w:fldCharType="end"/>
          </w:r>
        </w:p>
      </w:sdtContent>
    </w:sdt>
    <w:p w14:paraId="00488C24" w14:textId="77777777" w:rsidR="008A00DB" w:rsidRDefault="008A00DB" w:rsidP="008A00DB">
      <w:pPr>
        <w:spacing w:before="120" w:after="120" w:line="360" w:lineRule="auto"/>
        <w:jc w:val="center"/>
        <w:rPr>
          <w:rFonts w:ascii="Arial" w:eastAsia="Arial" w:hAnsi="Arial" w:cs="Arial"/>
          <w:sz w:val="22"/>
          <w:szCs w:val="22"/>
        </w:rPr>
      </w:pPr>
      <w:r>
        <w:br w:type="page"/>
      </w:r>
    </w:p>
    <w:p w14:paraId="7A34E6D7" w14:textId="77777777" w:rsidR="008A00DB" w:rsidRDefault="008A00DB" w:rsidP="008A00DB">
      <w:pPr>
        <w:pStyle w:val="Heading1"/>
        <w:spacing w:before="120" w:after="120" w:line="360" w:lineRule="auto"/>
        <w:jc w:val="both"/>
        <w:rPr>
          <w:rFonts w:ascii="Arial" w:eastAsia="Arial" w:hAnsi="Arial" w:cs="Arial"/>
          <w:sz w:val="22"/>
          <w:szCs w:val="22"/>
        </w:rPr>
      </w:pPr>
      <w:bookmarkStart w:id="0" w:name="_Toc227183405"/>
      <w:r>
        <w:rPr>
          <w:rFonts w:ascii="Arial" w:eastAsia="Arial" w:hAnsi="Arial" w:cs="Arial"/>
          <w:sz w:val="22"/>
          <w:szCs w:val="22"/>
        </w:rPr>
        <w:lastRenderedPageBreak/>
        <w:t>1. Introduction</w:t>
      </w:r>
      <w:bookmarkEnd w:id="0"/>
    </w:p>
    <w:p w14:paraId="5A88B4ED"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Integrated services are known for being particularly relevant for service users with multiple and complex needs who require a range of social services typically provided by more than one agency (OECD, 2024). Partnership working is known as the skill of juggling information and priorities, which helps to get the best match of service delivery with health needs across sectors. However, it requires excellent leadership and different approaches to working at all levels (Health Knowledge, 2010). This report will focus on reflecting on learning from a group project in order to develop an integrated delivery plan addressing drugs, along with alcohol misuse in Westminster. The report will further examine the group processes, evidence-based application to practice, and the role of core frameworks, such as Integrated Care Systems, person-centred care, along with the Logic Model.</w:t>
      </w:r>
    </w:p>
    <w:p w14:paraId="4991C2D6" w14:textId="77777777" w:rsidR="008A00DB" w:rsidRDefault="008A00DB" w:rsidP="008A00DB">
      <w:pPr>
        <w:pStyle w:val="Heading1"/>
        <w:spacing w:before="120" w:after="120" w:line="360" w:lineRule="auto"/>
        <w:jc w:val="both"/>
        <w:rPr>
          <w:rFonts w:ascii="Arial" w:eastAsia="Arial" w:hAnsi="Arial" w:cs="Arial"/>
          <w:sz w:val="22"/>
          <w:szCs w:val="22"/>
        </w:rPr>
      </w:pPr>
      <w:bookmarkStart w:id="1" w:name="_Toc227183406"/>
      <w:r>
        <w:rPr>
          <w:rFonts w:ascii="Arial" w:eastAsia="Arial" w:hAnsi="Arial" w:cs="Arial"/>
          <w:sz w:val="22"/>
          <w:szCs w:val="22"/>
        </w:rPr>
        <w:t>2. Context</w:t>
      </w:r>
      <w:bookmarkEnd w:id="1"/>
    </w:p>
    <w:p w14:paraId="77EC644E" w14:textId="77777777" w:rsidR="008A00DB" w:rsidRDefault="008A00DB" w:rsidP="008A00DB">
      <w:pPr>
        <w:pStyle w:val="Heading2"/>
        <w:spacing w:before="120" w:after="120" w:line="360" w:lineRule="auto"/>
        <w:jc w:val="both"/>
        <w:rPr>
          <w:rFonts w:ascii="Arial" w:eastAsia="Arial" w:hAnsi="Arial" w:cs="Arial"/>
          <w:sz w:val="22"/>
          <w:szCs w:val="22"/>
        </w:rPr>
      </w:pPr>
      <w:bookmarkStart w:id="2" w:name="_Toc227183407"/>
      <w:r>
        <w:rPr>
          <w:rFonts w:ascii="Arial" w:eastAsia="Arial" w:hAnsi="Arial" w:cs="Arial"/>
          <w:sz w:val="22"/>
          <w:szCs w:val="22"/>
        </w:rPr>
        <w:t>2.1 Identification of Needs of the Target Vulnerable Population</w:t>
      </w:r>
      <w:bookmarkEnd w:id="2"/>
    </w:p>
    <w:p w14:paraId="42D0F900"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Nearly half of Westminster’s MD cohort are known for experiencing substance misuse and homelessness alongside their mental health needs (Government of the UK, 2024). Roughly 14,600 individuals are known to have been struggling with substance misuse, among which 52% are experiencing alcohol abuse and 37%, drugs, and the remaining 11% both. There are also a number of 4,604 people affected by homelessness, along with 23,346 people with poor mental health (Government of the UK, 2024). It is essential to note that more than 7,500 people are known to have been experiencing two or more disadvantages, while 1,600 are affected by three or more, in addition to 383 people suffering from all four disadvantages (Government of the UK, 2024). On the other hand, around 77% of deaths from 2019 to 2023 are known to have involved alcohol problems, 61% drug dependence, and lastly, 84% from mental health disorders (Government of the UK, 2024).</w:t>
      </w:r>
    </w:p>
    <w:p w14:paraId="65ED47CB"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Such problems are exacerbated by fragmented pathways. Despite the existence of specialist services, overall engagement is quite poor. This results in individuals often presenting only in crisis, leading to the increasing of hospital admission repetition, along with emergency department strain, and also disconnection on discharge (Joo, 2023). It is also essential to note that dual diagnosis, such as the combination of substance misuse and mental health, is known for frequently resulting in services that reject clients mainly due to intoxication or complex behaviour (Hegner, 1998). Lastly, the lack of stable housing, along with stigma, and poor continuity between health, social care and housing results in vulnerable adults repeatedly cycling through several </w:t>
      </w:r>
      <w:r>
        <w:rPr>
          <w:rFonts w:ascii="Arial" w:eastAsia="Arial" w:hAnsi="Arial" w:cs="Arial"/>
          <w:sz w:val="22"/>
          <w:szCs w:val="22"/>
        </w:rPr>
        <w:lastRenderedPageBreak/>
        <w:t>crisis interventions without any kind of sustained recovery support (National Guideline Alliance (UK), 2022).</w:t>
      </w:r>
    </w:p>
    <w:p w14:paraId="5AE82BEF" w14:textId="77777777" w:rsidR="008A00DB" w:rsidRDefault="008A00DB" w:rsidP="008A00DB">
      <w:pPr>
        <w:pStyle w:val="Heading2"/>
        <w:spacing w:before="120" w:after="120" w:line="360" w:lineRule="auto"/>
        <w:jc w:val="both"/>
        <w:rPr>
          <w:rFonts w:ascii="Arial" w:eastAsia="Arial" w:hAnsi="Arial" w:cs="Arial"/>
          <w:sz w:val="22"/>
          <w:szCs w:val="22"/>
        </w:rPr>
      </w:pPr>
      <w:bookmarkStart w:id="3" w:name="_Toc227183408"/>
      <w:r>
        <w:rPr>
          <w:rFonts w:ascii="Arial" w:eastAsia="Arial" w:hAnsi="Arial" w:cs="Arial"/>
          <w:sz w:val="22"/>
          <w:szCs w:val="22"/>
        </w:rPr>
        <w:t>2.2 Identification of the Opportunities to Address the Needs of the Target Vulnerable Population</w:t>
      </w:r>
      <w:bookmarkEnd w:id="3"/>
    </w:p>
    <w:p w14:paraId="17EA4CF6"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There are several opportunities that lie in community-based integrated support that move beyond reactive care. In order to improve the overall access for individuals with no fixed address or chaotic lives, assertive outreach, harm-reduction services, along with peer support, in addition to early intervention, are required (Parkes </w:t>
      </w:r>
      <w:r>
        <w:rPr>
          <w:rFonts w:ascii="Arial" w:eastAsia="Arial" w:hAnsi="Arial" w:cs="Arial"/>
          <w:i/>
          <w:iCs/>
          <w:sz w:val="22"/>
          <w:szCs w:val="22"/>
        </w:rPr>
        <w:t>et al.,</w:t>
      </w:r>
      <w:r>
        <w:rPr>
          <w:rFonts w:ascii="Arial" w:eastAsia="Arial" w:hAnsi="Arial" w:cs="Arial"/>
          <w:sz w:val="22"/>
          <w:szCs w:val="22"/>
        </w:rPr>
        <w:t xml:space="preserve"> 2022). Multi-agency collaboration is also effective, as it can enable co-located services, shared care pathways, and multidisciplinary teams that are able to address the interconnected determinants of health (Durand </w:t>
      </w:r>
      <w:r>
        <w:rPr>
          <w:rFonts w:ascii="Arial" w:eastAsia="Arial" w:hAnsi="Arial" w:cs="Arial"/>
          <w:i/>
          <w:iCs/>
          <w:sz w:val="22"/>
          <w:szCs w:val="22"/>
        </w:rPr>
        <w:t>et al.,</w:t>
      </w:r>
      <w:r>
        <w:rPr>
          <w:rFonts w:ascii="Arial" w:eastAsia="Arial" w:hAnsi="Arial" w:cs="Arial"/>
          <w:sz w:val="22"/>
          <w:szCs w:val="22"/>
        </w:rPr>
        <w:t xml:space="preserve"> 2025). There is also the </w:t>
      </w:r>
      <w:bookmarkStart w:id="4" w:name="_GoBack"/>
      <w:r>
        <w:rPr>
          <w:rFonts w:ascii="Arial" w:eastAsia="Arial" w:hAnsi="Arial" w:cs="Arial"/>
          <w:sz w:val="22"/>
          <w:szCs w:val="22"/>
        </w:rPr>
        <w:t xml:space="preserve">Triple Aim framework, which is known for providing the goal of optimising the performance of </w:t>
      </w:r>
      <w:bookmarkEnd w:id="4"/>
      <w:r>
        <w:rPr>
          <w:rFonts w:ascii="Arial" w:eastAsia="Arial" w:hAnsi="Arial" w:cs="Arial"/>
          <w:sz w:val="22"/>
          <w:szCs w:val="22"/>
        </w:rPr>
        <w:t>healthcare systems and reducing the costs of medical care. This includes three objectives of improving population health, improving patient experience, along with reducing cost per capita (Health Snap, 2023). It is also essential to note that Housing First models, along with trauma-informed outreach, are also known to have demonstrated success by being able to stabilise accommodation first, then layering health and recovery support (Crisis, 2025).</w:t>
      </w:r>
    </w:p>
    <w:p w14:paraId="12974ABE" w14:textId="77777777" w:rsidR="008A00DB" w:rsidRDefault="008A00DB" w:rsidP="008A00DB">
      <w:pPr>
        <w:pStyle w:val="Heading2"/>
        <w:spacing w:before="120" w:after="120" w:line="360" w:lineRule="auto"/>
        <w:jc w:val="both"/>
        <w:rPr>
          <w:rFonts w:ascii="Arial" w:eastAsia="Arial" w:hAnsi="Arial" w:cs="Arial"/>
          <w:sz w:val="22"/>
          <w:szCs w:val="22"/>
        </w:rPr>
      </w:pPr>
      <w:bookmarkStart w:id="5" w:name="_Toc227183409"/>
      <w:r>
        <w:rPr>
          <w:rFonts w:ascii="Arial" w:eastAsia="Arial" w:hAnsi="Arial" w:cs="Arial"/>
          <w:sz w:val="22"/>
          <w:szCs w:val="22"/>
        </w:rPr>
        <w:t>2.3 Need for Aims to Response to the Needs of the Vulnerable Population</w:t>
      </w:r>
      <w:bookmarkEnd w:id="5"/>
    </w:p>
    <w:p w14:paraId="511B188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The overall aims are known for being explicitly responsive. Those include reducing harm from drugs, along with alcohol misuse. It also includes improving overall engagement and retention in services, along with improving continuity of care and recovery support, in addition to reducing hospital admissions and improving crisis interventions. Such objectives are known for being grounded in person-centred care, alongside trauma-informed practice. The plan is able to directly target the several cycles of exclusion, poor engagement, along with repeated crisis use by prioritising stable housing, along with coordinated case management and flexible access.</w:t>
      </w:r>
    </w:p>
    <w:p w14:paraId="178944D8" w14:textId="77777777" w:rsidR="008A00DB" w:rsidRDefault="008A00DB" w:rsidP="008A00DB">
      <w:pPr>
        <w:pStyle w:val="Heading1"/>
        <w:spacing w:before="120" w:after="120" w:line="360" w:lineRule="auto"/>
        <w:jc w:val="both"/>
        <w:rPr>
          <w:rFonts w:ascii="Arial" w:eastAsia="Arial" w:hAnsi="Arial" w:cs="Arial"/>
          <w:sz w:val="22"/>
          <w:szCs w:val="22"/>
        </w:rPr>
      </w:pPr>
      <w:bookmarkStart w:id="6" w:name="_Toc227183410"/>
      <w:r>
        <w:rPr>
          <w:rFonts w:ascii="Arial" w:eastAsia="Arial" w:hAnsi="Arial" w:cs="Arial"/>
          <w:sz w:val="22"/>
          <w:szCs w:val="22"/>
        </w:rPr>
        <w:t>3. Input</w:t>
      </w:r>
      <w:bookmarkEnd w:id="6"/>
    </w:p>
    <w:p w14:paraId="0822DCBA" w14:textId="77777777" w:rsidR="008A00DB" w:rsidRDefault="008A00DB" w:rsidP="008A00DB">
      <w:pPr>
        <w:pStyle w:val="Heading2"/>
        <w:spacing w:before="120" w:after="120" w:line="360" w:lineRule="auto"/>
        <w:jc w:val="both"/>
        <w:rPr>
          <w:rFonts w:ascii="Arial" w:eastAsia="Arial" w:hAnsi="Arial" w:cs="Arial"/>
          <w:sz w:val="22"/>
          <w:szCs w:val="22"/>
        </w:rPr>
      </w:pPr>
      <w:bookmarkStart w:id="7" w:name="_Toc227183411"/>
      <w:r>
        <w:rPr>
          <w:rFonts w:ascii="Arial" w:eastAsia="Arial" w:hAnsi="Arial" w:cs="Arial"/>
          <w:sz w:val="22"/>
          <w:szCs w:val="22"/>
        </w:rPr>
        <w:t>3.1 Relevant Partners and Strategies</w:t>
      </w:r>
      <w:bookmarkEnd w:id="7"/>
    </w:p>
    <w:p w14:paraId="3C7A7F45"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It is essential to note that effective integration is known to require a wide range of statutory, along with voluntary, partners. For example, key organisations are known to include Westminster City Council for commissioning and housing support (Westminster, 2025). There is also the NHS Integrated Care Board, alongside providers, which are for primary care, acute, mental health, and specialist drug and alcohol treatment (NHS, 2022). Lastly, there are housing and homelessness </w:t>
      </w:r>
      <w:r>
        <w:rPr>
          <w:rFonts w:ascii="Arial" w:eastAsia="Arial" w:hAnsi="Arial" w:cs="Arial"/>
          <w:sz w:val="22"/>
          <w:szCs w:val="22"/>
        </w:rPr>
        <w:lastRenderedPageBreak/>
        <w:t>services, along with voluntary and community sector organisations, in addition to criminal justice agencies (Westminster, 2026).</w:t>
      </w:r>
    </w:p>
    <w:p w14:paraId="427160A5"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Overall strategies are known for centring on shared care planning, along with regular MDT meetings, joint commissioning, in addition to co-located services. Shared responsibility, on the other hand, is able to ensure that no single agency has to bear the full burden of complex cases (Pfajfar </w:t>
      </w:r>
      <w:r>
        <w:rPr>
          <w:rFonts w:ascii="Arial" w:eastAsia="Arial" w:hAnsi="Arial" w:cs="Arial"/>
          <w:i/>
          <w:iCs/>
          <w:sz w:val="22"/>
          <w:szCs w:val="22"/>
        </w:rPr>
        <w:t xml:space="preserve">et al., </w:t>
      </w:r>
      <w:r>
        <w:rPr>
          <w:rFonts w:ascii="Arial" w:eastAsia="Arial" w:hAnsi="Arial" w:cs="Arial"/>
          <w:sz w:val="22"/>
          <w:szCs w:val="22"/>
        </w:rPr>
        <w:t xml:space="preserve">2022). Integrated support pathways help in coordinating health treatment, along with housing stabilisation, mental health support, in addition to recovery services. This also helps in enabling seamless transitions, along with the reduction in duplication (Supportive Care, 2025). Lastly, joint commissioning, along with multidisciplinary teams, is also known for improving continuity of care and managing the overlapping needs in a more efficient manner (Khatri </w:t>
      </w:r>
      <w:r>
        <w:rPr>
          <w:rFonts w:ascii="Arial" w:eastAsia="Arial" w:hAnsi="Arial" w:cs="Arial"/>
          <w:i/>
          <w:iCs/>
          <w:sz w:val="22"/>
          <w:szCs w:val="22"/>
        </w:rPr>
        <w:t xml:space="preserve">et al., </w:t>
      </w:r>
      <w:r>
        <w:rPr>
          <w:rFonts w:ascii="Arial" w:eastAsia="Arial" w:hAnsi="Arial" w:cs="Arial"/>
          <w:sz w:val="22"/>
          <w:szCs w:val="22"/>
        </w:rPr>
        <w:t>2023).</w:t>
      </w:r>
    </w:p>
    <w:p w14:paraId="129566F9" w14:textId="77777777" w:rsidR="008A00DB" w:rsidRDefault="008A00DB" w:rsidP="008A00DB">
      <w:pPr>
        <w:pStyle w:val="Heading2"/>
        <w:spacing w:before="120" w:after="120" w:line="360" w:lineRule="auto"/>
        <w:jc w:val="both"/>
        <w:rPr>
          <w:rFonts w:ascii="Arial" w:eastAsia="Arial" w:hAnsi="Arial" w:cs="Arial"/>
          <w:sz w:val="22"/>
          <w:szCs w:val="22"/>
        </w:rPr>
      </w:pPr>
      <w:bookmarkStart w:id="8" w:name="_Toc227183412"/>
      <w:r>
        <w:rPr>
          <w:rFonts w:ascii="Arial" w:eastAsia="Arial" w:hAnsi="Arial" w:cs="Arial"/>
          <w:sz w:val="22"/>
          <w:szCs w:val="22"/>
        </w:rPr>
        <w:t>3.2 Principles to Join Health and Social Care Services</w:t>
      </w:r>
      <w:bookmarkEnd w:id="8"/>
    </w:p>
    <w:p w14:paraId="089C0772"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overarching framework is known as the Integrated Care System, which was established by the Health and Care Act 2022. It is known for mandating collaborative working across health, social care, along with housing for the purpose of addressing population needs holistically (Lalani </w:t>
      </w:r>
      <w:r>
        <w:rPr>
          <w:rFonts w:ascii="Arial" w:eastAsia="Arial" w:hAnsi="Arial" w:cs="Arial"/>
          <w:i/>
          <w:iCs/>
          <w:sz w:val="22"/>
          <w:szCs w:val="22"/>
        </w:rPr>
        <w:t>et al.,</w:t>
      </w:r>
      <w:r>
        <w:rPr>
          <w:rFonts w:ascii="Arial" w:eastAsia="Arial" w:hAnsi="Arial" w:cs="Arial"/>
          <w:sz w:val="22"/>
          <w:szCs w:val="22"/>
        </w:rPr>
        <w:t xml:space="preserve"> 2024). It is essential to note that personalised care planning aims to provide support from health professionals that is tailored to the needs of individual patients (Coulter and Oldham, 2016).</w:t>
      </w:r>
    </w:p>
    <w:p w14:paraId="64D6619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logic model for integrated care is known for describing what good looks like, along with providing a visual depiction of how a fully integrated health and care system might be structured and functioning. It also describes the outcomes, alongside the benefits the system should deliver for those who utilise services and their carers (SCIE, 2024). The model links </w:t>
      </w:r>
      <w:r>
        <w:rPr>
          <w:rFonts w:ascii="Arial" w:eastAsia="Arial" w:hAnsi="Arial" w:cs="Arial"/>
          <w:b/>
          <w:bCs/>
          <w:i/>
          <w:iCs/>
          <w:sz w:val="22"/>
          <w:szCs w:val="22"/>
        </w:rPr>
        <w:t>inputs</w:t>
      </w:r>
      <w:r>
        <w:rPr>
          <w:rFonts w:ascii="Arial" w:eastAsia="Arial" w:hAnsi="Arial" w:cs="Arial"/>
          <w:sz w:val="22"/>
          <w:szCs w:val="22"/>
        </w:rPr>
        <w:t xml:space="preserve">, such as partners, resources and funding, to activities, which include MDT meetings, shared care pathways, among many more. These are known for producing </w:t>
      </w:r>
      <w:r>
        <w:rPr>
          <w:rFonts w:ascii="Arial" w:eastAsia="Arial" w:hAnsi="Arial" w:cs="Arial"/>
          <w:b/>
          <w:bCs/>
          <w:i/>
          <w:iCs/>
          <w:sz w:val="22"/>
          <w:szCs w:val="22"/>
        </w:rPr>
        <w:t xml:space="preserve">outputs </w:t>
      </w:r>
      <w:r>
        <w:rPr>
          <w:rFonts w:ascii="Arial" w:eastAsia="Arial" w:hAnsi="Arial" w:cs="Arial"/>
          <w:sz w:val="22"/>
          <w:szCs w:val="22"/>
        </w:rPr>
        <w:t xml:space="preserve">such as coordinated care plans, along with increased service contracts. These are also responsible for leading to </w:t>
      </w:r>
      <w:r>
        <w:rPr>
          <w:rFonts w:ascii="Arial" w:eastAsia="Arial" w:hAnsi="Arial" w:cs="Arial"/>
          <w:b/>
          <w:bCs/>
          <w:i/>
          <w:iCs/>
          <w:sz w:val="22"/>
          <w:szCs w:val="22"/>
        </w:rPr>
        <w:t xml:space="preserve">outcomes </w:t>
      </w:r>
      <w:r>
        <w:rPr>
          <w:rFonts w:ascii="Arial" w:eastAsia="Arial" w:hAnsi="Arial" w:cs="Arial"/>
          <w:sz w:val="22"/>
          <w:szCs w:val="22"/>
        </w:rPr>
        <w:t xml:space="preserve">such as improved engagement, along with retention and long-term </w:t>
      </w:r>
      <w:r>
        <w:rPr>
          <w:rFonts w:ascii="Arial" w:eastAsia="Arial" w:hAnsi="Arial" w:cs="Arial"/>
          <w:b/>
          <w:bCs/>
          <w:i/>
          <w:iCs/>
          <w:sz w:val="22"/>
          <w:szCs w:val="22"/>
        </w:rPr>
        <w:t>impact</w:t>
      </w:r>
      <w:r>
        <w:rPr>
          <w:rFonts w:ascii="Arial" w:eastAsia="Arial" w:hAnsi="Arial" w:cs="Arial"/>
          <w:sz w:val="22"/>
          <w:szCs w:val="22"/>
        </w:rPr>
        <w:t>. The group plan implemented the Logic Model in order to map the method in which partnership activities would translate local JSNA evidence into measurable improvements for adults with multiple disadvantages (JSNA, 2016).</w:t>
      </w:r>
    </w:p>
    <w:p w14:paraId="0F6B2BD6" w14:textId="77777777" w:rsidR="008A00DB" w:rsidRDefault="008A00DB" w:rsidP="008A00DB">
      <w:pPr>
        <w:pStyle w:val="Heading2"/>
        <w:spacing w:before="120" w:after="120" w:line="360" w:lineRule="auto"/>
        <w:jc w:val="both"/>
        <w:rPr>
          <w:rFonts w:ascii="Arial" w:eastAsia="Arial" w:hAnsi="Arial" w:cs="Arial"/>
          <w:sz w:val="22"/>
          <w:szCs w:val="22"/>
        </w:rPr>
      </w:pPr>
      <w:bookmarkStart w:id="9" w:name="_Toc227183413"/>
      <w:r>
        <w:rPr>
          <w:rFonts w:ascii="Arial" w:eastAsia="Arial" w:hAnsi="Arial" w:cs="Arial"/>
          <w:sz w:val="22"/>
          <w:szCs w:val="22"/>
        </w:rPr>
        <w:t>3.3 Human and Material Resources Needs</w:t>
      </w:r>
      <w:bookmarkEnd w:id="9"/>
    </w:p>
    <w:p w14:paraId="1D7D70E2"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need for human resources is critical, such as a specialist workforce, along with mental health professionals, outreach workers, peer support staff, in addition to housing support officers. By providing workforce training in trauma-informed care, along with dual diagnosis, it is possible to </w:t>
      </w:r>
      <w:r>
        <w:rPr>
          <w:rFonts w:ascii="Arial" w:eastAsia="Arial" w:hAnsi="Arial" w:cs="Arial"/>
          <w:sz w:val="22"/>
          <w:szCs w:val="22"/>
        </w:rPr>
        <w:lastRenderedPageBreak/>
        <w:t xml:space="preserve">create a trauma-informed organisation (NCBI, 2014). Several material resources, on the other hand, are known for including shared digital records for safe information sharing, along with several tele-care and virtual MDT platforms. There are also the requirements for housing provision funding, along with treatment services and also community programmes (DeLaCruz-Jiron </w:t>
      </w:r>
      <w:r>
        <w:rPr>
          <w:rFonts w:ascii="Arial" w:eastAsia="Arial" w:hAnsi="Arial" w:cs="Arial"/>
          <w:i/>
          <w:iCs/>
          <w:sz w:val="22"/>
          <w:szCs w:val="22"/>
        </w:rPr>
        <w:t>et al.,</w:t>
      </w:r>
      <w:r>
        <w:rPr>
          <w:rFonts w:ascii="Arial" w:eastAsia="Arial" w:hAnsi="Arial" w:cs="Arial"/>
          <w:sz w:val="22"/>
          <w:szCs w:val="22"/>
        </w:rPr>
        <w:t xml:space="preserve"> 2022). In order to sustain partnership momentum, leadership support, along with governance structures, in addition to dedicated coordination roles, is also important (SCIE, 2026).</w:t>
      </w:r>
    </w:p>
    <w:p w14:paraId="70605428" w14:textId="77777777" w:rsidR="008A00DB" w:rsidRDefault="008A00DB" w:rsidP="008A00DB">
      <w:pPr>
        <w:pStyle w:val="Heading2"/>
        <w:spacing w:before="120" w:after="120" w:line="360" w:lineRule="auto"/>
        <w:jc w:val="both"/>
        <w:rPr>
          <w:rFonts w:ascii="Arial" w:eastAsia="Arial" w:hAnsi="Arial" w:cs="Arial"/>
          <w:sz w:val="22"/>
          <w:szCs w:val="22"/>
        </w:rPr>
      </w:pPr>
      <w:bookmarkStart w:id="10" w:name="_Toc227183414"/>
      <w:r>
        <w:rPr>
          <w:rFonts w:ascii="Arial" w:eastAsia="Arial" w:hAnsi="Arial" w:cs="Arial"/>
          <w:sz w:val="22"/>
          <w:szCs w:val="22"/>
        </w:rPr>
        <w:t>3.4 Identification of Barriers in Achieving Service Integration and Partnership Working</w:t>
      </w:r>
      <w:bookmarkEnd w:id="10"/>
    </w:p>
    <w:p w14:paraId="3A897C5E"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There are also various barriers, such as silo working persisting due to agencies operating under different eligibility criteria, along with funding streams, and cultures (Kenton, 2020). It is also essential to note that stigma regarding substance misuse, along with homelessness, results in reduced engagement and also leads to service rejection, which is particularly evident in dual diagnosis (Yang </w:t>
      </w:r>
      <w:r>
        <w:rPr>
          <w:rFonts w:ascii="Arial" w:eastAsia="Arial" w:hAnsi="Arial" w:cs="Arial"/>
          <w:i/>
          <w:iCs/>
          <w:sz w:val="22"/>
          <w:szCs w:val="22"/>
        </w:rPr>
        <w:t xml:space="preserve">et al., </w:t>
      </w:r>
      <w:r>
        <w:rPr>
          <w:rFonts w:ascii="Arial" w:eastAsia="Arial" w:hAnsi="Arial" w:cs="Arial"/>
          <w:sz w:val="22"/>
          <w:szCs w:val="22"/>
        </w:rPr>
        <w:t>2017). Poor information sharing, such as data protection concerns, along with incompatible systems, results in fragmenting overall care (Digital Care Hub, 2025). There are also several funding constraints, such as substance misuse budgets that are known to have been reduced over 50% in recent years, which leads to limiting capacity (Friebel, Yoo and Maynou, 2021). There are also significant cultural differences between statutory and voluntary sectors, in addition to the challenge of engaging chaotic or mobile populations. This results in further hindering overall progress. It is essential to note that data gaps, along with under-recording of several disadvantages, result in compounding such issues.</w:t>
      </w:r>
    </w:p>
    <w:p w14:paraId="4774E31C" w14:textId="77777777" w:rsidR="008A00DB" w:rsidRDefault="008A00DB" w:rsidP="008A00DB">
      <w:pPr>
        <w:pStyle w:val="Heading2"/>
        <w:spacing w:before="120" w:after="120" w:line="360" w:lineRule="auto"/>
        <w:jc w:val="both"/>
        <w:rPr>
          <w:rFonts w:ascii="Arial" w:eastAsia="Arial" w:hAnsi="Arial" w:cs="Arial"/>
          <w:sz w:val="22"/>
          <w:szCs w:val="22"/>
        </w:rPr>
      </w:pPr>
      <w:bookmarkStart w:id="11" w:name="_Toc227183415"/>
      <w:r>
        <w:rPr>
          <w:rFonts w:ascii="Arial" w:eastAsia="Arial" w:hAnsi="Arial" w:cs="Arial"/>
          <w:sz w:val="22"/>
          <w:szCs w:val="22"/>
        </w:rPr>
        <w:t>3.5 Recommendations for Alternative Strategies and Solutions</w:t>
      </w:r>
      <w:bookmarkEnd w:id="11"/>
    </w:p>
    <w:p w14:paraId="6A399584"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Alternative strategies include the implementation of shared digital systems regarding real-time information exchange, while at the same time also maintaining information governance (Kariotis </w:t>
      </w:r>
      <w:r>
        <w:rPr>
          <w:rFonts w:ascii="Arial" w:eastAsia="Arial" w:hAnsi="Arial" w:cs="Arial"/>
          <w:i/>
          <w:iCs/>
          <w:sz w:val="22"/>
          <w:szCs w:val="22"/>
        </w:rPr>
        <w:t xml:space="preserve">et al., </w:t>
      </w:r>
      <w:r>
        <w:rPr>
          <w:rFonts w:ascii="Arial" w:eastAsia="Arial" w:hAnsi="Arial" w:cs="Arial"/>
          <w:sz w:val="22"/>
          <w:szCs w:val="22"/>
        </w:rPr>
        <w:t>2025). Training for all staff members is also essential in creating a trauma-informed organisation, along with also improving dual-diagnosis responses and reducing rejection rates (NCBI, 2014). On the other hand, by adopting stronger systems leadership through a dedicated integrated care partnership committee, it would be possible to drive accountability, along with shared outcomes (UK Parliament, 2022). An improved joint commissioning could also help in pooling resources regarding Housing First and assertive outreach models. Lastly, a more coordinated, alongside flexible outreach with the combination of improved follow-up and navigation support will also be able to improve overall engagement.</w:t>
      </w:r>
    </w:p>
    <w:p w14:paraId="3E29DBD2" w14:textId="77777777" w:rsidR="008A00DB" w:rsidRDefault="008A00DB" w:rsidP="008A00DB">
      <w:pPr>
        <w:pStyle w:val="Heading1"/>
        <w:spacing w:before="120" w:after="120" w:line="360" w:lineRule="auto"/>
        <w:jc w:val="both"/>
        <w:rPr>
          <w:rFonts w:ascii="Arial" w:eastAsia="Arial" w:hAnsi="Arial" w:cs="Arial"/>
          <w:sz w:val="22"/>
          <w:szCs w:val="22"/>
        </w:rPr>
      </w:pPr>
      <w:bookmarkStart w:id="12" w:name="_Toc227183416"/>
      <w:r>
        <w:rPr>
          <w:rFonts w:ascii="Arial" w:eastAsia="Arial" w:hAnsi="Arial" w:cs="Arial"/>
          <w:sz w:val="22"/>
          <w:szCs w:val="22"/>
        </w:rPr>
        <w:lastRenderedPageBreak/>
        <w:t>4. Process</w:t>
      </w:r>
      <w:bookmarkEnd w:id="12"/>
    </w:p>
    <w:p w14:paraId="66E2CC39" w14:textId="77777777" w:rsidR="008A00DB" w:rsidRDefault="008A00DB" w:rsidP="008A00DB">
      <w:pPr>
        <w:pStyle w:val="Heading2"/>
        <w:spacing w:before="120" w:after="120" w:line="360" w:lineRule="auto"/>
        <w:jc w:val="both"/>
        <w:rPr>
          <w:rFonts w:ascii="Arial" w:eastAsia="Arial" w:hAnsi="Arial" w:cs="Arial"/>
          <w:sz w:val="22"/>
          <w:szCs w:val="22"/>
        </w:rPr>
      </w:pPr>
      <w:bookmarkStart w:id="13" w:name="_Toc227183417"/>
      <w:r>
        <w:rPr>
          <w:rFonts w:ascii="Arial" w:eastAsia="Arial" w:hAnsi="Arial" w:cs="Arial"/>
          <w:sz w:val="22"/>
          <w:szCs w:val="22"/>
        </w:rPr>
        <w:t>4.1 Working as a Group to Achieve Planned Activities</w:t>
      </w:r>
      <w:bookmarkEnd w:id="13"/>
    </w:p>
    <w:p w14:paraId="25C184BE"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The group project is known to have been focused on simulating an Integrated Care Partnership meeting for addressing drug, alongside alcohol misuse in Westminster. The planning started with the identification of key issues from the Joint Strategic Needs Assessment. There was a high prevalence of substance misuse that intertwined with homelessness, along with mental ill health. The team focused on linking local data to an evidence-based integrated response. Various evidence was drawn from Westminster City Council’s Multiple Disadvantage Population Needs Assessment, ONS statistics on alcohol-related harm, NHS reports on homeless health, and national policy frameworks (Government of the UK, 2014; Government of the UK, 2022).</w:t>
      </w:r>
    </w:p>
    <w:p w14:paraId="0C0E454B"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Working with the group, we also designed a comprehensive solution, which focused on incorporating multidisciplinary teams, along with shared care pathways, case management, in addition to coordination across several segments. Overall strategy development is known to have utilised a phased approach. Short-term milestones included 0 to 12 months regarding the establishment of the Integrated Care Partnership Committee and real-time data collection. Mid-term milestones included 1 to 3 years regarding relationship-building and needs assessment with the target population. Lastly, the long-term strategy included 3 to 5 years regarding the prevention of programmes and awareness-raising in institutions.</w:t>
      </w:r>
    </w:p>
    <w:p w14:paraId="1A8500AD" w14:textId="77777777" w:rsidR="008A00DB" w:rsidRDefault="008A00DB" w:rsidP="008A00DB">
      <w:pPr>
        <w:pStyle w:val="Heading2"/>
        <w:spacing w:before="120" w:after="120" w:line="360" w:lineRule="auto"/>
        <w:jc w:val="both"/>
        <w:rPr>
          <w:rFonts w:ascii="Arial" w:eastAsia="Arial" w:hAnsi="Arial" w:cs="Arial"/>
          <w:sz w:val="22"/>
          <w:szCs w:val="22"/>
        </w:rPr>
      </w:pPr>
      <w:bookmarkStart w:id="14" w:name="_Toc227183418"/>
      <w:r>
        <w:rPr>
          <w:rFonts w:ascii="Arial" w:eastAsia="Arial" w:hAnsi="Arial" w:cs="Arial"/>
          <w:sz w:val="22"/>
          <w:szCs w:val="22"/>
        </w:rPr>
        <w:t>4.2 Group Members’ Roles and Responsibilities</w:t>
      </w:r>
      <w:bookmarkEnd w:id="14"/>
    </w:p>
    <w:p w14:paraId="7B77A9B0"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I was tasked with the role of evidence reviewer, along with quality checker and research supporter. I focused on systematically checking the precision of statistics data from JSNA, ONS, among many more, along with also verifying claims regarding service gaps and severe disadvantages. I also ensured overall consistency across several sections. I also supported the entire group by improving links that existed between evidence, along with proposed strategies and also intended outcomes.</w:t>
      </w:r>
    </w:p>
    <w:p w14:paraId="38B5B1A9"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Overall, group dynamics are known to involve collaborative discussions, along with shared decision-making during planning and drafting. However, there was evidence of a few imbalances in contribution as particular members were taking more prominent roles in writing, while others simply focused on specific segments. Overall, it can be stated that the entire team accepted responsibilities, along with working towards a final plan. However, overall efficiency could have been improved through greater clarity on individual accountability from the outset</w:t>
      </w:r>
    </w:p>
    <w:p w14:paraId="2D6D6973" w14:textId="77777777" w:rsidR="008A00DB" w:rsidRDefault="008A00DB" w:rsidP="008A00DB">
      <w:pPr>
        <w:pStyle w:val="Heading1"/>
        <w:spacing w:before="120" w:after="120" w:line="360" w:lineRule="auto"/>
        <w:jc w:val="both"/>
        <w:rPr>
          <w:rFonts w:ascii="Arial" w:eastAsia="Arial" w:hAnsi="Arial" w:cs="Arial"/>
          <w:sz w:val="22"/>
          <w:szCs w:val="22"/>
        </w:rPr>
      </w:pPr>
      <w:bookmarkStart w:id="15" w:name="_Toc227183419"/>
      <w:r>
        <w:rPr>
          <w:rFonts w:ascii="Arial" w:eastAsia="Arial" w:hAnsi="Arial" w:cs="Arial"/>
          <w:sz w:val="22"/>
          <w:szCs w:val="22"/>
        </w:rPr>
        <w:lastRenderedPageBreak/>
        <w:t>5. Product</w:t>
      </w:r>
      <w:bookmarkEnd w:id="15"/>
      <w:r>
        <w:rPr>
          <w:rFonts w:ascii="Arial" w:eastAsia="Arial" w:hAnsi="Arial" w:cs="Arial"/>
          <w:sz w:val="22"/>
          <w:szCs w:val="22"/>
        </w:rPr>
        <w:t xml:space="preserve"> </w:t>
      </w:r>
    </w:p>
    <w:p w14:paraId="59733E70" w14:textId="77777777" w:rsidR="008A00DB" w:rsidRDefault="008A00DB" w:rsidP="008A00DB">
      <w:pPr>
        <w:pStyle w:val="Heading2"/>
        <w:spacing w:before="120" w:after="120" w:line="360" w:lineRule="auto"/>
        <w:jc w:val="both"/>
        <w:rPr>
          <w:rFonts w:ascii="Arial" w:eastAsia="Arial" w:hAnsi="Arial" w:cs="Arial"/>
          <w:sz w:val="22"/>
          <w:szCs w:val="22"/>
        </w:rPr>
      </w:pPr>
      <w:bookmarkStart w:id="16" w:name="_Toc227183420"/>
      <w:r>
        <w:rPr>
          <w:rFonts w:ascii="Arial" w:eastAsia="Arial" w:hAnsi="Arial" w:cs="Arial"/>
          <w:sz w:val="22"/>
          <w:szCs w:val="22"/>
        </w:rPr>
        <w:t>5.1 Identifying Whether Our Group Activity Was Successful</w:t>
      </w:r>
      <w:bookmarkEnd w:id="16"/>
    </w:p>
    <w:p w14:paraId="352F2A7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It can be stated that the group project was moderately successful. The final delivery plan presented a coherent and evidence-based model that was successful in linking identified needs, such as multiple disadvantages, along with fragmented services to a structured integrated response. The Logic Model was also applied for the purpose of demonstrating clear progression from inputs, such as partners and resources, through activities such as joint commissioning and outreach, to outputs such as coordinated care, outcomes such as improved engagement and retention and lastly, impact such as reduced harm and crisis interventions. The plan is known to have successfully incorporated person-centred, along with trauma-informed principles, in addition to aligning with the requirements of ICS.</w:t>
      </w:r>
    </w:p>
    <w:p w14:paraId="6D7D515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However, there were several limitations, such as the implementation's feasibility, which is known for requiring further refinement. This is particularly essential for funding sustainability (Pearson </w:t>
      </w:r>
      <w:r>
        <w:rPr>
          <w:rFonts w:ascii="Arial" w:eastAsia="Arial" w:hAnsi="Arial" w:cs="Arial"/>
          <w:i/>
          <w:iCs/>
          <w:sz w:val="22"/>
          <w:szCs w:val="22"/>
        </w:rPr>
        <w:t>et al.,</w:t>
      </w:r>
      <w:r>
        <w:rPr>
          <w:rFonts w:ascii="Arial" w:eastAsia="Arial" w:hAnsi="Arial" w:cs="Arial"/>
          <w:sz w:val="22"/>
          <w:szCs w:val="22"/>
        </w:rPr>
        <w:t xml:space="preserve"> 2020). There were also limitations of overcoming entrenched silo working, along with realistic timelines due to the resource constraints. There were some segments that also contained minor inconsistencies, such as referencing data from other boroughs. Although these were noted during review, the need for tiger cross-checking in future work was highlighted.</w:t>
      </w:r>
    </w:p>
    <w:p w14:paraId="7BA6CB06" w14:textId="77777777" w:rsidR="008A00DB" w:rsidRDefault="008A00DB" w:rsidP="008A00DB">
      <w:pPr>
        <w:pStyle w:val="Heading2"/>
        <w:spacing w:before="120" w:after="120" w:line="360" w:lineRule="auto"/>
        <w:jc w:val="both"/>
        <w:rPr>
          <w:rFonts w:ascii="Arial" w:eastAsia="Arial" w:hAnsi="Arial" w:cs="Arial"/>
          <w:sz w:val="22"/>
          <w:szCs w:val="22"/>
        </w:rPr>
      </w:pPr>
      <w:bookmarkStart w:id="17" w:name="_Toc227183421"/>
      <w:r>
        <w:rPr>
          <w:rFonts w:ascii="Arial" w:eastAsia="Arial" w:hAnsi="Arial" w:cs="Arial"/>
          <w:sz w:val="22"/>
          <w:szCs w:val="22"/>
        </w:rPr>
        <w:t>5.2 Identification of Relevant Competencies and Skills for HSC Professionals and Steps for Growth</w:t>
      </w:r>
      <w:bookmarkEnd w:id="17"/>
    </w:p>
    <w:p w14:paraId="48C7A395"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The group project resulted in developing various key competencies regarding health and social care professionals. These included critical appraisal, along with evidence evaluation, which was central to my role. There was also analytical thinking, such as mapping requirements to strategies, along with clear communication of complex ideas. I was able to build confidence in academic challenges, along with systems leadership awareness, by participating in group discussions. This also helped me to understand the method in which policy, resources, and relationships influence integrated care delivery.</w:t>
      </w:r>
    </w:p>
    <w:p w14:paraId="2DDB7574"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Such skills are able to directly support future integrated care practice as they can enable professionals to translate evidence into actionable partnership plans, along with navigating multi-agency environments. Further steps to grow include searching for formal training in systems leadership, along with change management, in addition to engaging in reflective supervision for deepening trauma-informed practice. On the other hand, there is also the pursuit of several opportunities regarding observing or participating in real Integrated Care Partnership meetings. It </w:t>
      </w:r>
      <w:r>
        <w:rPr>
          <w:rFonts w:ascii="Arial" w:eastAsia="Arial" w:hAnsi="Arial" w:cs="Arial"/>
          <w:sz w:val="22"/>
          <w:szCs w:val="22"/>
        </w:rPr>
        <w:lastRenderedPageBreak/>
        <w:t>is also essential to note the significance of the continued development of digital literacy regarding shared-record systems</w:t>
      </w:r>
    </w:p>
    <w:p w14:paraId="5735B350" w14:textId="77777777" w:rsidR="008A00DB" w:rsidRDefault="008A00DB" w:rsidP="008A00DB">
      <w:pPr>
        <w:pStyle w:val="Heading1"/>
        <w:spacing w:before="120" w:after="120" w:line="360" w:lineRule="auto"/>
        <w:jc w:val="both"/>
        <w:rPr>
          <w:rFonts w:ascii="Arial" w:eastAsia="Arial" w:hAnsi="Arial" w:cs="Arial"/>
          <w:sz w:val="22"/>
          <w:szCs w:val="22"/>
        </w:rPr>
      </w:pPr>
      <w:bookmarkStart w:id="18" w:name="_Toc227183422"/>
      <w:r>
        <w:rPr>
          <w:rFonts w:ascii="Arial" w:eastAsia="Arial" w:hAnsi="Arial" w:cs="Arial"/>
          <w:sz w:val="22"/>
          <w:szCs w:val="22"/>
        </w:rPr>
        <w:t>6. Conclusion</w:t>
      </w:r>
      <w:bookmarkEnd w:id="18"/>
    </w:p>
    <w:p w14:paraId="422CEB8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It can be stated that the group project was successful in reinforcing the necessity of service integration, along with partnership working regarding addressing complex, interconnected needs such as drug and alcohol misuse, homelessness, and mental ill health in Westminster. The plan was successful in showcasing the method in which evidence-based multi-agency collaboration is able to move from fragmented crisis responses to coordinated, recovery-focused support by applying the various ICS principles, along with the person-centred care, in addition to the Logic Model. Such an experience resulted in deepening the overall understanding of the practical challenges, alongside opportunities of partnership working. It also highlighted the importance of rigorous evidence review, along with collective problem-solving. Moving forward, I am committed to developing systems leadership skills, along with also contributing effectively to integrated care initiatives in several professional practices.</w:t>
      </w:r>
      <w:r>
        <w:br w:type="page"/>
      </w:r>
    </w:p>
    <w:p w14:paraId="5054E10D" w14:textId="77777777" w:rsidR="008A00DB" w:rsidRDefault="008A00DB" w:rsidP="008A00DB">
      <w:pPr>
        <w:pStyle w:val="Heading1"/>
        <w:spacing w:before="120" w:after="120" w:line="360" w:lineRule="auto"/>
        <w:jc w:val="both"/>
        <w:rPr>
          <w:rFonts w:ascii="Arial" w:eastAsia="Arial" w:hAnsi="Arial" w:cs="Arial"/>
          <w:sz w:val="22"/>
          <w:szCs w:val="22"/>
        </w:rPr>
      </w:pPr>
      <w:bookmarkStart w:id="19" w:name="_Toc227183423"/>
      <w:r>
        <w:rPr>
          <w:rFonts w:ascii="Arial" w:eastAsia="Arial" w:hAnsi="Arial" w:cs="Arial"/>
          <w:sz w:val="22"/>
          <w:szCs w:val="22"/>
        </w:rPr>
        <w:lastRenderedPageBreak/>
        <w:t>References</w:t>
      </w:r>
      <w:bookmarkEnd w:id="19"/>
    </w:p>
    <w:p w14:paraId="381E3F13"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Coulter, A. and Oldham, J. (2016). Person-centred care: What Is It and How Do We Get there? </w:t>
      </w:r>
      <w:r>
        <w:rPr>
          <w:rFonts w:ascii="Arial" w:eastAsia="Arial" w:hAnsi="Arial" w:cs="Arial"/>
          <w:i/>
          <w:iCs/>
          <w:sz w:val="22"/>
          <w:szCs w:val="22"/>
        </w:rPr>
        <w:t>Future Hospital Journal</w:t>
      </w:r>
      <w:r>
        <w:rPr>
          <w:rFonts w:ascii="Arial" w:eastAsia="Arial" w:hAnsi="Arial" w:cs="Arial"/>
          <w:sz w:val="22"/>
          <w:szCs w:val="22"/>
        </w:rPr>
        <w:t>, [online] 3(2), pp.114–116. doi:</w:t>
      </w:r>
      <w:hyperlink r:id="rId7">
        <w:r>
          <w:rPr>
            <w:rFonts w:ascii="Arial" w:eastAsia="Arial" w:hAnsi="Arial" w:cs="Arial"/>
            <w:color w:val="1155CC"/>
            <w:sz w:val="22"/>
            <w:szCs w:val="22"/>
            <w:u w:val="single"/>
          </w:rPr>
          <w:t>https://doi.org/10.7861/futurehosp.3-2-114</w:t>
        </w:r>
      </w:hyperlink>
      <w:r>
        <w:rPr>
          <w:rFonts w:ascii="Arial" w:eastAsia="Arial" w:hAnsi="Arial" w:cs="Arial"/>
          <w:sz w:val="22"/>
          <w:szCs w:val="22"/>
        </w:rPr>
        <w:t>.</w:t>
      </w:r>
    </w:p>
    <w:p w14:paraId="7B668853"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Crisis (2025). </w:t>
      </w:r>
      <w:r>
        <w:rPr>
          <w:rFonts w:ascii="Arial" w:eastAsia="Arial" w:hAnsi="Arial" w:cs="Arial"/>
          <w:i/>
          <w:iCs/>
          <w:sz w:val="22"/>
          <w:szCs w:val="22"/>
        </w:rPr>
        <w:t>Crisis Housing First in London and Newcastle: Final Evaluation</w:t>
      </w:r>
      <w:r>
        <w:rPr>
          <w:rFonts w:ascii="Arial" w:eastAsia="Arial" w:hAnsi="Arial" w:cs="Arial"/>
          <w:sz w:val="22"/>
          <w:szCs w:val="22"/>
        </w:rPr>
        <w:t>. [online] Available at: https://www.crisis.org.uk/media/urpk2tbm/crisis_housingfirst_evaluation_report_final.pdf [Accessed 15 Apr. 2026].</w:t>
      </w:r>
    </w:p>
    <w:p w14:paraId="2788E2D9"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DeLaCruz-Jiron, E.J., Hahn, L.M., Donahue, A.L. and Shore, J.H. (2022). Telemental health for the homeless population: Lessons learned when leveraging care. </w:t>
      </w:r>
      <w:r>
        <w:rPr>
          <w:rFonts w:ascii="Arial" w:eastAsia="Arial" w:hAnsi="Arial" w:cs="Arial"/>
          <w:i/>
          <w:iCs/>
          <w:sz w:val="22"/>
          <w:szCs w:val="22"/>
        </w:rPr>
        <w:t>Current Psychiatry Reports</w:t>
      </w:r>
      <w:r>
        <w:rPr>
          <w:rFonts w:ascii="Arial" w:eastAsia="Arial" w:hAnsi="Arial" w:cs="Arial"/>
          <w:sz w:val="22"/>
          <w:szCs w:val="22"/>
        </w:rPr>
        <w:t>, 25(1). doi:</w:t>
      </w:r>
      <w:hyperlink r:id="rId8">
        <w:r>
          <w:rPr>
            <w:rFonts w:ascii="Arial" w:eastAsia="Arial" w:hAnsi="Arial" w:cs="Arial"/>
            <w:color w:val="1155CC"/>
            <w:sz w:val="22"/>
            <w:szCs w:val="22"/>
            <w:u w:val="single"/>
          </w:rPr>
          <w:t>https://doi.org/10.1007/s11920-022-01400-w</w:t>
        </w:r>
      </w:hyperlink>
      <w:r>
        <w:rPr>
          <w:rFonts w:ascii="Arial" w:eastAsia="Arial" w:hAnsi="Arial" w:cs="Arial"/>
          <w:sz w:val="22"/>
          <w:szCs w:val="22"/>
        </w:rPr>
        <w:t>.</w:t>
      </w:r>
    </w:p>
    <w:p w14:paraId="49735AB3"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Digital Care Hub (2025). </w:t>
      </w:r>
      <w:r>
        <w:rPr>
          <w:rFonts w:ascii="Arial" w:eastAsia="Arial" w:hAnsi="Arial" w:cs="Arial"/>
          <w:i/>
          <w:iCs/>
          <w:sz w:val="22"/>
          <w:szCs w:val="22"/>
        </w:rPr>
        <w:t>Poor information sharing is harming care – now is the time for change</w:t>
      </w:r>
      <w:r>
        <w:rPr>
          <w:rFonts w:ascii="Arial" w:eastAsia="Arial" w:hAnsi="Arial" w:cs="Arial"/>
          <w:sz w:val="22"/>
          <w:szCs w:val="22"/>
        </w:rPr>
        <w:t>. [online] Digitalcarehub.co.uk. Available at: https://www.digitalcarehub.co.uk/poor-information-sharing-is-harming-care-now-is-the-time-for-change/ [Accessed 15 Apr. 2026].</w:t>
      </w:r>
    </w:p>
    <w:p w14:paraId="696B63E2"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Durand, M.A., Wistow, G., Al Haboubi, M. =, Douglas, N., Erens, B., Hoomans, T., Manacorda, T., Miller, R., Pacho, A., Rehackova, L., Smith, J., Lavanya Thana and Mays, N. (2025). Evaluating the role of community-based multi-disciplinary teams in integrated health and social care in England: Overview of findings from the Pioneer evaluation and their implications for health and social care integration. </w:t>
      </w:r>
      <w:r>
        <w:rPr>
          <w:rFonts w:ascii="Arial" w:eastAsia="Arial" w:hAnsi="Arial" w:cs="Arial"/>
          <w:i/>
          <w:iCs/>
          <w:sz w:val="22"/>
          <w:szCs w:val="22"/>
        </w:rPr>
        <w:t>PubMed</w:t>
      </w:r>
      <w:r>
        <w:rPr>
          <w:rFonts w:ascii="Arial" w:eastAsia="Arial" w:hAnsi="Arial" w:cs="Arial"/>
          <w:sz w:val="22"/>
          <w:szCs w:val="22"/>
        </w:rPr>
        <w:t>, 30(1_suppl), pp.69S81S. doi:</w:t>
      </w:r>
      <w:hyperlink r:id="rId9">
        <w:r>
          <w:rPr>
            <w:rFonts w:ascii="Arial" w:eastAsia="Arial" w:hAnsi="Arial" w:cs="Arial"/>
            <w:color w:val="1155CC"/>
            <w:sz w:val="22"/>
            <w:szCs w:val="22"/>
            <w:u w:val="single"/>
          </w:rPr>
          <w:t>https://doi.org/10.1177/13558196251349398</w:t>
        </w:r>
      </w:hyperlink>
      <w:r>
        <w:rPr>
          <w:rFonts w:ascii="Arial" w:eastAsia="Arial" w:hAnsi="Arial" w:cs="Arial"/>
          <w:sz w:val="22"/>
          <w:szCs w:val="22"/>
        </w:rPr>
        <w:t>.</w:t>
      </w:r>
    </w:p>
    <w:p w14:paraId="57E3D3A8"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Friebel, R., Yoo, K.J. and Maynou, L. (2021). Opioid abuse and austerity: Evidence on health service use and mortality in England. </w:t>
      </w:r>
      <w:r>
        <w:rPr>
          <w:rFonts w:ascii="Arial" w:eastAsia="Arial" w:hAnsi="Arial" w:cs="Arial"/>
          <w:i/>
          <w:iCs/>
          <w:sz w:val="22"/>
          <w:szCs w:val="22"/>
        </w:rPr>
        <w:t>Social Science &amp; Medicine</w:t>
      </w:r>
      <w:r>
        <w:rPr>
          <w:rFonts w:ascii="Arial" w:eastAsia="Arial" w:hAnsi="Arial" w:cs="Arial"/>
          <w:sz w:val="22"/>
          <w:szCs w:val="22"/>
        </w:rPr>
        <w:t>, [online] 298, p.114511. doi:</w:t>
      </w:r>
      <w:hyperlink r:id="rId10">
        <w:r>
          <w:rPr>
            <w:rFonts w:ascii="Arial" w:eastAsia="Arial" w:hAnsi="Arial" w:cs="Arial"/>
            <w:color w:val="1155CC"/>
            <w:sz w:val="22"/>
            <w:szCs w:val="22"/>
            <w:u w:val="single"/>
          </w:rPr>
          <w:t>https://doi.org/10.1016/j.socscimed.2021.114511</w:t>
        </w:r>
      </w:hyperlink>
      <w:r>
        <w:rPr>
          <w:rFonts w:ascii="Arial" w:eastAsia="Arial" w:hAnsi="Arial" w:cs="Arial"/>
          <w:sz w:val="22"/>
          <w:szCs w:val="22"/>
        </w:rPr>
        <w:t>.</w:t>
      </w:r>
    </w:p>
    <w:p w14:paraId="5A3BA5D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Government of the UK (2014). </w:t>
      </w:r>
      <w:r>
        <w:rPr>
          <w:rFonts w:ascii="Arial" w:eastAsia="Arial" w:hAnsi="Arial" w:cs="Arial"/>
          <w:i/>
          <w:iCs/>
          <w:sz w:val="22"/>
          <w:szCs w:val="22"/>
        </w:rPr>
        <w:t>Care Act 2014</w:t>
      </w:r>
      <w:r>
        <w:rPr>
          <w:rFonts w:ascii="Arial" w:eastAsia="Arial" w:hAnsi="Arial" w:cs="Arial"/>
          <w:sz w:val="22"/>
          <w:szCs w:val="22"/>
        </w:rPr>
        <w:t>. [online] Legislation.gov.uk. Available at: https://www.legislation.gov.uk/id/ukpga/2014/23 [Accessed 15 Apr. 2026].</w:t>
      </w:r>
    </w:p>
    <w:p w14:paraId="3D568386"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Government of the UK (2022). </w:t>
      </w:r>
      <w:r>
        <w:rPr>
          <w:rFonts w:ascii="Arial" w:eastAsia="Arial" w:hAnsi="Arial" w:cs="Arial"/>
          <w:i/>
          <w:iCs/>
          <w:sz w:val="22"/>
          <w:szCs w:val="22"/>
        </w:rPr>
        <w:t>Health and Care Act 2022 Impact Assessments Summary Document and Analysis of Additional Measures</w:t>
      </w:r>
      <w:r>
        <w:rPr>
          <w:rFonts w:ascii="Arial" w:eastAsia="Arial" w:hAnsi="Arial" w:cs="Arial"/>
          <w:sz w:val="22"/>
          <w:szCs w:val="22"/>
        </w:rPr>
        <w:t xml:space="preserve">. [online] </w:t>
      </w:r>
      <w:r>
        <w:rPr>
          <w:rFonts w:ascii="Arial" w:eastAsia="Arial" w:hAnsi="Arial" w:cs="Arial"/>
          <w:i/>
          <w:iCs/>
          <w:sz w:val="22"/>
          <w:szCs w:val="22"/>
        </w:rPr>
        <w:t>Department of Health and Social Care</w:t>
      </w:r>
      <w:r>
        <w:rPr>
          <w:rFonts w:ascii="Arial" w:eastAsia="Arial" w:hAnsi="Arial" w:cs="Arial"/>
          <w:sz w:val="22"/>
          <w:szCs w:val="22"/>
        </w:rPr>
        <w:t>. Available at: https://assets.publishing.service.gov.uk/media/6363d911e90e0705a8c35457/health-and-care-act-2022-summary-and-additional-measures-impact-assessment.pdf [Accessed 15 Apr. 2026].</w:t>
      </w:r>
    </w:p>
    <w:p w14:paraId="3B0071A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Government of the UK (2024). </w:t>
      </w:r>
      <w:r>
        <w:rPr>
          <w:rFonts w:ascii="Arial" w:eastAsia="Arial" w:hAnsi="Arial" w:cs="Arial"/>
          <w:i/>
          <w:iCs/>
          <w:sz w:val="22"/>
          <w:szCs w:val="22"/>
        </w:rPr>
        <w:t>Multiple disadvantage in Westminster: Population Needs Assessment</w:t>
      </w:r>
      <w:r>
        <w:rPr>
          <w:rFonts w:ascii="Arial" w:eastAsia="Arial" w:hAnsi="Arial" w:cs="Arial"/>
          <w:sz w:val="22"/>
          <w:szCs w:val="22"/>
        </w:rPr>
        <w:t xml:space="preserve">. [online] Available at: </w:t>
      </w:r>
      <w:r>
        <w:rPr>
          <w:rFonts w:ascii="Arial" w:eastAsia="Arial" w:hAnsi="Arial" w:cs="Arial"/>
          <w:sz w:val="22"/>
          <w:szCs w:val="22"/>
        </w:rPr>
        <w:lastRenderedPageBreak/>
        <w:t>https://www.westminster.gov.uk/sites/default/files/media/documents/Multi%20Disadvantage%20in%20Westminster%20-%20Population%20Needs%20Assesment.pdf [Accessed 15 Apr. 2026].</w:t>
      </w:r>
    </w:p>
    <w:p w14:paraId="1B155343"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Health Knowledge (2010). </w:t>
      </w:r>
      <w:r>
        <w:rPr>
          <w:rFonts w:ascii="Arial" w:eastAsia="Arial" w:hAnsi="Arial" w:cs="Arial"/>
          <w:i/>
          <w:iCs/>
          <w:sz w:val="22"/>
          <w:szCs w:val="22"/>
        </w:rPr>
        <w:t>Partnerships</w:t>
      </w:r>
      <w:r>
        <w:rPr>
          <w:rFonts w:ascii="Arial" w:eastAsia="Arial" w:hAnsi="Arial" w:cs="Arial"/>
          <w:sz w:val="22"/>
          <w:szCs w:val="22"/>
        </w:rPr>
        <w:t>. [online] Health Knowledge. Available at: https://www.healthknowledge.org.uk/public-health-textbook/disease-causation-diagnostic/2h-principles-health-promotion/partnerships [Accessed 15 Apr. 2026].</w:t>
      </w:r>
    </w:p>
    <w:p w14:paraId="1C27F647"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Health Snap (2023). </w:t>
      </w:r>
      <w:r>
        <w:rPr>
          <w:rFonts w:ascii="Arial" w:eastAsia="Arial" w:hAnsi="Arial" w:cs="Arial"/>
          <w:i/>
          <w:iCs/>
          <w:sz w:val="22"/>
          <w:szCs w:val="22"/>
        </w:rPr>
        <w:t>What Is Triple Aim Healthcare?</w:t>
      </w:r>
      <w:r>
        <w:rPr>
          <w:rFonts w:ascii="Arial" w:eastAsia="Arial" w:hAnsi="Arial" w:cs="Arial"/>
          <w:sz w:val="22"/>
          <w:szCs w:val="22"/>
        </w:rPr>
        <w:t xml:space="preserve"> [online] HealthSnap. Available at: https://healthsnap.io/what-is-triple-aim-healthcare/ [Accessed 15 Apr. 2026].</w:t>
      </w:r>
    </w:p>
    <w:p w14:paraId="441FB977"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Hegner, R.E. (1998). </w:t>
      </w:r>
      <w:r>
        <w:rPr>
          <w:rFonts w:ascii="Arial" w:eastAsia="Arial" w:hAnsi="Arial" w:cs="Arial"/>
          <w:i/>
          <w:iCs/>
          <w:sz w:val="22"/>
          <w:szCs w:val="22"/>
        </w:rPr>
        <w:t>Dual Diagnoses: The Challenge of Serving People with Concurrent Mental Illness and Substance Abuse Problems</w:t>
      </w:r>
      <w:r>
        <w:rPr>
          <w:rFonts w:ascii="Arial" w:eastAsia="Arial" w:hAnsi="Arial" w:cs="Arial"/>
          <w:sz w:val="22"/>
          <w:szCs w:val="22"/>
        </w:rPr>
        <w:t xml:space="preserve">. [online] </w:t>
      </w:r>
      <w:r>
        <w:rPr>
          <w:rFonts w:ascii="Arial" w:eastAsia="Arial" w:hAnsi="Arial" w:cs="Arial"/>
          <w:i/>
          <w:iCs/>
          <w:sz w:val="22"/>
          <w:szCs w:val="22"/>
        </w:rPr>
        <w:t>PubMed</w:t>
      </w:r>
      <w:r>
        <w:rPr>
          <w:rFonts w:ascii="Arial" w:eastAsia="Arial" w:hAnsi="Arial" w:cs="Arial"/>
          <w:sz w:val="22"/>
          <w:szCs w:val="22"/>
        </w:rPr>
        <w:t>. National Health Policy Forum. Available at: https://www.ncbi.nlm.nih.gov/books/NBK559478/ [Accessed 15 Apr. 2026].</w:t>
      </w:r>
    </w:p>
    <w:p w14:paraId="101AE280"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Joo, J.Y. (2023). Fragmented Care and Chronic Illness Patient outcomes: A systematic Review. </w:t>
      </w:r>
      <w:r>
        <w:rPr>
          <w:rFonts w:ascii="Arial" w:eastAsia="Arial" w:hAnsi="Arial" w:cs="Arial"/>
          <w:i/>
          <w:iCs/>
          <w:sz w:val="22"/>
          <w:szCs w:val="22"/>
        </w:rPr>
        <w:t>Nursing Open</w:t>
      </w:r>
      <w:r>
        <w:rPr>
          <w:rFonts w:ascii="Arial" w:eastAsia="Arial" w:hAnsi="Arial" w:cs="Arial"/>
          <w:sz w:val="22"/>
          <w:szCs w:val="22"/>
        </w:rPr>
        <w:t>, [online] 10(6). doi:https://doi.org/10.1002/nop2.1607.</w:t>
      </w:r>
    </w:p>
    <w:p w14:paraId="726FFAED"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JSNA (2016). </w:t>
      </w:r>
      <w:r>
        <w:rPr>
          <w:rFonts w:ascii="Arial" w:eastAsia="Arial" w:hAnsi="Arial" w:cs="Arial"/>
          <w:i/>
          <w:iCs/>
          <w:sz w:val="22"/>
          <w:szCs w:val="22"/>
        </w:rPr>
        <w:t>Joint Strategic Needs Assessment Summary Document Life, Health, and Wellbeing in Tower Hamlets Tower Hamlets JSNA Reference Group</w:t>
      </w:r>
      <w:r>
        <w:rPr>
          <w:rFonts w:ascii="Arial" w:eastAsia="Arial" w:hAnsi="Arial" w:cs="Arial"/>
          <w:sz w:val="22"/>
          <w:szCs w:val="22"/>
        </w:rPr>
        <w:t>. [online] Available at: https://www.towerhamlets.gov.uk/Documents/Public-Health/JSNA/JSNA_Summary.pdf [Accessed 15 Apr. 2026].</w:t>
      </w:r>
    </w:p>
    <w:p w14:paraId="4CFA394D"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Kariotis, T.C., Prictor, M., Gray, K. and Chang, S. (2025). Bridging the gap: How information sharing practices across Health, Mental Health and Social Care services shape information continuity in Australian mental healthcare services. </w:t>
      </w:r>
      <w:r>
        <w:rPr>
          <w:rFonts w:ascii="Arial" w:eastAsia="Arial" w:hAnsi="Arial" w:cs="Arial"/>
          <w:i/>
          <w:iCs/>
          <w:sz w:val="22"/>
          <w:szCs w:val="22"/>
        </w:rPr>
        <w:t>SSM - Health Systems</w:t>
      </w:r>
      <w:r>
        <w:rPr>
          <w:rFonts w:ascii="Arial" w:eastAsia="Arial" w:hAnsi="Arial" w:cs="Arial"/>
          <w:sz w:val="22"/>
          <w:szCs w:val="22"/>
        </w:rPr>
        <w:t>, pp.100118–100118. doi:</w:t>
      </w:r>
      <w:hyperlink r:id="rId11">
        <w:r>
          <w:rPr>
            <w:rFonts w:ascii="Arial" w:eastAsia="Arial" w:hAnsi="Arial" w:cs="Arial"/>
            <w:color w:val="1155CC"/>
            <w:sz w:val="22"/>
            <w:szCs w:val="22"/>
            <w:u w:val="single"/>
          </w:rPr>
          <w:t>https://doi.org/10.1016/j.ssmhs.2025.100118</w:t>
        </w:r>
      </w:hyperlink>
      <w:r>
        <w:rPr>
          <w:rFonts w:ascii="Arial" w:eastAsia="Arial" w:hAnsi="Arial" w:cs="Arial"/>
          <w:sz w:val="22"/>
          <w:szCs w:val="22"/>
        </w:rPr>
        <w:t>.</w:t>
      </w:r>
    </w:p>
    <w:p w14:paraId="36752BB2"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Kenton, W. (2020). </w:t>
      </w:r>
      <w:r>
        <w:rPr>
          <w:rFonts w:ascii="Arial" w:eastAsia="Arial" w:hAnsi="Arial" w:cs="Arial"/>
          <w:i/>
          <w:iCs/>
          <w:sz w:val="22"/>
          <w:szCs w:val="22"/>
        </w:rPr>
        <w:t>Understanding Silo Mentality</w:t>
      </w:r>
      <w:r>
        <w:rPr>
          <w:rFonts w:ascii="Arial" w:eastAsia="Arial" w:hAnsi="Arial" w:cs="Arial"/>
          <w:sz w:val="22"/>
          <w:szCs w:val="22"/>
        </w:rPr>
        <w:t>. [online] Investopedia. Available at: https://www.investopedia.com/terms/s/silo-mentality.asp [Accessed 15 Apr. 2026].</w:t>
      </w:r>
    </w:p>
    <w:p w14:paraId="481A14A5"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Khatri, R., Endalamaw, A., Erku, D., Wolka, E., Nigatu, F., Zewdie, A. and Assefa, Y. (2023). Continuity and care coordination of primary health care: A scoping review. </w:t>
      </w:r>
      <w:r>
        <w:rPr>
          <w:rFonts w:ascii="Arial" w:eastAsia="Arial" w:hAnsi="Arial" w:cs="Arial"/>
          <w:i/>
          <w:iCs/>
          <w:sz w:val="22"/>
          <w:szCs w:val="22"/>
        </w:rPr>
        <w:t>BioMed Central Health Services Research</w:t>
      </w:r>
      <w:r>
        <w:rPr>
          <w:rFonts w:ascii="Arial" w:eastAsia="Arial" w:hAnsi="Arial" w:cs="Arial"/>
          <w:sz w:val="22"/>
          <w:szCs w:val="22"/>
        </w:rPr>
        <w:t>, [online] 23(1), p.750. doi:</w:t>
      </w:r>
      <w:hyperlink r:id="rId12">
        <w:r>
          <w:rPr>
            <w:rFonts w:ascii="Arial" w:eastAsia="Arial" w:hAnsi="Arial" w:cs="Arial"/>
            <w:color w:val="1155CC"/>
            <w:sz w:val="22"/>
            <w:szCs w:val="22"/>
            <w:u w:val="single"/>
          </w:rPr>
          <w:t>https://doi.org/10.1186/s12913-023-09718-8</w:t>
        </w:r>
      </w:hyperlink>
      <w:r>
        <w:rPr>
          <w:rFonts w:ascii="Arial" w:eastAsia="Arial" w:hAnsi="Arial" w:cs="Arial"/>
          <w:sz w:val="22"/>
          <w:szCs w:val="22"/>
        </w:rPr>
        <w:t>.</w:t>
      </w:r>
    </w:p>
    <w:p w14:paraId="2B96D4A3"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Lalani, M., Peters, M., Sugavanam, T., Crocker, H., Caiels, J., Hay, H., Gunn, S., Hogan, H., Page, B. and Fitzpatrick, R. (2024). New Ways of Working to Manage and Improve Quality in Integrated Care Systems in England. </w:t>
      </w:r>
      <w:r>
        <w:rPr>
          <w:rFonts w:ascii="Arial" w:eastAsia="Arial" w:hAnsi="Arial" w:cs="Arial"/>
          <w:i/>
          <w:iCs/>
          <w:sz w:val="22"/>
          <w:szCs w:val="22"/>
        </w:rPr>
        <w:t>International Journal of Health Policy and Management</w:t>
      </w:r>
      <w:r>
        <w:rPr>
          <w:rFonts w:ascii="Arial" w:eastAsia="Arial" w:hAnsi="Arial" w:cs="Arial"/>
          <w:sz w:val="22"/>
          <w:szCs w:val="22"/>
        </w:rPr>
        <w:t>, 14(1). doi:</w:t>
      </w:r>
      <w:hyperlink r:id="rId13">
        <w:r>
          <w:rPr>
            <w:rFonts w:ascii="Arial" w:eastAsia="Arial" w:hAnsi="Arial" w:cs="Arial"/>
            <w:color w:val="1155CC"/>
            <w:sz w:val="22"/>
            <w:szCs w:val="22"/>
            <w:u w:val="single"/>
          </w:rPr>
          <w:t>https://doi.org/10.34172/ijhpm.8424</w:t>
        </w:r>
      </w:hyperlink>
      <w:r>
        <w:rPr>
          <w:rFonts w:ascii="Arial" w:eastAsia="Arial" w:hAnsi="Arial" w:cs="Arial"/>
          <w:sz w:val="22"/>
          <w:szCs w:val="22"/>
        </w:rPr>
        <w:t>.</w:t>
      </w:r>
    </w:p>
    <w:p w14:paraId="54682AC2"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National Guideline Alliance (UK) (2022). </w:t>
      </w:r>
      <w:r>
        <w:rPr>
          <w:rFonts w:ascii="Arial" w:eastAsia="Arial" w:hAnsi="Arial" w:cs="Arial"/>
          <w:i/>
          <w:iCs/>
          <w:sz w:val="22"/>
          <w:szCs w:val="22"/>
        </w:rPr>
        <w:t xml:space="preserve">Evidence review for views and experiences of health and social care for people experiencing homelessness: Integrated health and social care for people </w:t>
      </w:r>
      <w:r>
        <w:rPr>
          <w:rFonts w:ascii="Arial" w:eastAsia="Arial" w:hAnsi="Arial" w:cs="Arial"/>
          <w:i/>
          <w:iCs/>
          <w:sz w:val="22"/>
          <w:szCs w:val="22"/>
        </w:rPr>
        <w:lastRenderedPageBreak/>
        <w:t>experiencing homelessness: Evidence review C</w:t>
      </w:r>
      <w:r>
        <w:rPr>
          <w:rFonts w:ascii="Arial" w:eastAsia="Arial" w:hAnsi="Arial" w:cs="Arial"/>
          <w:sz w:val="22"/>
          <w:szCs w:val="22"/>
        </w:rPr>
        <w:t xml:space="preserve">. [online] </w:t>
      </w:r>
      <w:r>
        <w:rPr>
          <w:rFonts w:ascii="Arial" w:eastAsia="Arial" w:hAnsi="Arial" w:cs="Arial"/>
          <w:i/>
          <w:iCs/>
          <w:sz w:val="22"/>
          <w:szCs w:val="22"/>
        </w:rPr>
        <w:t>PubMed</w:t>
      </w:r>
      <w:r>
        <w:rPr>
          <w:rFonts w:ascii="Arial" w:eastAsia="Arial" w:hAnsi="Arial" w:cs="Arial"/>
          <w:sz w:val="22"/>
          <w:szCs w:val="22"/>
        </w:rPr>
        <w:t>. London: National Institute for Health and Care Excellence (NICE). Available at: https://www.ncbi.nlm.nih.gov/books/NBK579614/ [Accessed 15 Apr. 2026].</w:t>
      </w:r>
    </w:p>
    <w:p w14:paraId="3B3D417F"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NCBI (2014). </w:t>
      </w:r>
      <w:r>
        <w:rPr>
          <w:rFonts w:ascii="Arial" w:eastAsia="Arial" w:hAnsi="Arial" w:cs="Arial"/>
          <w:i/>
          <w:iCs/>
          <w:sz w:val="22"/>
          <w:szCs w:val="22"/>
        </w:rPr>
        <w:t>Building a trauma-informed workforce</w:t>
      </w:r>
      <w:r>
        <w:rPr>
          <w:rFonts w:ascii="Arial" w:eastAsia="Arial" w:hAnsi="Arial" w:cs="Arial"/>
          <w:sz w:val="22"/>
          <w:szCs w:val="22"/>
        </w:rPr>
        <w:t>. [online] Nih.gov. Available at: https://www.ncbi.nlm.nih.gov/books/NBK207194/ [Accessed 15 Apr. 2026].</w:t>
      </w:r>
    </w:p>
    <w:p w14:paraId="380689FE"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NHS (2022). </w:t>
      </w:r>
      <w:r>
        <w:rPr>
          <w:rFonts w:ascii="Arial" w:eastAsia="Arial" w:hAnsi="Arial" w:cs="Arial"/>
          <w:i/>
          <w:iCs/>
          <w:sz w:val="22"/>
          <w:szCs w:val="22"/>
        </w:rPr>
        <w:t>Find your local integrated care board (ICB)</w:t>
      </w:r>
      <w:r>
        <w:rPr>
          <w:rFonts w:ascii="Arial" w:eastAsia="Arial" w:hAnsi="Arial" w:cs="Arial"/>
          <w:sz w:val="22"/>
          <w:szCs w:val="22"/>
        </w:rPr>
        <w:t>. [online] nhs.uk. Available at: https://www.nhs.uk/nhs-services/find-your-local-integrated-care-board/ [Accessed 15 Apr. 2026].</w:t>
      </w:r>
    </w:p>
    <w:p w14:paraId="6DE89B7B"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OECD (2024). An integrated approach to service delivery for people with multiple and complex needs. </w:t>
      </w:r>
      <w:r>
        <w:rPr>
          <w:rFonts w:ascii="Arial" w:eastAsia="Arial" w:hAnsi="Arial" w:cs="Arial"/>
          <w:i/>
          <w:iCs/>
          <w:sz w:val="22"/>
          <w:szCs w:val="22"/>
        </w:rPr>
        <w:t>OECD social employment and migration working papers</w:t>
      </w:r>
      <w:r>
        <w:rPr>
          <w:rFonts w:ascii="Arial" w:eastAsia="Arial" w:hAnsi="Arial" w:cs="Arial"/>
          <w:sz w:val="22"/>
          <w:szCs w:val="22"/>
        </w:rPr>
        <w:t>. doi:</w:t>
      </w:r>
      <w:hyperlink r:id="rId14">
        <w:r>
          <w:rPr>
            <w:rFonts w:ascii="Arial" w:eastAsia="Arial" w:hAnsi="Arial" w:cs="Arial"/>
            <w:color w:val="1155CC"/>
            <w:sz w:val="22"/>
            <w:szCs w:val="22"/>
            <w:u w:val="single"/>
          </w:rPr>
          <w:t>https://doi.org/10.1787/d837a06a-en</w:t>
        </w:r>
      </w:hyperlink>
      <w:r>
        <w:rPr>
          <w:rFonts w:ascii="Arial" w:eastAsia="Arial" w:hAnsi="Arial" w:cs="Arial"/>
          <w:sz w:val="22"/>
          <w:szCs w:val="22"/>
        </w:rPr>
        <w:t>.</w:t>
      </w:r>
    </w:p>
    <w:p w14:paraId="0FA19F18"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Parkes, T., Matheson, C., Carver, H., Foster, R., Budd, J., Liddell, D., Wallace, J., Pauly, B., Fotopoulou, M., Burley, A., Anderson, I. and MacLennan, G. (2022). A peer-delivered intervention to reduce harm and improve the well-being of homeless people with problem substance use: the SHARPS feasibility mixed-methods study. </w:t>
      </w:r>
      <w:r>
        <w:rPr>
          <w:rFonts w:ascii="Arial" w:eastAsia="Arial" w:hAnsi="Arial" w:cs="Arial"/>
          <w:i/>
          <w:iCs/>
          <w:sz w:val="22"/>
          <w:szCs w:val="22"/>
        </w:rPr>
        <w:t>Health Technology Assessment</w:t>
      </w:r>
      <w:r>
        <w:rPr>
          <w:rFonts w:ascii="Arial" w:eastAsia="Arial" w:hAnsi="Arial" w:cs="Arial"/>
          <w:sz w:val="22"/>
          <w:szCs w:val="22"/>
        </w:rPr>
        <w:t>, 26(14), pp.1–128. doi:</w:t>
      </w:r>
      <w:hyperlink r:id="rId15">
        <w:r>
          <w:rPr>
            <w:rFonts w:ascii="Arial" w:eastAsia="Arial" w:hAnsi="Arial" w:cs="Arial"/>
            <w:color w:val="1155CC"/>
            <w:sz w:val="22"/>
            <w:szCs w:val="22"/>
            <w:u w:val="single"/>
          </w:rPr>
          <w:t>https://doi.org/10.3310/wvvl4786</w:t>
        </w:r>
      </w:hyperlink>
      <w:r>
        <w:rPr>
          <w:rFonts w:ascii="Arial" w:eastAsia="Arial" w:hAnsi="Arial" w:cs="Arial"/>
          <w:sz w:val="22"/>
          <w:szCs w:val="22"/>
        </w:rPr>
        <w:t>.</w:t>
      </w:r>
    </w:p>
    <w:p w14:paraId="4661144A"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Pearson, N., Naylor, P.-J., Ashe, M.C., Fernandez, M., Yoong, S.L. and Wolfenden, L. (2020). Guidance for Conducting Feasibility and Pilot Studies for Implementation Trials. </w:t>
      </w:r>
      <w:r>
        <w:rPr>
          <w:rFonts w:ascii="Arial" w:eastAsia="Arial" w:hAnsi="Arial" w:cs="Arial"/>
          <w:i/>
          <w:iCs/>
          <w:sz w:val="22"/>
          <w:szCs w:val="22"/>
        </w:rPr>
        <w:t>Pilot and Feasibility Studies</w:t>
      </w:r>
      <w:r>
        <w:rPr>
          <w:rFonts w:ascii="Arial" w:eastAsia="Arial" w:hAnsi="Arial" w:cs="Arial"/>
          <w:sz w:val="22"/>
          <w:szCs w:val="22"/>
        </w:rPr>
        <w:t>, [online] 6(1), pp.1–12. Available at: https://pilotfeasibilitystudies.biomedcentral.com/articles/10.1186/s40814-020-00634-w [Accessed 15 Apr. 2026].</w:t>
      </w:r>
    </w:p>
    <w:p w14:paraId="15543A0B"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Pfajfar, G., Shoham, A., Małecka, A. and Zalaznik, M. (2022). Value of corporate social responsibility for multiple stakeholders and social impact – Relationship marketing perspective. </w:t>
      </w:r>
      <w:r>
        <w:rPr>
          <w:rFonts w:ascii="Arial" w:eastAsia="Arial" w:hAnsi="Arial" w:cs="Arial"/>
          <w:i/>
          <w:iCs/>
          <w:sz w:val="22"/>
          <w:szCs w:val="22"/>
        </w:rPr>
        <w:t>Journal of Business Research</w:t>
      </w:r>
      <w:r>
        <w:rPr>
          <w:rFonts w:ascii="Arial" w:eastAsia="Arial" w:hAnsi="Arial" w:cs="Arial"/>
          <w:sz w:val="22"/>
          <w:szCs w:val="22"/>
        </w:rPr>
        <w:t>, [online] 143(4), pp.46–61. doi:</w:t>
      </w:r>
      <w:hyperlink r:id="rId16">
        <w:r>
          <w:rPr>
            <w:rFonts w:ascii="Arial" w:eastAsia="Arial" w:hAnsi="Arial" w:cs="Arial"/>
            <w:color w:val="1155CC"/>
            <w:sz w:val="22"/>
            <w:szCs w:val="22"/>
            <w:u w:val="single"/>
          </w:rPr>
          <w:t>https://doi.org/10.1016/j.jbusres.2022.01.051</w:t>
        </w:r>
      </w:hyperlink>
      <w:r>
        <w:rPr>
          <w:rFonts w:ascii="Arial" w:eastAsia="Arial" w:hAnsi="Arial" w:cs="Arial"/>
          <w:sz w:val="22"/>
          <w:szCs w:val="22"/>
        </w:rPr>
        <w:t>.</w:t>
      </w:r>
    </w:p>
    <w:p w14:paraId="5B4385B2"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SCIE (2024). </w:t>
      </w:r>
      <w:r>
        <w:rPr>
          <w:rFonts w:ascii="Arial" w:eastAsia="Arial" w:hAnsi="Arial" w:cs="Arial"/>
          <w:i/>
          <w:iCs/>
          <w:sz w:val="22"/>
          <w:szCs w:val="22"/>
        </w:rPr>
        <w:t>Logic model for integrated care</w:t>
      </w:r>
      <w:r>
        <w:rPr>
          <w:rFonts w:ascii="Arial" w:eastAsia="Arial" w:hAnsi="Arial" w:cs="Arial"/>
          <w:sz w:val="22"/>
          <w:szCs w:val="22"/>
        </w:rPr>
        <w:t>. [online] SCIE. Available at: https://www.scie.org.uk/integrated-care/logic-model-for-integrated-care/ [Accessed 15 Apr. 2026].</w:t>
      </w:r>
    </w:p>
    <w:p w14:paraId="486CE55D"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SCIE (2026). </w:t>
      </w:r>
      <w:r>
        <w:rPr>
          <w:rFonts w:ascii="Arial" w:eastAsia="Arial" w:hAnsi="Arial" w:cs="Arial"/>
          <w:i/>
          <w:iCs/>
          <w:sz w:val="22"/>
          <w:szCs w:val="22"/>
        </w:rPr>
        <w:t>How might leadership roles evolve in integrated health and care systems?</w:t>
      </w:r>
      <w:r>
        <w:rPr>
          <w:rFonts w:ascii="Arial" w:eastAsia="Arial" w:hAnsi="Arial" w:cs="Arial"/>
          <w:sz w:val="22"/>
          <w:szCs w:val="22"/>
        </w:rPr>
        <w:t xml:space="preserve"> [online] SCIE. Available at: https://www.scie.org.uk/integrated-care/leadership/evolving-roles/ [Accessed 15 Apr. 2026].</w:t>
      </w:r>
    </w:p>
    <w:p w14:paraId="14A8099D"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lastRenderedPageBreak/>
        <w:t xml:space="preserve">Supportive Care (2025). </w:t>
      </w:r>
      <w:r>
        <w:rPr>
          <w:rFonts w:ascii="Arial" w:eastAsia="Arial" w:hAnsi="Arial" w:cs="Arial"/>
          <w:i/>
          <w:iCs/>
          <w:sz w:val="22"/>
          <w:szCs w:val="22"/>
        </w:rPr>
        <w:t>Creating a Seamless Referral Process for Behavioral Health in Facilities - Supportive Care</w:t>
      </w:r>
      <w:r>
        <w:rPr>
          <w:rFonts w:ascii="Arial" w:eastAsia="Arial" w:hAnsi="Arial" w:cs="Arial"/>
          <w:sz w:val="22"/>
          <w:szCs w:val="22"/>
        </w:rPr>
        <w:t>. [online] Thesupportivecare.com. Available at: https://www.thesupportivecare.com/blog/creating-a-seamless-referral-process-for-behavioral-health-in-facilities [Accessed 15 Apr. 2026].</w:t>
      </w:r>
    </w:p>
    <w:p w14:paraId="0D8583EF"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UK Parliament (2022). </w:t>
      </w:r>
      <w:r>
        <w:rPr>
          <w:rFonts w:ascii="Arial" w:eastAsia="Arial" w:hAnsi="Arial" w:cs="Arial"/>
          <w:i/>
          <w:iCs/>
          <w:sz w:val="22"/>
          <w:szCs w:val="22"/>
        </w:rPr>
        <w:t>Integrated Care Systems: autonomy and accountability - Health and Social Care Committee</w:t>
      </w:r>
      <w:r>
        <w:rPr>
          <w:rFonts w:ascii="Arial" w:eastAsia="Arial" w:hAnsi="Arial" w:cs="Arial"/>
          <w:sz w:val="22"/>
          <w:szCs w:val="22"/>
        </w:rPr>
        <w:t>. [online] Parliament.uk. Available at: https://publications.parliament.uk/pa/cm5803/cmselect/cmhealth/587/report.html [Accessed 15 Apr. 2026].</w:t>
      </w:r>
    </w:p>
    <w:p w14:paraId="56232EA1"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Westminster (2025). </w:t>
      </w:r>
      <w:r>
        <w:rPr>
          <w:rFonts w:ascii="Arial" w:eastAsia="Arial" w:hAnsi="Arial" w:cs="Arial"/>
          <w:i/>
          <w:iCs/>
          <w:sz w:val="22"/>
          <w:szCs w:val="22"/>
        </w:rPr>
        <w:t>Housing | Westminster City Council</w:t>
      </w:r>
      <w:r>
        <w:rPr>
          <w:rFonts w:ascii="Arial" w:eastAsia="Arial" w:hAnsi="Arial" w:cs="Arial"/>
          <w:sz w:val="22"/>
          <w:szCs w:val="22"/>
        </w:rPr>
        <w:t>. [online] Westminster.gov.uk. Available at: https://www.westminster.gov.uk/housing [Accessed 15 Apr. 2026].</w:t>
      </w:r>
    </w:p>
    <w:p w14:paraId="1EC0C948" w14:textId="77777777" w:rsid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Westminster (2026). </w:t>
      </w:r>
      <w:r>
        <w:rPr>
          <w:rFonts w:ascii="Arial" w:eastAsia="Arial" w:hAnsi="Arial" w:cs="Arial"/>
          <w:i/>
          <w:iCs/>
          <w:sz w:val="22"/>
          <w:szCs w:val="22"/>
        </w:rPr>
        <w:t>Community Prevention Team | Westminster City Council</w:t>
      </w:r>
      <w:r>
        <w:rPr>
          <w:rFonts w:ascii="Arial" w:eastAsia="Arial" w:hAnsi="Arial" w:cs="Arial"/>
          <w:sz w:val="22"/>
          <w:szCs w:val="22"/>
        </w:rPr>
        <w:t>. [online] Westminster.gov.uk. Available at: https://www.westminster.gov.uk/housing/homelessness/community-prevention [Accessed 15 Apr. 2026].</w:t>
      </w:r>
    </w:p>
    <w:p w14:paraId="64F68D1F" w14:textId="77777777" w:rsidR="008A00DB" w:rsidRPr="008A00DB" w:rsidRDefault="008A00DB" w:rsidP="008A00DB">
      <w:pPr>
        <w:spacing w:before="120" w:after="120" w:line="360" w:lineRule="auto"/>
        <w:jc w:val="both"/>
        <w:rPr>
          <w:rFonts w:ascii="Arial" w:eastAsia="Arial" w:hAnsi="Arial" w:cs="Arial"/>
          <w:sz w:val="22"/>
          <w:szCs w:val="22"/>
        </w:rPr>
      </w:pPr>
      <w:r>
        <w:rPr>
          <w:rFonts w:ascii="Arial" w:eastAsia="Arial" w:hAnsi="Arial" w:cs="Arial"/>
          <w:sz w:val="22"/>
          <w:szCs w:val="22"/>
        </w:rPr>
        <w:t xml:space="preserve">Yang, L.H., Wong, L.Y., Grivel, M.M. and Hasin, D.S. (2017). Stigma and Substance Use Disorders: an international phenomenon. </w:t>
      </w:r>
      <w:r>
        <w:rPr>
          <w:rFonts w:ascii="Arial" w:eastAsia="Arial" w:hAnsi="Arial" w:cs="Arial"/>
          <w:i/>
          <w:iCs/>
          <w:sz w:val="22"/>
          <w:szCs w:val="22"/>
        </w:rPr>
        <w:t>Current Opinion in Psychiatry</w:t>
      </w:r>
      <w:r>
        <w:rPr>
          <w:rFonts w:ascii="Arial" w:eastAsia="Arial" w:hAnsi="Arial" w:cs="Arial"/>
          <w:sz w:val="22"/>
          <w:szCs w:val="22"/>
        </w:rPr>
        <w:t>, [online] 30(5), pp.378–388. doi:</w:t>
      </w:r>
      <w:hyperlink r:id="rId17">
        <w:r>
          <w:rPr>
            <w:rFonts w:ascii="Arial" w:eastAsia="Arial" w:hAnsi="Arial" w:cs="Arial"/>
            <w:color w:val="1155CC"/>
            <w:sz w:val="22"/>
            <w:szCs w:val="22"/>
            <w:u w:val="single"/>
          </w:rPr>
          <w:t>https://doi.org/10.1097/yco.0000000000000351</w:t>
        </w:r>
      </w:hyperlink>
      <w:r>
        <w:rPr>
          <w:rFonts w:ascii="Arial" w:eastAsia="Arial" w:hAnsi="Arial" w:cs="Arial"/>
          <w:sz w:val="22"/>
          <w:szCs w:val="22"/>
        </w:rPr>
        <w:t>.</w:t>
      </w:r>
    </w:p>
    <w:sectPr w:rsidR="008A00DB" w:rsidRPr="008A00DB">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CA7D7A" w14:textId="77777777" w:rsidR="00883F8A" w:rsidRDefault="00883F8A">
      <w:pPr>
        <w:spacing w:before="0" w:after="0" w:line="240" w:lineRule="auto"/>
      </w:pPr>
      <w:r>
        <w:separator/>
      </w:r>
    </w:p>
  </w:endnote>
  <w:endnote w:type="continuationSeparator" w:id="0">
    <w:p w14:paraId="1F54C559" w14:textId="77777777" w:rsidR="00883F8A" w:rsidRDefault="00883F8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D5A57E" w14:textId="02954D05" w:rsidR="004D7954" w:rsidRDefault="004D7954">
    <w:pPr>
      <w:jc w:val="right"/>
      <w:rPr>
        <w:rFonts w:ascii="Arial" w:eastAsia="Arial" w:hAnsi="Arial" w:cs="Arial"/>
        <w:sz w:val="22"/>
        <w:szCs w:val="22"/>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FD461E" w14:textId="77777777" w:rsidR="00883F8A" w:rsidRDefault="00883F8A">
      <w:pPr>
        <w:spacing w:before="0" w:after="0" w:line="240" w:lineRule="auto"/>
      </w:pPr>
      <w:r>
        <w:separator/>
      </w:r>
    </w:p>
  </w:footnote>
  <w:footnote w:type="continuationSeparator" w:id="0">
    <w:p w14:paraId="3E85ED08" w14:textId="77777777" w:rsidR="00883F8A" w:rsidRDefault="00883F8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0DB"/>
    <w:rsid w:val="001139BD"/>
    <w:rsid w:val="004849FC"/>
    <w:rsid w:val="004D7954"/>
    <w:rsid w:val="00570847"/>
    <w:rsid w:val="00883F8A"/>
    <w:rsid w:val="008A00DB"/>
    <w:rsid w:val="008B2AA1"/>
    <w:rsid w:val="00992911"/>
    <w:rsid w:val="00B7041C"/>
    <w:rsid w:val="00B72356"/>
    <w:rsid w:val="00CD0B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38FC5"/>
  <w15:chartTrackingRefBased/>
  <w15:docId w15:val="{3635690D-FDF5-4165-9958-39F1FA359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00DB"/>
    <w:pPr>
      <w:spacing w:before="240" w:after="240" w:line="276" w:lineRule="auto"/>
    </w:pPr>
    <w:rPr>
      <w:rFonts w:ascii="Calibri" w:eastAsia="Calibri" w:hAnsi="Calibri" w:cs="Calibri"/>
      <w:sz w:val="24"/>
      <w:szCs w:val="24"/>
      <w:lang w:val="en-GB"/>
    </w:rPr>
  </w:style>
  <w:style w:type="paragraph" w:styleId="Heading1">
    <w:name w:val="heading 1"/>
    <w:basedOn w:val="Normal"/>
    <w:next w:val="Normal"/>
    <w:link w:val="Heading1Char"/>
    <w:uiPriority w:val="9"/>
    <w:qFormat/>
    <w:rsid w:val="008A00DB"/>
    <w:pPr>
      <w:keepNext/>
      <w:keepLines/>
      <w:outlineLvl w:val="0"/>
    </w:pPr>
    <w:rPr>
      <w:b/>
      <w:bCs/>
      <w:sz w:val="28"/>
      <w:szCs w:val="28"/>
    </w:rPr>
  </w:style>
  <w:style w:type="paragraph" w:styleId="Heading2">
    <w:name w:val="heading 2"/>
    <w:basedOn w:val="Normal"/>
    <w:next w:val="Normal"/>
    <w:link w:val="Heading2Char"/>
    <w:uiPriority w:val="9"/>
    <w:unhideWhenUsed/>
    <w:qFormat/>
    <w:rsid w:val="008A00DB"/>
    <w:pPr>
      <w:keepNext/>
      <w:keepLines/>
      <w:outlineLvl w:val="1"/>
    </w:pPr>
    <w:rPr>
      <w:b/>
      <w:bCs/>
    </w:rPr>
  </w:style>
  <w:style w:type="paragraph" w:styleId="Heading3">
    <w:name w:val="heading 3"/>
    <w:basedOn w:val="Normal"/>
    <w:next w:val="Normal"/>
    <w:link w:val="Heading3Char"/>
    <w:uiPriority w:val="9"/>
    <w:semiHidden/>
    <w:unhideWhenUsed/>
    <w:qFormat/>
    <w:rsid w:val="00B7235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7235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7235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7235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0DB"/>
    <w:rPr>
      <w:rFonts w:ascii="Calibri" w:eastAsia="Calibri" w:hAnsi="Calibri" w:cs="Calibri"/>
      <w:b/>
      <w:bCs/>
      <w:sz w:val="28"/>
      <w:szCs w:val="28"/>
      <w:lang w:val="en-GB"/>
    </w:rPr>
  </w:style>
  <w:style w:type="character" w:customStyle="1" w:styleId="Heading2Char">
    <w:name w:val="Heading 2 Char"/>
    <w:basedOn w:val="DefaultParagraphFont"/>
    <w:link w:val="Heading2"/>
    <w:uiPriority w:val="9"/>
    <w:rsid w:val="008A00DB"/>
    <w:rPr>
      <w:rFonts w:ascii="Calibri" w:eastAsia="Calibri" w:hAnsi="Calibri" w:cs="Calibri"/>
      <w:b/>
      <w:bCs/>
      <w:sz w:val="24"/>
      <w:szCs w:val="24"/>
      <w:lang w:val="en-GB"/>
    </w:rPr>
  </w:style>
  <w:style w:type="character" w:customStyle="1" w:styleId="Heading3Char">
    <w:name w:val="Heading 3 Char"/>
    <w:basedOn w:val="DefaultParagraphFont"/>
    <w:link w:val="Heading3"/>
    <w:uiPriority w:val="9"/>
    <w:semiHidden/>
    <w:rsid w:val="00B72356"/>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B72356"/>
    <w:rPr>
      <w:rFonts w:asciiTheme="majorHAnsi" w:eastAsiaTheme="majorEastAsia" w:hAnsiTheme="majorHAnsi" w:cstheme="majorBidi"/>
      <w:i/>
      <w:iCs/>
      <w:color w:val="2F5496" w:themeColor="accent1" w:themeShade="BF"/>
      <w:sz w:val="24"/>
      <w:szCs w:val="24"/>
      <w:lang w:val="en-GB"/>
    </w:rPr>
  </w:style>
  <w:style w:type="character" w:customStyle="1" w:styleId="Heading5Char">
    <w:name w:val="Heading 5 Char"/>
    <w:basedOn w:val="DefaultParagraphFont"/>
    <w:link w:val="Heading5"/>
    <w:uiPriority w:val="9"/>
    <w:semiHidden/>
    <w:rsid w:val="00B72356"/>
    <w:rPr>
      <w:rFonts w:asciiTheme="majorHAnsi" w:eastAsiaTheme="majorEastAsia" w:hAnsiTheme="majorHAnsi" w:cstheme="majorBidi"/>
      <w:color w:val="2F5496" w:themeColor="accent1" w:themeShade="BF"/>
      <w:sz w:val="24"/>
      <w:szCs w:val="24"/>
      <w:lang w:val="en-GB"/>
    </w:rPr>
  </w:style>
  <w:style w:type="character" w:customStyle="1" w:styleId="Heading6Char">
    <w:name w:val="Heading 6 Char"/>
    <w:basedOn w:val="DefaultParagraphFont"/>
    <w:link w:val="Heading6"/>
    <w:uiPriority w:val="9"/>
    <w:semiHidden/>
    <w:rsid w:val="00B72356"/>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B72356"/>
    <w:pPr>
      <w:spacing w:after="100"/>
    </w:pPr>
  </w:style>
  <w:style w:type="paragraph" w:styleId="TOC2">
    <w:name w:val="toc 2"/>
    <w:basedOn w:val="Normal"/>
    <w:next w:val="Normal"/>
    <w:autoRedefine/>
    <w:uiPriority w:val="39"/>
    <w:unhideWhenUsed/>
    <w:rsid w:val="00B72356"/>
    <w:pPr>
      <w:spacing w:after="100"/>
      <w:ind w:left="240"/>
    </w:pPr>
  </w:style>
  <w:style w:type="character" w:styleId="Hyperlink">
    <w:name w:val="Hyperlink"/>
    <w:basedOn w:val="DefaultParagraphFont"/>
    <w:uiPriority w:val="99"/>
    <w:unhideWhenUsed/>
    <w:rsid w:val="00B72356"/>
    <w:rPr>
      <w:color w:val="0563C1" w:themeColor="hyperlink"/>
      <w:u w:val="single"/>
    </w:rPr>
  </w:style>
  <w:style w:type="paragraph" w:styleId="Header">
    <w:name w:val="header"/>
    <w:basedOn w:val="Normal"/>
    <w:link w:val="HeaderChar"/>
    <w:uiPriority w:val="99"/>
    <w:unhideWhenUsed/>
    <w:rsid w:val="0099291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92911"/>
    <w:rPr>
      <w:rFonts w:ascii="Calibri" w:eastAsia="Calibri" w:hAnsi="Calibri" w:cs="Calibri"/>
      <w:sz w:val="24"/>
      <w:szCs w:val="24"/>
      <w:lang w:val="en-GB"/>
    </w:rPr>
  </w:style>
  <w:style w:type="paragraph" w:styleId="Footer">
    <w:name w:val="footer"/>
    <w:basedOn w:val="Normal"/>
    <w:link w:val="FooterChar"/>
    <w:uiPriority w:val="99"/>
    <w:unhideWhenUsed/>
    <w:rsid w:val="0099291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92911"/>
    <w:rPr>
      <w:rFonts w:ascii="Calibri" w:eastAsia="Calibri" w:hAnsi="Calibri" w:cs="Calibri"/>
      <w:sz w:val="24"/>
      <w:szCs w:val="24"/>
      <w:lang w:val="en-GB"/>
    </w:rPr>
  </w:style>
  <w:style w:type="paragraph" w:styleId="Title">
    <w:name w:val="Title"/>
    <w:basedOn w:val="Normal"/>
    <w:next w:val="Normal"/>
    <w:link w:val="TitleChar"/>
    <w:uiPriority w:val="10"/>
    <w:qFormat/>
    <w:rsid w:val="004849FC"/>
    <w:pPr>
      <w:keepNext/>
      <w:keepLines/>
      <w:spacing w:before="0" w:after="60"/>
    </w:pPr>
    <w:rPr>
      <w:rFonts w:ascii="Arial" w:eastAsia="Arial" w:hAnsi="Arial" w:cs="Arial"/>
      <w:sz w:val="52"/>
      <w:szCs w:val="52"/>
      <w:lang w:eastAsia="en-GB"/>
    </w:rPr>
  </w:style>
  <w:style w:type="character" w:customStyle="1" w:styleId="TitleChar">
    <w:name w:val="Title Char"/>
    <w:basedOn w:val="DefaultParagraphFont"/>
    <w:link w:val="Title"/>
    <w:uiPriority w:val="10"/>
    <w:rsid w:val="004849FC"/>
    <w:rPr>
      <w:rFonts w:ascii="Arial" w:eastAsia="Arial" w:hAnsi="Arial" w:cs="Arial"/>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920-022-01400-w" TargetMode="External"/><Relationship Id="rId13" Type="http://schemas.openxmlformats.org/officeDocument/2006/relationships/hyperlink" Target="https://doi.org/10.34172/ijhpm.8424"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7861/futurehosp.3-2-114" TargetMode="External"/><Relationship Id="rId12" Type="http://schemas.openxmlformats.org/officeDocument/2006/relationships/hyperlink" Target="https://doi.org/10.1186/s12913-023-09718-8" TargetMode="External"/><Relationship Id="rId17" Type="http://schemas.openxmlformats.org/officeDocument/2006/relationships/hyperlink" Target="https://doi.org/10.1097/yco.0000000000000351" TargetMode="External"/><Relationship Id="rId2" Type="http://schemas.openxmlformats.org/officeDocument/2006/relationships/settings" Target="settings.xml"/><Relationship Id="rId16" Type="http://schemas.openxmlformats.org/officeDocument/2006/relationships/hyperlink" Target="https://doi.org/10.1016/j.jbusres.2022.01.05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ssmhs.2025.100118" TargetMode="External"/><Relationship Id="rId5" Type="http://schemas.openxmlformats.org/officeDocument/2006/relationships/endnotes" Target="endnotes.xml"/><Relationship Id="rId15" Type="http://schemas.openxmlformats.org/officeDocument/2006/relationships/hyperlink" Target="https://doi.org/10.3310/wvvl4786" TargetMode="External"/><Relationship Id="rId10" Type="http://schemas.openxmlformats.org/officeDocument/2006/relationships/hyperlink" Target="https://doi.org/10.1016/j.socscimed.2021.114511"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77/13558196251349398" TargetMode="External"/><Relationship Id="rId14" Type="http://schemas.openxmlformats.org/officeDocument/2006/relationships/hyperlink" Target="https://doi.org/10.1787/d837a06a-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4253</Words>
  <Characters>24247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A0dmin</cp:lastModifiedBy>
  <cp:revision>2</cp:revision>
  <dcterms:created xsi:type="dcterms:W3CDTF">2026-04-17T17:51:00Z</dcterms:created>
  <dcterms:modified xsi:type="dcterms:W3CDTF">2026-04-17T17:51:00Z</dcterms:modified>
</cp:coreProperties>
</file>