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834A5" w14:textId="30258018" w:rsidR="000356D1" w:rsidRDefault="00DB35AD">
      <w:r>
        <w:t xml:space="preserve">Reference list (reading on the </w:t>
      </w:r>
      <w:proofErr w:type="spellStart"/>
      <w:r>
        <w:t>moodle</w:t>
      </w:r>
      <w:proofErr w:type="spellEnd"/>
      <w:r>
        <w:t xml:space="preserve"> page)</w:t>
      </w:r>
    </w:p>
    <w:p w14:paraId="7FD02A88" w14:textId="6FFC97D8" w:rsidR="00DB35AD" w:rsidRDefault="00DB35AD"/>
    <w:p w14:paraId="504A05C7" w14:textId="77777777" w:rsidR="00DB35AD" w:rsidRPr="00B23B84" w:rsidRDefault="00DB35AD" w:rsidP="00DB35AD">
      <w:pPr>
        <w:spacing w:line="480" w:lineRule="auto"/>
        <w:ind w:left="284" w:right="-52" w:hanging="284"/>
        <w:rPr>
          <w:rFonts w:cstheme="minorHAnsi"/>
          <w:color w:val="000000" w:themeColor="text1"/>
          <w:sz w:val="22"/>
          <w:szCs w:val="22"/>
        </w:rPr>
      </w:pPr>
      <w:r w:rsidRPr="00B23B84">
        <w:rPr>
          <w:rFonts w:cstheme="minorHAnsi"/>
          <w:color w:val="000000" w:themeColor="text1"/>
          <w:sz w:val="22"/>
          <w:szCs w:val="22"/>
          <w:shd w:val="clear" w:color="auto" w:fill="FFFFFF"/>
        </w:rPr>
        <w:t>Ayres, A. J., &amp; Robbins, J. (2005).</w:t>
      </w:r>
      <w:r w:rsidRPr="00B23B84">
        <w:rPr>
          <w:rStyle w:val="apple-converted-space"/>
          <w:rFonts w:cstheme="minorHAnsi"/>
          <w:color w:val="000000" w:themeColor="text1"/>
          <w:sz w:val="22"/>
          <w:szCs w:val="22"/>
          <w:shd w:val="clear" w:color="auto" w:fill="FFFFFF"/>
        </w:rPr>
        <w:t> </w:t>
      </w:r>
      <w:r w:rsidRPr="00B23B84">
        <w:rPr>
          <w:rFonts w:cstheme="minorHAnsi"/>
          <w:i/>
          <w:iCs/>
          <w:color w:val="000000" w:themeColor="text1"/>
          <w:sz w:val="22"/>
          <w:szCs w:val="22"/>
        </w:rPr>
        <w:t>Sensory integration and the child: Understanding hidden sensory challenges</w:t>
      </w:r>
      <w:r w:rsidRPr="00B23B84">
        <w:rPr>
          <w:rFonts w:cstheme="minorHAnsi"/>
          <w:color w:val="000000" w:themeColor="text1"/>
          <w:sz w:val="22"/>
          <w:szCs w:val="22"/>
          <w:shd w:val="clear" w:color="auto" w:fill="FFFFFF"/>
        </w:rPr>
        <w:t>. Western Psychological Services.</w:t>
      </w:r>
    </w:p>
    <w:p w14:paraId="39F1F2A3" w14:textId="77777777" w:rsidR="00DB35AD" w:rsidRPr="00B23B84" w:rsidRDefault="00DB35AD" w:rsidP="00DB35AD">
      <w:pPr>
        <w:spacing w:line="480" w:lineRule="auto"/>
        <w:ind w:left="284" w:right="-52" w:hanging="284"/>
        <w:rPr>
          <w:rFonts w:cstheme="minorHAnsi"/>
          <w:color w:val="000000" w:themeColor="text1"/>
          <w:sz w:val="22"/>
          <w:szCs w:val="22"/>
        </w:rPr>
      </w:pPr>
      <w:r w:rsidRPr="00B23B84">
        <w:rPr>
          <w:rFonts w:cstheme="minorHAnsi"/>
          <w:color w:val="000000" w:themeColor="text1"/>
          <w:sz w:val="22"/>
          <w:szCs w:val="22"/>
          <w:shd w:val="clear" w:color="auto" w:fill="FFFFFF"/>
        </w:rPr>
        <w:t>Clark, J. E., &amp; Metcalfe, J. S. (2002). The mountain of motor development: A metaphor.</w:t>
      </w:r>
      <w:r w:rsidRPr="00B23B84">
        <w:rPr>
          <w:rStyle w:val="apple-converted-space"/>
          <w:rFonts w:cstheme="minorHAnsi"/>
          <w:color w:val="000000" w:themeColor="text1"/>
          <w:sz w:val="22"/>
          <w:szCs w:val="22"/>
          <w:shd w:val="clear" w:color="auto" w:fill="FFFFFF"/>
        </w:rPr>
        <w:t> </w:t>
      </w:r>
      <w:r w:rsidRPr="00B23B84">
        <w:rPr>
          <w:rFonts w:cstheme="minorHAnsi"/>
          <w:i/>
          <w:iCs/>
          <w:color w:val="000000" w:themeColor="text1"/>
          <w:sz w:val="22"/>
          <w:szCs w:val="22"/>
        </w:rPr>
        <w:t>Motor development: Research and reviews</w:t>
      </w:r>
      <w:r w:rsidRPr="00B23B84">
        <w:rPr>
          <w:rFonts w:cstheme="minorHAnsi"/>
          <w:color w:val="000000" w:themeColor="text1"/>
          <w:sz w:val="22"/>
          <w:szCs w:val="22"/>
          <w:shd w:val="clear" w:color="auto" w:fill="FFFFFF"/>
        </w:rPr>
        <w:t>,</w:t>
      </w:r>
      <w:r w:rsidRPr="00B23B84">
        <w:rPr>
          <w:rStyle w:val="apple-converted-space"/>
          <w:rFonts w:cstheme="minorHAnsi"/>
          <w:color w:val="000000" w:themeColor="text1"/>
          <w:sz w:val="22"/>
          <w:szCs w:val="22"/>
          <w:shd w:val="clear" w:color="auto" w:fill="FFFFFF"/>
        </w:rPr>
        <w:t> </w:t>
      </w:r>
      <w:r w:rsidRPr="00B23B84">
        <w:rPr>
          <w:rFonts w:cstheme="minorHAnsi"/>
          <w:i/>
          <w:iCs/>
          <w:color w:val="000000" w:themeColor="text1"/>
          <w:sz w:val="22"/>
          <w:szCs w:val="22"/>
        </w:rPr>
        <w:t>2</w:t>
      </w:r>
      <w:r w:rsidRPr="00B23B84">
        <w:rPr>
          <w:rFonts w:cstheme="minorHAnsi"/>
          <w:color w:val="000000" w:themeColor="text1"/>
          <w:sz w:val="22"/>
          <w:szCs w:val="22"/>
          <w:shd w:val="clear" w:color="auto" w:fill="FFFFFF"/>
        </w:rPr>
        <w:t>(163-190), 183-202.</w:t>
      </w:r>
    </w:p>
    <w:p w14:paraId="5382F5F7" w14:textId="77777777" w:rsidR="00DB35AD" w:rsidRPr="00B23B84" w:rsidRDefault="00DB35AD" w:rsidP="00DB35AD">
      <w:pPr>
        <w:spacing w:line="480" w:lineRule="auto"/>
        <w:ind w:left="284" w:right="-52" w:hanging="284"/>
        <w:rPr>
          <w:rFonts w:eastAsiaTheme="minorEastAsia" w:cstheme="minorHAnsi"/>
          <w:color w:val="000000" w:themeColor="text1"/>
          <w:sz w:val="22"/>
          <w:szCs w:val="22"/>
        </w:rPr>
      </w:pPr>
      <w:proofErr w:type="spellStart"/>
      <w:r w:rsidRPr="00B23B84">
        <w:rPr>
          <w:rFonts w:eastAsiaTheme="minorEastAsia" w:cstheme="minorHAnsi"/>
          <w:color w:val="000000" w:themeColor="text1"/>
          <w:sz w:val="22"/>
          <w:szCs w:val="22"/>
        </w:rPr>
        <w:t>Gallahue</w:t>
      </w:r>
      <w:proofErr w:type="spellEnd"/>
      <w:r w:rsidRPr="00B23B84">
        <w:rPr>
          <w:rFonts w:eastAsiaTheme="minorEastAsia" w:cstheme="minorHAnsi"/>
          <w:color w:val="000000" w:themeColor="text1"/>
          <w:sz w:val="22"/>
          <w:szCs w:val="22"/>
        </w:rPr>
        <w:t xml:space="preserve">, D., Ozmun, J. and Goodway, J. (2012). Understanding motor development: Infants, children, adolescents, adults. 7th ed. New York: McGraw Hill Higher Education. </w:t>
      </w:r>
    </w:p>
    <w:p w14:paraId="68C1AB8F" w14:textId="77777777" w:rsidR="00DB35AD" w:rsidRPr="00B23B84" w:rsidRDefault="00DB35AD" w:rsidP="00DB35AD">
      <w:pPr>
        <w:spacing w:line="480" w:lineRule="auto"/>
        <w:ind w:left="284" w:right="-52" w:hanging="284"/>
        <w:rPr>
          <w:rFonts w:eastAsiaTheme="minorEastAsia" w:cstheme="minorHAnsi"/>
          <w:color w:val="000000" w:themeColor="text1"/>
          <w:sz w:val="22"/>
          <w:szCs w:val="22"/>
        </w:rPr>
      </w:pPr>
      <w:r w:rsidRPr="00B23B84">
        <w:rPr>
          <w:rFonts w:eastAsiaTheme="minorEastAsia" w:cstheme="minorHAnsi"/>
          <w:color w:val="000000" w:themeColor="text1"/>
          <w:sz w:val="22"/>
          <w:szCs w:val="22"/>
        </w:rPr>
        <w:t>Goodway, J.D. &amp; Branta, C.F. (2003). ‘Influence of a motor skill intervention on fundamental motor skill development of disadvantaged preschool children’, </w:t>
      </w:r>
      <w:r w:rsidRPr="00B23B84">
        <w:rPr>
          <w:rFonts w:eastAsiaTheme="minorEastAsia" w:cstheme="minorHAnsi"/>
          <w:i/>
          <w:iCs/>
          <w:color w:val="000000" w:themeColor="text1"/>
          <w:sz w:val="22"/>
          <w:szCs w:val="22"/>
        </w:rPr>
        <w:t>Research Quarterly for Exercise and Sport, </w:t>
      </w:r>
      <w:r w:rsidRPr="00B23B84">
        <w:rPr>
          <w:rFonts w:eastAsiaTheme="minorEastAsia" w:cstheme="minorHAnsi"/>
          <w:color w:val="000000" w:themeColor="text1"/>
          <w:sz w:val="22"/>
          <w:szCs w:val="22"/>
        </w:rPr>
        <w:t>74(1), 36-46.  </w:t>
      </w:r>
    </w:p>
    <w:p w14:paraId="68DF8E33" w14:textId="2261E2FE" w:rsidR="00DB35AD" w:rsidRDefault="00DB35AD" w:rsidP="00DB35AD">
      <w:pPr>
        <w:spacing w:line="480" w:lineRule="auto"/>
        <w:ind w:left="284" w:right="-52" w:hanging="284"/>
        <w:rPr>
          <w:rFonts w:cstheme="minorHAnsi"/>
          <w:color w:val="000000" w:themeColor="text1"/>
          <w:sz w:val="22"/>
          <w:szCs w:val="22"/>
        </w:rPr>
      </w:pPr>
      <w:r w:rsidRPr="00B23B84">
        <w:rPr>
          <w:rFonts w:cstheme="minorHAnsi"/>
          <w:color w:val="000000" w:themeColor="text1"/>
          <w:sz w:val="22"/>
          <w:szCs w:val="22"/>
        </w:rPr>
        <w:t xml:space="preserve">Goodway, J.D., Crowe, H. &amp; Ward, P. (2003). ‘Effects of Motor Skill Instruction of Fundamental Motor Skill Development’, </w:t>
      </w:r>
      <w:r w:rsidRPr="00B23B84">
        <w:rPr>
          <w:rFonts w:cstheme="minorHAnsi"/>
          <w:i/>
          <w:color w:val="000000" w:themeColor="text1"/>
          <w:sz w:val="22"/>
          <w:szCs w:val="22"/>
        </w:rPr>
        <w:t>Adapted Physical Activity Quarterly</w:t>
      </w:r>
      <w:r w:rsidRPr="00B23B84">
        <w:rPr>
          <w:rFonts w:cstheme="minorHAnsi"/>
          <w:color w:val="000000" w:themeColor="text1"/>
          <w:sz w:val="22"/>
          <w:szCs w:val="22"/>
        </w:rPr>
        <w:t xml:space="preserve">, 20(3), pp. 298-314. </w:t>
      </w:r>
    </w:p>
    <w:p w14:paraId="204E0144" w14:textId="104E78CD" w:rsidR="00DB35AD" w:rsidRPr="00DB35AD" w:rsidRDefault="00DB35AD" w:rsidP="00DB35AD">
      <w:pPr>
        <w:spacing w:line="480" w:lineRule="auto"/>
        <w:ind w:left="284" w:hanging="284"/>
        <w:rPr>
          <w:rFonts w:cstheme="minorHAnsi"/>
          <w:color w:val="000000" w:themeColor="text1"/>
          <w:sz w:val="22"/>
          <w:szCs w:val="22"/>
          <w:shd w:val="clear" w:color="auto" w:fill="FFFFFF"/>
        </w:rPr>
      </w:pPr>
      <w:r w:rsidRPr="002B787D">
        <w:rPr>
          <w:rFonts w:cstheme="minorHAnsi"/>
          <w:color w:val="000000" w:themeColor="text1"/>
          <w:sz w:val="22"/>
          <w:szCs w:val="22"/>
          <w:shd w:val="clear" w:color="auto" w:fill="FFFFFF"/>
        </w:rPr>
        <w:t>Haywood, K. M., &amp; Getchell, N. (2019). </w:t>
      </w:r>
      <w:r w:rsidRPr="002B787D">
        <w:rPr>
          <w:rFonts w:cstheme="minorHAnsi"/>
          <w:i/>
          <w:iCs/>
          <w:color w:val="000000" w:themeColor="text1"/>
          <w:sz w:val="22"/>
          <w:szCs w:val="22"/>
        </w:rPr>
        <w:t>Life span motor development</w:t>
      </w:r>
      <w:r w:rsidRPr="002B787D">
        <w:rPr>
          <w:rFonts w:cstheme="minorHAnsi"/>
          <w:color w:val="000000" w:themeColor="text1"/>
          <w:sz w:val="22"/>
          <w:szCs w:val="22"/>
          <w:shd w:val="clear" w:color="auto" w:fill="FFFFFF"/>
        </w:rPr>
        <w:t>. Human kinetics.</w:t>
      </w:r>
    </w:p>
    <w:p w14:paraId="6DCD03B3" w14:textId="77777777" w:rsidR="00DB35AD" w:rsidRPr="00B23B84" w:rsidRDefault="00DB35AD" w:rsidP="00DB35AD">
      <w:pPr>
        <w:spacing w:line="480" w:lineRule="auto"/>
        <w:ind w:left="284" w:right="-52" w:hanging="284"/>
        <w:rPr>
          <w:rFonts w:cstheme="minorHAnsi"/>
          <w:color w:val="000000" w:themeColor="text1"/>
          <w:sz w:val="22"/>
          <w:szCs w:val="22"/>
        </w:rPr>
      </w:pPr>
      <w:proofErr w:type="spellStart"/>
      <w:r w:rsidRPr="00B23B84">
        <w:rPr>
          <w:rFonts w:cstheme="minorHAnsi"/>
          <w:color w:val="000000" w:themeColor="text1"/>
          <w:sz w:val="22"/>
          <w:szCs w:val="22"/>
          <w:shd w:val="clear" w:color="auto" w:fill="FFFFFF"/>
        </w:rPr>
        <w:t>Seefeldt</w:t>
      </w:r>
      <w:proofErr w:type="spellEnd"/>
      <w:r w:rsidRPr="00B23B84">
        <w:rPr>
          <w:rFonts w:cstheme="minorHAnsi"/>
          <w:color w:val="000000" w:themeColor="text1"/>
          <w:sz w:val="22"/>
          <w:szCs w:val="22"/>
          <w:shd w:val="clear" w:color="auto" w:fill="FFFFFF"/>
        </w:rPr>
        <w:t>, V. (1980). Developmental motor patterns: Implications for elementary school physical education. </w:t>
      </w:r>
      <w:r w:rsidRPr="00B23B84">
        <w:rPr>
          <w:rFonts w:cstheme="minorHAnsi"/>
          <w:i/>
          <w:iCs/>
          <w:color w:val="000000" w:themeColor="text1"/>
          <w:sz w:val="22"/>
          <w:szCs w:val="22"/>
        </w:rPr>
        <w:t xml:space="preserve">Psychology of motor </w:t>
      </w:r>
      <w:proofErr w:type="spellStart"/>
      <w:r w:rsidRPr="00B23B84">
        <w:rPr>
          <w:rFonts w:cstheme="minorHAnsi"/>
          <w:i/>
          <w:iCs/>
          <w:color w:val="000000" w:themeColor="text1"/>
          <w:sz w:val="22"/>
          <w:szCs w:val="22"/>
        </w:rPr>
        <w:t>behavior</w:t>
      </w:r>
      <w:proofErr w:type="spellEnd"/>
      <w:r w:rsidRPr="00B23B84">
        <w:rPr>
          <w:rFonts w:cstheme="minorHAnsi"/>
          <w:i/>
          <w:iCs/>
          <w:color w:val="000000" w:themeColor="text1"/>
          <w:sz w:val="22"/>
          <w:szCs w:val="22"/>
        </w:rPr>
        <w:t xml:space="preserve"> and sport</w:t>
      </w:r>
      <w:r w:rsidRPr="00B23B84">
        <w:rPr>
          <w:rFonts w:cstheme="minorHAnsi"/>
          <w:color w:val="000000" w:themeColor="text1"/>
          <w:sz w:val="22"/>
          <w:szCs w:val="22"/>
          <w:shd w:val="clear" w:color="auto" w:fill="FFFFFF"/>
        </w:rPr>
        <w:t>, </w:t>
      </w:r>
      <w:r w:rsidRPr="00B23B84">
        <w:rPr>
          <w:rFonts w:cstheme="minorHAnsi"/>
          <w:i/>
          <w:iCs/>
          <w:color w:val="000000" w:themeColor="text1"/>
          <w:sz w:val="22"/>
          <w:szCs w:val="22"/>
        </w:rPr>
        <w:t>36</w:t>
      </w:r>
      <w:r w:rsidRPr="00B23B84">
        <w:rPr>
          <w:rFonts w:cstheme="minorHAnsi"/>
          <w:color w:val="000000" w:themeColor="text1"/>
          <w:sz w:val="22"/>
          <w:szCs w:val="22"/>
          <w:shd w:val="clear" w:color="auto" w:fill="FFFFFF"/>
        </w:rPr>
        <w:t>(6), 314-323.</w:t>
      </w:r>
    </w:p>
    <w:p w14:paraId="30BD0338" w14:textId="77777777" w:rsidR="00DB35AD" w:rsidRPr="00B23B84" w:rsidRDefault="00DB35AD" w:rsidP="00DB35AD">
      <w:pPr>
        <w:spacing w:line="480" w:lineRule="auto"/>
        <w:ind w:left="284" w:right="-52" w:hanging="284"/>
        <w:rPr>
          <w:rFonts w:cstheme="minorHAnsi"/>
          <w:color w:val="000000" w:themeColor="text1"/>
          <w:sz w:val="22"/>
          <w:szCs w:val="22"/>
        </w:rPr>
      </w:pPr>
      <w:proofErr w:type="spellStart"/>
      <w:r w:rsidRPr="00B23B84">
        <w:rPr>
          <w:rFonts w:cstheme="minorHAnsi"/>
          <w:color w:val="000000" w:themeColor="text1"/>
          <w:sz w:val="22"/>
          <w:szCs w:val="22"/>
          <w:shd w:val="clear" w:color="auto" w:fill="FFFFFF"/>
        </w:rPr>
        <w:t>Stodden</w:t>
      </w:r>
      <w:proofErr w:type="spellEnd"/>
      <w:r w:rsidRPr="00B23B84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, D. F., Goodway, J. D., </w:t>
      </w:r>
      <w:proofErr w:type="spellStart"/>
      <w:r w:rsidRPr="00B23B84">
        <w:rPr>
          <w:rFonts w:cstheme="minorHAnsi"/>
          <w:color w:val="000000" w:themeColor="text1"/>
          <w:sz w:val="22"/>
          <w:szCs w:val="22"/>
          <w:shd w:val="clear" w:color="auto" w:fill="FFFFFF"/>
        </w:rPr>
        <w:t>Langendorfer</w:t>
      </w:r>
      <w:proofErr w:type="spellEnd"/>
      <w:r w:rsidRPr="00B23B84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, S. J., </w:t>
      </w:r>
      <w:proofErr w:type="spellStart"/>
      <w:r w:rsidRPr="00B23B84">
        <w:rPr>
          <w:rFonts w:cstheme="minorHAnsi"/>
          <w:color w:val="000000" w:themeColor="text1"/>
          <w:sz w:val="22"/>
          <w:szCs w:val="22"/>
          <w:shd w:val="clear" w:color="auto" w:fill="FFFFFF"/>
        </w:rPr>
        <w:t>Roberton</w:t>
      </w:r>
      <w:proofErr w:type="spellEnd"/>
      <w:r w:rsidRPr="00B23B84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, M. A., </w:t>
      </w:r>
      <w:proofErr w:type="spellStart"/>
      <w:r w:rsidRPr="00B23B84">
        <w:rPr>
          <w:rFonts w:cstheme="minorHAnsi"/>
          <w:color w:val="000000" w:themeColor="text1"/>
          <w:sz w:val="22"/>
          <w:szCs w:val="22"/>
          <w:shd w:val="clear" w:color="auto" w:fill="FFFFFF"/>
        </w:rPr>
        <w:t>Rudisill</w:t>
      </w:r>
      <w:proofErr w:type="spellEnd"/>
      <w:r w:rsidRPr="00B23B84">
        <w:rPr>
          <w:rFonts w:cstheme="minorHAnsi"/>
          <w:color w:val="000000" w:themeColor="text1"/>
          <w:sz w:val="22"/>
          <w:szCs w:val="22"/>
          <w:shd w:val="clear" w:color="auto" w:fill="FFFFFF"/>
        </w:rPr>
        <w:t>, M. E., Garcia, C., &amp; Garcia, L. E. (2008). A developmental perspective on the role of motor skill competence in physical activity: An emergent relationship. </w:t>
      </w:r>
      <w:r w:rsidRPr="00B23B84">
        <w:rPr>
          <w:rFonts w:cstheme="minorHAnsi"/>
          <w:i/>
          <w:iCs/>
          <w:color w:val="000000" w:themeColor="text1"/>
          <w:sz w:val="22"/>
          <w:szCs w:val="22"/>
        </w:rPr>
        <w:t>Quest</w:t>
      </w:r>
      <w:r w:rsidRPr="00B23B84">
        <w:rPr>
          <w:rFonts w:cstheme="minorHAnsi"/>
          <w:color w:val="000000" w:themeColor="text1"/>
          <w:sz w:val="22"/>
          <w:szCs w:val="22"/>
          <w:shd w:val="clear" w:color="auto" w:fill="FFFFFF"/>
        </w:rPr>
        <w:t>, </w:t>
      </w:r>
      <w:r w:rsidRPr="00B23B84">
        <w:rPr>
          <w:rFonts w:cstheme="minorHAnsi"/>
          <w:i/>
          <w:iCs/>
          <w:color w:val="000000" w:themeColor="text1"/>
          <w:sz w:val="22"/>
          <w:szCs w:val="22"/>
        </w:rPr>
        <w:t>60</w:t>
      </w:r>
      <w:r w:rsidRPr="00B23B84">
        <w:rPr>
          <w:rFonts w:cstheme="minorHAnsi"/>
          <w:color w:val="000000" w:themeColor="text1"/>
          <w:sz w:val="22"/>
          <w:szCs w:val="22"/>
          <w:shd w:val="clear" w:color="auto" w:fill="FFFFFF"/>
        </w:rPr>
        <w:t>(2), 290-306.</w:t>
      </w:r>
    </w:p>
    <w:p w14:paraId="485A1DCC" w14:textId="2D7D108A" w:rsidR="00DB35AD" w:rsidRDefault="00DB35AD"/>
    <w:p w14:paraId="31F03D39" w14:textId="054E8680" w:rsidR="00DB35AD" w:rsidRDefault="00DB35AD">
      <w:r>
        <w:t xml:space="preserve">Please add any additional references </w:t>
      </w:r>
    </w:p>
    <w:sectPr w:rsidR="00DB35AD" w:rsidSect="007B62C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5AD"/>
    <w:rsid w:val="0002307E"/>
    <w:rsid w:val="00083C58"/>
    <w:rsid w:val="00225D1B"/>
    <w:rsid w:val="002B787D"/>
    <w:rsid w:val="007518BC"/>
    <w:rsid w:val="007B62CF"/>
    <w:rsid w:val="00931940"/>
    <w:rsid w:val="00993933"/>
    <w:rsid w:val="009D1CD8"/>
    <w:rsid w:val="00A00423"/>
    <w:rsid w:val="00C13D32"/>
    <w:rsid w:val="00DB35AD"/>
    <w:rsid w:val="00DB74CA"/>
    <w:rsid w:val="00E07678"/>
    <w:rsid w:val="00E775AD"/>
    <w:rsid w:val="00F46230"/>
    <w:rsid w:val="00F7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0A0140"/>
  <w15:chartTrackingRefBased/>
  <w15:docId w15:val="{B34BCD47-BCCD-2947-896E-B5B0B0D22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B35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Ann John (0501153)</dc:creator>
  <cp:keywords/>
  <dc:description/>
  <cp:lastModifiedBy>Amanda Ann John (0501153)</cp:lastModifiedBy>
  <cp:revision>2</cp:revision>
  <dcterms:created xsi:type="dcterms:W3CDTF">2021-11-01T10:21:00Z</dcterms:created>
  <dcterms:modified xsi:type="dcterms:W3CDTF">2021-11-01T10:42:00Z</dcterms:modified>
</cp:coreProperties>
</file>