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4EE362" w14:textId="77777777" w:rsidR="00AE4687" w:rsidRDefault="00AE4687">
      <w:pPr>
        <w:spacing w:line="360" w:lineRule="auto"/>
        <w:rPr>
          <w:rFonts w:ascii="Times New Roman" w:eastAsia="Times New Roman" w:hAnsi="Times New Roman" w:cs="Times New Roman"/>
          <w:b/>
          <w:sz w:val="32"/>
          <w:szCs w:val="32"/>
        </w:rPr>
      </w:pPr>
    </w:p>
    <w:p w14:paraId="7F760A8D" w14:textId="77777777" w:rsidR="00EE1540" w:rsidRDefault="00EE1540">
      <w:pPr>
        <w:spacing w:line="360" w:lineRule="auto"/>
        <w:jc w:val="center"/>
        <w:rPr>
          <w:rFonts w:ascii="Times New Roman" w:eastAsia="Times New Roman" w:hAnsi="Times New Roman" w:cs="Times New Roman"/>
          <w:b/>
          <w:sz w:val="32"/>
          <w:szCs w:val="32"/>
        </w:rPr>
      </w:pPr>
    </w:p>
    <w:p w14:paraId="6E7FCF43" w14:textId="77777777" w:rsidR="00EE1540" w:rsidRDefault="00EE1540">
      <w:pPr>
        <w:spacing w:line="360" w:lineRule="auto"/>
        <w:jc w:val="center"/>
        <w:rPr>
          <w:rFonts w:ascii="Times New Roman" w:eastAsia="Times New Roman" w:hAnsi="Times New Roman" w:cs="Times New Roman"/>
          <w:b/>
          <w:sz w:val="32"/>
          <w:szCs w:val="32"/>
        </w:rPr>
      </w:pPr>
    </w:p>
    <w:p w14:paraId="383F29E9" w14:textId="77777777" w:rsidR="00EE1540" w:rsidRDefault="00EE1540">
      <w:pPr>
        <w:spacing w:line="360" w:lineRule="auto"/>
        <w:jc w:val="center"/>
        <w:rPr>
          <w:rFonts w:ascii="Times New Roman" w:eastAsia="Times New Roman" w:hAnsi="Times New Roman" w:cs="Times New Roman"/>
          <w:b/>
          <w:sz w:val="32"/>
          <w:szCs w:val="32"/>
        </w:rPr>
      </w:pPr>
    </w:p>
    <w:p w14:paraId="6A37B120" w14:textId="77777777" w:rsidR="00EE1540" w:rsidRDefault="00EE1540">
      <w:pPr>
        <w:spacing w:line="360" w:lineRule="auto"/>
        <w:jc w:val="center"/>
        <w:rPr>
          <w:rFonts w:ascii="Times New Roman" w:eastAsia="Times New Roman" w:hAnsi="Times New Roman" w:cs="Times New Roman"/>
          <w:b/>
          <w:sz w:val="32"/>
          <w:szCs w:val="32"/>
        </w:rPr>
      </w:pPr>
    </w:p>
    <w:p w14:paraId="7592FE86" w14:textId="77777777" w:rsidR="00EE1540" w:rsidRDefault="00EE1540">
      <w:pPr>
        <w:spacing w:line="360" w:lineRule="auto"/>
        <w:jc w:val="center"/>
        <w:rPr>
          <w:rFonts w:ascii="Times New Roman" w:eastAsia="Times New Roman" w:hAnsi="Times New Roman" w:cs="Times New Roman"/>
          <w:b/>
          <w:sz w:val="32"/>
          <w:szCs w:val="32"/>
        </w:rPr>
      </w:pPr>
    </w:p>
    <w:p w14:paraId="233B5C15" w14:textId="77777777" w:rsidR="00EE1540" w:rsidRDefault="00EE1540">
      <w:pPr>
        <w:spacing w:line="360" w:lineRule="auto"/>
        <w:jc w:val="center"/>
        <w:rPr>
          <w:rFonts w:ascii="Times New Roman" w:eastAsia="Times New Roman" w:hAnsi="Times New Roman" w:cs="Times New Roman"/>
          <w:b/>
          <w:sz w:val="32"/>
          <w:szCs w:val="32"/>
        </w:rPr>
      </w:pPr>
    </w:p>
    <w:p w14:paraId="37485FC8" w14:textId="77777777" w:rsidR="00EE1540" w:rsidRDefault="00EE1540">
      <w:pPr>
        <w:spacing w:line="360" w:lineRule="auto"/>
        <w:jc w:val="center"/>
        <w:rPr>
          <w:rFonts w:ascii="Times New Roman" w:eastAsia="Times New Roman" w:hAnsi="Times New Roman" w:cs="Times New Roman"/>
          <w:b/>
          <w:sz w:val="32"/>
          <w:szCs w:val="32"/>
        </w:rPr>
      </w:pPr>
    </w:p>
    <w:p w14:paraId="6E8F4070" w14:textId="77777777" w:rsidR="00AE4687" w:rsidRDefault="004609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1</w:t>
      </w:r>
    </w:p>
    <w:p w14:paraId="492F3539" w14:textId="548F0D6F" w:rsidR="00E22785" w:rsidRDefault="00E2278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International Business Communications </w:t>
      </w:r>
    </w:p>
    <w:p w14:paraId="397F759E" w14:textId="5A5738AE" w:rsidR="003B48A2" w:rsidRDefault="002B5F6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w:t>
      </w:r>
      <w:r w:rsidR="003B48A2">
        <w:rPr>
          <w:rFonts w:ascii="Times New Roman" w:eastAsia="Times New Roman" w:hAnsi="Times New Roman" w:cs="Times New Roman"/>
          <w:b/>
          <w:sz w:val="32"/>
          <w:szCs w:val="32"/>
        </w:rPr>
        <w:t>CBB6001</w:t>
      </w:r>
    </w:p>
    <w:p w14:paraId="08A7FF27" w14:textId="77777777" w:rsidR="00AE4687" w:rsidRDefault="004609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Coursework: Written Essay</w:t>
      </w:r>
    </w:p>
    <w:p w14:paraId="2FF43563" w14:textId="7DFA724C"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116A84">
        <w:rPr>
          <w:rFonts w:ascii="Times New Roman" w:eastAsia="Times New Roman" w:hAnsi="Times New Roman" w:cs="Times New Roman"/>
          <w:sz w:val="24"/>
          <w:szCs w:val="24"/>
        </w:rPr>
        <w:t xml:space="preserve"> Elena -Mihaela Bucur </w:t>
      </w:r>
    </w:p>
    <w:p w14:paraId="46B0F5F9" w14:textId="132EA4FE"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116A84">
        <w:rPr>
          <w:rFonts w:ascii="Times New Roman" w:eastAsia="Times New Roman" w:hAnsi="Times New Roman" w:cs="Times New Roman"/>
          <w:sz w:val="24"/>
          <w:szCs w:val="24"/>
        </w:rPr>
        <w:t>2133670</w:t>
      </w:r>
    </w:p>
    <w:p w14:paraId="6C29115D" w14:textId="07052DA0" w:rsidR="00AE4687" w:rsidRDefault="004609CE" w:rsidP="00B050A3">
      <w:pPr>
        <w:spacing w:line="360" w:lineRule="auto"/>
        <w:jc w:val="center"/>
      </w:pPr>
      <w:r>
        <w:br w:type="page"/>
      </w:r>
    </w:p>
    <w:p w14:paraId="7E8C1BC9" w14:textId="77777777" w:rsidR="00AE4687" w:rsidRDefault="004609CE">
      <w:pPr>
        <w:pStyle w:val="Heading1"/>
      </w:pPr>
      <w:bookmarkStart w:id="0" w:name="_Toc172667319"/>
      <w:r>
        <w:t>1.0 Introduction of British Business Communications</w:t>
      </w:r>
      <w:bookmarkEnd w:id="0"/>
    </w:p>
    <w:p w14:paraId="6012E9B9"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exception of the fact that it occurs across cultures, International Business Communication is the same as ordinary Business Communication. Cultural standards and expectations, however, might differ substantially from one nation to another, making this a potentially difficult task (Szkudlarek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Language obstacles, diverse business procedures, and the usage of technology may all add to the difficulty of International Communication. International business transactions might be challenging, but they are not insurmountable with proper preparation, professional training, and an awareness of the fundamentals of cross-cultural communication.</w:t>
      </w:r>
    </w:p>
    <w:p w14:paraId="509D5A36"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Stronger connections and better customer service are two outcomes that may result from effective international business communication. The customer-company link is strengthened and trust is built when businesses are able to interact successfully with their consumers. More sales and word-of-mouth advertising may follow (Shenkar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Lessening the likelihood of misunderstandings and conflicts requires open and honest communication on a global scale. Clear and consistent communication is essential to avoid workplace turmoil and dissatisfaction. </w:t>
      </w:r>
    </w:p>
    <w:p w14:paraId="3F9ABB0F"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international business, several companies face production challenges in different countries. For example,  Nigeria also has issues with insufficient funding, significant post-harvest losses, restricted access to markets, low technology, and high production costs and input distribution (Fao, 2021). According to a statement from Nigerian Breweries Plc, two of Nigeria's nine breweries would be temporarily closed (</w:t>
      </w:r>
      <w:hyperlink r:id="rId6">
        <w:r>
          <w:rPr>
            <w:rFonts w:ascii="Times New Roman" w:eastAsia="Times New Roman" w:hAnsi="Times New Roman" w:cs="Times New Roman"/>
            <w:sz w:val="24"/>
            <w:szCs w:val="24"/>
          </w:rPr>
          <w:t>Adebayo</w:t>
        </w:r>
      </w:hyperlink>
      <w:r>
        <w:rPr>
          <w:rFonts w:ascii="Times New Roman" w:eastAsia="Times New Roman" w:hAnsi="Times New Roman" w:cs="Times New Roman"/>
          <w:sz w:val="24"/>
          <w:szCs w:val="24"/>
        </w:rPr>
        <w:t>, 2024). There has been a minor worsening of material shortages in German industry. An increase from 12.5% in January to 14.6% in February was the percentage of businesses reporting shortages (IFO, 2024). These are the results of the most recent survey conducted by the IFO Institute.</w:t>
      </w:r>
    </w:p>
    <w:p w14:paraId="2E070871" w14:textId="77777777" w:rsidR="00AE4687" w:rsidRDefault="004609CE">
      <w:pPr>
        <w:pStyle w:val="Heading1"/>
        <w:jc w:val="both"/>
      </w:pPr>
      <w:bookmarkStart w:id="1" w:name="_Toc172667320"/>
      <w:r>
        <w:t>2.0 Background of Greggs and Netherlands</w:t>
      </w:r>
      <w:bookmarkEnd w:id="1"/>
      <w:r>
        <w:t xml:space="preserve"> </w:t>
      </w:r>
    </w:p>
    <w:p w14:paraId="5EDB904B"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Greggs plc is a network of bakeries in Britain. Both sweet and savoury foods, such sausage buns, sandwiches and bakes, as well as doughnuts and vanilla slices, are its forte. The company belong to the food industry. The annual revenue of the company is £1,809.6 million (2023) in 2023 (Greggs, 2024). The company has 21,500 employees in 2023  (Greggs, 2024). Sales in the UK for Greggs increased by 19.6 per cent in the fiscal year ending in 2023 (Statista, 2024). Greggs, meanwhile, made over 1.81 billion GBP in sales in 2023 (Statista, 2024).</w:t>
      </w:r>
    </w:p>
    <w:p w14:paraId="283B84C2"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C06129B" wp14:editId="4004B30E">
            <wp:extent cx="4995863" cy="3178431"/>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995863" cy="3178431"/>
                    </a:xfrm>
                    <a:prstGeom prst="rect">
                      <a:avLst/>
                    </a:prstGeom>
                    <a:ln w="25400">
                      <a:solidFill>
                        <a:srgbClr val="000000"/>
                      </a:solidFill>
                      <a:prstDash val="solid"/>
                    </a:ln>
                  </pic:spPr>
                </pic:pic>
              </a:graphicData>
            </a:graphic>
          </wp:inline>
        </w:drawing>
      </w:r>
    </w:p>
    <w:p w14:paraId="0E60D574"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1: Greggs sales growth in the UK 2006-2023</w:t>
      </w:r>
    </w:p>
    <w:p w14:paraId="33E987DA"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210D7F54"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West European neighbours Germany and Belgium form a little triangle with the diminutive Netherlands in the middle. The Netherlands are constantly being battered by the North Sea, which is situated to the north and west of the country  (Howen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This is the outcome of meticulous water management practices that began in the Middle Ages.</w:t>
      </w:r>
    </w:p>
    <w:p w14:paraId="1DDA77C9"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Worldometer's analysis of the most recent statistics from the United Nations, the population of the Netherlands is 17,674,370 as of Tuesday, July 23, 2024 (Worldometers, 2024).</w:t>
      </w:r>
    </w:p>
    <w:p w14:paraId="61320B52"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55E566" wp14:editId="6D4E2E34">
            <wp:extent cx="3709988" cy="354901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709988" cy="3549017"/>
                    </a:xfrm>
                    <a:prstGeom prst="rect">
                      <a:avLst/>
                    </a:prstGeom>
                    <a:ln w="25400">
                      <a:solidFill>
                        <a:srgbClr val="000000"/>
                      </a:solidFill>
                      <a:prstDash val="solid"/>
                    </a:ln>
                  </pic:spPr>
                </pic:pic>
              </a:graphicData>
            </a:graphic>
          </wp:inline>
        </w:drawing>
      </w:r>
    </w:p>
    <w:p w14:paraId="57E9368F"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Total population of the Netherlands</w:t>
      </w:r>
    </w:p>
    <w:p w14:paraId="28DEE9C3"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Worldometers, 2024)</w:t>
      </w:r>
    </w:p>
    <w:p w14:paraId="0ABAA134"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diversity of the Netherlands is a result of both internal variations across Dutch regions and the foreign influences that have been assimilated by the Dutch people over many centuries of trade and exploration (</w:t>
      </w:r>
      <w:r>
        <w:rPr>
          <w:color w:val="222222"/>
          <w:sz w:val="20"/>
          <w:szCs w:val="20"/>
          <w:highlight w:val="white"/>
        </w:rPr>
        <w:t>Harteveld, 2021</w:t>
      </w:r>
      <w:r>
        <w:rPr>
          <w:rFonts w:ascii="Times New Roman" w:eastAsia="Times New Roman" w:hAnsi="Times New Roman" w:cs="Times New Roman"/>
          <w:sz w:val="24"/>
          <w:szCs w:val="24"/>
        </w:rPr>
        <w:t>). Cultural liberalism and tolerance have always been essential tenets of Dutch society.</w:t>
      </w:r>
    </w:p>
    <w:p w14:paraId="34C706AE"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Dutch, sometimes known as </w:t>
      </w:r>
      <w:r w:rsidR="00AC6D30">
        <w:rPr>
          <w:rFonts w:ascii="Times New Roman" w:eastAsia="Times New Roman" w:hAnsi="Times New Roman" w:cs="Times New Roman"/>
          <w:sz w:val="24"/>
          <w:szCs w:val="24"/>
        </w:rPr>
        <w:t>Netherlandish</w:t>
      </w:r>
      <w:r>
        <w:rPr>
          <w:rFonts w:ascii="Times New Roman" w:eastAsia="Times New Roman" w:hAnsi="Times New Roman" w:cs="Times New Roman"/>
          <w:sz w:val="24"/>
          <w:szCs w:val="24"/>
        </w:rPr>
        <w:t xml:space="preserve">, is the official language of the Netherlands and a subset of Germanic languages spoken in northern Belgium (where it is known as Flemish) (Britannica, 2024). South Africa's national language, Afrikaans, is a Dutch dialect spoken by Dutch and Zeeland immigrants in the 17th century (Britannica, 2024). </w:t>
      </w:r>
    </w:p>
    <w:p w14:paraId="5258234B"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4F6AE9" wp14:editId="60C56DBF">
            <wp:extent cx="4408147" cy="2789874"/>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08147" cy="2789874"/>
                    </a:xfrm>
                    <a:prstGeom prst="rect">
                      <a:avLst/>
                    </a:prstGeom>
                    <a:ln w="25400">
                      <a:solidFill>
                        <a:srgbClr val="000000"/>
                      </a:solidFill>
                      <a:prstDash val="solid"/>
                    </a:ln>
                  </pic:spPr>
                </pic:pic>
              </a:graphicData>
            </a:graphic>
          </wp:inline>
        </w:drawing>
      </w:r>
    </w:p>
    <w:p w14:paraId="1A4EC52C"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Gross domestic product (GDP) growth rate in the Netherlands 2029</w:t>
      </w:r>
    </w:p>
    <w:p w14:paraId="5AEEE30D"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O'Neill, 2024)</w:t>
      </w:r>
    </w:p>
    <w:p w14:paraId="19896129"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forecasted growth rate for the real gross domestic product (GDP) of the Netherlands was one percentage point from 2024 to 2029. Notably in 2028 and 2029, this general growth does not occur continually. In 2029, the projected increase is 1.63 per cent (O'Neill, 2024). </w:t>
      </w:r>
    </w:p>
    <w:p w14:paraId="466129E7"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Dutch economy grew by 4.5% in 2022, building on a 4.9% increase in 2021; this was the first time the nation saw such expansion in this century (Trade, 2024). There was a record-breaking uptick in the paid employment of people of working age, with 441,000 new jobs generated, mostly due to higher family spending and greater hours worked (Trade, 2024). </w:t>
      </w:r>
    </w:p>
    <w:p w14:paraId="18914BC0"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tiny nation, the Netherlands has a robust information and communication technology industry. Over 82,000 businesses made up the Netherlands' information and communication technology industry in the last quarter of 2022 (Trade, 2024). With a growth rate of 4.3% over the last decade, information and communication technology (ICT) businesses make up 4.3% of all Dutch enterprises  (Trade, 2024). Of the 17.6 million people living in the Netherlands, 13.2 million are considered to be in the 15–75 age bracket (Eures, 2023). It was 73% in 2022 for the net employment rate, which is defined as the percentage of the population that was employed as a percentage of the population aged 15–75 (Eures, 2023). In June 2024, the seasonally adjusted unemployment rate in the Netherlands remained unchanged at 3.6% (Tradingeconomics, 2024). </w:t>
      </w:r>
    </w:p>
    <w:p w14:paraId="1913CD82"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1101108" wp14:editId="306A0ED0">
            <wp:extent cx="5310188" cy="2496317"/>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310188" cy="2496317"/>
                    </a:xfrm>
                    <a:prstGeom prst="rect">
                      <a:avLst/>
                    </a:prstGeom>
                    <a:ln w="25400">
                      <a:solidFill>
                        <a:srgbClr val="000000"/>
                      </a:solidFill>
                      <a:prstDash val="solid"/>
                    </a:ln>
                  </pic:spPr>
                </pic:pic>
              </a:graphicData>
            </a:graphic>
          </wp:inline>
        </w:drawing>
      </w:r>
    </w:p>
    <w:p w14:paraId="27BFB604"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Unemployment rate in the Netherlands </w:t>
      </w:r>
    </w:p>
    <w:p w14:paraId="00B67D5E"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Tradingeconomics, 2024)</w:t>
      </w:r>
    </w:p>
    <w:p w14:paraId="73F41E51" w14:textId="77777777" w:rsidR="00AE4687" w:rsidRDefault="004609CE">
      <w:pPr>
        <w:pStyle w:val="Heading1"/>
      </w:pPr>
      <w:bookmarkStart w:id="2" w:name="_Toc172667321"/>
      <w:r>
        <w:t>3.0  Evaluation of UK and Netherlands by Using Hofstede Cultural Dimension</w:t>
      </w:r>
      <w:bookmarkEnd w:id="2"/>
    </w:p>
    <w:p w14:paraId="773BF8D8" w14:textId="77777777" w:rsidR="00AE4687" w:rsidRDefault="005A57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Hofstede’s</w:t>
      </w:r>
      <w:r w:rsidR="004609CE">
        <w:rPr>
          <w:rFonts w:ascii="Times New Roman" w:eastAsia="Times New Roman" w:hAnsi="Times New Roman" w:cs="Times New Roman"/>
          <w:sz w:val="24"/>
          <w:szCs w:val="24"/>
        </w:rPr>
        <w:t xml:space="preserve"> cultural dimension theory is a framework used for understanding cultural differences across different countries besides demonstrating the way that business is done across different cultures (Corporate Finance Institute, 2024). In this essay an evaluation of different cultural dimensions of Netherlands and the UK is explored by using Hofstede’s cultural dimension framework.  </w:t>
      </w:r>
    </w:p>
    <w:p w14:paraId="52C65F98" w14:textId="77777777" w:rsidR="00AE4687" w:rsidRDefault="004609CE" w:rsidP="00EE1ED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C71029" wp14:editId="42C3E37D">
            <wp:extent cx="5272088" cy="277177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272088" cy="2771775"/>
                    </a:xfrm>
                    <a:prstGeom prst="rect">
                      <a:avLst/>
                    </a:prstGeom>
                    <a:ln w="25400">
                      <a:solidFill>
                        <a:srgbClr val="000000"/>
                      </a:solidFill>
                      <a:prstDash val="solid"/>
                    </a:ln>
                  </pic:spPr>
                </pic:pic>
              </a:graphicData>
            </a:graphic>
          </wp:inline>
        </w:drawing>
      </w:r>
    </w:p>
    <w:p w14:paraId="1F4E1E11"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D8152C">
        <w:rPr>
          <w:rFonts w:ascii="Times New Roman" w:eastAsia="Times New Roman" w:hAnsi="Times New Roman" w:cs="Times New Roman"/>
          <w:b/>
          <w:sz w:val="24"/>
          <w:szCs w:val="24"/>
        </w:rPr>
        <w:t>5</w:t>
      </w:r>
      <w:r>
        <w:rPr>
          <w:rFonts w:ascii="Times New Roman" w:eastAsia="Times New Roman" w:hAnsi="Times New Roman" w:cs="Times New Roman"/>
          <w:b/>
          <w:sz w:val="24"/>
          <w:szCs w:val="24"/>
        </w:rPr>
        <w:t>: Hofstede’s Cultural Dimension</w:t>
      </w:r>
    </w:p>
    <w:p w14:paraId="12E42F78"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Author)</w:t>
      </w:r>
    </w:p>
    <w:p w14:paraId="56FDD866"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Hofstede's cultural dimension comparison between Netherlands and the UK, the Individualism is seems higher in the Netherlands with 100% appearance, which indicates a strong presence of individualistic society that emphasising on personal achievements and rights besides prioritising the needs of oneself (Hofstede-insights, 2024). On the other hand, the UK’s rating for Individualism is lower with a percentage of 76, which indicates a moderate presence of individualism and a partial appearance of Collectivism. Collectivism in a society demonstrates the presence of the goals and well-being of </w:t>
      </w:r>
      <w:r w:rsidR="00AC6D30">
        <w:rPr>
          <w:rFonts w:ascii="Times New Roman" w:eastAsia="Times New Roman" w:hAnsi="Times New Roman" w:cs="Times New Roman"/>
          <w:sz w:val="24"/>
          <w:szCs w:val="24"/>
        </w:rPr>
        <w:t>groups. Collectivism</w:t>
      </w:r>
      <w:r>
        <w:rPr>
          <w:rFonts w:ascii="Times New Roman" w:eastAsia="Times New Roman" w:hAnsi="Times New Roman" w:cs="Times New Roman"/>
          <w:sz w:val="24"/>
          <w:szCs w:val="24"/>
        </w:rPr>
        <w:t xml:space="preserve"> refers to greater prioritisation of relationship and loyalty than that of the individualistic society (Corporate Finance Institute, 2024).</w:t>
      </w:r>
    </w:p>
    <w:p w14:paraId="636397AC"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index of Long Term Orientation, Netherlands achieves a rate of 67%, whereas, the UK scores 60%. A higher presence of long term orientation indicates societies to prioritise future outcomes by postponing immediate success for establishing achievement over long-term (Hofstede-insights, 2024). On the other hand, the short-term orientation focuses on immediate success, rather than thinking about future success. Sustained growth and adaptability is noticed in the achievements of the Netherlands, which emphasizes the importance of future success of a business (Corporate Finance Institute, 2024). As the UK deals with  short-term achievements, present success is mostly noticed in this country by avoiding the concept of savings for  sustained growth. Long-term orientations are better for gaining success in business achievements by prioritising the presence of savings and adaptability, which takes center stage in the footsteps of  the businessperson of the Netherlands. </w:t>
      </w:r>
    </w:p>
    <w:p w14:paraId="7EBE7A6C"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Uncertainty Avoidance, the Netherlands scores with 53, which indicates a lower tolerance of risk-taking, uncertainty and ambiguity (Hofstede-insights, 2024). On the other hand, less presence of Uncertainty Avoidance is noticed in  the UK with a percentage of 35, which indicates a high tolerance of ambiguity and uncertainties. A country with a low presence of uncertainty avoidance index, easy regulations and rules and open acceptance for the unknown (Corporate Finance Institute, 2024). This results in a more corrupted atmosphere at the workplaces of the UK, as compared to that of Netherlands, which clarifies a differentiated outlook of the employees in both countries (Hofstede-insights, 2024). </w:t>
      </w:r>
    </w:p>
    <w:p w14:paraId="6C6B7260" w14:textId="77777777" w:rsidR="00AE4687" w:rsidRDefault="004609CE">
      <w:pPr>
        <w:pStyle w:val="Heading1"/>
      </w:pPr>
      <w:bookmarkStart w:id="3" w:name="_Toc172667322"/>
      <w:r>
        <w:t>4.0 The communication barriers the British business could experience</w:t>
      </w:r>
      <w:bookmarkEnd w:id="3"/>
    </w:p>
    <w:p w14:paraId="710FB15A"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Networking is one of the important aspects in the exploration of a business. Networking provides opportunities and wealth of resources, which is </w:t>
      </w:r>
      <w:r w:rsidR="00AC6D30">
        <w:rPr>
          <w:rFonts w:ascii="Times New Roman" w:eastAsia="Times New Roman" w:hAnsi="Times New Roman" w:cs="Times New Roman"/>
          <w:sz w:val="24"/>
          <w:szCs w:val="24"/>
        </w:rPr>
        <w:t>unavailable</w:t>
      </w:r>
      <w:r>
        <w:rPr>
          <w:rFonts w:ascii="Times New Roman" w:eastAsia="Times New Roman" w:hAnsi="Times New Roman" w:cs="Times New Roman"/>
          <w:sz w:val="24"/>
          <w:szCs w:val="24"/>
        </w:rPr>
        <w:t xml:space="preserve"> in other  expanding strategies (</w:t>
      </w:r>
      <w:r>
        <w:rPr>
          <w:rFonts w:ascii="Times New Roman" w:eastAsia="Times New Roman" w:hAnsi="Times New Roman" w:cs="Times New Roman"/>
          <w:color w:val="222222"/>
          <w:sz w:val="24"/>
          <w:szCs w:val="24"/>
          <w:highlight w:val="white"/>
        </w:rPr>
        <w:t xml:space="preserve">Tajeddini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leaders of the  business industry by connecting witty other businesses and potential investors, can discover new markets besides maintaining strategic partnership and funding sources. Knowledge sharing and learning is another valuable aspect of networking (</w:t>
      </w:r>
      <w:r>
        <w:rPr>
          <w:rFonts w:ascii="Times New Roman" w:eastAsia="Times New Roman" w:hAnsi="Times New Roman" w:cs="Times New Roman"/>
          <w:color w:val="222222"/>
          <w:sz w:val="24"/>
          <w:szCs w:val="24"/>
          <w:highlight w:val="white"/>
        </w:rPr>
        <w:t xml:space="preserve">Xiao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Businesses are allowed to get information about trending technologies and best practices by connecting toward peers. Language is another form of networking, through which businesses can explore in other states and foreign countries. A strong availability of language networking helps businesses to build credibility and trust by associating with reputable partners (</w:t>
      </w:r>
      <w:r>
        <w:rPr>
          <w:rFonts w:ascii="Times New Roman" w:eastAsia="Times New Roman" w:hAnsi="Times New Roman" w:cs="Times New Roman"/>
          <w:color w:val="222222"/>
          <w:sz w:val="24"/>
          <w:szCs w:val="24"/>
          <w:highlight w:val="white"/>
        </w:rPr>
        <w:t xml:space="preserve">Tajeddini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Language helps businesses to understand cultural nuances, consumer preferences and market dynamics. Local languages are the best connection method of adopting marketing and communicating strategies and through this market penetration and consumer trust is increased (</w:t>
      </w:r>
      <w:r>
        <w:rPr>
          <w:rFonts w:ascii="Times New Roman" w:eastAsia="Times New Roman" w:hAnsi="Times New Roman" w:cs="Times New Roman"/>
          <w:color w:val="222222"/>
          <w:sz w:val="24"/>
          <w:szCs w:val="24"/>
          <w:highlight w:val="white"/>
        </w:rPr>
        <w:t xml:space="preserve">Xiao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To train employees in a business operation, local language plays an important role besides sharing knowledge within the organisation. To provide efficient customer care services, language proficiency plays an important role to solve issues and queries of the customers to lead higher customer satisfaction (</w:t>
      </w:r>
      <w:r>
        <w:rPr>
          <w:rFonts w:ascii="Times New Roman" w:eastAsia="Times New Roman" w:hAnsi="Times New Roman" w:cs="Times New Roman"/>
          <w:color w:val="222222"/>
          <w:sz w:val="24"/>
          <w:szCs w:val="24"/>
          <w:highlight w:val="white"/>
        </w:rPr>
        <w:t>Di Vaio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To draft contracts and agreements, language proficiency plays a crucial role by avoiding uncertainties and ensuring a clear understanding about rights and obligations to the partners.  </w:t>
      </w:r>
    </w:p>
    <w:p w14:paraId="0213B9DE"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exploring a business in the Netherlands, a British Business could face several communication barriers such as language differences, cultural </w:t>
      </w:r>
      <w:r w:rsidR="00AC6D30">
        <w:rPr>
          <w:rFonts w:ascii="Times New Roman" w:eastAsia="Times New Roman" w:hAnsi="Times New Roman" w:cs="Times New Roman"/>
          <w:sz w:val="24"/>
          <w:szCs w:val="24"/>
        </w:rPr>
        <w:t>differences, lack</w:t>
      </w:r>
      <w:r>
        <w:rPr>
          <w:rFonts w:ascii="Times New Roman" w:eastAsia="Times New Roman" w:hAnsi="Times New Roman" w:cs="Times New Roman"/>
          <w:sz w:val="24"/>
          <w:szCs w:val="24"/>
        </w:rPr>
        <w:t xml:space="preserve"> of clarity, failing to listen, poorly managed channels, not adapting to the audience and inconsistent messaging (</w:t>
      </w:r>
      <w:r>
        <w:rPr>
          <w:rFonts w:ascii="Times New Roman" w:eastAsia="Times New Roman" w:hAnsi="Times New Roman" w:cs="Times New Roman"/>
          <w:color w:val="222222"/>
          <w:sz w:val="24"/>
          <w:szCs w:val="24"/>
          <w:highlight w:val="white"/>
        </w:rPr>
        <w:t>Selmer, 2020)</w:t>
      </w:r>
      <w:r>
        <w:rPr>
          <w:rFonts w:ascii="Times New Roman" w:eastAsia="Times New Roman" w:hAnsi="Times New Roman" w:cs="Times New Roman"/>
          <w:sz w:val="24"/>
          <w:szCs w:val="24"/>
        </w:rPr>
        <w:t xml:space="preserve">. </w:t>
      </w:r>
    </w:p>
    <w:p w14:paraId="49CE29FA" w14:textId="77777777" w:rsidR="00AE4687" w:rsidRDefault="004609CE">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Lack of Clarity</w:t>
      </w:r>
    </w:p>
    <w:p w14:paraId="052D3BBC"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top barriers to effective business communication is lack of clarity. Misunderstanding, frustration and even conflict can be led with an unclear communication. Dutch is the prime language of the Netherlands, though English is spoken globally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In Netherlands those who do not understand a clear conversation in English, seems difficult to get proper messages from a businessperson from the UK. in some aspects, Dutch businesses prefer to negotiate and conduct meetings in native languages, a challenges may be arise for an English businessperson to attend formal and informal meeting with the other business persons, white exploring the business in Netherlands (</w:t>
      </w:r>
      <w:r>
        <w:rPr>
          <w:rFonts w:ascii="Times New Roman" w:eastAsia="Times New Roman" w:hAnsi="Times New Roman" w:cs="Times New Roman"/>
          <w:color w:val="222222"/>
          <w:sz w:val="24"/>
          <w:szCs w:val="24"/>
          <w:highlight w:val="white"/>
        </w:rPr>
        <w:t>Kalogiannidis, 2020)</w:t>
      </w:r>
      <w:r>
        <w:rPr>
          <w:rFonts w:ascii="Times New Roman" w:eastAsia="Times New Roman" w:hAnsi="Times New Roman" w:cs="Times New Roman"/>
          <w:sz w:val="24"/>
          <w:szCs w:val="24"/>
        </w:rPr>
        <w:t xml:space="preserve">. </w:t>
      </w:r>
    </w:p>
    <w:p w14:paraId="33595298" w14:textId="77777777" w:rsidR="00AE4687" w:rsidRDefault="004609C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Failing to Listen</w:t>
      </w:r>
    </w:p>
    <w:p w14:paraId="04C26D03"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another challenge that an English business person may face while expanding a business in the Netherlands. Due to the limited knowledge in the local language, a business person in the Netherlands may avoid an important conversation from a local of the Netherlands, which harms the loyalty of the business besides a decreasing rate of consumer trust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xml:space="preserve">. Dutch people prefer direct communication style, which can create a negative impact on an English business person, who use to prefer a polite and indirect approach of conversation especially in business aspects. </w:t>
      </w:r>
    </w:p>
    <w:p w14:paraId="31DCACC3" w14:textId="77777777" w:rsidR="00AE4687" w:rsidRDefault="004609C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Poorly Managed Communication Channels</w:t>
      </w:r>
    </w:p>
    <w:p w14:paraId="79DC6FCE"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Poorly managed channels can negatively impact an effective business communication and while expansion of a business in Nigeria, poorly managed channels can  lead to a number of problems such as decreased productivity, misunderstanding and confusion among employees, coordination problems in different departments of a business and an insufficient use of company resources  (</w:t>
      </w:r>
      <w:r>
        <w:rPr>
          <w:rFonts w:ascii="Times New Roman" w:eastAsia="Times New Roman" w:hAnsi="Times New Roman" w:cs="Times New Roman"/>
          <w:color w:val="222222"/>
          <w:sz w:val="24"/>
          <w:szCs w:val="24"/>
          <w:highlight w:val="white"/>
        </w:rPr>
        <w:t>Kalogiannidis, 2020)</w:t>
      </w:r>
      <w:r>
        <w:rPr>
          <w:rFonts w:ascii="Times New Roman" w:eastAsia="Times New Roman" w:hAnsi="Times New Roman" w:cs="Times New Roman"/>
          <w:sz w:val="24"/>
          <w:szCs w:val="24"/>
        </w:rPr>
        <w:t>. In expanding a business in the Netherlands, a business person from the UK can face several problems with poorly managed communication channels due to coordination issues, damaged relationships with the customers, partners and suppliers, and resulting in a disrupting supply chain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xml:space="preserve">. Compliance and legal issues can also occur with the expansion of business to the Netherlands, because of the regulatory misunderstanding and  documentation errors. </w:t>
      </w:r>
    </w:p>
    <w:p w14:paraId="18BA302B" w14:textId="77777777" w:rsidR="00AE4687" w:rsidRDefault="004609CE">
      <w:pPr>
        <w:pStyle w:val="Heading1"/>
      </w:pPr>
      <w:bookmarkStart w:id="4" w:name="_Toc172667323"/>
      <w:r>
        <w:t>5.0 Appropriate recommendation for Expanding in Netherland Market</w:t>
      </w:r>
      <w:bookmarkEnd w:id="4"/>
    </w:p>
    <w:p w14:paraId="39D69E8A"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expand in the Netherlands, a British business person must conduct a market research before entering into the marketing of the Netherlands. To expand in the Netherland market, the prior step must be to introduce legal and regulatory compliance, as every different country has different regulatory concepts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The Netherland Authority of Consumer Markets is the prime authority to regulate business operations of the country. As the Netherlands is an attractive location for incorporating an entity, it deals with competitive tax rates and the business person while entering the Netherlands market must be aware of tax payment strategies and the benefits of paying taxes.</w:t>
      </w:r>
    </w:p>
    <w:p w14:paraId="798CE175"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recommendation is to have a clear knowledge about local language and local culture. A wide knowledge about local culture can serve a better advancement to the foreign business person who aims to expand the business in the Netherlands. A clear knowledge about different marketing strategies with online and traditional methods</w:t>
      </w:r>
      <w:r w:rsidR="00AC6D30">
        <w:rPr>
          <w:rFonts w:ascii="Times New Roman" w:eastAsia="Times New Roman" w:hAnsi="Times New Roman" w:cs="Times New Roman"/>
          <w:sz w:val="24"/>
          <w:szCs w:val="24"/>
        </w:rPr>
        <w:t xml:space="preserve"> c</w:t>
      </w:r>
      <w:r>
        <w:rPr>
          <w:rFonts w:ascii="Times New Roman" w:eastAsia="Times New Roman" w:hAnsi="Times New Roman" w:cs="Times New Roman"/>
          <w:sz w:val="24"/>
          <w:szCs w:val="24"/>
        </w:rPr>
        <w:t>an serve a better reach of the new business to the targeted customers in the Netherlands (</w:t>
      </w:r>
      <w:r>
        <w:rPr>
          <w:rFonts w:ascii="Times New Roman" w:eastAsia="Times New Roman" w:hAnsi="Times New Roman" w:cs="Times New Roman"/>
          <w:color w:val="222222"/>
          <w:sz w:val="24"/>
          <w:szCs w:val="24"/>
          <w:highlight w:val="white"/>
        </w:rPr>
        <w:t>Di Vaio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For exploring via traditional methods, the business must be explored with bannering, discounting strategies and in stall promotions. For online promotions, the foreign businessmen must be aware about the social media platforms that most of the people of Netherlands use for connecting with the world. The interests and preferences of the locals must be known to the business person besides a brief knowledge about the avoidable and unpleasant situations of the natives. </w:t>
      </w:r>
    </w:p>
    <w:p w14:paraId="2CB230BA"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to explore the Netherland market, a foreign businessman must be accustomed with the preferences and dislikes of the people in the Netherlands. Resilience and innovation is another aspect that a foreign businessman must follow to expand in Netherland markets (</w:t>
      </w:r>
      <w:r>
        <w:rPr>
          <w:rFonts w:ascii="Times New Roman" w:eastAsia="Times New Roman" w:hAnsi="Times New Roman" w:cs="Times New Roman"/>
          <w:color w:val="222222"/>
          <w:sz w:val="24"/>
          <w:szCs w:val="24"/>
          <w:highlight w:val="white"/>
        </w:rPr>
        <w:t>Kalogiannidis, 2020)</w:t>
      </w:r>
      <w:r>
        <w:rPr>
          <w:rFonts w:ascii="Times New Roman" w:eastAsia="Times New Roman" w:hAnsi="Times New Roman" w:cs="Times New Roman"/>
          <w:sz w:val="24"/>
          <w:szCs w:val="24"/>
        </w:rPr>
        <w:t>. Through innovation, the businessman can attract the modern peoples of Netherlands and a prioritisation of tech savvy instruments and methods, can attract more customers from the target market (</w:t>
      </w:r>
      <w:r>
        <w:rPr>
          <w:rFonts w:ascii="Times New Roman" w:eastAsia="Times New Roman" w:hAnsi="Times New Roman" w:cs="Times New Roman"/>
          <w:color w:val="222222"/>
          <w:sz w:val="24"/>
          <w:szCs w:val="24"/>
          <w:highlight w:val="white"/>
        </w:rPr>
        <w:t>Di Vaio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Thus, by privileging the rules and regulations, likings and </w:t>
      </w:r>
      <w:r w:rsidR="00AC6D30">
        <w:rPr>
          <w:rFonts w:ascii="Times New Roman" w:eastAsia="Times New Roman" w:hAnsi="Times New Roman" w:cs="Times New Roman"/>
          <w:sz w:val="24"/>
          <w:szCs w:val="24"/>
        </w:rPr>
        <w:t>disliking</w:t>
      </w:r>
      <w:r>
        <w:rPr>
          <w:rFonts w:ascii="Times New Roman" w:eastAsia="Times New Roman" w:hAnsi="Times New Roman" w:cs="Times New Roman"/>
          <w:sz w:val="24"/>
          <w:szCs w:val="24"/>
        </w:rPr>
        <w:t xml:space="preserve"> of the natives of Netherlands besides connecting them through social platforms of the country, can serve a broad advancement to the foreign businessperson, while exploring business to the Netherland market. </w:t>
      </w:r>
    </w:p>
    <w:p w14:paraId="4B0426B6" w14:textId="77777777" w:rsidR="00AE4687" w:rsidRDefault="004609CE">
      <w:pPr>
        <w:pStyle w:val="Heading1"/>
      </w:pPr>
      <w:bookmarkStart w:id="5" w:name="_Toc172667324"/>
      <w:r>
        <w:t>6.0 Conclusion</w:t>
      </w:r>
      <w:bookmarkEnd w:id="5"/>
    </w:p>
    <w:p w14:paraId="794DF778"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report highlighted the Greggs company’s entry strategy for the Netherlands, it is a UK  chain company. In this report the business communication mix for achieving better customer service by Greggs for expanding its business in the Netherlands. For expand its business in the new country few significant challenges were also faced by this company such as post-harvest losses, restricted access to markets, low technology, and high production costs and input distribution. In the first section, a brief information about the company was given in which the market size and GDP growth of this country were shown highlighting the potential growth of the company. Furthermore in the second section country comparison between the UK and Netherlands with the help of the Hofstede Cultural Dimension. The importance of the network and highlighted networking for expanding the business in the Netherlands managing effective partnerships as well as understanding the cultural and customer preferences. Moreover, in this report, the different challenges that were assumed to be faced by the company were communication for the EU company and appropriate recommendations to mitigate the situation for the company. </w:t>
      </w:r>
    </w:p>
    <w:p w14:paraId="3F1BB140" w14:textId="77777777" w:rsidR="00AE4687" w:rsidRDefault="00AE4687">
      <w:pPr>
        <w:spacing w:line="360" w:lineRule="auto"/>
        <w:jc w:val="both"/>
        <w:rPr>
          <w:rFonts w:ascii="Times New Roman" w:eastAsia="Times New Roman" w:hAnsi="Times New Roman" w:cs="Times New Roman"/>
          <w:sz w:val="24"/>
          <w:szCs w:val="24"/>
        </w:rPr>
      </w:pPr>
    </w:p>
    <w:p w14:paraId="246BCB6E" w14:textId="77777777" w:rsidR="00AE4687" w:rsidRDefault="004609CE">
      <w:pPr>
        <w:pStyle w:val="Heading1"/>
      </w:pPr>
      <w:bookmarkStart w:id="6" w:name="_lbzz2dihogmt" w:colFirst="0" w:colLast="0"/>
      <w:bookmarkEnd w:id="6"/>
      <w:r>
        <w:br w:type="page"/>
      </w:r>
    </w:p>
    <w:p w14:paraId="5667F302" w14:textId="77777777" w:rsidR="00EE1540" w:rsidRDefault="004609CE" w:rsidP="00EE1540">
      <w:pPr>
        <w:pStyle w:val="Heading1"/>
        <w:jc w:val="both"/>
      </w:pPr>
      <w:bookmarkStart w:id="7" w:name="_Toc172667325"/>
      <w:r>
        <w:t>References</w:t>
      </w:r>
      <w:bookmarkEnd w:id="7"/>
      <w:r>
        <w:t xml:space="preserve"> </w:t>
      </w:r>
    </w:p>
    <w:p w14:paraId="6CE26878"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Adebayo, R., (2024). Nigerian Breweries To Suspend Production In 2 Plants. Available at: </w:t>
      </w:r>
      <w:hyperlink r:id="rId12" w:anchor=":~:text=Citing%20tough%20business%20climate%20due,nine%20production%20plants%20in%20Nigeria">
        <w:r>
          <w:rPr>
            <w:rFonts w:ascii="Times New Roman" w:eastAsia="Times New Roman" w:hAnsi="Times New Roman" w:cs="Times New Roman"/>
            <w:sz w:val="24"/>
            <w:szCs w:val="24"/>
            <w:u w:val="single"/>
          </w:rPr>
          <w:t>https://leadership.ng/nigerian-breweries-to-suspend-production-in-2-plants/#:~:text=Citing%20tough%20business%20climate%20due,nine%20production%20plants%20in%20Nigeria</w:t>
        </w:r>
      </w:hyperlink>
      <w:r>
        <w:rPr>
          <w:rFonts w:ascii="Times New Roman" w:eastAsia="Times New Roman" w:hAnsi="Times New Roman" w:cs="Times New Roman"/>
          <w:sz w:val="24"/>
          <w:szCs w:val="24"/>
        </w:rPr>
        <w:t xml:space="preserve"> (Accessed on 23 July 2024). </w:t>
      </w:r>
    </w:p>
    <w:p w14:paraId="44CEAE24"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Agustina, L. and Setiawan, R., 2020. Fostering a natural atmosphere; improving students’ communication skill in a business meeting. </w:t>
      </w:r>
      <w:r>
        <w:rPr>
          <w:rFonts w:ascii="Times New Roman" w:eastAsia="Times New Roman" w:hAnsi="Times New Roman" w:cs="Times New Roman"/>
          <w:i/>
          <w:color w:val="222222"/>
          <w:sz w:val="24"/>
          <w:szCs w:val="24"/>
          <w:highlight w:val="white"/>
        </w:rPr>
        <w:t>Journal of Languages and Language Teaching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pp.307-314.</w:t>
      </w:r>
    </w:p>
    <w:p w14:paraId="47FB8028"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Britannica (2024). The Twelve Years’ Truce. Available at:</w:t>
      </w:r>
      <w:hyperlink r:id="rId13">
        <w:r>
          <w:rPr>
            <w:rFonts w:ascii="Times New Roman" w:eastAsia="Times New Roman" w:hAnsi="Times New Roman" w:cs="Times New Roman"/>
            <w:sz w:val="24"/>
            <w:szCs w:val="24"/>
            <w:u w:val="single"/>
          </w:rPr>
          <w:t>https://www.britannica.com/place/Netherlands/The-Twelve-Years-Truce</w:t>
        </w:r>
      </w:hyperlink>
      <w:r>
        <w:rPr>
          <w:rFonts w:ascii="Times New Roman" w:eastAsia="Times New Roman" w:hAnsi="Times New Roman" w:cs="Times New Roman"/>
          <w:sz w:val="24"/>
          <w:szCs w:val="24"/>
        </w:rPr>
        <w:t xml:space="preserve"> (Accessed on 23 July 2024).</w:t>
      </w:r>
    </w:p>
    <w:p w14:paraId="167059A6" w14:textId="77777777" w:rsidR="00EE1540" w:rsidRDefault="00EE154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Corporatefinanceinstitute 2024 </w:t>
      </w:r>
      <w:r>
        <w:rPr>
          <w:rFonts w:ascii="Times New Roman" w:eastAsia="Times New Roman" w:hAnsi="Times New Roman" w:cs="Times New Roman"/>
          <w:i/>
          <w:sz w:val="24"/>
          <w:szCs w:val="24"/>
        </w:rPr>
        <w:t>Hofstede’s cultural dimensions theory</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Corporate Finance Institute</w:t>
      </w:r>
      <w:r>
        <w:rPr>
          <w:rFonts w:ascii="Times New Roman" w:eastAsia="Times New Roman" w:hAnsi="Times New Roman" w:cs="Times New Roman"/>
          <w:sz w:val="24"/>
          <w:szCs w:val="24"/>
        </w:rPr>
        <w:t xml:space="preserve">. Available at: https://corporatefinanceinstitute.com/resources/management/hofstedes-cultural-dimensions-theory/ (Accessed: 23 July 2024). </w:t>
      </w:r>
    </w:p>
    <w:p w14:paraId="6F2BE3FC"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 Vaio, A., Palladino, R., Hassan, R. and Escobar, O., 2020. Artificial intelligence and business models in the sustainable development goals perspective: A systematic literature review.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121</w:t>
      </w:r>
      <w:r>
        <w:rPr>
          <w:rFonts w:ascii="Times New Roman" w:eastAsia="Times New Roman" w:hAnsi="Times New Roman" w:cs="Times New Roman"/>
          <w:color w:val="222222"/>
          <w:sz w:val="24"/>
          <w:szCs w:val="24"/>
          <w:highlight w:val="white"/>
        </w:rPr>
        <w:t>, pp.283-314.</w:t>
      </w:r>
    </w:p>
    <w:p w14:paraId="01D61A9C" w14:textId="77777777" w:rsidR="00EE1540" w:rsidRDefault="00EE15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Eures, (2023). Labour market information: Netherlands.Available at:</w:t>
      </w:r>
    </w:p>
    <w:p w14:paraId="0DC780E8"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Fao, (2021). Nigeria Agriculture at a Glance. Available at: </w:t>
      </w:r>
      <w:hyperlink r:id="rId14" w:anchor=":~:text=These%20include%3B%20poor%20land%20tenure,and%20poor%20access%20to%20markets">
        <w:r>
          <w:rPr>
            <w:rFonts w:ascii="Times New Roman" w:eastAsia="Times New Roman" w:hAnsi="Times New Roman" w:cs="Times New Roman"/>
            <w:sz w:val="24"/>
            <w:szCs w:val="24"/>
            <w:u w:val="single"/>
          </w:rPr>
          <w:t>https://www.fao.org/nigeria/fao-in-nigeria/nigeria-at-a-glance/en/#:~:text=These%20include%3B%20poor%20land%20tenure,and%20poor%20access%20to%20markets</w:t>
        </w:r>
      </w:hyperlink>
      <w:r>
        <w:rPr>
          <w:rFonts w:ascii="Times New Roman" w:eastAsia="Times New Roman" w:hAnsi="Times New Roman" w:cs="Times New Roman"/>
          <w:sz w:val="24"/>
          <w:szCs w:val="24"/>
        </w:rPr>
        <w:t xml:space="preserve"> (Accessed on 23 July 2024). </w:t>
      </w:r>
    </w:p>
    <w:p w14:paraId="39A8FA88"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Greggs (2024). About us. Available at:https://www.greggs.co.uk/about.(Accessed on 23 July 2024).</w:t>
      </w:r>
    </w:p>
    <w:p w14:paraId="22A0115E" w14:textId="77777777" w:rsidR="00EE1540" w:rsidRDefault="00EE1540">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Harteveld, E., 2021. Fragmented foes: Affective polarization in the multiparty context of the Netherlands. </w:t>
      </w:r>
      <w:r>
        <w:rPr>
          <w:rFonts w:ascii="Times New Roman" w:eastAsia="Times New Roman" w:hAnsi="Times New Roman" w:cs="Times New Roman"/>
          <w:i/>
          <w:color w:val="222222"/>
          <w:sz w:val="24"/>
          <w:szCs w:val="24"/>
          <w:highlight w:val="white"/>
        </w:rPr>
        <w:t>Electoral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71</w:t>
      </w:r>
      <w:r>
        <w:rPr>
          <w:rFonts w:ascii="Times New Roman" w:eastAsia="Times New Roman" w:hAnsi="Times New Roman" w:cs="Times New Roman"/>
          <w:color w:val="222222"/>
          <w:sz w:val="24"/>
          <w:szCs w:val="24"/>
          <w:highlight w:val="white"/>
        </w:rPr>
        <w:t>, p.102332.</w:t>
      </w:r>
    </w:p>
    <w:p w14:paraId="71C71471" w14:textId="77777777" w:rsidR="00EE1540" w:rsidRDefault="00EE154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Hofstede-insights 2024 </w:t>
      </w:r>
      <w:r>
        <w:rPr>
          <w:rFonts w:ascii="Times New Roman" w:eastAsia="Times New Roman" w:hAnsi="Times New Roman" w:cs="Times New Roman"/>
          <w:i/>
          <w:sz w:val="24"/>
          <w:szCs w:val="24"/>
        </w:rPr>
        <w:t>Country comparison tool</w:t>
      </w:r>
      <w:r>
        <w:rPr>
          <w:rFonts w:ascii="Times New Roman" w:eastAsia="Times New Roman" w:hAnsi="Times New Roman" w:cs="Times New Roman"/>
          <w:sz w:val="24"/>
          <w:szCs w:val="24"/>
        </w:rPr>
        <w:t xml:space="preserve"> (no date) </w:t>
      </w:r>
      <w:r>
        <w:rPr>
          <w:rFonts w:ascii="Times New Roman" w:eastAsia="Times New Roman" w:hAnsi="Times New Roman" w:cs="Times New Roman"/>
          <w:i/>
          <w:sz w:val="24"/>
          <w:szCs w:val="24"/>
        </w:rPr>
        <w:t>Hofstede Insights</w:t>
      </w:r>
      <w:r>
        <w:rPr>
          <w:rFonts w:ascii="Times New Roman" w:eastAsia="Times New Roman" w:hAnsi="Times New Roman" w:cs="Times New Roman"/>
          <w:sz w:val="24"/>
          <w:szCs w:val="24"/>
        </w:rPr>
        <w:t xml:space="preserve">. Available at: https://www.hofstede-insights.com/country-comparison-tool?countries=netherlands%2Cunited%2Bkingdom (Accessed: 23 July 2024). </w:t>
      </w:r>
    </w:p>
    <w:p w14:paraId="7D683652"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w:t>
      </w:r>
      <w:hyperlink r:id="rId15">
        <w:r>
          <w:rPr>
            <w:rFonts w:ascii="Times New Roman" w:eastAsia="Times New Roman" w:hAnsi="Times New Roman" w:cs="Times New Roman"/>
            <w:sz w:val="24"/>
            <w:szCs w:val="24"/>
          </w:rPr>
          <w:t>Twelve Years’ Truce</w:t>
        </w:r>
      </w:hyperlink>
      <w:r>
        <w:rPr>
          <w:rFonts w:ascii="Times New Roman" w:eastAsia="Times New Roman" w:hAnsi="Times New Roman" w:cs="Times New Roman"/>
          <w:sz w:val="24"/>
          <w:szCs w:val="24"/>
        </w:rPr>
        <w:t xml:space="preserve">. Available at: </w:t>
      </w:r>
      <w:hyperlink r:id="rId16">
        <w:r>
          <w:rPr>
            <w:rFonts w:ascii="Times New Roman" w:eastAsia="Times New Roman" w:hAnsi="Times New Roman" w:cs="Times New Roman"/>
            <w:sz w:val="24"/>
            <w:szCs w:val="24"/>
            <w:u w:val="single"/>
          </w:rPr>
          <w:t>https://www.britannica.com/place/Netherlands/The-Twelve-Years-Truce</w:t>
        </w:r>
      </w:hyperlink>
      <w:r>
        <w:rPr>
          <w:rFonts w:ascii="Times New Roman" w:eastAsia="Times New Roman" w:hAnsi="Times New Roman" w:cs="Times New Roman"/>
          <w:sz w:val="24"/>
          <w:szCs w:val="24"/>
        </w:rPr>
        <w:t xml:space="preserve"> (Accessed on 23 July 2024).</w:t>
      </w:r>
    </w:p>
    <w:p w14:paraId="21F8F0FC" w14:textId="77777777" w:rsidR="00EE1540" w:rsidRDefault="002B5F68">
      <w:pPr>
        <w:spacing w:line="360" w:lineRule="auto"/>
        <w:rPr>
          <w:rFonts w:ascii="Times New Roman" w:eastAsia="Times New Roman" w:hAnsi="Times New Roman" w:cs="Times New Roman"/>
          <w:sz w:val="24"/>
          <w:szCs w:val="24"/>
        </w:rPr>
      </w:pPr>
      <w:hyperlink r:id="rId17">
        <w:r w:rsidR="00EE1540">
          <w:rPr>
            <w:rFonts w:ascii="Times New Roman" w:eastAsia="Times New Roman" w:hAnsi="Times New Roman" w:cs="Times New Roman"/>
            <w:sz w:val="24"/>
            <w:szCs w:val="24"/>
            <w:u w:val="single"/>
          </w:rPr>
          <w:t>https://eures.europa.eu/living-and-working/labour-market-information/labour-market-information-netherlands_en</w:t>
        </w:r>
      </w:hyperlink>
      <w:r w:rsidR="00EE1540">
        <w:rPr>
          <w:rFonts w:ascii="Times New Roman" w:eastAsia="Times New Roman" w:hAnsi="Times New Roman" w:cs="Times New Roman"/>
          <w:sz w:val="24"/>
          <w:szCs w:val="24"/>
        </w:rPr>
        <w:t xml:space="preserve"> (Accessed on 23 July 2024).</w:t>
      </w:r>
    </w:p>
    <w:p w14:paraId="6641BD80"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IFO, (2024). Material Shortages Worsen Somewhat in German Manufacturing. Available at: </w:t>
      </w:r>
      <w:hyperlink r:id="rId18">
        <w:r>
          <w:rPr>
            <w:rFonts w:ascii="Times New Roman" w:eastAsia="Times New Roman" w:hAnsi="Times New Roman" w:cs="Times New Roman"/>
            <w:sz w:val="24"/>
            <w:szCs w:val="24"/>
            <w:u w:val="single"/>
          </w:rPr>
          <w:t>https://www.ifo.de/en/press-release/2024-02-29/material-shortages-worsen-somewhat-german-manufacturing</w:t>
        </w:r>
      </w:hyperlink>
      <w:r>
        <w:rPr>
          <w:rFonts w:ascii="Times New Roman" w:eastAsia="Times New Roman" w:hAnsi="Times New Roman" w:cs="Times New Roman"/>
          <w:sz w:val="24"/>
          <w:szCs w:val="24"/>
        </w:rPr>
        <w:t xml:space="preserve"> (Accessed on 23 July 2024). </w:t>
      </w:r>
    </w:p>
    <w:p w14:paraId="030FBC0F"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Kalogiannidis, S., 2020. Impact of effective business communication on employee performance. </w:t>
      </w:r>
      <w:r>
        <w:rPr>
          <w:rFonts w:ascii="Times New Roman" w:eastAsia="Times New Roman" w:hAnsi="Times New Roman" w:cs="Times New Roman"/>
          <w:i/>
          <w:color w:val="222222"/>
          <w:sz w:val="24"/>
          <w:szCs w:val="24"/>
          <w:highlight w:val="white"/>
        </w:rPr>
        <w:t>European Journal of Business and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(6).</w:t>
      </w:r>
    </w:p>
    <w:p w14:paraId="0DAE35C9"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O'Neill, A. (2024). Netherlands: Real gross domestic product (GDP) growth rate from 2019 to 2029. Available at: https://www.statista.com/statistics/263609/gross-domestic-product-gdp-growth-rate-in-the-netherlands/(Accessed on 23 July 2024).</w:t>
      </w:r>
    </w:p>
    <w:p w14:paraId="6F522B8C"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Selmer, J., 2020. Psychological barriers to adjustment of Western business expatriates in China: newcomers vs long stayers. In </w:t>
      </w:r>
      <w:r>
        <w:rPr>
          <w:rFonts w:ascii="Times New Roman" w:eastAsia="Times New Roman" w:hAnsi="Times New Roman" w:cs="Times New Roman"/>
          <w:i/>
          <w:color w:val="222222"/>
          <w:sz w:val="24"/>
          <w:szCs w:val="24"/>
          <w:highlight w:val="white"/>
        </w:rPr>
        <w:t>Human Resource Management in China Revisited</w:t>
      </w:r>
      <w:r>
        <w:rPr>
          <w:rFonts w:ascii="Times New Roman" w:eastAsia="Times New Roman" w:hAnsi="Times New Roman" w:cs="Times New Roman"/>
          <w:color w:val="222222"/>
          <w:sz w:val="24"/>
          <w:szCs w:val="24"/>
          <w:highlight w:val="white"/>
        </w:rPr>
        <w:t xml:space="preserve"> (pp. 178-197). Routledge.</w:t>
      </w:r>
    </w:p>
    <w:p w14:paraId="3E5D8E4C"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Shenkar, O., Luo, Y. and Chi, T., 2021. </w:t>
      </w:r>
      <w:r>
        <w:rPr>
          <w:rFonts w:ascii="Times New Roman" w:eastAsia="Times New Roman" w:hAnsi="Times New Roman" w:cs="Times New Roman"/>
          <w:i/>
          <w:sz w:val="24"/>
          <w:szCs w:val="24"/>
        </w:rPr>
        <w:t>International business</w:t>
      </w:r>
      <w:r>
        <w:rPr>
          <w:rFonts w:ascii="Times New Roman" w:eastAsia="Times New Roman" w:hAnsi="Times New Roman" w:cs="Times New Roman"/>
          <w:sz w:val="24"/>
          <w:szCs w:val="24"/>
        </w:rPr>
        <w:t>. Routledge.</w:t>
      </w:r>
    </w:p>
    <w:p w14:paraId="2628DDCA"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(2024).Growth in annual sales of Greggs in the United Kingdom from 2006 to 2023</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w:t>
      </w:r>
      <w:hyperlink r:id="rId19">
        <w:r>
          <w:rPr>
            <w:rFonts w:ascii="Times New Roman" w:eastAsia="Times New Roman" w:hAnsi="Times New Roman" w:cs="Times New Roman"/>
            <w:sz w:val="24"/>
            <w:szCs w:val="24"/>
            <w:u w:val="single"/>
          </w:rPr>
          <w:t>https://www.statista.com/statistics/630696/greggs-sales-growth-united-kingdom-uk/</w:t>
        </w:r>
      </w:hyperlink>
      <w:r>
        <w:rPr>
          <w:rFonts w:ascii="Times New Roman" w:eastAsia="Times New Roman" w:hAnsi="Times New Roman" w:cs="Times New Roman"/>
          <w:sz w:val="24"/>
          <w:szCs w:val="24"/>
        </w:rPr>
        <w:t xml:space="preserve"> (Accessed on 23 July 2024)</w:t>
      </w:r>
    </w:p>
    <w:p w14:paraId="08D1629B"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Szkudlarek, B., Osland, J.S., Nardon, L. and Zander, L., 2020. Communication and culture in international business–Moving the field forward. </w:t>
      </w:r>
      <w:r>
        <w:rPr>
          <w:rFonts w:ascii="Times New Roman" w:eastAsia="Times New Roman" w:hAnsi="Times New Roman" w:cs="Times New Roman"/>
          <w:i/>
          <w:sz w:val="24"/>
          <w:szCs w:val="24"/>
        </w:rPr>
        <w:t>Journal of World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(6), p.101126.</w:t>
      </w:r>
    </w:p>
    <w:p w14:paraId="63C08E14"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Tajeddini, K., Martin, E. and Ali, A., 2020. Enhancing hospitality business performance: The role of entrepreneurial orientation and networking ties in a dynamic environment.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90</w:t>
      </w:r>
      <w:r>
        <w:rPr>
          <w:rFonts w:ascii="Times New Roman" w:eastAsia="Times New Roman" w:hAnsi="Times New Roman" w:cs="Times New Roman"/>
          <w:color w:val="222222"/>
          <w:sz w:val="24"/>
          <w:szCs w:val="24"/>
          <w:highlight w:val="white"/>
        </w:rPr>
        <w:t>, p.102605.</w:t>
      </w:r>
    </w:p>
    <w:p w14:paraId="6D1770D3" w14:textId="77777777" w:rsidR="00EE1540" w:rsidRDefault="00EE15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Trade (2024). Information and Communication Technology. Available at:</w:t>
      </w:r>
      <w:hyperlink r:id="rId20" w:anchor=":~:text=The%20Netherlands%20ranks%20among%20the,supported%20by%20strong%20digital%20infrastructure%20">
        <w:r>
          <w:rPr>
            <w:rFonts w:ascii="Times New Roman" w:eastAsia="Times New Roman" w:hAnsi="Times New Roman" w:cs="Times New Roman"/>
            <w:sz w:val="24"/>
            <w:szCs w:val="24"/>
            <w:u w:val="single"/>
          </w:rPr>
          <w:t>https://www.trade.gov/country-commercial-guides/netherlands-netherlands-information-and-communication-technology#:~:text=The%20Netherlands%20ranks%20among%20the,supported%20by%20strong%20digital%20infrastructure%20</w:t>
        </w:r>
      </w:hyperlink>
      <w:r>
        <w:rPr>
          <w:rFonts w:ascii="Times New Roman" w:eastAsia="Times New Roman" w:hAnsi="Times New Roman" w:cs="Times New Roman"/>
          <w:sz w:val="24"/>
          <w:szCs w:val="24"/>
        </w:rPr>
        <w:t xml:space="preserve"> (Accessed on 23 July 2024).</w:t>
      </w:r>
    </w:p>
    <w:p w14:paraId="37504D82" w14:textId="77777777" w:rsidR="00EE1540" w:rsidRDefault="00EE15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Trade (2024). Netherlands - Country Commercial Guide.Available at:</w:t>
      </w:r>
      <w:hyperlink r:id="rId21">
        <w:r>
          <w:rPr>
            <w:rFonts w:ascii="Times New Roman" w:eastAsia="Times New Roman" w:hAnsi="Times New Roman" w:cs="Times New Roman"/>
            <w:sz w:val="24"/>
            <w:szCs w:val="24"/>
            <w:u w:val="single"/>
          </w:rPr>
          <w:t>https://www.trade.gov/country-commercial-guides/netherlands-market-overview</w:t>
        </w:r>
      </w:hyperlink>
      <w:r>
        <w:rPr>
          <w:rFonts w:ascii="Times New Roman" w:eastAsia="Times New Roman" w:hAnsi="Times New Roman" w:cs="Times New Roman"/>
          <w:sz w:val="24"/>
          <w:szCs w:val="24"/>
        </w:rPr>
        <w:t xml:space="preserve"> (Accessed on 23 July 2024).</w:t>
      </w:r>
    </w:p>
    <w:p w14:paraId="1EBA3BA3" w14:textId="77777777" w:rsidR="00EE1540" w:rsidRDefault="00EE15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Tradingeconomics (2024). Netherlands Unemployment Rate.Available at:</w:t>
      </w:r>
      <w:hyperlink r:id="rId22" w:anchor=":~:text=Steady%20in%20June-,The%20Netherlands%27%20seasonally%20adjusted%20unemployment%20rate%20stood%20at%203.6%25%20in,5%20thousand%20to%209.816%20million">
        <w:r>
          <w:rPr>
            <w:rFonts w:ascii="Times New Roman" w:eastAsia="Times New Roman" w:hAnsi="Times New Roman" w:cs="Times New Roman"/>
            <w:sz w:val="24"/>
            <w:szCs w:val="24"/>
            <w:u w:val="single"/>
          </w:rPr>
          <w:t>https://tradingeconomics.com/netherlands/unemployment-rate#:~:text=Steady%20in%20June-,The%20Netherlands%27%20seasonally%20adjusted%20unemployment%20rate%20stood%20at%203.6%25%20in,5%20thousand%20to%209.816%20million</w:t>
        </w:r>
      </w:hyperlink>
      <w:r>
        <w:rPr>
          <w:rFonts w:ascii="Times New Roman" w:eastAsia="Times New Roman" w:hAnsi="Times New Roman" w:cs="Times New Roman"/>
          <w:sz w:val="24"/>
          <w:szCs w:val="24"/>
        </w:rPr>
        <w:t xml:space="preserve"> (Accessed on 23 July 2024).</w:t>
      </w:r>
    </w:p>
    <w:p w14:paraId="698E93A9"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Worldometers (2024). Netherlands Population. Available at:</w:t>
      </w:r>
      <w:hyperlink r:id="rId23">
        <w:r>
          <w:rPr>
            <w:rFonts w:ascii="Times New Roman" w:eastAsia="Times New Roman" w:hAnsi="Times New Roman" w:cs="Times New Roman"/>
            <w:sz w:val="24"/>
            <w:szCs w:val="24"/>
            <w:u w:val="single"/>
          </w:rPr>
          <w:t>https://www.worldometers.info/world-population/netherlands-population/</w:t>
        </w:r>
      </w:hyperlink>
      <w:r>
        <w:rPr>
          <w:rFonts w:ascii="Times New Roman" w:eastAsia="Times New Roman" w:hAnsi="Times New Roman" w:cs="Times New Roman"/>
          <w:sz w:val="24"/>
          <w:szCs w:val="24"/>
        </w:rPr>
        <w:t xml:space="preserve"> (Accessed on 23 July 2024)</w:t>
      </w:r>
    </w:p>
    <w:p w14:paraId="1DC3A41F"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Xiao, S.S., Lew, Y.K. and Park, B.I., 2020. International network searching, learning, and explorative capability: Small and medium-sized enterprises from China. </w:t>
      </w:r>
      <w:r>
        <w:rPr>
          <w:rFonts w:ascii="Times New Roman" w:eastAsia="Times New Roman" w:hAnsi="Times New Roman" w:cs="Times New Roman"/>
          <w:i/>
          <w:color w:val="222222"/>
          <w:sz w:val="24"/>
          <w:szCs w:val="24"/>
          <w:highlight w:val="white"/>
        </w:rPr>
        <w:t>Management international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(4), pp.597-621.</w:t>
      </w:r>
    </w:p>
    <w:p w14:paraId="757BF80C" w14:textId="77777777" w:rsidR="00AE4687" w:rsidRDefault="00AE4687">
      <w:pPr>
        <w:spacing w:line="360" w:lineRule="auto"/>
        <w:jc w:val="both"/>
        <w:rPr>
          <w:rFonts w:ascii="Times New Roman" w:eastAsia="Times New Roman" w:hAnsi="Times New Roman" w:cs="Times New Roman"/>
          <w:sz w:val="24"/>
          <w:szCs w:val="24"/>
        </w:rPr>
      </w:pPr>
    </w:p>
    <w:p w14:paraId="2FE7ECCE" w14:textId="77777777" w:rsidR="00AE4687" w:rsidRDefault="00AE4687">
      <w:pPr>
        <w:spacing w:line="360" w:lineRule="auto"/>
        <w:jc w:val="both"/>
        <w:rPr>
          <w:rFonts w:ascii="Times New Roman" w:eastAsia="Times New Roman" w:hAnsi="Times New Roman" w:cs="Times New Roman"/>
          <w:sz w:val="24"/>
          <w:szCs w:val="24"/>
        </w:rPr>
      </w:pPr>
    </w:p>
    <w:p w14:paraId="6F746BD5" w14:textId="77777777" w:rsidR="00AE4687" w:rsidRDefault="00AE4687">
      <w:pPr>
        <w:spacing w:line="360" w:lineRule="auto"/>
        <w:jc w:val="both"/>
        <w:rPr>
          <w:rFonts w:ascii="Times New Roman" w:eastAsia="Times New Roman" w:hAnsi="Times New Roman" w:cs="Times New Roman"/>
          <w:sz w:val="24"/>
          <w:szCs w:val="24"/>
        </w:rPr>
      </w:pPr>
    </w:p>
    <w:p w14:paraId="6059B1C7" w14:textId="77777777" w:rsidR="00AE4687" w:rsidRDefault="00AE4687">
      <w:pPr>
        <w:spacing w:line="360" w:lineRule="auto"/>
        <w:jc w:val="both"/>
        <w:rPr>
          <w:rFonts w:ascii="Times New Roman" w:eastAsia="Times New Roman" w:hAnsi="Times New Roman" w:cs="Times New Roman"/>
          <w:sz w:val="24"/>
          <w:szCs w:val="24"/>
        </w:rPr>
      </w:pPr>
    </w:p>
    <w:sectPr w:rsidR="00AE4687" w:rsidSect="00EE1540">
      <w:footerReference w:type="default" r:id="rId24"/>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1C421A" w14:textId="77777777" w:rsidR="00977DB6" w:rsidRDefault="00977DB6">
      <w:pPr>
        <w:spacing w:line="240" w:lineRule="auto"/>
      </w:pPr>
      <w:r>
        <w:separator/>
      </w:r>
    </w:p>
  </w:endnote>
  <w:endnote w:type="continuationSeparator" w:id="0">
    <w:p w14:paraId="0FA4E060" w14:textId="77777777" w:rsidR="00977DB6" w:rsidRDefault="00977D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028FE3" w14:textId="77777777" w:rsidR="00AE4687" w:rsidRDefault="004609CE">
    <w:pPr>
      <w:jc w:val="right"/>
    </w:pPr>
    <w:r>
      <w:fldChar w:fldCharType="begin"/>
    </w:r>
    <w:r>
      <w:instrText>PAGE</w:instrText>
    </w:r>
    <w:r>
      <w:fldChar w:fldCharType="separate"/>
    </w:r>
    <w:r w:rsidR="00A258C9">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8DF9DB" w14:textId="77777777" w:rsidR="00977DB6" w:rsidRDefault="00977DB6">
      <w:pPr>
        <w:spacing w:line="240" w:lineRule="auto"/>
      </w:pPr>
      <w:r>
        <w:separator/>
      </w:r>
    </w:p>
  </w:footnote>
  <w:footnote w:type="continuationSeparator" w:id="0">
    <w:p w14:paraId="18848B36" w14:textId="77777777" w:rsidR="00977DB6" w:rsidRDefault="00977DB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E4687"/>
    <w:rsid w:val="000F7765"/>
    <w:rsid w:val="00116A84"/>
    <w:rsid w:val="002B5F68"/>
    <w:rsid w:val="0038089B"/>
    <w:rsid w:val="003B48A2"/>
    <w:rsid w:val="004609CE"/>
    <w:rsid w:val="00574730"/>
    <w:rsid w:val="005A5750"/>
    <w:rsid w:val="00977DB6"/>
    <w:rsid w:val="00A258C9"/>
    <w:rsid w:val="00AC6D30"/>
    <w:rsid w:val="00AE4687"/>
    <w:rsid w:val="00B050A3"/>
    <w:rsid w:val="00B6521B"/>
    <w:rsid w:val="00D8152C"/>
    <w:rsid w:val="00E22785"/>
    <w:rsid w:val="00E96158"/>
    <w:rsid w:val="00EE1540"/>
    <w:rsid w:val="00EE1ED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204A1"/>
  <w15:docId w15:val="{F91C0F37-E473-AB49-A6D9-30F9D98F3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E15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540"/>
    <w:rPr>
      <w:rFonts w:ascii="Tahoma" w:hAnsi="Tahoma" w:cs="Tahoma"/>
      <w:sz w:val="16"/>
      <w:szCs w:val="16"/>
    </w:rPr>
  </w:style>
  <w:style w:type="paragraph" w:styleId="TOC1">
    <w:name w:val="toc 1"/>
    <w:basedOn w:val="Normal"/>
    <w:next w:val="Normal"/>
    <w:autoRedefine/>
    <w:uiPriority w:val="39"/>
    <w:unhideWhenUsed/>
    <w:rsid w:val="00EE1540"/>
    <w:pPr>
      <w:spacing w:after="100"/>
    </w:pPr>
  </w:style>
  <w:style w:type="character" w:styleId="Hyperlink">
    <w:name w:val="Hyperlink"/>
    <w:basedOn w:val="DefaultParagraphFont"/>
    <w:uiPriority w:val="99"/>
    <w:unhideWhenUsed/>
    <w:rsid w:val="00EE15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britannica.com/place/Netherlands/The-Twelve-Years-Truce" TargetMode="External" /><Relationship Id="rId18" Type="http://schemas.openxmlformats.org/officeDocument/2006/relationships/hyperlink" Target="https://www.ifo.de/en/press-release/2024-02-29/material-shortages-worsen-somewhat-german-manufacturing" TargetMode="External" /><Relationship Id="rId26" Type="http://schemas.openxmlformats.org/officeDocument/2006/relationships/theme" Target="theme/theme1.xml" /><Relationship Id="rId3" Type="http://schemas.openxmlformats.org/officeDocument/2006/relationships/webSettings" Target="webSettings.xml" /><Relationship Id="rId21" Type="http://schemas.openxmlformats.org/officeDocument/2006/relationships/hyperlink" Target="https://www.trade.gov/country-commercial-guides/netherlands-market-overview" TargetMode="External" /><Relationship Id="rId7" Type="http://schemas.openxmlformats.org/officeDocument/2006/relationships/image" Target="media/image1.png" /><Relationship Id="rId12" Type="http://schemas.openxmlformats.org/officeDocument/2006/relationships/hyperlink" Target="https://leadership.ng/nigerian-breweries-to-suspend-production-in-2-plants/" TargetMode="External" /><Relationship Id="rId17" Type="http://schemas.openxmlformats.org/officeDocument/2006/relationships/hyperlink" Target="https://eures.europa.eu/living-and-working/labour-market-information/labour-market-information-netherlands_en" TargetMode="External" /><Relationship Id="rId25"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www.britannica.com/place/Netherlands/The-Twelve-Years-Truce" TargetMode="External" /><Relationship Id="rId20" Type="http://schemas.openxmlformats.org/officeDocument/2006/relationships/hyperlink" Target="https://www.trade.gov/country-commercial-guides/netherlands-netherlands-information-and-communication-technology" TargetMode="External" /><Relationship Id="rId1" Type="http://schemas.openxmlformats.org/officeDocument/2006/relationships/styles" Target="styles.xml" /><Relationship Id="rId6" Type="http://schemas.openxmlformats.org/officeDocument/2006/relationships/hyperlink" Target="https://leadership.ng/author/remi-adebayo/" TargetMode="External" /><Relationship Id="rId11" Type="http://schemas.openxmlformats.org/officeDocument/2006/relationships/image" Target="media/image5.png" /><Relationship Id="rId24" Type="http://schemas.openxmlformats.org/officeDocument/2006/relationships/footer" Target="footer1.xml" /><Relationship Id="rId5" Type="http://schemas.openxmlformats.org/officeDocument/2006/relationships/endnotes" Target="endnotes.xml" /><Relationship Id="rId15" Type="http://schemas.openxmlformats.org/officeDocument/2006/relationships/hyperlink" Target="https://www.britannica.com/topic/Twelve-Years-Truce" TargetMode="External" /><Relationship Id="rId23" Type="http://schemas.openxmlformats.org/officeDocument/2006/relationships/hyperlink" Target="https://www.worldometers.info/world-population/netherlands-population/" TargetMode="External" /><Relationship Id="rId10" Type="http://schemas.openxmlformats.org/officeDocument/2006/relationships/image" Target="media/image4.png" /><Relationship Id="rId19" Type="http://schemas.openxmlformats.org/officeDocument/2006/relationships/hyperlink" Target="https://www.statista.com/statistics/630696/greggs-sales-growth-united-kingdom-uk/" TargetMode="External" /><Relationship Id="rId4" Type="http://schemas.openxmlformats.org/officeDocument/2006/relationships/footnotes" Target="footnotes.xml" /><Relationship Id="rId9" Type="http://schemas.openxmlformats.org/officeDocument/2006/relationships/image" Target="media/image3.png" /><Relationship Id="rId14" Type="http://schemas.openxmlformats.org/officeDocument/2006/relationships/hyperlink" Target="https://www.fao.org/nigeria/fao-in-nigeria/nigeria-at-a-glance/en/" TargetMode="External" /><Relationship Id="rId22" Type="http://schemas.openxmlformats.org/officeDocument/2006/relationships/hyperlink" Target="https://tradingeconomics.com/netherlands/unemployment-rat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3477</Words>
  <Characters>19824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 Mihaela Bucur (2133670)</cp:lastModifiedBy>
  <cp:revision>2</cp:revision>
  <dcterms:created xsi:type="dcterms:W3CDTF">2024-08-12T11:14:00Z</dcterms:created>
  <dcterms:modified xsi:type="dcterms:W3CDTF">2024-08-12T11:14:00Z</dcterms:modified>
  <cp:category/>
</cp:coreProperties>
</file>