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1C032DF" w:rsidR="000264A1" w:rsidRDefault="000264A1" w:rsidP="000264A1">
      <w:r>
        <w:fldChar w:fldCharType="begin"/>
      </w:r>
      <w:r w:rsidR="005914B7">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419A0D5B"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7A41BC">
        <w:rPr>
          <w:rStyle w:val="Strong"/>
          <w:rFonts w:ascii="Arial" w:hAnsi="Arial" w:cs="Arial"/>
          <w:color w:val="1D2125"/>
          <w:sz w:val="32"/>
          <w:szCs w:val="32"/>
        </w:rPr>
        <w:t>: Monica Ana Oprea</w:t>
      </w:r>
    </w:p>
    <w:p w14:paraId="3F25C99D" w14:textId="4CE7D86B"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7A41BC">
        <w:rPr>
          <w:rStyle w:val="Strong"/>
          <w:rFonts w:ascii="Arial" w:hAnsi="Arial" w:cs="Arial"/>
          <w:color w:val="1D2125"/>
          <w:sz w:val="32"/>
          <w:szCs w:val="32"/>
        </w:rPr>
        <w:t>: 2315596</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33721280" w14:textId="77777777" w:rsidR="005C6B22" w:rsidRPr="007A41BC" w:rsidRDefault="005C6B22" w:rsidP="007A41BC">
      <w:pPr>
        <w:spacing w:line="360" w:lineRule="auto"/>
        <w:jc w:val="both"/>
        <w:rPr>
          <w:rFonts w:ascii="Arial" w:hAnsi="Arial" w:cs="Arial"/>
          <w:sz w:val="22"/>
          <w:szCs w:val="22"/>
        </w:rPr>
      </w:pPr>
    </w:p>
    <w:p w14:paraId="33C14B72" w14:textId="446F9193" w:rsidR="005C6B22" w:rsidRDefault="00F022F0" w:rsidP="00F022F0">
      <w:pPr>
        <w:jc w:val="both"/>
        <w:rPr>
          <w:rFonts w:ascii="Arial" w:hAnsi="Arial" w:cs="Arial"/>
        </w:rPr>
      </w:pPr>
      <w:r>
        <w:rPr>
          <w:rFonts w:ascii="Arial" w:hAnsi="Arial" w:cs="Arial"/>
        </w:rPr>
        <w:lastRenderedPageBreak/>
        <w:t>Table of Contents</w:t>
      </w:r>
    </w:p>
    <w:p w14:paraId="2F0E5EB1" w14:textId="77777777" w:rsidR="00F9002F" w:rsidRDefault="00F9002F" w:rsidP="00F022F0">
      <w:pPr>
        <w:jc w:val="both"/>
        <w:rPr>
          <w:rFonts w:ascii="Arial" w:hAnsi="Arial" w:cs="Arial"/>
        </w:rPr>
      </w:pPr>
    </w:p>
    <w:p w14:paraId="6E9C7D5F" w14:textId="77777777" w:rsidR="00F022F0" w:rsidRDefault="00F022F0" w:rsidP="00F022F0">
      <w:pPr>
        <w:jc w:val="both"/>
        <w:rPr>
          <w:rFonts w:ascii="Arial" w:hAnsi="Arial" w:cs="Arial"/>
        </w:rPr>
      </w:pPr>
    </w:p>
    <w:tbl>
      <w:tblPr>
        <w:tblStyle w:val="PlainTable3"/>
        <w:tblW w:w="9350" w:type="dxa"/>
        <w:tblLook w:val="04A0" w:firstRow="1" w:lastRow="0" w:firstColumn="1" w:lastColumn="0" w:noHBand="0" w:noVBand="1"/>
      </w:tblPr>
      <w:tblGrid>
        <w:gridCol w:w="4675"/>
        <w:gridCol w:w="4675"/>
      </w:tblGrid>
      <w:tr w:rsidR="00F022F0" w14:paraId="1EA67B8A" w14:textId="77777777" w:rsidTr="00F9002F">
        <w:trPr>
          <w:cnfStyle w:val="100000000000" w:firstRow="1" w:lastRow="0" w:firstColumn="0" w:lastColumn="0" w:oddVBand="0" w:evenVBand="0" w:oddHBand="0" w:evenHBand="0" w:firstRowFirstColumn="0" w:firstRowLastColumn="0" w:lastRowFirstColumn="0" w:lastRowLastColumn="0"/>
          <w:trHeight w:val="683"/>
        </w:trPr>
        <w:tc>
          <w:tcPr>
            <w:cnfStyle w:val="001000000100" w:firstRow="0" w:lastRow="0" w:firstColumn="1" w:lastColumn="0" w:oddVBand="0" w:evenVBand="0" w:oddHBand="0" w:evenHBand="0" w:firstRowFirstColumn="1" w:firstRowLastColumn="0" w:lastRowFirstColumn="0" w:lastRowLastColumn="0"/>
            <w:tcW w:w="4675" w:type="dxa"/>
          </w:tcPr>
          <w:p w14:paraId="4A640A72" w14:textId="346F7C3F" w:rsidR="00F022F0" w:rsidRDefault="00834A5D" w:rsidP="00F022F0">
            <w:pPr>
              <w:jc w:val="both"/>
              <w:rPr>
                <w:rFonts w:ascii="Arial" w:hAnsi="Arial" w:cs="Arial"/>
              </w:rPr>
            </w:pPr>
            <w:r>
              <w:rPr>
                <w:rFonts w:ascii="Arial" w:hAnsi="Arial" w:cs="Arial"/>
              </w:rPr>
              <w:t>TOPIC</w:t>
            </w:r>
          </w:p>
        </w:tc>
        <w:tc>
          <w:tcPr>
            <w:tcW w:w="4675" w:type="dxa"/>
          </w:tcPr>
          <w:p w14:paraId="7AF185C9" w14:textId="25914BCC" w:rsidR="00F022F0" w:rsidRDefault="00834A5D" w:rsidP="00F022F0">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PAGE</w:t>
            </w:r>
          </w:p>
        </w:tc>
      </w:tr>
      <w:tr w:rsidR="00F022F0" w14:paraId="70A51742" w14:textId="77777777" w:rsidTr="00F9002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4675" w:type="dxa"/>
          </w:tcPr>
          <w:p w14:paraId="73DE18FF" w14:textId="448BE9A4" w:rsidR="00F022F0" w:rsidRPr="00834A5D" w:rsidRDefault="00834A5D" w:rsidP="00F022F0">
            <w:pPr>
              <w:jc w:val="both"/>
              <w:rPr>
                <w:rFonts w:ascii="Arial" w:hAnsi="Arial" w:cs="Arial"/>
                <w:sz w:val="22"/>
                <w:szCs w:val="22"/>
              </w:rPr>
            </w:pPr>
            <w:r>
              <w:rPr>
                <w:rFonts w:ascii="Arial" w:hAnsi="Arial" w:cs="Arial"/>
                <w:sz w:val="22"/>
                <w:szCs w:val="22"/>
              </w:rPr>
              <w:t>Introduction</w:t>
            </w:r>
          </w:p>
        </w:tc>
        <w:tc>
          <w:tcPr>
            <w:tcW w:w="4675" w:type="dxa"/>
          </w:tcPr>
          <w:p w14:paraId="2A71F3DC" w14:textId="09EEF9FD" w:rsidR="00F022F0" w:rsidRDefault="00F9002F" w:rsidP="00F022F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834A5D">
              <w:rPr>
                <w:rFonts w:ascii="Arial" w:hAnsi="Arial" w:cs="Arial"/>
              </w:rPr>
              <w:t>3</w:t>
            </w:r>
          </w:p>
        </w:tc>
      </w:tr>
      <w:tr w:rsidR="00F022F0" w14:paraId="4F878B18" w14:textId="77777777" w:rsidTr="00F9002F">
        <w:trPr>
          <w:trHeight w:val="653"/>
        </w:trPr>
        <w:tc>
          <w:tcPr>
            <w:cnfStyle w:val="001000000000" w:firstRow="0" w:lastRow="0" w:firstColumn="1" w:lastColumn="0" w:oddVBand="0" w:evenVBand="0" w:oddHBand="0" w:evenHBand="0" w:firstRowFirstColumn="0" w:firstRowLastColumn="0" w:lastRowFirstColumn="0" w:lastRowLastColumn="0"/>
            <w:tcW w:w="4675" w:type="dxa"/>
          </w:tcPr>
          <w:p w14:paraId="087A451A" w14:textId="356B56C2" w:rsidR="00F022F0" w:rsidRDefault="00834A5D" w:rsidP="00F022F0">
            <w:pPr>
              <w:jc w:val="both"/>
              <w:rPr>
                <w:rFonts w:ascii="Arial" w:hAnsi="Arial" w:cs="Arial"/>
              </w:rPr>
            </w:pPr>
            <w:r w:rsidRPr="00834A5D">
              <w:rPr>
                <w:rFonts w:ascii="Arial" w:hAnsi="Arial" w:cs="Arial"/>
              </w:rPr>
              <w:t>Classification and Diagnosis</w:t>
            </w:r>
          </w:p>
        </w:tc>
        <w:tc>
          <w:tcPr>
            <w:tcW w:w="4675" w:type="dxa"/>
          </w:tcPr>
          <w:p w14:paraId="55B9AF51" w14:textId="0C1E9199" w:rsidR="00F022F0" w:rsidRDefault="006F4BC3" w:rsidP="00F022F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834A5D">
              <w:rPr>
                <w:rFonts w:ascii="Arial" w:hAnsi="Arial" w:cs="Arial"/>
              </w:rPr>
              <w:t>3</w:t>
            </w:r>
          </w:p>
        </w:tc>
      </w:tr>
      <w:tr w:rsidR="00F022F0" w14:paraId="01028EF1" w14:textId="77777777" w:rsidTr="00F9002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4675" w:type="dxa"/>
          </w:tcPr>
          <w:p w14:paraId="1DEFFB4D" w14:textId="0C7660F5" w:rsidR="00F022F0" w:rsidRDefault="00834A5D" w:rsidP="00F022F0">
            <w:pPr>
              <w:jc w:val="both"/>
              <w:rPr>
                <w:rFonts w:ascii="Arial" w:hAnsi="Arial" w:cs="Arial"/>
              </w:rPr>
            </w:pPr>
            <w:r w:rsidRPr="00834A5D">
              <w:rPr>
                <w:rFonts w:ascii="Arial" w:hAnsi="Arial" w:cs="Arial"/>
              </w:rPr>
              <w:t>Treatment and Rehabilitation</w:t>
            </w:r>
          </w:p>
        </w:tc>
        <w:tc>
          <w:tcPr>
            <w:tcW w:w="4675" w:type="dxa"/>
          </w:tcPr>
          <w:p w14:paraId="1A887BD0" w14:textId="3427349D" w:rsidR="00F022F0" w:rsidRDefault="006F4BC3" w:rsidP="00F022F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834A5D">
              <w:rPr>
                <w:rFonts w:ascii="Arial" w:hAnsi="Arial" w:cs="Arial"/>
              </w:rPr>
              <w:t>5</w:t>
            </w:r>
          </w:p>
        </w:tc>
      </w:tr>
      <w:tr w:rsidR="00F022F0" w14:paraId="0C039FB2" w14:textId="77777777" w:rsidTr="00F9002F">
        <w:trPr>
          <w:trHeight w:val="683"/>
        </w:trPr>
        <w:tc>
          <w:tcPr>
            <w:cnfStyle w:val="001000000000" w:firstRow="0" w:lastRow="0" w:firstColumn="1" w:lastColumn="0" w:oddVBand="0" w:evenVBand="0" w:oddHBand="0" w:evenHBand="0" w:firstRowFirstColumn="0" w:firstRowLastColumn="0" w:lastRowFirstColumn="0" w:lastRowLastColumn="0"/>
            <w:tcW w:w="4675" w:type="dxa"/>
          </w:tcPr>
          <w:p w14:paraId="5A3265C0" w14:textId="3E55F8BF" w:rsidR="00F022F0" w:rsidRDefault="00834A5D" w:rsidP="00F022F0">
            <w:pPr>
              <w:jc w:val="both"/>
              <w:rPr>
                <w:rFonts w:ascii="Arial" w:hAnsi="Arial" w:cs="Arial"/>
              </w:rPr>
            </w:pPr>
            <w:r w:rsidRPr="00834A5D">
              <w:rPr>
                <w:rFonts w:ascii="Arial" w:hAnsi="Arial" w:cs="Arial"/>
              </w:rPr>
              <w:t>Effectiveness and Limitations</w:t>
            </w:r>
          </w:p>
        </w:tc>
        <w:tc>
          <w:tcPr>
            <w:tcW w:w="4675" w:type="dxa"/>
          </w:tcPr>
          <w:p w14:paraId="5A766B6A" w14:textId="28D4E201" w:rsidR="00F022F0" w:rsidRDefault="006F4BC3" w:rsidP="00F022F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834A5D">
              <w:rPr>
                <w:rFonts w:ascii="Arial" w:hAnsi="Arial" w:cs="Arial"/>
              </w:rPr>
              <w:t>6</w:t>
            </w:r>
          </w:p>
        </w:tc>
      </w:tr>
      <w:tr w:rsidR="00F022F0" w14:paraId="5941F81A" w14:textId="77777777" w:rsidTr="00F9002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4675" w:type="dxa"/>
          </w:tcPr>
          <w:p w14:paraId="02122F82" w14:textId="10049404" w:rsidR="00F022F0" w:rsidRDefault="007374BD" w:rsidP="00F022F0">
            <w:pPr>
              <w:jc w:val="both"/>
              <w:rPr>
                <w:rFonts w:ascii="Arial" w:hAnsi="Arial" w:cs="Arial"/>
              </w:rPr>
            </w:pPr>
            <w:r w:rsidRPr="007374BD">
              <w:rPr>
                <w:rFonts w:ascii="Arial" w:hAnsi="Arial" w:cs="Arial"/>
              </w:rPr>
              <w:t>Current Debates and Emerging Issues</w:t>
            </w:r>
          </w:p>
        </w:tc>
        <w:tc>
          <w:tcPr>
            <w:tcW w:w="4675" w:type="dxa"/>
          </w:tcPr>
          <w:p w14:paraId="0EB5386A" w14:textId="777F6CE8" w:rsidR="00F022F0" w:rsidRDefault="006F4BC3" w:rsidP="00F022F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7374BD">
              <w:rPr>
                <w:rFonts w:ascii="Arial" w:hAnsi="Arial" w:cs="Arial"/>
              </w:rPr>
              <w:t>7</w:t>
            </w:r>
          </w:p>
        </w:tc>
      </w:tr>
      <w:tr w:rsidR="007374BD" w14:paraId="67D64922" w14:textId="77777777" w:rsidTr="00F9002F">
        <w:trPr>
          <w:trHeight w:val="683"/>
        </w:trPr>
        <w:tc>
          <w:tcPr>
            <w:cnfStyle w:val="001000000000" w:firstRow="0" w:lastRow="0" w:firstColumn="1" w:lastColumn="0" w:oddVBand="0" w:evenVBand="0" w:oddHBand="0" w:evenHBand="0" w:firstRowFirstColumn="0" w:firstRowLastColumn="0" w:lastRowFirstColumn="0" w:lastRowLastColumn="0"/>
            <w:tcW w:w="4675" w:type="dxa"/>
          </w:tcPr>
          <w:p w14:paraId="55919190" w14:textId="743DCF82" w:rsidR="007374BD" w:rsidRPr="007374BD" w:rsidRDefault="00B73C5B" w:rsidP="00F022F0">
            <w:pPr>
              <w:jc w:val="both"/>
              <w:rPr>
                <w:rFonts w:ascii="Arial" w:hAnsi="Arial" w:cs="Arial"/>
              </w:rPr>
            </w:pPr>
            <w:r w:rsidRPr="00B73C5B">
              <w:rPr>
                <w:rFonts w:ascii="Arial" w:hAnsi="Arial" w:cs="Arial"/>
              </w:rPr>
              <w:t>Recommendations</w:t>
            </w:r>
          </w:p>
        </w:tc>
        <w:tc>
          <w:tcPr>
            <w:tcW w:w="4675" w:type="dxa"/>
          </w:tcPr>
          <w:p w14:paraId="4C8A11B6" w14:textId="7B6A7946" w:rsidR="007374BD" w:rsidRDefault="006F4BC3" w:rsidP="00F022F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B73C5B">
              <w:rPr>
                <w:rFonts w:ascii="Arial" w:hAnsi="Arial" w:cs="Arial"/>
              </w:rPr>
              <w:t>8</w:t>
            </w:r>
          </w:p>
        </w:tc>
      </w:tr>
      <w:tr w:rsidR="007374BD" w14:paraId="104B24D3" w14:textId="77777777" w:rsidTr="00F9002F">
        <w:trPr>
          <w:cnfStyle w:val="000000100000" w:firstRow="0" w:lastRow="0" w:firstColumn="0" w:lastColumn="0" w:oddVBand="0" w:evenVBand="0" w:oddHBand="1" w:evenHBand="0" w:firstRowFirstColumn="0" w:firstRowLastColumn="0" w:lastRowFirstColumn="0" w:lastRowLastColumn="0"/>
          <w:trHeight w:val="683"/>
        </w:trPr>
        <w:tc>
          <w:tcPr>
            <w:cnfStyle w:val="001000000000" w:firstRow="0" w:lastRow="0" w:firstColumn="1" w:lastColumn="0" w:oddVBand="0" w:evenVBand="0" w:oddHBand="0" w:evenHBand="0" w:firstRowFirstColumn="0" w:firstRowLastColumn="0" w:lastRowFirstColumn="0" w:lastRowLastColumn="0"/>
            <w:tcW w:w="4675" w:type="dxa"/>
          </w:tcPr>
          <w:p w14:paraId="18B38589" w14:textId="0E145285" w:rsidR="007374BD" w:rsidRPr="007374BD" w:rsidRDefault="00B73C5B" w:rsidP="00F022F0">
            <w:pPr>
              <w:jc w:val="both"/>
              <w:rPr>
                <w:rFonts w:ascii="Arial" w:hAnsi="Arial" w:cs="Arial"/>
              </w:rPr>
            </w:pPr>
            <w:r>
              <w:rPr>
                <w:rFonts w:ascii="Arial" w:hAnsi="Arial" w:cs="Arial"/>
              </w:rPr>
              <w:t xml:space="preserve">Conclusions </w:t>
            </w:r>
          </w:p>
        </w:tc>
        <w:tc>
          <w:tcPr>
            <w:tcW w:w="4675" w:type="dxa"/>
          </w:tcPr>
          <w:p w14:paraId="3A169B28" w14:textId="5E26505F" w:rsidR="007374BD" w:rsidRDefault="006F4BC3" w:rsidP="00F022F0">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                                </w:t>
            </w:r>
            <w:r w:rsidR="00B73C5B">
              <w:rPr>
                <w:rFonts w:ascii="Arial" w:hAnsi="Arial" w:cs="Arial"/>
              </w:rPr>
              <w:t>9</w:t>
            </w:r>
          </w:p>
        </w:tc>
      </w:tr>
      <w:tr w:rsidR="005F19F6" w14:paraId="5019150F" w14:textId="77777777" w:rsidTr="00F9002F">
        <w:trPr>
          <w:trHeight w:val="683"/>
        </w:trPr>
        <w:tc>
          <w:tcPr>
            <w:cnfStyle w:val="001000000000" w:firstRow="0" w:lastRow="0" w:firstColumn="1" w:lastColumn="0" w:oddVBand="0" w:evenVBand="0" w:oddHBand="0" w:evenHBand="0" w:firstRowFirstColumn="0" w:firstRowLastColumn="0" w:lastRowFirstColumn="0" w:lastRowLastColumn="0"/>
            <w:tcW w:w="4675" w:type="dxa"/>
          </w:tcPr>
          <w:p w14:paraId="7318A0F6" w14:textId="3C125C59" w:rsidR="005F19F6" w:rsidRDefault="005F19F6" w:rsidP="00F022F0">
            <w:pPr>
              <w:jc w:val="both"/>
              <w:rPr>
                <w:rFonts w:ascii="Arial" w:hAnsi="Arial" w:cs="Arial"/>
              </w:rPr>
            </w:pPr>
            <w:r>
              <w:rPr>
                <w:rFonts w:ascii="Arial" w:hAnsi="Arial" w:cs="Arial"/>
              </w:rPr>
              <w:t xml:space="preserve">References </w:t>
            </w:r>
          </w:p>
        </w:tc>
        <w:tc>
          <w:tcPr>
            <w:tcW w:w="4675" w:type="dxa"/>
          </w:tcPr>
          <w:p w14:paraId="12E40178" w14:textId="569501F4" w:rsidR="005F19F6" w:rsidRDefault="006F4BC3" w:rsidP="00F022F0">
            <w:pPr>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w:t>
            </w:r>
            <w:r w:rsidR="005F19F6">
              <w:rPr>
                <w:rFonts w:ascii="Arial" w:hAnsi="Arial" w:cs="Arial"/>
              </w:rPr>
              <w:t>10</w:t>
            </w:r>
          </w:p>
        </w:tc>
      </w:tr>
    </w:tbl>
    <w:p w14:paraId="2158E39C" w14:textId="77777777" w:rsidR="00F022F0" w:rsidRDefault="00F022F0" w:rsidP="00F022F0">
      <w:pPr>
        <w:jc w:val="both"/>
        <w:rPr>
          <w:rFonts w:ascii="Arial" w:hAnsi="Arial" w:cs="Arial"/>
        </w:rPr>
      </w:pPr>
    </w:p>
    <w:p w14:paraId="745BE91F" w14:textId="77777777" w:rsidR="00F022F0" w:rsidRDefault="00F022F0" w:rsidP="00F022F0">
      <w:pPr>
        <w:jc w:val="both"/>
        <w:rPr>
          <w:rFonts w:ascii="Arial" w:hAnsi="Arial" w:cs="Arial"/>
        </w:rPr>
      </w:pPr>
    </w:p>
    <w:p w14:paraId="1D8230F4" w14:textId="77777777" w:rsidR="00F022F0" w:rsidRDefault="00F022F0" w:rsidP="00F022F0">
      <w:pPr>
        <w:jc w:val="both"/>
        <w:rPr>
          <w:rFonts w:ascii="Arial" w:hAnsi="Arial" w:cs="Arial"/>
        </w:rPr>
      </w:pPr>
    </w:p>
    <w:p w14:paraId="650FD08F" w14:textId="77777777" w:rsidR="00F022F0" w:rsidRDefault="00F022F0" w:rsidP="00F022F0">
      <w:pPr>
        <w:jc w:val="both"/>
        <w:rPr>
          <w:rFonts w:ascii="Arial" w:hAnsi="Arial" w:cs="Arial"/>
        </w:rPr>
      </w:pPr>
    </w:p>
    <w:p w14:paraId="46EBE679" w14:textId="77777777" w:rsidR="00F022F0" w:rsidRDefault="00F022F0" w:rsidP="00F022F0">
      <w:pPr>
        <w:jc w:val="both"/>
        <w:rPr>
          <w:rFonts w:ascii="Arial" w:hAnsi="Arial" w:cs="Arial"/>
        </w:rPr>
      </w:pPr>
    </w:p>
    <w:p w14:paraId="7F7AD6E0" w14:textId="77777777" w:rsidR="00F022F0" w:rsidRDefault="00F022F0" w:rsidP="00F022F0">
      <w:pPr>
        <w:jc w:val="both"/>
        <w:rPr>
          <w:rFonts w:ascii="Arial" w:hAnsi="Arial" w:cs="Arial"/>
        </w:rPr>
      </w:pPr>
    </w:p>
    <w:p w14:paraId="5446267B" w14:textId="77777777" w:rsidR="00F022F0" w:rsidRDefault="00F022F0" w:rsidP="00F022F0">
      <w:pPr>
        <w:jc w:val="both"/>
        <w:rPr>
          <w:rFonts w:ascii="Arial" w:hAnsi="Arial" w:cs="Arial"/>
        </w:rPr>
      </w:pPr>
    </w:p>
    <w:p w14:paraId="6CFBDA0F" w14:textId="77777777" w:rsidR="00F022F0" w:rsidRDefault="00F022F0" w:rsidP="00F022F0">
      <w:pPr>
        <w:jc w:val="both"/>
        <w:rPr>
          <w:rFonts w:ascii="Arial" w:hAnsi="Arial" w:cs="Arial"/>
        </w:rPr>
      </w:pPr>
    </w:p>
    <w:p w14:paraId="59EDCE85" w14:textId="77777777" w:rsidR="00F022F0" w:rsidRDefault="00F022F0" w:rsidP="00F022F0">
      <w:pPr>
        <w:jc w:val="both"/>
        <w:rPr>
          <w:rFonts w:ascii="Arial" w:hAnsi="Arial" w:cs="Arial"/>
        </w:rPr>
      </w:pPr>
    </w:p>
    <w:p w14:paraId="3601AD77" w14:textId="77777777" w:rsidR="00F022F0" w:rsidRDefault="00F022F0" w:rsidP="00F022F0">
      <w:pPr>
        <w:jc w:val="both"/>
        <w:rPr>
          <w:rFonts w:ascii="Arial" w:hAnsi="Arial" w:cs="Arial"/>
        </w:rPr>
      </w:pPr>
    </w:p>
    <w:p w14:paraId="3B164241" w14:textId="77777777" w:rsidR="00F022F0" w:rsidRDefault="00F022F0" w:rsidP="00F022F0">
      <w:pPr>
        <w:jc w:val="both"/>
        <w:rPr>
          <w:rFonts w:ascii="Arial" w:hAnsi="Arial" w:cs="Arial"/>
        </w:rPr>
      </w:pPr>
    </w:p>
    <w:p w14:paraId="5C52F36F" w14:textId="77777777" w:rsidR="00F022F0" w:rsidRDefault="00F022F0" w:rsidP="00F022F0">
      <w:pPr>
        <w:jc w:val="both"/>
        <w:rPr>
          <w:rFonts w:ascii="Arial" w:hAnsi="Arial" w:cs="Arial"/>
        </w:rPr>
      </w:pPr>
    </w:p>
    <w:p w14:paraId="5F5995AA" w14:textId="77777777" w:rsidR="00F022F0" w:rsidRDefault="00F022F0" w:rsidP="00F022F0">
      <w:pPr>
        <w:jc w:val="both"/>
        <w:rPr>
          <w:rFonts w:ascii="Arial" w:hAnsi="Arial" w:cs="Arial"/>
        </w:rPr>
      </w:pPr>
    </w:p>
    <w:p w14:paraId="589E2ADE" w14:textId="77777777" w:rsidR="00F022F0" w:rsidRDefault="00F022F0" w:rsidP="00F022F0">
      <w:pPr>
        <w:jc w:val="both"/>
        <w:rPr>
          <w:rFonts w:ascii="Arial" w:hAnsi="Arial" w:cs="Arial"/>
        </w:rPr>
      </w:pPr>
    </w:p>
    <w:p w14:paraId="0365A300" w14:textId="77777777" w:rsidR="00F022F0" w:rsidRDefault="00F022F0" w:rsidP="00F022F0">
      <w:pPr>
        <w:jc w:val="both"/>
        <w:rPr>
          <w:rFonts w:ascii="Arial" w:hAnsi="Arial" w:cs="Arial"/>
        </w:rPr>
      </w:pPr>
    </w:p>
    <w:p w14:paraId="203335DC" w14:textId="77777777" w:rsidR="00F022F0" w:rsidRDefault="00F022F0" w:rsidP="00F022F0">
      <w:pPr>
        <w:jc w:val="both"/>
        <w:rPr>
          <w:rFonts w:ascii="Arial" w:hAnsi="Arial" w:cs="Arial"/>
        </w:rPr>
      </w:pPr>
    </w:p>
    <w:p w14:paraId="6628372B" w14:textId="77777777" w:rsidR="00F022F0" w:rsidRPr="00F022F0" w:rsidRDefault="00F022F0" w:rsidP="00F022F0">
      <w:pPr>
        <w:jc w:val="both"/>
        <w:rPr>
          <w:rFonts w:ascii="Arial" w:hAnsi="Arial" w:cs="Arial"/>
        </w:rPr>
      </w:pPr>
    </w:p>
    <w:p w14:paraId="0E5F10BD" w14:textId="07EB692A" w:rsidR="007A41BC" w:rsidRPr="007A41BC" w:rsidRDefault="007A41BC" w:rsidP="007A41BC">
      <w:pPr>
        <w:pStyle w:val="Heading1"/>
      </w:pPr>
      <w:r w:rsidRPr="007A41BC">
        <w:t>Introduction</w:t>
      </w:r>
    </w:p>
    <w:p w14:paraId="7011DF46" w14:textId="77777777" w:rsidR="007A41BC" w:rsidRPr="007A41BC" w:rsidRDefault="007A41BC" w:rsidP="007A41BC">
      <w:pPr>
        <w:spacing w:line="360" w:lineRule="auto"/>
        <w:jc w:val="both"/>
        <w:rPr>
          <w:rFonts w:ascii="Arial" w:hAnsi="Arial" w:cs="Arial"/>
          <w:sz w:val="22"/>
          <w:szCs w:val="22"/>
        </w:rPr>
      </w:pPr>
    </w:p>
    <w:p w14:paraId="78AF7E9B" w14:textId="056B7D61" w:rsidR="007A41BC" w:rsidRPr="001A4986" w:rsidRDefault="007A41BC" w:rsidP="007A41BC">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Tourette’s syndrome (TS) is a neurodevelopmental condition characterised by the presence of motor and vocal tics with onset in childhood. Although formally recognised for decades, its classification, diagnosis, and treatment remain subject to ongoing debate. These debates draw on emerging research, shifting understandings of neurodivergence, and tensions between medical and social models of disability. In practice, these issues have implications for service provision, public health policy, and the lived experience of those with TS. This report provides a critical analysis of the classification of TS within the International Classification of Diseases, 11th Revision (ICD-11), explores standard treatment and rehabilitation approaches, and evaluates emerging issues surrounding reclassification and neurodiversity-informed practice. Recommendations for improving diagnosis, treatment pathways, and policy are offered, with consideration of their relevance for clinicians, service planners, educators, and community stakeholders</w:t>
      </w:r>
      <w:r w:rsidR="00322557">
        <w:rPr>
          <w:rFonts w:ascii="Arial" w:hAnsi="Arial" w:cs="Arial"/>
          <w:color w:val="000000" w:themeColor="text1"/>
          <w:sz w:val="22"/>
          <w:szCs w:val="22"/>
        </w:rPr>
        <w:t xml:space="preserve"> (</w:t>
      </w:r>
      <w:r w:rsidR="00322557">
        <w:rPr>
          <w:rFonts w:ascii="Source Sans Pro" w:hAnsi="Source Sans Pro"/>
          <w:color w:val="3A3A3A"/>
          <w:sz w:val="23"/>
          <w:szCs w:val="23"/>
          <w:shd w:val="clear" w:color="auto" w:fill="FFFFFF"/>
        </w:rPr>
        <w:t>Yilmaz and Jankovic, 2025).</w:t>
      </w:r>
    </w:p>
    <w:p w14:paraId="2B08FB19" w14:textId="2F504C33" w:rsidR="007A41BC" w:rsidRPr="001A4986" w:rsidRDefault="007A41BC" w:rsidP="007A41BC">
      <w:pPr>
        <w:spacing w:line="360" w:lineRule="auto"/>
        <w:jc w:val="both"/>
        <w:rPr>
          <w:rFonts w:ascii="Arial" w:hAnsi="Arial" w:cs="Arial"/>
          <w:color w:val="000000" w:themeColor="text1"/>
          <w:sz w:val="22"/>
          <w:szCs w:val="22"/>
        </w:rPr>
      </w:pPr>
    </w:p>
    <w:p w14:paraId="1295B93D" w14:textId="77777777" w:rsidR="007A41BC" w:rsidRPr="001A4986" w:rsidRDefault="007A41BC" w:rsidP="007A41BC">
      <w:pPr>
        <w:spacing w:line="360" w:lineRule="auto"/>
        <w:jc w:val="both"/>
        <w:rPr>
          <w:rFonts w:ascii="Arial" w:hAnsi="Arial" w:cs="Arial"/>
          <w:color w:val="000000" w:themeColor="text1"/>
          <w:sz w:val="22"/>
          <w:szCs w:val="22"/>
        </w:rPr>
      </w:pPr>
    </w:p>
    <w:p w14:paraId="683F0EE6" w14:textId="2CF5FC1A" w:rsidR="00603016" w:rsidRPr="0056290A" w:rsidRDefault="0056290A" w:rsidP="0056290A">
      <w:pPr>
        <w:pStyle w:val="Heading1"/>
      </w:pPr>
      <w:r>
        <w:t xml:space="preserve">1. </w:t>
      </w:r>
      <w:r w:rsidR="007A41BC" w:rsidRPr="001A4986">
        <w:t>Classification and Diagnosis</w:t>
      </w:r>
    </w:p>
    <w:p w14:paraId="6284FDC9" w14:textId="72E221FE"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1.1 Classification of Tourette’s Syndrome in ICD-11</w:t>
      </w:r>
    </w:p>
    <w:p w14:paraId="29CA2432" w14:textId="5E873860"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In ICD-11, Tourette’s syndrome (TS) is placed within the “Neurodevelopmental Disorders” chapter, emphasising its early-life onset, developmental trajectory and relationship to atypical neurological pathways. This categorisation positions TS alongside autism spectrum disorder, developmental language disorders and ADHD, reflecting the shared features of childhood emergence, variability over time and complex interactions between genetic and environmental influences. By using terms such as “syndrome,” “tic disorder”</w:t>
      </w:r>
      <w:r w:rsidR="005C6879">
        <w:rPr>
          <w:rFonts w:ascii="Arial" w:hAnsi="Arial" w:cs="Arial"/>
          <w:color w:val="000000" w:themeColor="text1"/>
          <w:sz w:val="22"/>
          <w:szCs w:val="22"/>
        </w:rPr>
        <w:t>,</w:t>
      </w:r>
      <w:r w:rsidRPr="001A4986">
        <w:rPr>
          <w:rFonts w:ascii="Arial" w:hAnsi="Arial" w:cs="Arial"/>
          <w:color w:val="000000" w:themeColor="text1"/>
          <w:sz w:val="22"/>
          <w:szCs w:val="22"/>
        </w:rPr>
        <w:t xml:space="preserve"> and “abnormal movements or vocalisations,” ICD-11 reinforces a primarily biomedical conceptualisation. This approach provides diagnostic clarity and ensures consistency for research, epidemiological monitoring and service planning. However, </w:t>
      </w:r>
      <w:r w:rsidR="008C2742">
        <w:rPr>
          <w:rFonts w:ascii="Arial" w:hAnsi="Arial" w:cs="Arial"/>
          <w:color w:val="000000" w:themeColor="text1"/>
          <w:sz w:val="22"/>
          <w:szCs w:val="22"/>
        </w:rPr>
        <w:t>in</w:t>
      </w:r>
      <w:r w:rsidR="00FF67FF">
        <w:rPr>
          <w:rFonts w:ascii="Arial" w:hAnsi="Arial" w:cs="Arial"/>
          <w:color w:val="000000" w:themeColor="text1"/>
          <w:sz w:val="22"/>
          <w:szCs w:val="22"/>
        </w:rPr>
        <w:t xml:space="preserve"> </w:t>
      </w:r>
      <w:r w:rsidR="00FF67FF" w:rsidRPr="00FF67FF">
        <w:rPr>
          <w:rFonts w:ascii="Arial" w:hAnsi="Arial" w:cs="Arial"/>
          <w:color w:val="000000" w:themeColor="text1"/>
          <w:sz w:val="22"/>
          <w:szCs w:val="22"/>
        </w:rPr>
        <w:t>Hobson</w:t>
      </w:r>
      <w:r w:rsidR="00FF67FF">
        <w:rPr>
          <w:rFonts w:ascii="Arial" w:hAnsi="Arial" w:cs="Arial"/>
          <w:color w:val="000000" w:themeColor="text1"/>
          <w:sz w:val="22"/>
          <w:szCs w:val="22"/>
        </w:rPr>
        <w:t xml:space="preserve"> </w:t>
      </w:r>
      <w:r w:rsidR="00FF67FF">
        <w:rPr>
          <w:rFonts w:ascii="Arial" w:hAnsi="Arial" w:cs="Arial"/>
          <w:i/>
          <w:iCs/>
          <w:color w:val="000000" w:themeColor="text1"/>
          <w:sz w:val="22"/>
          <w:szCs w:val="22"/>
        </w:rPr>
        <w:t>et al.</w:t>
      </w:r>
      <w:r w:rsidR="006F6624">
        <w:rPr>
          <w:rFonts w:ascii="Arial" w:hAnsi="Arial" w:cs="Arial"/>
          <w:i/>
          <w:iCs/>
          <w:color w:val="000000" w:themeColor="text1"/>
          <w:sz w:val="22"/>
          <w:szCs w:val="22"/>
        </w:rPr>
        <w:t xml:space="preserve"> </w:t>
      </w:r>
      <w:r w:rsidR="006F6624">
        <w:rPr>
          <w:rFonts w:ascii="Arial" w:hAnsi="Arial" w:cs="Arial"/>
          <w:color w:val="000000" w:themeColor="text1"/>
          <w:sz w:val="22"/>
          <w:szCs w:val="22"/>
        </w:rPr>
        <w:t>(2024)</w:t>
      </w:r>
      <w:r w:rsidR="006F6624">
        <w:rPr>
          <w:rFonts w:ascii="Arial" w:hAnsi="Arial" w:cs="Arial"/>
          <w:i/>
          <w:iCs/>
          <w:color w:val="000000" w:themeColor="text1"/>
          <w:sz w:val="22"/>
          <w:szCs w:val="22"/>
        </w:rPr>
        <w:t>,</w:t>
      </w:r>
      <w:r w:rsidR="008C2742">
        <w:rPr>
          <w:rFonts w:ascii="Arial" w:hAnsi="Arial" w:cs="Arial"/>
          <w:color w:val="000000" w:themeColor="text1"/>
          <w:sz w:val="22"/>
          <w:szCs w:val="22"/>
        </w:rPr>
        <w:t xml:space="preserve"> </w:t>
      </w:r>
      <w:r w:rsidR="006F6624">
        <w:rPr>
          <w:rFonts w:ascii="Arial" w:hAnsi="Arial" w:cs="Arial"/>
          <w:color w:val="000000" w:themeColor="text1"/>
          <w:sz w:val="22"/>
          <w:szCs w:val="22"/>
        </w:rPr>
        <w:t xml:space="preserve">the terminology has been critiqued by </w:t>
      </w:r>
      <w:r w:rsidR="006F6624">
        <w:rPr>
          <w:rFonts w:ascii="Arial" w:hAnsi="Arial" w:cs="Arial"/>
          <w:color w:val="000000" w:themeColor="text1"/>
          <w:sz w:val="22"/>
          <w:szCs w:val="22"/>
        </w:rPr>
        <w:lastRenderedPageBreak/>
        <w:t>advocates who argue that it</w:t>
      </w:r>
      <w:r w:rsidRPr="001A4986">
        <w:rPr>
          <w:rFonts w:ascii="Arial" w:hAnsi="Arial" w:cs="Arial"/>
          <w:color w:val="000000" w:themeColor="text1"/>
          <w:sz w:val="22"/>
          <w:szCs w:val="22"/>
        </w:rPr>
        <w:t xml:space="preserve"> may inadvertently </w:t>
      </w:r>
      <w:proofErr w:type="spellStart"/>
      <w:r w:rsidR="004C6FA8">
        <w:rPr>
          <w:rFonts w:ascii="Arial" w:hAnsi="Arial" w:cs="Arial"/>
          <w:color w:val="000000" w:themeColor="text1"/>
          <w:sz w:val="22"/>
          <w:szCs w:val="22"/>
        </w:rPr>
        <w:t>pathologise</w:t>
      </w:r>
      <w:proofErr w:type="spellEnd"/>
      <w:r w:rsidRPr="001A4986">
        <w:rPr>
          <w:rFonts w:ascii="Arial" w:hAnsi="Arial" w:cs="Arial"/>
          <w:color w:val="000000" w:themeColor="text1"/>
          <w:sz w:val="22"/>
          <w:szCs w:val="22"/>
        </w:rPr>
        <w:t xml:space="preserve"> natural variation in neurodevelopment. Some individuals with TS report that medicalised labels do not reflect the full spectrum of experiences, particularly where tics coexist with strengths such as creativity, resilience or rapid cognitive processing. As the neurodiversity movement grows, there is increasing debate about whether current classification frameworks adequately capture lived experience or whether more neutral, descriptive terminology would be more appropriate</w:t>
      </w:r>
      <w:r w:rsidR="000D7069">
        <w:rPr>
          <w:rFonts w:ascii="Arial" w:hAnsi="Arial" w:cs="Arial"/>
          <w:color w:val="000000" w:themeColor="text1"/>
          <w:sz w:val="22"/>
          <w:szCs w:val="22"/>
        </w:rPr>
        <w:t xml:space="preserve"> (</w:t>
      </w:r>
      <w:r w:rsidR="000D7069" w:rsidRPr="000D7069">
        <w:rPr>
          <w:rFonts w:ascii="Arial" w:hAnsi="Arial" w:cs="Arial"/>
          <w:color w:val="000000" w:themeColor="text1"/>
          <w:sz w:val="22"/>
          <w:szCs w:val="22"/>
        </w:rPr>
        <w:t>Grant </w:t>
      </w:r>
      <w:r w:rsidR="000D7069" w:rsidRPr="000D7069">
        <w:rPr>
          <w:rFonts w:ascii="Arial" w:hAnsi="Arial" w:cs="Arial"/>
          <w:i/>
          <w:iCs/>
          <w:color w:val="000000" w:themeColor="text1"/>
          <w:sz w:val="22"/>
          <w:szCs w:val="22"/>
        </w:rPr>
        <w:t>et al</w:t>
      </w:r>
      <w:r w:rsidR="000D7069">
        <w:rPr>
          <w:rFonts w:ascii="Arial" w:hAnsi="Arial" w:cs="Arial"/>
          <w:i/>
          <w:iCs/>
          <w:color w:val="000000" w:themeColor="text1"/>
          <w:sz w:val="22"/>
          <w:szCs w:val="22"/>
        </w:rPr>
        <w:t xml:space="preserve">., </w:t>
      </w:r>
      <w:r w:rsidR="000D7069" w:rsidRPr="000D7069">
        <w:rPr>
          <w:rFonts w:ascii="Arial" w:hAnsi="Arial" w:cs="Arial"/>
          <w:color w:val="000000" w:themeColor="text1"/>
          <w:sz w:val="22"/>
          <w:szCs w:val="22"/>
        </w:rPr>
        <w:t>2025)</w:t>
      </w:r>
      <w:r w:rsidRPr="001A4986">
        <w:rPr>
          <w:rFonts w:ascii="Arial" w:hAnsi="Arial" w:cs="Arial"/>
          <w:color w:val="000000" w:themeColor="text1"/>
          <w:sz w:val="22"/>
          <w:szCs w:val="22"/>
        </w:rPr>
        <w:t>.</w:t>
      </w:r>
    </w:p>
    <w:p w14:paraId="5B6CDAD5" w14:textId="10B4969F"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1.2 Diagnostic Criteria</w:t>
      </w:r>
    </w:p>
    <w:p w14:paraId="6C3C22CA" w14:textId="35D2421F"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The ICD-11 criteria for TS retain continuity with earlier diagnostic systems while offering more precise distinctions between tic presentations. Requiring both motor and vocal tics for over one year supports diagnostic accuracy and avoids unnecessary labelling of transient childhood behaviours. The emphasis on developmental onset recognises the strong evidence for genetic predisposition and the influence of brain maturation. The inclusion of impairment or distress criteria operationalises the need for clinical relevance, ensuring </w:t>
      </w:r>
      <w:r w:rsidR="005C6879">
        <w:rPr>
          <w:rFonts w:ascii="Arial" w:hAnsi="Arial" w:cs="Arial"/>
          <w:color w:val="000000" w:themeColor="text1"/>
          <w:sz w:val="22"/>
          <w:szCs w:val="22"/>
        </w:rPr>
        <w:t xml:space="preserve">that the diagnosis is not applied solely on the basis of </w:t>
      </w:r>
      <w:r w:rsidRPr="001A4986">
        <w:rPr>
          <w:rFonts w:ascii="Arial" w:hAnsi="Arial" w:cs="Arial"/>
          <w:color w:val="000000" w:themeColor="text1"/>
          <w:sz w:val="22"/>
          <w:szCs w:val="22"/>
        </w:rPr>
        <w:t>observable behaviour. The broader spectrum of tic disorders acknowledged in ICD-11 enables clinicians to adopt a stepped approach, identifying early indicators and monitoring progression without prematurely assigning a lifelong diagnosis</w:t>
      </w:r>
      <w:r w:rsidR="009E6B1C">
        <w:rPr>
          <w:rFonts w:ascii="Arial" w:hAnsi="Arial" w:cs="Arial"/>
          <w:color w:val="000000" w:themeColor="text1"/>
          <w:sz w:val="22"/>
          <w:szCs w:val="22"/>
        </w:rPr>
        <w:t xml:space="preserve"> </w:t>
      </w:r>
      <w:r w:rsidR="00995111" w:rsidRPr="00995111">
        <w:rPr>
          <w:rFonts w:ascii="Arial" w:hAnsi="Arial" w:cs="Arial"/>
          <w:color w:val="000000" w:themeColor="text1"/>
          <w:sz w:val="22"/>
          <w:szCs w:val="22"/>
        </w:rPr>
        <w:t>Baldermann </w:t>
      </w:r>
      <w:r w:rsidR="00995111" w:rsidRPr="00995111">
        <w:rPr>
          <w:rFonts w:ascii="Arial" w:hAnsi="Arial" w:cs="Arial"/>
          <w:i/>
          <w:iCs/>
          <w:color w:val="000000" w:themeColor="text1"/>
          <w:sz w:val="22"/>
          <w:szCs w:val="22"/>
        </w:rPr>
        <w:t>et al.</w:t>
      </w:r>
      <w:r w:rsidR="00995111">
        <w:rPr>
          <w:rFonts w:ascii="Arial" w:hAnsi="Arial" w:cs="Arial"/>
          <w:i/>
          <w:iCs/>
          <w:color w:val="000000" w:themeColor="text1"/>
          <w:sz w:val="22"/>
          <w:szCs w:val="22"/>
        </w:rPr>
        <w:t>,</w:t>
      </w:r>
      <w:r w:rsidR="00995111" w:rsidRPr="00995111">
        <w:rPr>
          <w:rFonts w:ascii="Arial" w:hAnsi="Arial" w:cs="Arial"/>
          <w:color w:val="000000" w:themeColor="text1"/>
          <w:sz w:val="22"/>
          <w:szCs w:val="22"/>
        </w:rPr>
        <w:t> 2025</w:t>
      </w:r>
      <w:r w:rsidR="00995111">
        <w:rPr>
          <w:rFonts w:ascii="Arial" w:hAnsi="Arial" w:cs="Arial"/>
          <w:color w:val="000000" w:themeColor="text1"/>
          <w:sz w:val="22"/>
          <w:szCs w:val="22"/>
        </w:rPr>
        <w:t>).</w:t>
      </w:r>
    </w:p>
    <w:p w14:paraId="1FA74613" w14:textId="6FE434CA"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1.3 Diagnostic Processes</w:t>
      </w:r>
    </w:p>
    <w:p w14:paraId="5932AE99" w14:textId="4135FA55" w:rsidR="007A41BC" w:rsidRPr="000626CC"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Diagnosis in routine practice remains </w:t>
      </w:r>
      <w:r w:rsidR="005C6879">
        <w:rPr>
          <w:rFonts w:ascii="Arial" w:hAnsi="Arial" w:cs="Arial"/>
          <w:color w:val="000000" w:themeColor="text1"/>
          <w:sz w:val="22"/>
          <w:szCs w:val="22"/>
        </w:rPr>
        <w:t>primarily</w:t>
      </w:r>
      <w:r w:rsidRPr="001A4986">
        <w:rPr>
          <w:rFonts w:ascii="Arial" w:hAnsi="Arial" w:cs="Arial"/>
          <w:color w:val="000000" w:themeColor="text1"/>
          <w:sz w:val="22"/>
          <w:szCs w:val="22"/>
        </w:rPr>
        <w:t xml:space="preserve"> clinical, relying on careful observation and structured interviews to capture tic phenomenology, premonitory sensations and context-related fluctuations. Evaluation of co-occurring conditions is essential, given the high prevalence of ADHD, OCD, anxiety and emotional regulation difficulties among individuals with TS. Standardised tools such as the YGTSS support objective assessment and facilitate monitoring of change over time</w:t>
      </w:r>
      <w:r w:rsidR="00D320CE">
        <w:rPr>
          <w:rFonts w:ascii="Arial" w:hAnsi="Arial" w:cs="Arial"/>
          <w:color w:val="000000" w:themeColor="text1"/>
          <w:sz w:val="22"/>
          <w:szCs w:val="22"/>
        </w:rPr>
        <w:t xml:space="preserve"> (Ho </w:t>
      </w:r>
      <w:r w:rsidR="00D320CE">
        <w:rPr>
          <w:rFonts w:ascii="Arial" w:hAnsi="Arial" w:cs="Arial"/>
          <w:i/>
          <w:iCs/>
          <w:color w:val="000000" w:themeColor="text1"/>
          <w:sz w:val="22"/>
          <w:szCs w:val="22"/>
        </w:rPr>
        <w:t xml:space="preserve">et al., </w:t>
      </w:r>
      <w:r w:rsidR="00D320CE">
        <w:rPr>
          <w:rFonts w:ascii="Arial" w:hAnsi="Arial" w:cs="Arial"/>
          <w:color w:val="000000" w:themeColor="text1"/>
          <w:sz w:val="22"/>
          <w:szCs w:val="22"/>
        </w:rPr>
        <w:t>2020)</w:t>
      </w:r>
      <w:r w:rsidRPr="001A4986">
        <w:rPr>
          <w:rFonts w:ascii="Arial" w:hAnsi="Arial" w:cs="Arial"/>
          <w:color w:val="000000" w:themeColor="text1"/>
          <w:sz w:val="22"/>
          <w:szCs w:val="22"/>
        </w:rPr>
        <w:t>. Although neuroimaging is not required for diagnosis, it may be utilised in atypical cases to exclude alternative neurological conditions. A persistent concern, however, is the variability of diagnostic pathways across regions. Long waiting lists, inconsistent referral criteria and limited specialist provision contribute to delays that can affect educational planning and early intervention. Strengthening cross-sector training, clarifying referral guidelines and improving pathway coordination remain key priorities identified in current policy and clinical literature</w:t>
      </w:r>
      <w:r w:rsidR="000626CC">
        <w:rPr>
          <w:rFonts w:ascii="Arial" w:hAnsi="Arial" w:cs="Arial"/>
          <w:color w:val="000000" w:themeColor="text1"/>
          <w:sz w:val="22"/>
          <w:szCs w:val="22"/>
        </w:rPr>
        <w:t xml:space="preserve"> (Rattu </w:t>
      </w:r>
      <w:r w:rsidR="000626CC">
        <w:rPr>
          <w:rFonts w:ascii="Arial" w:hAnsi="Arial" w:cs="Arial"/>
          <w:i/>
          <w:iCs/>
          <w:color w:val="000000" w:themeColor="text1"/>
          <w:sz w:val="22"/>
          <w:szCs w:val="22"/>
        </w:rPr>
        <w:t xml:space="preserve">et al., </w:t>
      </w:r>
      <w:r w:rsidR="000626CC">
        <w:rPr>
          <w:rFonts w:ascii="Arial" w:hAnsi="Arial" w:cs="Arial"/>
          <w:color w:val="000000" w:themeColor="text1"/>
          <w:sz w:val="22"/>
          <w:szCs w:val="22"/>
        </w:rPr>
        <w:t>2025).</w:t>
      </w:r>
    </w:p>
    <w:p w14:paraId="44196C85" w14:textId="399D204B" w:rsidR="007A41BC" w:rsidRPr="001A4986" w:rsidRDefault="007A41BC" w:rsidP="007A41BC">
      <w:pPr>
        <w:spacing w:line="360" w:lineRule="auto"/>
        <w:jc w:val="both"/>
        <w:rPr>
          <w:rFonts w:ascii="Arial" w:hAnsi="Arial" w:cs="Arial"/>
          <w:color w:val="000000" w:themeColor="text1"/>
          <w:sz w:val="22"/>
          <w:szCs w:val="22"/>
        </w:rPr>
      </w:pPr>
    </w:p>
    <w:p w14:paraId="1E64FF36" w14:textId="77777777" w:rsidR="007A41BC" w:rsidRDefault="007A41BC" w:rsidP="007A41BC">
      <w:pPr>
        <w:spacing w:line="360" w:lineRule="auto"/>
        <w:jc w:val="both"/>
        <w:rPr>
          <w:rFonts w:ascii="Arial" w:hAnsi="Arial" w:cs="Arial"/>
          <w:color w:val="000000" w:themeColor="text1"/>
          <w:sz w:val="22"/>
          <w:szCs w:val="22"/>
        </w:rPr>
      </w:pPr>
    </w:p>
    <w:p w14:paraId="4D70EDF2" w14:textId="77777777" w:rsidR="004C6FA8" w:rsidRDefault="004C6FA8" w:rsidP="007A41BC">
      <w:pPr>
        <w:spacing w:line="360" w:lineRule="auto"/>
        <w:jc w:val="both"/>
        <w:rPr>
          <w:rFonts w:ascii="Arial" w:hAnsi="Arial" w:cs="Arial"/>
          <w:color w:val="000000" w:themeColor="text1"/>
          <w:sz w:val="22"/>
          <w:szCs w:val="22"/>
        </w:rPr>
      </w:pPr>
    </w:p>
    <w:p w14:paraId="10F29AB4" w14:textId="77777777" w:rsidR="001C61EE" w:rsidRDefault="001C61EE" w:rsidP="007A41BC">
      <w:pPr>
        <w:spacing w:line="360" w:lineRule="auto"/>
        <w:jc w:val="both"/>
        <w:rPr>
          <w:rFonts w:ascii="Arial" w:hAnsi="Arial" w:cs="Arial"/>
          <w:color w:val="000000" w:themeColor="text1"/>
          <w:sz w:val="22"/>
          <w:szCs w:val="22"/>
        </w:rPr>
      </w:pPr>
    </w:p>
    <w:p w14:paraId="47794A32" w14:textId="77777777" w:rsidR="004C6FA8" w:rsidRPr="001A4986" w:rsidRDefault="004C6FA8" w:rsidP="007A41BC">
      <w:pPr>
        <w:spacing w:line="360" w:lineRule="auto"/>
        <w:jc w:val="both"/>
        <w:rPr>
          <w:rFonts w:ascii="Arial" w:hAnsi="Arial" w:cs="Arial"/>
          <w:color w:val="000000" w:themeColor="text1"/>
          <w:sz w:val="22"/>
          <w:szCs w:val="22"/>
        </w:rPr>
      </w:pPr>
    </w:p>
    <w:p w14:paraId="13241EF8" w14:textId="3686B7A2" w:rsidR="00D85787" w:rsidRPr="001A4986" w:rsidRDefault="003E1991" w:rsidP="0056290A">
      <w:pPr>
        <w:pStyle w:val="Heading1"/>
        <w:rPr>
          <w:rFonts w:ascii="Arial" w:hAnsi="Arial" w:cs="Arial"/>
          <w:color w:val="000000" w:themeColor="text1"/>
          <w:sz w:val="22"/>
          <w:szCs w:val="22"/>
        </w:rPr>
      </w:pPr>
      <w:r w:rsidRPr="001A4986">
        <w:t xml:space="preserve"> </w:t>
      </w:r>
      <w:r w:rsidR="008E2531">
        <w:t xml:space="preserve">2. </w:t>
      </w:r>
      <w:r w:rsidR="00D85787" w:rsidRPr="001A4986">
        <w:t>Treatment and Rehabilitation</w:t>
      </w:r>
    </w:p>
    <w:p w14:paraId="756D36C5" w14:textId="3BAD8C89" w:rsidR="00D85787" w:rsidRPr="001A4986" w:rsidRDefault="00D85787" w:rsidP="00D85787">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2.1 Standard Treatment Approaches</w:t>
      </w:r>
    </w:p>
    <w:p w14:paraId="660C58EA" w14:textId="6B21AF39"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Management of Tourette’s syndrome (TS) is most effective when it is individualised and responsive to the fluctuating nature of tics. Clinical guidelines emphasise that treatment should be guided by the person’s own goals rather than by the presence of tics alone, recognising that many individuals experience their symptoms as manageable or non-distressing. When intervention is required, behavioural, pharmacological and psychosocial strategies are typically combined to achieve optimal outcomes.</w:t>
      </w:r>
    </w:p>
    <w:p w14:paraId="029D6F96" w14:textId="243F5E3A"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Behavioural Interventions</w:t>
      </w:r>
    </w:p>
    <w:p w14:paraId="49928EA0" w14:textId="04733276" w:rsidR="00D85787" w:rsidRPr="003A3ED1"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CBIT and HRT remain central to evidence-based treatment pathways. Beyond increasing awareness of premonitory urges and introducing competing responses, these interventions also help individuals understand how stress, excitement, and environmental cues influence tic patterns. Behavioural plans often incorporate relaxation training, stimulus control techniques and family involvement to ensure strategies are implemented consistently across contexts. The </w:t>
      </w:r>
      <w:r w:rsidR="003E1991" w:rsidRPr="001A4986">
        <w:rPr>
          <w:rFonts w:ascii="Arial" w:hAnsi="Arial" w:cs="Arial"/>
          <w:color w:val="000000" w:themeColor="text1"/>
          <w:sz w:val="22"/>
          <w:szCs w:val="22"/>
        </w:rPr>
        <w:t>substantial</w:t>
      </w:r>
      <w:r w:rsidRPr="001A4986">
        <w:rPr>
          <w:rFonts w:ascii="Arial" w:hAnsi="Arial" w:cs="Arial"/>
          <w:color w:val="000000" w:themeColor="text1"/>
          <w:sz w:val="22"/>
          <w:szCs w:val="22"/>
        </w:rPr>
        <w:t xml:space="preserve"> evidence supporting CBIT has led to international recommendations; however, availability varies</w:t>
      </w:r>
      <w:r w:rsidR="007C3A65">
        <w:rPr>
          <w:rFonts w:ascii="Arial" w:hAnsi="Arial" w:cs="Arial"/>
          <w:color w:val="000000" w:themeColor="text1"/>
          <w:sz w:val="22"/>
          <w:szCs w:val="22"/>
        </w:rPr>
        <w:t xml:space="preserve"> across regions</w:t>
      </w:r>
      <w:r w:rsidRPr="001A4986">
        <w:rPr>
          <w:rFonts w:ascii="Arial" w:hAnsi="Arial" w:cs="Arial"/>
          <w:color w:val="000000" w:themeColor="text1"/>
          <w:sz w:val="22"/>
          <w:szCs w:val="22"/>
        </w:rPr>
        <w:t xml:space="preserve">, and many </w:t>
      </w:r>
      <w:r w:rsidR="007C3A65">
        <w:rPr>
          <w:rFonts w:ascii="Arial" w:hAnsi="Arial" w:cs="Arial"/>
          <w:color w:val="000000" w:themeColor="text1"/>
          <w:sz w:val="22"/>
          <w:szCs w:val="22"/>
        </w:rPr>
        <w:t>areas</w:t>
      </w:r>
      <w:r w:rsidRPr="001A4986">
        <w:rPr>
          <w:rFonts w:ascii="Arial" w:hAnsi="Arial" w:cs="Arial"/>
          <w:color w:val="000000" w:themeColor="text1"/>
          <w:sz w:val="22"/>
          <w:szCs w:val="22"/>
        </w:rPr>
        <w:t xml:space="preserve"> lack adequately trained clinicians</w:t>
      </w:r>
      <w:r w:rsidR="003A3ED1">
        <w:rPr>
          <w:rFonts w:ascii="Arial" w:hAnsi="Arial" w:cs="Arial"/>
          <w:color w:val="000000" w:themeColor="text1"/>
          <w:sz w:val="22"/>
          <w:szCs w:val="22"/>
        </w:rPr>
        <w:t xml:space="preserve"> (Kohler </w:t>
      </w:r>
      <w:r w:rsidR="003A3ED1">
        <w:rPr>
          <w:rFonts w:ascii="Arial" w:hAnsi="Arial" w:cs="Arial"/>
          <w:i/>
          <w:iCs/>
          <w:color w:val="000000" w:themeColor="text1"/>
          <w:sz w:val="22"/>
          <w:szCs w:val="22"/>
        </w:rPr>
        <w:t>et al.,</w:t>
      </w:r>
      <w:r w:rsidR="003A3ED1">
        <w:rPr>
          <w:rFonts w:ascii="Arial" w:hAnsi="Arial" w:cs="Arial"/>
          <w:color w:val="000000" w:themeColor="text1"/>
          <w:sz w:val="22"/>
          <w:szCs w:val="22"/>
        </w:rPr>
        <w:t xml:space="preserve"> 2025).</w:t>
      </w:r>
    </w:p>
    <w:p w14:paraId="587872A4" w14:textId="67B9E635"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Pharmacological Treatment</w:t>
      </w:r>
    </w:p>
    <w:p w14:paraId="79BE1196" w14:textId="79CCC7B2"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Pharmacotherapy is typically reserved for individuals whose tics cause marked interference or pain. </w:t>
      </w:r>
      <w:r w:rsidR="005C6879">
        <w:rPr>
          <w:rFonts w:ascii="Arial" w:hAnsi="Arial" w:cs="Arial"/>
          <w:color w:val="000000" w:themeColor="text1"/>
          <w:sz w:val="22"/>
          <w:szCs w:val="22"/>
        </w:rPr>
        <w:t>The symptom profile, comorbidities, and tolerability determine the choice of medication</w:t>
      </w:r>
      <w:r w:rsidRPr="001A4986">
        <w:rPr>
          <w:rFonts w:ascii="Arial" w:hAnsi="Arial" w:cs="Arial"/>
          <w:color w:val="000000" w:themeColor="text1"/>
          <w:sz w:val="22"/>
          <w:szCs w:val="22"/>
        </w:rPr>
        <w:t>. Although drugs such as aripiprazole can significantly reduce tic intensity, side effects frequently require careful dosage adjustments and ongoing review</w:t>
      </w:r>
      <w:r w:rsidR="009E4C3A">
        <w:rPr>
          <w:rFonts w:ascii="Arial" w:hAnsi="Arial" w:cs="Arial"/>
          <w:color w:val="000000" w:themeColor="text1"/>
          <w:sz w:val="22"/>
          <w:szCs w:val="22"/>
        </w:rPr>
        <w:t xml:space="preserve"> (Baldermann </w:t>
      </w:r>
      <w:r w:rsidR="009E4C3A">
        <w:rPr>
          <w:rFonts w:ascii="Arial" w:hAnsi="Arial" w:cs="Arial"/>
          <w:i/>
          <w:iCs/>
          <w:color w:val="000000" w:themeColor="text1"/>
          <w:sz w:val="22"/>
          <w:szCs w:val="22"/>
        </w:rPr>
        <w:t xml:space="preserve">et al., </w:t>
      </w:r>
      <w:r w:rsidR="009E4C3A">
        <w:rPr>
          <w:rFonts w:ascii="Arial" w:hAnsi="Arial" w:cs="Arial"/>
          <w:color w:val="000000" w:themeColor="text1"/>
          <w:sz w:val="22"/>
          <w:szCs w:val="22"/>
        </w:rPr>
        <w:t>2025)</w:t>
      </w:r>
      <w:r w:rsidRPr="001A4986">
        <w:rPr>
          <w:rFonts w:ascii="Arial" w:hAnsi="Arial" w:cs="Arial"/>
          <w:color w:val="000000" w:themeColor="text1"/>
          <w:sz w:val="22"/>
          <w:szCs w:val="22"/>
        </w:rPr>
        <w:t xml:space="preserve">. VMAT2 inhibitors offer an alternative mechanism but are less commonly used due to cost and monitoring requirements. Emerging interventions, including DBS and neuromodulation, highlight promising directions for individuals with severe, treatment-resistant presentations, though </w:t>
      </w:r>
      <w:r w:rsidR="003E1991" w:rsidRPr="001A4986">
        <w:rPr>
          <w:rFonts w:ascii="Arial" w:hAnsi="Arial" w:cs="Arial"/>
          <w:color w:val="000000" w:themeColor="text1"/>
          <w:sz w:val="22"/>
          <w:szCs w:val="22"/>
        </w:rPr>
        <w:t>the evidence remains limited</w:t>
      </w:r>
      <w:r w:rsidR="004A0513">
        <w:rPr>
          <w:rFonts w:ascii="Arial" w:hAnsi="Arial" w:cs="Arial"/>
          <w:color w:val="000000" w:themeColor="text1"/>
          <w:sz w:val="22"/>
          <w:szCs w:val="22"/>
        </w:rPr>
        <w:t xml:space="preserve"> </w:t>
      </w:r>
      <w:r w:rsidR="00B114B5">
        <w:rPr>
          <w:rFonts w:ascii="Arial" w:hAnsi="Arial" w:cs="Arial"/>
          <w:color w:val="000000" w:themeColor="text1"/>
          <w:sz w:val="22"/>
          <w:szCs w:val="22"/>
        </w:rPr>
        <w:t>(</w:t>
      </w:r>
      <w:r w:rsidR="004A0513" w:rsidRPr="004A0513">
        <w:rPr>
          <w:rFonts w:ascii="Arial" w:hAnsi="Arial" w:cs="Arial"/>
          <w:color w:val="000000" w:themeColor="text1"/>
          <w:sz w:val="22"/>
          <w:szCs w:val="22"/>
        </w:rPr>
        <w:t>Makhoul and Jankovic, 2023)</w:t>
      </w:r>
      <w:r w:rsidR="004A0513">
        <w:rPr>
          <w:rFonts w:ascii="Arial" w:hAnsi="Arial" w:cs="Arial"/>
          <w:color w:val="000000" w:themeColor="text1"/>
          <w:sz w:val="22"/>
          <w:szCs w:val="22"/>
        </w:rPr>
        <w:t>.</w:t>
      </w:r>
    </w:p>
    <w:p w14:paraId="53A72122" w14:textId="1A0C0965"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2.2 Rehabilitation Measures in ICD-11 and Practice</w:t>
      </w:r>
    </w:p>
    <w:p w14:paraId="43B9349E" w14:textId="6EE71831" w:rsidR="00D85787" w:rsidRPr="003F5C9E"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Rehabilitation within TS focuses on enhancing everyday functioning rather than exclusively targeting tic suppression. Psychoeducation supports individuals, families and teachers in understanding tics and reducing unhelpful responses. Social and educational adjustments aim </w:t>
      </w:r>
      <w:r w:rsidRPr="001A4986">
        <w:rPr>
          <w:rFonts w:ascii="Arial" w:hAnsi="Arial" w:cs="Arial"/>
          <w:color w:val="000000" w:themeColor="text1"/>
          <w:sz w:val="22"/>
          <w:szCs w:val="22"/>
        </w:rPr>
        <w:lastRenderedPageBreak/>
        <w:t xml:space="preserve">to create environments where individuals can participate without penalty or misunderstanding. Occupational therapy plays a key role when tics impact handwriting, motor coordination or daily routines, promoting practical adaptations and self-regulation techniques. Despite these benefits, implementation is uneven. Schools with strong inclusion cultures often provide comprehensive support, whereas others may lack awareness </w:t>
      </w:r>
      <w:r w:rsidR="003E1991" w:rsidRPr="001A4986">
        <w:rPr>
          <w:rFonts w:ascii="Arial" w:hAnsi="Arial" w:cs="Arial"/>
          <w:color w:val="000000" w:themeColor="text1"/>
          <w:sz w:val="22"/>
          <w:szCs w:val="22"/>
        </w:rPr>
        <w:t>of or resources for inclusion</w:t>
      </w:r>
      <w:r w:rsidRPr="001A4986">
        <w:rPr>
          <w:rFonts w:ascii="Arial" w:hAnsi="Arial" w:cs="Arial"/>
          <w:color w:val="000000" w:themeColor="text1"/>
          <w:sz w:val="22"/>
          <w:szCs w:val="22"/>
        </w:rPr>
        <w:t>. This inconsistency results in significant variability in outcomes and underscores the need for clearer national standards and better integration between health, education and social care services</w:t>
      </w:r>
      <w:r w:rsidR="00251B56">
        <w:rPr>
          <w:rFonts w:ascii="Arial" w:hAnsi="Arial" w:cs="Arial"/>
          <w:color w:val="000000" w:themeColor="text1"/>
          <w:sz w:val="22"/>
          <w:szCs w:val="22"/>
        </w:rPr>
        <w:t xml:space="preserve"> (</w:t>
      </w:r>
      <w:r w:rsidR="00251B56" w:rsidRPr="00154B0E">
        <w:rPr>
          <w:rFonts w:ascii="Arial" w:hAnsi="Arial" w:cs="Arial"/>
          <w:color w:val="000000" w:themeColor="text1"/>
          <w:sz w:val="22"/>
          <w:szCs w:val="22"/>
        </w:rPr>
        <w:t xml:space="preserve">Andrén </w:t>
      </w:r>
      <w:r w:rsidR="00251B56" w:rsidRPr="00154B0E">
        <w:rPr>
          <w:rFonts w:ascii="Arial" w:hAnsi="Arial" w:cs="Arial"/>
          <w:i/>
          <w:iCs/>
          <w:color w:val="000000" w:themeColor="text1"/>
          <w:sz w:val="22"/>
          <w:szCs w:val="22"/>
        </w:rPr>
        <w:t>et al.</w:t>
      </w:r>
      <w:r w:rsidR="00251B56">
        <w:rPr>
          <w:rFonts w:ascii="Arial" w:hAnsi="Arial" w:cs="Arial"/>
          <w:i/>
          <w:iCs/>
          <w:color w:val="000000" w:themeColor="text1"/>
          <w:sz w:val="22"/>
          <w:szCs w:val="22"/>
        </w:rPr>
        <w:t>,</w:t>
      </w:r>
      <w:r w:rsidR="00251B56" w:rsidRPr="00154B0E">
        <w:rPr>
          <w:rFonts w:ascii="Arial" w:hAnsi="Arial" w:cs="Arial"/>
          <w:color w:val="000000" w:themeColor="text1"/>
          <w:sz w:val="22"/>
          <w:szCs w:val="22"/>
        </w:rPr>
        <w:t> 2022</w:t>
      </w:r>
      <w:r w:rsidR="00251B56">
        <w:rPr>
          <w:rFonts w:ascii="Arial" w:hAnsi="Arial" w:cs="Arial"/>
          <w:color w:val="000000" w:themeColor="text1"/>
          <w:sz w:val="22"/>
          <w:szCs w:val="22"/>
        </w:rPr>
        <w:t>)</w:t>
      </w:r>
      <w:r w:rsidR="003F5C9E">
        <w:rPr>
          <w:rFonts w:ascii="Arial" w:hAnsi="Arial" w:cs="Arial"/>
          <w:color w:val="000000" w:themeColor="text1"/>
          <w:sz w:val="22"/>
          <w:szCs w:val="22"/>
        </w:rPr>
        <w:t>.</w:t>
      </w:r>
    </w:p>
    <w:p w14:paraId="14A65231" w14:textId="77777777" w:rsidR="00D85787" w:rsidRPr="001A4986" w:rsidRDefault="00D85787" w:rsidP="00383BBB">
      <w:pPr>
        <w:spacing w:line="360" w:lineRule="auto"/>
        <w:jc w:val="both"/>
        <w:rPr>
          <w:rFonts w:ascii="Arial" w:hAnsi="Arial" w:cs="Arial"/>
          <w:color w:val="000000" w:themeColor="text1"/>
          <w:sz w:val="22"/>
          <w:szCs w:val="22"/>
        </w:rPr>
      </w:pPr>
    </w:p>
    <w:p w14:paraId="491AF5F3" w14:textId="336AEE58" w:rsidR="0056290A" w:rsidRPr="0056290A" w:rsidRDefault="006343E4" w:rsidP="0056290A">
      <w:pPr>
        <w:pStyle w:val="Heading1"/>
        <w:jc w:val="both"/>
      </w:pPr>
      <w:r>
        <w:rPr>
          <w:rFonts w:ascii="Arial" w:hAnsi="Arial" w:cs="Arial"/>
          <w:color w:val="000000" w:themeColor="text1"/>
          <w:sz w:val="22"/>
          <w:szCs w:val="22"/>
        </w:rPr>
        <w:t xml:space="preserve"> </w:t>
      </w:r>
      <w:r>
        <w:t>3. E</w:t>
      </w:r>
      <w:r w:rsidR="007A41BC" w:rsidRPr="001A4986">
        <w:t>ffectiveness and Limitations</w:t>
      </w:r>
    </w:p>
    <w:p w14:paraId="6E961E9A" w14:textId="50CC4FB7" w:rsidR="00B30C1E" w:rsidRPr="001A4986" w:rsidRDefault="00D05A5F"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3.1 </w:t>
      </w:r>
      <w:r w:rsidR="00B30C1E" w:rsidRPr="001A4986">
        <w:rPr>
          <w:rFonts w:ascii="Arial" w:hAnsi="Arial" w:cs="Arial"/>
          <w:color w:val="000000" w:themeColor="text1"/>
          <w:sz w:val="22"/>
          <w:szCs w:val="22"/>
        </w:rPr>
        <w:t>Effectiveness</w:t>
      </w:r>
    </w:p>
    <w:p w14:paraId="591B78BA" w14:textId="398BA150" w:rsidR="00B30C1E" w:rsidRPr="005D6946" w:rsidRDefault="00B30C1E"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Behavioural interventions, particularly Comprehensive Behavioural Intervention for Tics (CBIT) and Habit Reversal Training (HRT), demonstrate strong evidence for reducing tic frequency and improving functional outcomes. These approaches help individuals recognise premonitory urges and develop competing responses, supporting greater self-regulation in daily settings. Psychoeducation, offered to both individuals and families, plays a critical role in reducing anxiety, stigma and misunderstanding surrounding the condition. By improving awareness, it often strengthens family coping mechanisms and enhances the capacity for supportive environments at home and school. Pharmacological treatment remains </w:t>
      </w:r>
      <w:r w:rsidR="004471BC" w:rsidRPr="001A4986">
        <w:rPr>
          <w:rFonts w:ascii="Arial" w:hAnsi="Arial" w:cs="Arial"/>
          <w:color w:val="000000" w:themeColor="text1"/>
          <w:sz w:val="22"/>
          <w:szCs w:val="22"/>
        </w:rPr>
        <w:t>vital</w:t>
      </w:r>
      <w:r w:rsidRPr="001A4986">
        <w:rPr>
          <w:rFonts w:ascii="Arial" w:hAnsi="Arial" w:cs="Arial"/>
          <w:color w:val="000000" w:themeColor="text1"/>
          <w:sz w:val="22"/>
          <w:szCs w:val="22"/>
        </w:rPr>
        <w:t xml:space="preserve"> for people with more severe tics or distressing comorbidities such as ADHD, OCD or impulse-control difficulties. Although not curative, medication can produce meaningful reductions in tic intensity and behavioural disruption. Rehabilitation-based strategies, including occupational therapy, speech and language interventions, and school-based adjustments, further </w:t>
      </w:r>
      <w:r w:rsidR="005C6879">
        <w:rPr>
          <w:rFonts w:ascii="Arial" w:hAnsi="Arial" w:cs="Arial"/>
          <w:color w:val="000000" w:themeColor="text1"/>
          <w:sz w:val="22"/>
          <w:szCs w:val="22"/>
        </w:rPr>
        <w:t>improve</w:t>
      </w:r>
      <w:r w:rsidRPr="001A4986">
        <w:rPr>
          <w:rFonts w:ascii="Arial" w:hAnsi="Arial" w:cs="Arial"/>
          <w:color w:val="000000" w:themeColor="text1"/>
          <w:sz w:val="22"/>
          <w:szCs w:val="22"/>
        </w:rPr>
        <w:t xml:space="preserve"> participation, particularly </w:t>
      </w:r>
      <w:r w:rsidR="004471BC" w:rsidRPr="001A4986">
        <w:rPr>
          <w:rFonts w:ascii="Arial" w:hAnsi="Arial" w:cs="Arial"/>
          <w:color w:val="000000" w:themeColor="text1"/>
          <w:sz w:val="22"/>
          <w:szCs w:val="22"/>
        </w:rPr>
        <w:t>when tics affect handwriting, communication,</w:t>
      </w:r>
      <w:r w:rsidRPr="001A4986">
        <w:rPr>
          <w:rFonts w:ascii="Arial" w:hAnsi="Arial" w:cs="Arial"/>
          <w:color w:val="000000" w:themeColor="text1"/>
          <w:sz w:val="22"/>
          <w:szCs w:val="22"/>
        </w:rPr>
        <w:t xml:space="preserve"> or social integration. These combined approaches support a more holistic model of care</w:t>
      </w:r>
      <w:r w:rsidR="00A80285">
        <w:rPr>
          <w:rFonts w:ascii="Arial" w:hAnsi="Arial" w:cs="Arial"/>
          <w:color w:val="000000" w:themeColor="text1"/>
          <w:sz w:val="22"/>
          <w:szCs w:val="22"/>
        </w:rPr>
        <w:t xml:space="preserve"> (Woods</w:t>
      </w:r>
      <w:r w:rsidR="005D6946">
        <w:rPr>
          <w:rFonts w:ascii="Arial" w:hAnsi="Arial" w:cs="Arial"/>
          <w:color w:val="000000" w:themeColor="text1"/>
          <w:sz w:val="22"/>
          <w:szCs w:val="22"/>
        </w:rPr>
        <w:t xml:space="preserve"> </w:t>
      </w:r>
      <w:r w:rsidR="005D6946">
        <w:rPr>
          <w:rFonts w:ascii="Arial" w:hAnsi="Arial" w:cs="Arial"/>
          <w:i/>
          <w:iCs/>
          <w:color w:val="000000" w:themeColor="text1"/>
          <w:sz w:val="22"/>
          <w:szCs w:val="22"/>
        </w:rPr>
        <w:t xml:space="preserve">et al., </w:t>
      </w:r>
      <w:r w:rsidR="005D6946">
        <w:rPr>
          <w:rFonts w:ascii="Arial" w:hAnsi="Arial" w:cs="Arial"/>
          <w:color w:val="000000" w:themeColor="text1"/>
          <w:sz w:val="22"/>
          <w:szCs w:val="22"/>
        </w:rPr>
        <w:t>2023).</w:t>
      </w:r>
    </w:p>
    <w:p w14:paraId="4CC30114" w14:textId="6633D2F8" w:rsidR="00B30C1E"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3.2 </w:t>
      </w:r>
      <w:r w:rsidR="00B30C1E" w:rsidRPr="001A4986">
        <w:rPr>
          <w:rFonts w:ascii="Arial" w:hAnsi="Arial" w:cs="Arial"/>
          <w:color w:val="000000" w:themeColor="text1"/>
          <w:sz w:val="22"/>
          <w:szCs w:val="22"/>
        </w:rPr>
        <w:t>Limitations</w:t>
      </w:r>
    </w:p>
    <w:p w14:paraId="142FDAEF" w14:textId="25D194FB" w:rsidR="007A41BC" w:rsidRDefault="00B30C1E"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Despite these benefits, several constraints weaken the overall consistency and accessibility of care. Behavioural therapies require specialist clinicians, yet provision across the NHS remains uneven, leading to long waiting times and limited availability in some regions. Medication, while effective for symptom reduction, is often associated with adverse effects such as sedation, weight gain or mood changes, which reduce adherence and limit suitability for long-term management. Rehabilitation approaches depend heavily on cross-sector collaboration, and outcomes vary according to school engagement, staffing levels and </w:t>
      </w:r>
      <w:r w:rsidRPr="001A4986">
        <w:rPr>
          <w:rFonts w:ascii="Arial" w:hAnsi="Arial" w:cs="Arial"/>
          <w:color w:val="000000" w:themeColor="text1"/>
          <w:sz w:val="22"/>
          <w:szCs w:val="22"/>
        </w:rPr>
        <w:lastRenderedPageBreak/>
        <w:t>awareness of neurodiversity. Many individuals report that professionals lack confidence or training in recognising the complex presentations of Tourette’s syndrome, resulting in fragmented care pathways. Furthermore, there is relatively limited research on long-term outcomes, especially into adulthood, restricting clinicians’ ability to predict prognosis or tailor interventions over time. These limitations suggest that treatment pathways require systemic strengthening and more consistent neurodevelopmental service models</w:t>
      </w:r>
      <w:r w:rsidR="00DA18C8">
        <w:rPr>
          <w:rFonts w:ascii="Arial" w:hAnsi="Arial" w:cs="Arial"/>
          <w:color w:val="000000" w:themeColor="text1"/>
          <w:sz w:val="22"/>
          <w:szCs w:val="22"/>
        </w:rPr>
        <w:t xml:space="preserve"> (</w:t>
      </w:r>
      <w:r w:rsidR="00DA18C8" w:rsidRPr="00DA18C8">
        <w:rPr>
          <w:rFonts w:ascii="Arial" w:hAnsi="Arial" w:cs="Arial"/>
          <w:color w:val="000000" w:themeColor="text1"/>
          <w:sz w:val="22"/>
          <w:szCs w:val="22"/>
        </w:rPr>
        <w:t>Morand-Beaulieu and Leclerc, 2020)</w:t>
      </w:r>
      <w:r w:rsidR="00DA18C8">
        <w:rPr>
          <w:rFonts w:ascii="Arial" w:hAnsi="Arial" w:cs="Arial"/>
          <w:color w:val="000000" w:themeColor="text1"/>
          <w:sz w:val="22"/>
          <w:szCs w:val="22"/>
        </w:rPr>
        <w:t>.</w:t>
      </w:r>
    </w:p>
    <w:p w14:paraId="4C6EE572" w14:textId="77777777" w:rsidR="00D6346E" w:rsidRPr="001A4986" w:rsidRDefault="00D6346E" w:rsidP="001A4986">
      <w:pPr>
        <w:spacing w:line="360" w:lineRule="auto"/>
        <w:jc w:val="both"/>
        <w:rPr>
          <w:rFonts w:ascii="Arial" w:hAnsi="Arial" w:cs="Arial"/>
          <w:color w:val="000000" w:themeColor="text1"/>
          <w:sz w:val="22"/>
          <w:szCs w:val="22"/>
        </w:rPr>
      </w:pPr>
    </w:p>
    <w:p w14:paraId="7E1B72F4" w14:textId="4AB8D261" w:rsidR="002D471B" w:rsidRPr="001A4986" w:rsidRDefault="006343E4" w:rsidP="0056290A">
      <w:pPr>
        <w:pStyle w:val="Heading1"/>
        <w:spacing w:line="360" w:lineRule="auto"/>
        <w:jc w:val="both"/>
        <w:rPr>
          <w:rFonts w:ascii="Arial" w:hAnsi="Arial" w:cs="Arial"/>
          <w:color w:val="000000" w:themeColor="text1"/>
          <w:sz w:val="22"/>
          <w:szCs w:val="22"/>
        </w:rPr>
      </w:pPr>
      <w:r>
        <w:t>4. C</w:t>
      </w:r>
      <w:r w:rsidR="002D471B" w:rsidRPr="001A4986">
        <w:t>urrent Debates and Emerging Issues</w:t>
      </w:r>
    </w:p>
    <w:p w14:paraId="2E056E0B" w14:textId="2D4CBCB1"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.1 Debates Surrounding Classification</w:t>
      </w:r>
    </w:p>
    <w:p w14:paraId="49660B36" w14:textId="69103B7F" w:rsidR="002D471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Debates surrounding the classification of Tourette’s syndrome (TS) reflect broader tensions between biomedical frameworks and evolving neurodiversity perspectives. Critics argue that the continued use of the term “disorder” reinforces a pathological view that does not fully capture the spectrum of experiences associated with tics. Many individuals report that their tics fluctuate over time, can be influenced by context, and may not always be distressing or disabling. As a result, some suggest that the neurodevelopmental category used in DSM-5 and ICD-11 does not sufficiently account for lived complexity, particularly in cases where tics coexist with creativity, hyperfocus or sensory strengths. This debate highlights competing priorities: clinical systems rely on medical labels for access to care, while advocates emphasise identity, acceptance and human variation</w:t>
      </w:r>
      <w:r w:rsidR="00A07D85">
        <w:rPr>
          <w:rFonts w:ascii="Arial" w:hAnsi="Arial" w:cs="Arial"/>
          <w:color w:val="000000" w:themeColor="text1"/>
          <w:sz w:val="22"/>
          <w:szCs w:val="22"/>
        </w:rPr>
        <w:t>.</w:t>
      </w:r>
    </w:p>
    <w:p w14:paraId="3AF9BBF3" w14:textId="0B372A0C" w:rsidR="002D471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The tension between medical and neurodiversity models has prompted discussion on whether current terminology limits opportunities for empowerment. Suggestions for reclassification—such as conceptualising TS within broader motor control conditions or reframing it as a neurodivergent trait—aim to reduce stigma and promote a strengths-based approach. Although not yet reflected in international diagnostic manuals, these proposals continue to influence academic discourse and service-user movements</w:t>
      </w:r>
      <w:r w:rsidR="00A07D85">
        <w:rPr>
          <w:rFonts w:ascii="Arial" w:hAnsi="Arial" w:cs="Arial"/>
          <w:color w:val="000000" w:themeColor="text1"/>
          <w:sz w:val="22"/>
          <w:szCs w:val="22"/>
        </w:rPr>
        <w:t xml:space="preserve"> (</w:t>
      </w:r>
      <w:r w:rsidR="00A07D85" w:rsidRPr="005A6F49">
        <w:rPr>
          <w:rFonts w:ascii="Arial" w:hAnsi="Arial" w:cs="Arial"/>
          <w:color w:val="000000" w:themeColor="text1"/>
          <w:sz w:val="22"/>
          <w:szCs w:val="22"/>
        </w:rPr>
        <w:t>Szejko </w:t>
      </w:r>
      <w:r w:rsidR="00A07D85" w:rsidRPr="005A6F49">
        <w:rPr>
          <w:rFonts w:ascii="Arial" w:hAnsi="Arial" w:cs="Arial"/>
          <w:i/>
          <w:iCs/>
          <w:color w:val="000000" w:themeColor="text1"/>
          <w:sz w:val="22"/>
          <w:szCs w:val="22"/>
        </w:rPr>
        <w:t>et al.</w:t>
      </w:r>
      <w:r w:rsidR="00A07D85">
        <w:rPr>
          <w:rFonts w:ascii="Arial" w:hAnsi="Arial" w:cs="Arial"/>
          <w:i/>
          <w:iCs/>
          <w:color w:val="000000" w:themeColor="text1"/>
          <w:sz w:val="22"/>
          <w:szCs w:val="22"/>
        </w:rPr>
        <w:t>,</w:t>
      </w:r>
      <w:r w:rsidR="00A07D85" w:rsidRPr="005A6F49">
        <w:rPr>
          <w:rFonts w:ascii="Arial" w:hAnsi="Arial" w:cs="Arial"/>
          <w:color w:val="000000" w:themeColor="text1"/>
          <w:sz w:val="22"/>
          <w:szCs w:val="22"/>
        </w:rPr>
        <w:t> 2022)</w:t>
      </w:r>
      <w:r w:rsidR="00A07D85">
        <w:rPr>
          <w:rFonts w:ascii="Arial" w:hAnsi="Arial" w:cs="Arial"/>
          <w:color w:val="000000" w:themeColor="text1"/>
          <w:sz w:val="22"/>
          <w:szCs w:val="22"/>
        </w:rPr>
        <w:t>.</w:t>
      </w:r>
    </w:p>
    <w:p w14:paraId="7F2ECC30" w14:textId="4844E572"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.2 Debates in Treatment Approaches</w:t>
      </w:r>
    </w:p>
    <w:p w14:paraId="0A6F3D1C" w14:textId="206E544C" w:rsidR="002D471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Debates in treatment reflect similar ethical and philosophical questions. While some clinicians aim for tic reduction to minimise impairment, others highlight that suppressing tics without addressing social stressors may inadvertently reinforce stigma. The ethical dilemma is particularly pronounced in children, where treatment may be sought to meet social expectations rather than the child’s own goals. Long-term management also raises questions </w:t>
      </w:r>
      <w:r w:rsidRPr="001A4986">
        <w:rPr>
          <w:rFonts w:ascii="Arial" w:hAnsi="Arial" w:cs="Arial"/>
          <w:color w:val="000000" w:themeColor="text1"/>
          <w:sz w:val="22"/>
          <w:szCs w:val="22"/>
        </w:rPr>
        <w:lastRenderedPageBreak/>
        <w:t>about the appropriate balance between medication and behavioural therapy, especially given the side effects associated with pharmacological interventions. Inequities in access to CBIT-trained practitioners further intensify these concerns by limiting choice and autonomy in care pathways</w:t>
      </w:r>
      <w:r w:rsidR="00661C18">
        <w:rPr>
          <w:rFonts w:ascii="Arial" w:hAnsi="Arial" w:cs="Arial"/>
          <w:color w:val="000000" w:themeColor="text1"/>
          <w:sz w:val="22"/>
          <w:szCs w:val="22"/>
        </w:rPr>
        <w:t xml:space="preserve"> </w:t>
      </w:r>
      <w:r w:rsidR="009B6BCE">
        <w:rPr>
          <w:rFonts w:ascii="Arial" w:hAnsi="Arial" w:cs="Arial"/>
          <w:color w:val="000000" w:themeColor="text1"/>
          <w:sz w:val="22"/>
          <w:szCs w:val="22"/>
        </w:rPr>
        <w:t>(</w:t>
      </w:r>
      <w:r w:rsidR="0078303E">
        <w:rPr>
          <w:rFonts w:ascii="Arial" w:hAnsi="Arial" w:cs="Arial"/>
          <w:color w:val="000000" w:themeColor="text1"/>
          <w:sz w:val="22"/>
          <w:szCs w:val="22"/>
        </w:rPr>
        <w:t xml:space="preserve">Can </w:t>
      </w:r>
      <w:r w:rsidR="0078303E">
        <w:rPr>
          <w:rFonts w:ascii="Arial" w:hAnsi="Arial" w:cs="Arial"/>
          <w:i/>
          <w:iCs/>
          <w:color w:val="000000" w:themeColor="text1"/>
          <w:sz w:val="22"/>
          <w:szCs w:val="22"/>
        </w:rPr>
        <w:t xml:space="preserve">et al., </w:t>
      </w:r>
      <w:r w:rsidR="0078303E">
        <w:rPr>
          <w:rFonts w:ascii="Arial" w:hAnsi="Arial" w:cs="Arial"/>
          <w:color w:val="000000" w:themeColor="text1"/>
          <w:sz w:val="22"/>
          <w:szCs w:val="22"/>
        </w:rPr>
        <w:t>2024).</w:t>
      </w:r>
    </w:p>
    <w:p w14:paraId="4522B96F" w14:textId="5D2EA88F"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.3 Impact on Practice and Policy</w:t>
      </w:r>
    </w:p>
    <w:p w14:paraId="27F293ED" w14:textId="4FDF4185" w:rsidR="000301BB"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These debates increasingly shape service design, professional training and policy development. In practice, there is growing recognition of the need for early identification, holistic assessment and neurodiversity-informed care. Health and social care services are encouraged to adopt models that integrate behavioural support with education, family involvement and psychosocial interventions. In educational settings, debates drive reforms aimed at strengthening inclusion, ensuring consistent adjustments and reducing punitive responses to tic behaviours. Public health policy is also influenced by the recognition that adverse social reactions—rather than tics themselves—often drive anxiety, isolation and reduced participation. Consequently, there is a rising demand for improved training for frontline professionals and expanded research funding within neurodevelopmental frameworks. These shifts encourage a more balanced integration of medical, social and rights-based perspectives within TS policy and practice</w:t>
      </w:r>
      <w:r w:rsidR="00D3579D">
        <w:rPr>
          <w:rFonts w:ascii="Arial" w:hAnsi="Arial" w:cs="Arial"/>
          <w:color w:val="000000" w:themeColor="text1"/>
          <w:sz w:val="22"/>
          <w:szCs w:val="22"/>
        </w:rPr>
        <w:t xml:space="preserve"> </w:t>
      </w:r>
      <w:r w:rsidR="000943D2">
        <w:rPr>
          <w:rFonts w:ascii="Arial" w:hAnsi="Arial" w:cs="Arial"/>
          <w:color w:val="000000" w:themeColor="text1"/>
          <w:sz w:val="22"/>
          <w:szCs w:val="22"/>
        </w:rPr>
        <w:t>(</w:t>
      </w:r>
      <w:r w:rsidR="00D3579D" w:rsidRPr="00D3579D">
        <w:rPr>
          <w:rFonts w:ascii="Arial" w:hAnsi="Arial" w:cs="Arial"/>
          <w:color w:val="000000" w:themeColor="text1"/>
          <w:sz w:val="22"/>
          <w:szCs w:val="22"/>
        </w:rPr>
        <w:t>Müller-Vahl </w:t>
      </w:r>
      <w:r w:rsidR="00D3579D" w:rsidRPr="00D3579D">
        <w:rPr>
          <w:rFonts w:ascii="Arial" w:hAnsi="Arial" w:cs="Arial"/>
          <w:i/>
          <w:iCs/>
          <w:color w:val="000000" w:themeColor="text1"/>
          <w:sz w:val="22"/>
          <w:szCs w:val="22"/>
        </w:rPr>
        <w:t>et al.</w:t>
      </w:r>
      <w:r w:rsidR="00D3579D">
        <w:rPr>
          <w:rFonts w:ascii="Arial" w:hAnsi="Arial" w:cs="Arial"/>
          <w:i/>
          <w:iCs/>
          <w:color w:val="000000" w:themeColor="text1"/>
          <w:sz w:val="22"/>
          <w:szCs w:val="22"/>
        </w:rPr>
        <w:t>,</w:t>
      </w:r>
      <w:r w:rsidR="00D3579D" w:rsidRPr="00D3579D">
        <w:rPr>
          <w:rFonts w:ascii="Arial" w:hAnsi="Arial" w:cs="Arial"/>
          <w:color w:val="000000" w:themeColor="text1"/>
          <w:sz w:val="22"/>
          <w:szCs w:val="22"/>
        </w:rPr>
        <w:t> 2022</w:t>
      </w:r>
      <w:r w:rsidR="00D3579D">
        <w:rPr>
          <w:rFonts w:ascii="Arial" w:hAnsi="Arial" w:cs="Arial"/>
          <w:color w:val="000000" w:themeColor="text1"/>
          <w:sz w:val="22"/>
          <w:szCs w:val="22"/>
        </w:rPr>
        <w:t>).</w:t>
      </w:r>
    </w:p>
    <w:p w14:paraId="5C823ABC" w14:textId="77777777" w:rsidR="007374BD" w:rsidRPr="001A4986" w:rsidRDefault="007374BD" w:rsidP="001A4986">
      <w:pPr>
        <w:spacing w:line="360" w:lineRule="auto"/>
        <w:jc w:val="both"/>
        <w:rPr>
          <w:rFonts w:ascii="Arial" w:hAnsi="Arial" w:cs="Arial"/>
          <w:color w:val="000000" w:themeColor="text1"/>
          <w:sz w:val="22"/>
          <w:szCs w:val="22"/>
        </w:rPr>
      </w:pPr>
    </w:p>
    <w:p w14:paraId="6E1AFD7D" w14:textId="6A7D77D6" w:rsidR="007969F7" w:rsidRPr="001A4986" w:rsidRDefault="006343E4" w:rsidP="007374BD">
      <w:pPr>
        <w:pStyle w:val="Heading1"/>
        <w:spacing w:line="360" w:lineRule="auto"/>
        <w:jc w:val="both"/>
        <w:rPr>
          <w:rFonts w:ascii="Arial" w:hAnsi="Arial" w:cs="Arial"/>
          <w:color w:val="000000" w:themeColor="text1"/>
          <w:sz w:val="22"/>
          <w:szCs w:val="22"/>
        </w:rPr>
      </w:pPr>
      <w:r>
        <w:t>5. R</w:t>
      </w:r>
      <w:r w:rsidR="007969F7" w:rsidRPr="001A4986">
        <w:t>ecommendations</w:t>
      </w:r>
    </w:p>
    <w:p w14:paraId="4EA909E2" w14:textId="740E7E66"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.1 Improving Classification and Diagnosis</w:t>
      </w:r>
    </w:p>
    <w:p w14:paraId="2F01231D" w14:textId="2E750CCE"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Efforts to refine classification should prioritise terminology that is accurate, respectful and aligned with neurodiversity-informed practice. Adopting less </w:t>
      </w:r>
      <w:proofErr w:type="spellStart"/>
      <w:r w:rsidRPr="001A4986">
        <w:rPr>
          <w:rFonts w:ascii="Arial" w:hAnsi="Arial" w:cs="Arial"/>
          <w:color w:val="000000" w:themeColor="text1"/>
          <w:sz w:val="22"/>
          <w:szCs w:val="22"/>
        </w:rPr>
        <w:t>pathologising</w:t>
      </w:r>
      <w:proofErr w:type="spellEnd"/>
      <w:r w:rsidRPr="001A4986">
        <w:rPr>
          <w:rFonts w:ascii="Arial" w:hAnsi="Arial" w:cs="Arial"/>
          <w:color w:val="000000" w:themeColor="text1"/>
          <w:sz w:val="22"/>
          <w:szCs w:val="22"/>
        </w:rPr>
        <w:t xml:space="preserve"> language may improve engagement and reduce barriers to seeking support. Strengthening diagnostic pathways—particularly in primary care and community paediatrics—would help minimise the lengthy delays that currently affect families. Enhanced training across education, health and mental health services is essential to ensure earlier recognition and appropriate referral. Incorporating lived-experience expertise into future diagnostic revisions would support more representative and person-centred frameworks</w:t>
      </w:r>
      <w:r w:rsidR="00924858">
        <w:rPr>
          <w:rFonts w:ascii="Arial" w:hAnsi="Arial" w:cs="Arial"/>
          <w:color w:val="000000" w:themeColor="text1"/>
          <w:sz w:val="22"/>
          <w:szCs w:val="22"/>
        </w:rPr>
        <w:t xml:space="preserve"> (</w:t>
      </w:r>
      <w:proofErr w:type="spellStart"/>
      <w:r w:rsidR="00924858">
        <w:rPr>
          <w:rFonts w:ascii="Arial" w:hAnsi="Arial" w:cs="Arial"/>
          <w:color w:val="000000" w:themeColor="text1"/>
          <w:sz w:val="22"/>
          <w:szCs w:val="22"/>
        </w:rPr>
        <w:t>B</w:t>
      </w:r>
      <w:r w:rsidR="00BE0676">
        <w:rPr>
          <w:rFonts w:ascii="Arial" w:hAnsi="Arial" w:cs="Arial"/>
          <w:color w:val="000000" w:themeColor="text1"/>
          <w:sz w:val="22"/>
          <w:szCs w:val="22"/>
        </w:rPr>
        <w:t>hikram</w:t>
      </w:r>
      <w:proofErr w:type="spellEnd"/>
      <w:r w:rsidR="00BE0676">
        <w:rPr>
          <w:rFonts w:ascii="Arial" w:hAnsi="Arial" w:cs="Arial"/>
          <w:color w:val="000000" w:themeColor="text1"/>
          <w:sz w:val="22"/>
          <w:szCs w:val="22"/>
        </w:rPr>
        <w:t xml:space="preserve"> </w:t>
      </w:r>
      <w:r w:rsidR="00BE0676">
        <w:rPr>
          <w:rFonts w:ascii="Arial" w:hAnsi="Arial" w:cs="Arial"/>
          <w:i/>
          <w:iCs/>
          <w:color w:val="000000" w:themeColor="text1"/>
          <w:sz w:val="22"/>
          <w:szCs w:val="22"/>
        </w:rPr>
        <w:t xml:space="preserve">et al., </w:t>
      </w:r>
      <w:r w:rsidR="00BE0676">
        <w:rPr>
          <w:rFonts w:ascii="Arial" w:hAnsi="Arial" w:cs="Arial"/>
          <w:color w:val="000000" w:themeColor="text1"/>
          <w:sz w:val="22"/>
          <w:szCs w:val="22"/>
        </w:rPr>
        <w:t>2021).</w:t>
      </w:r>
    </w:p>
    <w:p w14:paraId="56DE57F0" w14:textId="79FC3B58"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.2 Enhancing Treatment Approaches</w:t>
      </w:r>
    </w:p>
    <w:p w14:paraId="7FF32AD2" w14:textId="09B497D9"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Expanding access to evidence-based behavioural therapies requires investment in workforce development and innovative delivery options, such as telehealth platforms. Personalised care plans should be co-designed with individuals and families, ensuring that interventions align </w:t>
      </w:r>
      <w:r w:rsidRPr="001A4986">
        <w:rPr>
          <w:rFonts w:ascii="Arial" w:hAnsi="Arial" w:cs="Arial"/>
          <w:color w:val="000000" w:themeColor="text1"/>
          <w:sz w:val="22"/>
          <w:szCs w:val="22"/>
        </w:rPr>
        <w:lastRenderedPageBreak/>
        <w:t>with personal priorities, cultural context and neurodivergence principles. Medication monitoring processes need to be strengthened to support safer prescribing and the timely identification of adverse effects</w:t>
      </w:r>
      <w:r w:rsidR="00196490">
        <w:rPr>
          <w:rFonts w:ascii="Arial" w:hAnsi="Arial" w:cs="Arial"/>
          <w:color w:val="000000" w:themeColor="text1"/>
          <w:sz w:val="22"/>
          <w:szCs w:val="22"/>
        </w:rPr>
        <w:t xml:space="preserve"> (Martino</w:t>
      </w:r>
      <w:r w:rsidR="00280311">
        <w:rPr>
          <w:rFonts w:ascii="Arial" w:hAnsi="Arial" w:cs="Arial"/>
          <w:color w:val="000000" w:themeColor="text1"/>
          <w:sz w:val="22"/>
          <w:szCs w:val="22"/>
        </w:rPr>
        <w:t>, 2020).</w:t>
      </w:r>
    </w:p>
    <w:p w14:paraId="673317DD" w14:textId="583F4487"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.3 Strengthening Rehabilitation Measures</w:t>
      </w:r>
    </w:p>
    <w:p w14:paraId="39C0355A" w14:textId="7D24EB47"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Rehabilitation should be embedded more systematically across health and education settings. Consistent, enforceable school accommodations would help ensure that pupils with tics are supported regardless of local disparities. Community-based hubs could offer integrated therapeutic and educational guidance, thereby reducing care fragmentation. Emphasising participation-focused goals rather than solely tic reduction aligns rehabilitation with modern, rights-based practice</w:t>
      </w:r>
      <w:r w:rsidR="00853F23">
        <w:rPr>
          <w:rFonts w:ascii="Arial" w:hAnsi="Arial" w:cs="Arial"/>
          <w:color w:val="000000" w:themeColor="text1"/>
          <w:sz w:val="22"/>
          <w:szCs w:val="22"/>
        </w:rPr>
        <w:t xml:space="preserve"> (</w:t>
      </w:r>
      <w:r w:rsidR="00853F23" w:rsidRPr="00853F23">
        <w:rPr>
          <w:rFonts w:ascii="Arial" w:hAnsi="Arial" w:cs="Arial"/>
          <w:color w:val="000000" w:themeColor="text1"/>
          <w:sz w:val="22"/>
          <w:szCs w:val="22"/>
        </w:rPr>
        <w:t>Seideman and Seideman, 2020)</w:t>
      </w:r>
      <w:r w:rsidR="00853F23">
        <w:rPr>
          <w:rFonts w:ascii="Arial" w:hAnsi="Arial" w:cs="Arial"/>
          <w:color w:val="000000" w:themeColor="text1"/>
          <w:sz w:val="22"/>
          <w:szCs w:val="22"/>
        </w:rPr>
        <w:t>.</w:t>
      </w:r>
    </w:p>
    <w:p w14:paraId="267894D5" w14:textId="19AC7C0B"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.4 Policy and Research Recommendations</w:t>
      </w:r>
    </w:p>
    <w:p w14:paraId="4F28CEEE" w14:textId="6C1C33B0" w:rsidR="00B73C5B"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Further investment in longitudinal research is essential to deepen understanding of developmental pathways, co-occurring conditions and long-term outcomes. </w:t>
      </w:r>
      <w:r w:rsidR="001A4986">
        <w:rPr>
          <w:rFonts w:ascii="Arial" w:hAnsi="Arial" w:cs="Arial"/>
          <w:color w:val="000000" w:themeColor="text1"/>
          <w:sz w:val="22"/>
          <w:szCs w:val="22"/>
        </w:rPr>
        <w:t>A co-produced</w:t>
      </w:r>
      <w:r w:rsidRPr="001A4986">
        <w:rPr>
          <w:rFonts w:ascii="Arial" w:hAnsi="Arial" w:cs="Arial"/>
          <w:color w:val="000000" w:themeColor="text1"/>
          <w:sz w:val="22"/>
          <w:szCs w:val="22"/>
        </w:rPr>
        <w:t xml:space="preserve"> policy would ensure that national strategies reflect the priorities of people with TS and their families. Public health efforts should address persistent stigma through accessible, evidence-informed messaging. Finally, integrating TS within broader neurodiversity policy frameworks would help secure service parity, promoting equitable access to assessment, intervention and support</w:t>
      </w:r>
      <w:r w:rsidR="005841F2">
        <w:rPr>
          <w:rFonts w:ascii="Arial" w:hAnsi="Arial" w:cs="Arial"/>
          <w:color w:val="000000" w:themeColor="text1"/>
          <w:sz w:val="22"/>
          <w:szCs w:val="22"/>
        </w:rPr>
        <w:t xml:space="preserve"> (Anderson</w:t>
      </w:r>
      <w:r w:rsidR="00C83C23">
        <w:rPr>
          <w:rFonts w:ascii="Arial" w:hAnsi="Arial" w:cs="Arial"/>
          <w:color w:val="000000" w:themeColor="text1"/>
          <w:sz w:val="22"/>
          <w:szCs w:val="22"/>
        </w:rPr>
        <w:t>, 2022).</w:t>
      </w:r>
    </w:p>
    <w:p w14:paraId="05265C1C" w14:textId="0E826A53" w:rsidR="007A41BC" w:rsidRPr="001A4986" w:rsidRDefault="0089704D" w:rsidP="00383BBB">
      <w:pPr>
        <w:pStyle w:val="Heading1"/>
        <w:jc w:val="both"/>
        <w:rPr>
          <w:rFonts w:ascii="Arial" w:hAnsi="Arial" w:cs="Arial"/>
          <w:color w:val="000000" w:themeColor="text1"/>
          <w:sz w:val="22"/>
          <w:szCs w:val="22"/>
        </w:rPr>
      </w:pPr>
      <w:r>
        <w:t>6. C</w:t>
      </w:r>
      <w:r w:rsidR="007A41BC" w:rsidRPr="001A4986">
        <w:t>onclusion</w:t>
      </w:r>
    </w:p>
    <w:p w14:paraId="427DFA6F" w14:textId="077D912F" w:rsidR="007A41BC" w:rsidRPr="001A4986" w:rsidRDefault="007A41BC"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Tourette’s syndrome remains a complex neurodevelopmental condition shaped by ongoing debates about classification, treatment goals, and the role of neurodivergence. While ICD-11 situates TS within tic disorders using medicalised language, </w:t>
      </w:r>
      <w:r w:rsidR="00032B58" w:rsidRPr="001A4986">
        <w:rPr>
          <w:rFonts w:ascii="Arial" w:hAnsi="Arial" w:cs="Arial"/>
          <w:color w:val="000000" w:themeColor="text1"/>
          <w:sz w:val="22"/>
          <w:szCs w:val="22"/>
        </w:rPr>
        <w:t>it increases</w:t>
      </w:r>
      <w:r w:rsidRPr="001A4986">
        <w:rPr>
          <w:rFonts w:ascii="Arial" w:hAnsi="Arial" w:cs="Arial"/>
          <w:color w:val="000000" w:themeColor="text1"/>
          <w:sz w:val="22"/>
          <w:szCs w:val="22"/>
        </w:rPr>
        <w:t xml:space="preserve"> recognition of neurodiversity challenges, deficit-based interpretations and encourages person-centred approaches. Effective treatment incorporates behavioural interventions, carefully monitored medication, and rehabilitation measures that emphasise participation and environmental adaptation. However, access to services remains inconsistent, and many individuals experience barriers rooted in stigma, limited awareness, and uneven policy implementation. Strengthening diagnostic pathways, expanding behavioural therapy provision, improving school-based support, and embedding neurodiversity-informed principles into policy could significantly enhance outcomes. Continued research and meaningful involvement of people with lived experience will be essential to refining classification systems and ensuring equitable, responsive care for those living with Tourette’s syndrome. </w:t>
      </w:r>
    </w:p>
    <w:p w14:paraId="6E41165F" w14:textId="5E2D4651" w:rsidR="000264A1" w:rsidRPr="007A41BC" w:rsidRDefault="00057D7A" w:rsidP="007A41BC">
      <w:pPr>
        <w:pStyle w:val="Heading1"/>
      </w:pPr>
      <w:r>
        <w:lastRenderedPageBreak/>
        <w:t>7</w:t>
      </w:r>
      <w:r w:rsidR="007A41BC">
        <w:t>. References</w:t>
      </w:r>
    </w:p>
    <w:p w14:paraId="6AD23E83"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Anderson, S.M. (2022) ‘European clinical guidelines for Tourette Syndrome and other tic disorders: patients’ perspectives on research and treatment’,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463–469. Available at: </w:t>
      </w:r>
      <w:hyperlink r:id="rId11" w:history="1">
        <w:r w:rsidRPr="00B94CEF">
          <w:rPr>
            <w:rStyle w:val="Hyperlink"/>
            <w:rFonts w:ascii="Arial" w:eastAsia="Times New Roman" w:hAnsi="Arial" w:cs="Arial"/>
            <w:kern w:val="0"/>
            <w:sz w:val="22"/>
            <w:szCs w:val="22"/>
            <w:lang w:eastAsia="en-GB"/>
            <w14:ligatures w14:val="none"/>
          </w:rPr>
          <w:t>https://doi.org/10.1007/s00787-021-01854-y</w:t>
        </w:r>
      </w:hyperlink>
      <w:r w:rsidRPr="00B94CEF">
        <w:rPr>
          <w:rFonts w:ascii="Arial" w:eastAsia="Times New Roman" w:hAnsi="Arial" w:cs="Arial"/>
          <w:kern w:val="0"/>
          <w:sz w:val="22"/>
          <w:szCs w:val="22"/>
          <w:lang w:eastAsia="en-GB"/>
          <w14:ligatures w14:val="none"/>
        </w:rPr>
        <w:t xml:space="preserve">. </w:t>
      </w:r>
    </w:p>
    <w:p w14:paraId="1EB51044"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Andrén, P.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disorders—version 2.0. Part II: Psychological Interventions, European Child &amp; Adolescent Psychiatry, 31(3), pp. 403–423. Available at: </w:t>
      </w:r>
      <w:hyperlink r:id="rId12" w:history="1">
        <w:r w:rsidRPr="00B94CEF">
          <w:rPr>
            <w:rStyle w:val="Hyperlink"/>
            <w:rFonts w:ascii="Arial" w:eastAsia="Times New Roman" w:hAnsi="Arial" w:cs="Arial"/>
            <w:kern w:val="0"/>
            <w:sz w:val="22"/>
            <w:szCs w:val="22"/>
            <w:lang w:eastAsia="en-GB"/>
            <w14:ligatures w14:val="none"/>
          </w:rPr>
          <w:t>https://doi.org/10.1007/s00787-021-01845-z</w:t>
        </w:r>
      </w:hyperlink>
      <w:r w:rsidRPr="00B94CEF">
        <w:rPr>
          <w:rFonts w:ascii="Arial" w:eastAsia="Times New Roman" w:hAnsi="Arial" w:cs="Arial"/>
          <w:kern w:val="0"/>
          <w:sz w:val="22"/>
          <w:szCs w:val="22"/>
          <w:lang w:eastAsia="en-GB"/>
          <w14:ligatures w14:val="none"/>
        </w:rPr>
        <w:t xml:space="preserve">. </w:t>
      </w:r>
    </w:p>
    <w:p w14:paraId="233DD11A"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Baldermann, J.C.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‘Update on tic disorders and Tourette syndrome’, </w:t>
      </w:r>
      <w:proofErr w:type="spellStart"/>
      <w:r w:rsidRPr="00B94CEF">
        <w:rPr>
          <w:rFonts w:ascii="Arial" w:eastAsia="Times New Roman" w:hAnsi="Arial" w:cs="Arial"/>
          <w:i/>
          <w:iCs/>
          <w:kern w:val="0"/>
          <w:sz w:val="22"/>
          <w:szCs w:val="22"/>
          <w:lang w:eastAsia="en-GB"/>
          <w14:ligatures w14:val="none"/>
        </w:rPr>
        <w:t>Nervenarzt</w:t>
      </w:r>
      <w:proofErr w:type="spellEnd"/>
      <w:r w:rsidRPr="00B94CEF">
        <w:rPr>
          <w:rFonts w:ascii="Arial" w:eastAsia="Times New Roman" w:hAnsi="Arial" w:cs="Arial"/>
          <w:kern w:val="0"/>
          <w:sz w:val="22"/>
          <w:szCs w:val="22"/>
          <w:lang w:eastAsia="en-GB"/>
          <w14:ligatures w14:val="none"/>
        </w:rPr>
        <w:t xml:space="preserve">, 96(7), p. 715. Available at: </w:t>
      </w:r>
      <w:hyperlink r:id="rId13" w:history="1">
        <w:r w:rsidRPr="00B94CEF">
          <w:rPr>
            <w:rStyle w:val="Hyperlink"/>
            <w:rFonts w:ascii="Arial" w:eastAsia="Times New Roman" w:hAnsi="Arial" w:cs="Arial"/>
            <w:kern w:val="0"/>
            <w:sz w:val="22"/>
            <w:szCs w:val="22"/>
            <w:lang w:eastAsia="en-GB"/>
            <w14:ligatures w14:val="none"/>
          </w:rPr>
          <w:t>https://doi.org/10.1007/s00115-025-01914-7</w:t>
        </w:r>
      </w:hyperlink>
      <w:r w:rsidRPr="00B94CEF">
        <w:rPr>
          <w:rFonts w:ascii="Arial" w:eastAsia="Times New Roman" w:hAnsi="Arial" w:cs="Arial"/>
          <w:kern w:val="0"/>
          <w:sz w:val="22"/>
          <w:szCs w:val="22"/>
          <w:lang w:eastAsia="en-GB"/>
          <w14:ligatures w14:val="none"/>
        </w:rPr>
        <w:t xml:space="preserve">. </w:t>
      </w:r>
    </w:p>
    <w:p w14:paraId="158BA877"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proofErr w:type="spellStart"/>
      <w:r w:rsidRPr="00B94CEF">
        <w:rPr>
          <w:rFonts w:ascii="Arial" w:eastAsia="Times New Roman" w:hAnsi="Arial" w:cs="Arial"/>
          <w:kern w:val="0"/>
          <w:sz w:val="22"/>
          <w:szCs w:val="22"/>
          <w:lang w:eastAsia="en-GB"/>
          <w14:ligatures w14:val="none"/>
        </w:rPr>
        <w:t>Bhikram</w:t>
      </w:r>
      <w:proofErr w:type="spellEnd"/>
      <w:r w:rsidRPr="00B94CEF">
        <w:rPr>
          <w:rFonts w:ascii="Arial" w:eastAsia="Times New Roman" w:hAnsi="Arial" w:cs="Arial"/>
          <w:kern w:val="0"/>
          <w:sz w:val="22"/>
          <w:szCs w:val="22"/>
          <w:lang w:eastAsia="en-GB"/>
          <w14:ligatures w14:val="none"/>
        </w:rPr>
        <w:t xml:space="preserve">, T.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(2021) ‘An International Survey of Health Care Services Available to Patients With Tourette Syndrome’, </w:t>
      </w:r>
      <w:r w:rsidRPr="00B94CEF">
        <w:rPr>
          <w:rFonts w:ascii="Arial" w:eastAsia="Times New Roman" w:hAnsi="Arial" w:cs="Arial"/>
          <w:i/>
          <w:iCs/>
          <w:kern w:val="0"/>
          <w:sz w:val="22"/>
          <w:szCs w:val="22"/>
          <w:lang w:eastAsia="en-GB"/>
          <w14:ligatures w14:val="none"/>
        </w:rPr>
        <w:t>Frontiers in psychiatry</w:t>
      </w:r>
      <w:r w:rsidRPr="00B94CEF">
        <w:rPr>
          <w:rFonts w:ascii="Arial" w:eastAsia="Times New Roman" w:hAnsi="Arial" w:cs="Arial"/>
          <w:kern w:val="0"/>
          <w:sz w:val="22"/>
          <w:szCs w:val="22"/>
          <w:lang w:eastAsia="en-GB"/>
          <w14:ligatures w14:val="none"/>
        </w:rPr>
        <w:t xml:space="preserve">, 12, p. 621874. Available at: </w:t>
      </w:r>
      <w:hyperlink r:id="rId14" w:history="1">
        <w:r w:rsidRPr="00B94CEF">
          <w:rPr>
            <w:rStyle w:val="Hyperlink"/>
            <w:rFonts w:ascii="Arial" w:eastAsia="Times New Roman" w:hAnsi="Arial" w:cs="Arial"/>
            <w:kern w:val="0"/>
            <w:sz w:val="22"/>
            <w:szCs w:val="22"/>
            <w:lang w:eastAsia="en-GB"/>
            <w14:ligatures w14:val="none"/>
          </w:rPr>
          <w:t>https://doi.org/10.3389/fpsyt.2021.621874</w:t>
        </w:r>
      </w:hyperlink>
      <w:r w:rsidRPr="00B94CEF">
        <w:rPr>
          <w:rFonts w:ascii="Arial" w:eastAsia="Times New Roman" w:hAnsi="Arial" w:cs="Arial"/>
          <w:kern w:val="0"/>
          <w:sz w:val="22"/>
          <w:szCs w:val="22"/>
          <w:lang w:eastAsia="en-GB"/>
          <w14:ligatures w14:val="none"/>
        </w:rPr>
        <w:t xml:space="preserve">. </w:t>
      </w:r>
    </w:p>
    <w:p w14:paraId="29CAA4CA"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Can, A.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(2024) ‘Pharmacological Treatment of Tourette Disorder in Children’, </w:t>
      </w:r>
      <w:r w:rsidRPr="00B94CEF">
        <w:rPr>
          <w:rFonts w:ascii="Arial" w:eastAsia="Times New Roman" w:hAnsi="Arial" w:cs="Arial"/>
          <w:i/>
          <w:iCs/>
          <w:kern w:val="0"/>
          <w:sz w:val="22"/>
          <w:szCs w:val="22"/>
          <w:lang w:eastAsia="en-GB"/>
          <w14:ligatures w14:val="none"/>
        </w:rPr>
        <w:t>Journal of Child and Adolescent Psychopharmacology</w:t>
      </w:r>
      <w:r w:rsidRPr="00B94CEF">
        <w:rPr>
          <w:rFonts w:ascii="Arial" w:eastAsia="Times New Roman" w:hAnsi="Arial" w:cs="Arial"/>
          <w:kern w:val="0"/>
          <w:sz w:val="22"/>
          <w:szCs w:val="22"/>
          <w:lang w:eastAsia="en-GB"/>
          <w14:ligatures w14:val="none"/>
        </w:rPr>
        <w:t xml:space="preserve">, 34(8), pp. 346–352. Available at: </w:t>
      </w:r>
      <w:hyperlink r:id="rId15" w:history="1">
        <w:r w:rsidRPr="00B94CEF">
          <w:rPr>
            <w:rStyle w:val="Hyperlink"/>
            <w:rFonts w:ascii="Arial" w:eastAsia="Times New Roman" w:hAnsi="Arial" w:cs="Arial"/>
            <w:kern w:val="0"/>
            <w:sz w:val="22"/>
            <w:szCs w:val="22"/>
            <w:lang w:eastAsia="en-GB"/>
            <w14:ligatures w14:val="none"/>
          </w:rPr>
          <w:t>https://doi.org/10.1089/cap.2023.0026</w:t>
        </w:r>
      </w:hyperlink>
      <w:r w:rsidRPr="00B94CEF">
        <w:rPr>
          <w:rFonts w:ascii="Arial" w:eastAsia="Times New Roman" w:hAnsi="Arial" w:cs="Arial"/>
          <w:kern w:val="0"/>
          <w:sz w:val="22"/>
          <w:szCs w:val="22"/>
          <w:lang w:eastAsia="en-GB"/>
          <w14:ligatures w14:val="none"/>
        </w:rPr>
        <w:t xml:space="preserve">. </w:t>
      </w:r>
    </w:p>
    <w:p w14:paraId="5E209EC4"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Grant, A.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‘“A Lovely Safe Umbrella to Describe Yourself With” or “Meaningless” : An Online Survey of UK-Based Neurodivergent Adults’ Views of Neurodiversity-Related Terminology’, </w:t>
      </w:r>
      <w:r w:rsidRPr="00B94CEF">
        <w:rPr>
          <w:rFonts w:ascii="Arial" w:eastAsia="Times New Roman" w:hAnsi="Arial" w:cs="Arial"/>
          <w:i/>
          <w:iCs/>
          <w:kern w:val="0"/>
          <w:sz w:val="22"/>
          <w:szCs w:val="22"/>
          <w:lang w:eastAsia="en-GB"/>
          <w14:ligatures w14:val="none"/>
        </w:rPr>
        <w:t>Neurodiversity</w:t>
      </w:r>
      <w:r w:rsidRPr="00B94CEF">
        <w:rPr>
          <w:rFonts w:ascii="Arial" w:eastAsia="Times New Roman" w:hAnsi="Arial" w:cs="Arial"/>
          <w:kern w:val="0"/>
          <w:sz w:val="22"/>
          <w:szCs w:val="22"/>
          <w:lang w:eastAsia="en-GB"/>
          <w14:ligatures w14:val="none"/>
        </w:rPr>
        <w:t xml:space="preserve">, 3. Available at: </w:t>
      </w:r>
      <w:hyperlink r:id="rId16" w:history="1">
        <w:r w:rsidRPr="00B94CEF">
          <w:rPr>
            <w:rStyle w:val="Hyperlink"/>
            <w:rFonts w:ascii="Arial" w:eastAsia="Times New Roman" w:hAnsi="Arial" w:cs="Arial"/>
            <w:kern w:val="0"/>
            <w:sz w:val="22"/>
            <w:szCs w:val="22"/>
            <w:lang w:eastAsia="en-GB"/>
            <w14:ligatures w14:val="none"/>
          </w:rPr>
          <w:t>https://doi.org/10.1177/27546330251390590</w:t>
        </w:r>
      </w:hyperlink>
      <w:r w:rsidRPr="00B94CEF">
        <w:rPr>
          <w:rFonts w:ascii="Arial" w:eastAsia="Times New Roman" w:hAnsi="Arial" w:cs="Arial"/>
          <w:kern w:val="0"/>
          <w:sz w:val="22"/>
          <w:szCs w:val="22"/>
          <w:lang w:eastAsia="en-GB"/>
          <w14:ligatures w14:val="none"/>
        </w:rPr>
        <w:t xml:space="preserve">. </w:t>
      </w:r>
    </w:p>
    <w:p w14:paraId="2477A6B0"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Ho, C.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(2020) ‘Is the Yale Global Tic Severity Scale a valid tool for parent-reported assessment in the paediatric population? A prospective observational study in Taiwan, BMJ Open, 10(8), p. e034634. Available at: </w:t>
      </w:r>
      <w:hyperlink r:id="rId17" w:history="1">
        <w:r w:rsidRPr="00B94CEF">
          <w:rPr>
            <w:rStyle w:val="Hyperlink"/>
            <w:rFonts w:ascii="Arial" w:eastAsia="Times New Roman" w:hAnsi="Arial" w:cs="Arial"/>
            <w:kern w:val="0"/>
            <w:sz w:val="22"/>
            <w:szCs w:val="22"/>
            <w:lang w:eastAsia="en-GB"/>
            <w14:ligatures w14:val="none"/>
          </w:rPr>
          <w:t>https://doi.org/10.1136/bmjopen-2019-034634</w:t>
        </w:r>
      </w:hyperlink>
      <w:r w:rsidRPr="00B94CEF">
        <w:rPr>
          <w:rFonts w:ascii="Arial" w:eastAsia="Times New Roman" w:hAnsi="Arial" w:cs="Arial"/>
          <w:kern w:val="0"/>
          <w:sz w:val="22"/>
          <w:szCs w:val="22"/>
          <w:lang w:eastAsia="en-GB"/>
          <w14:ligatures w14:val="none"/>
        </w:rPr>
        <w:t xml:space="preserve">. </w:t>
      </w:r>
    </w:p>
    <w:p w14:paraId="1D426D7B"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Hobson, H.M., Toseeb, U. and Gibson, J.L. (2024) ‘Developmental language disorder and neurodiversity: Surfacing contradictions, tensions and unanswered questions’, </w:t>
      </w:r>
      <w:r w:rsidRPr="00B94CEF">
        <w:rPr>
          <w:rFonts w:ascii="Arial" w:eastAsia="Times New Roman" w:hAnsi="Arial" w:cs="Arial"/>
          <w:i/>
          <w:iCs/>
          <w:kern w:val="0"/>
          <w:sz w:val="22"/>
          <w:szCs w:val="22"/>
          <w:lang w:eastAsia="en-GB"/>
          <w14:ligatures w14:val="none"/>
        </w:rPr>
        <w:t>International Journal of Language &amp; Communication Disorders</w:t>
      </w:r>
      <w:r w:rsidRPr="00B94CEF">
        <w:rPr>
          <w:rFonts w:ascii="Arial" w:eastAsia="Times New Roman" w:hAnsi="Arial" w:cs="Arial"/>
          <w:kern w:val="0"/>
          <w:sz w:val="22"/>
          <w:szCs w:val="22"/>
          <w:lang w:eastAsia="en-GB"/>
          <w14:ligatures w14:val="none"/>
        </w:rPr>
        <w:t xml:space="preserve">, 59(4), pp. 1505–1516. Available at: </w:t>
      </w:r>
      <w:hyperlink r:id="rId18" w:history="1">
        <w:r w:rsidRPr="00B94CEF">
          <w:rPr>
            <w:rStyle w:val="Hyperlink"/>
            <w:rFonts w:ascii="Arial" w:eastAsia="Times New Roman" w:hAnsi="Arial" w:cs="Arial"/>
            <w:kern w:val="0"/>
            <w:sz w:val="22"/>
            <w:szCs w:val="22"/>
            <w:lang w:eastAsia="en-GB"/>
            <w14:ligatures w14:val="none"/>
          </w:rPr>
          <w:t>https://doi.org/10.1111/1460-6984.13009</w:t>
        </w:r>
      </w:hyperlink>
      <w:r w:rsidRPr="00B94CEF">
        <w:rPr>
          <w:rFonts w:ascii="Arial" w:eastAsia="Times New Roman" w:hAnsi="Arial" w:cs="Arial"/>
          <w:kern w:val="0"/>
          <w:sz w:val="22"/>
          <w:szCs w:val="22"/>
          <w:lang w:eastAsia="en-GB"/>
          <w14:ligatures w14:val="none"/>
        </w:rPr>
        <w:t xml:space="preserve">. </w:t>
      </w:r>
    </w:p>
    <w:p w14:paraId="186EBC5C"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Kohler, K., Rosen, N. and Piacentini, J. (2025) ‘Description, Implementation, and Efficacy of the Comprehensive Behavioural Intervention for Tics as First-Line Treatment for Tourette and Other Tic Disorders’, Journal of Child and Adolescent Psychopharmacology, 35(3), pp. 126–134. Available at: </w:t>
      </w:r>
      <w:hyperlink r:id="rId19" w:history="1">
        <w:r w:rsidRPr="00B94CEF">
          <w:rPr>
            <w:rStyle w:val="Hyperlink"/>
            <w:rFonts w:ascii="Arial" w:eastAsia="Times New Roman" w:hAnsi="Arial" w:cs="Arial"/>
            <w:kern w:val="0"/>
            <w:sz w:val="22"/>
            <w:szCs w:val="22"/>
            <w:lang w:eastAsia="en-GB"/>
            <w14:ligatures w14:val="none"/>
          </w:rPr>
          <w:t>https://doi.org/10.1089/cap.2024.0023</w:t>
        </w:r>
      </w:hyperlink>
      <w:r w:rsidRPr="00B94CEF">
        <w:rPr>
          <w:rFonts w:ascii="Arial" w:eastAsia="Times New Roman" w:hAnsi="Arial" w:cs="Arial"/>
          <w:kern w:val="0"/>
          <w:sz w:val="22"/>
          <w:szCs w:val="22"/>
          <w:lang w:eastAsia="en-GB"/>
          <w14:ligatures w14:val="none"/>
        </w:rPr>
        <w:t xml:space="preserve">. </w:t>
      </w:r>
    </w:p>
    <w:p w14:paraId="6B3CE37F"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lastRenderedPageBreak/>
        <w:t xml:space="preserve">Makhoul, K. and Jankovic, J. (2023) ‘Real-world experience with VMAT2 inhibitors in Tourette syndrome’, </w:t>
      </w:r>
      <w:r w:rsidRPr="00B94CEF">
        <w:rPr>
          <w:rFonts w:ascii="Arial" w:eastAsia="Times New Roman" w:hAnsi="Arial" w:cs="Arial"/>
          <w:i/>
          <w:iCs/>
          <w:kern w:val="0"/>
          <w:sz w:val="22"/>
          <w:szCs w:val="22"/>
          <w:lang w:eastAsia="en-GB"/>
          <w14:ligatures w14:val="none"/>
        </w:rPr>
        <w:t>Journal of Neurology</w:t>
      </w:r>
      <w:r w:rsidRPr="00B94CEF">
        <w:rPr>
          <w:rFonts w:ascii="Arial" w:eastAsia="Times New Roman" w:hAnsi="Arial" w:cs="Arial"/>
          <w:kern w:val="0"/>
          <w:sz w:val="22"/>
          <w:szCs w:val="22"/>
          <w:lang w:eastAsia="en-GB"/>
          <w14:ligatures w14:val="none"/>
        </w:rPr>
        <w:t xml:space="preserve">, 270(9), pp. 4518–4522. Available at: </w:t>
      </w:r>
      <w:hyperlink r:id="rId20" w:history="1">
        <w:r w:rsidRPr="00B94CEF">
          <w:rPr>
            <w:rStyle w:val="Hyperlink"/>
            <w:rFonts w:ascii="Arial" w:eastAsia="Times New Roman" w:hAnsi="Arial" w:cs="Arial"/>
            <w:kern w:val="0"/>
            <w:sz w:val="22"/>
            <w:szCs w:val="22"/>
            <w:lang w:eastAsia="en-GB"/>
            <w14:ligatures w14:val="none"/>
          </w:rPr>
          <w:t>https://doi.org/10.1007/s00415-023-11769-0</w:t>
        </w:r>
      </w:hyperlink>
      <w:r w:rsidRPr="00B94CEF">
        <w:rPr>
          <w:rFonts w:ascii="Arial" w:eastAsia="Times New Roman" w:hAnsi="Arial" w:cs="Arial"/>
          <w:kern w:val="0"/>
          <w:sz w:val="22"/>
          <w:szCs w:val="22"/>
          <w:lang w:eastAsia="en-GB"/>
          <w14:ligatures w14:val="none"/>
        </w:rPr>
        <w:t xml:space="preserve">. </w:t>
      </w:r>
    </w:p>
    <w:p w14:paraId="19F0635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Martino, D. (2020) ‘Update on the Treatment of Tics in Tourette Syndrome and Other Chronic Tic Disorders’, </w:t>
      </w:r>
      <w:r w:rsidRPr="00B94CEF">
        <w:rPr>
          <w:rFonts w:ascii="Arial" w:eastAsia="Times New Roman" w:hAnsi="Arial" w:cs="Arial"/>
          <w:i/>
          <w:iCs/>
          <w:kern w:val="0"/>
          <w:sz w:val="22"/>
          <w:szCs w:val="22"/>
          <w:lang w:eastAsia="en-GB"/>
          <w14:ligatures w14:val="none"/>
        </w:rPr>
        <w:t>Current treatment options in neurology</w:t>
      </w:r>
      <w:r w:rsidRPr="00B94CEF">
        <w:rPr>
          <w:rFonts w:ascii="Arial" w:eastAsia="Times New Roman" w:hAnsi="Arial" w:cs="Arial"/>
          <w:kern w:val="0"/>
          <w:sz w:val="22"/>
          <w:szCs w:val="22"/>
          <w:lang w:eastAsia="en-GB"/>
          <w14:ligatures w14:val="none"/>
        </w:rPr>
        <w:t xml:space="preserve">, 22(4). Available at: </w:t>
      </w:r>
      <w:hyperlink r:id="rId21" w:history="1">
        <w:r w:rsidRPr="00B94CEF">
          <w:rPr>
            <w:rStyle w:val="Hyperlink"/>
            <w:rFonts w:ascii="Arial" w:eastAsia="Times New Roman" w:hAnsi="Arial" w:cs="Arial"/>
            <w:kern w:val="0"/>
            <w:sz w:val="22"/>
            <w:szCs w:val="22"/>
            <w:lang w:eastAsia="en-GB"/>
            <w14:ligatures w14:val="none"/>
          </w:rPr>
          <w:t>https://doi.org/10.1007/s11940-020-0620-z</w:t>
        </w:r>
      </w:hyperlink>
      <w:r w:rsidRPr="00B94CEF">
        <w:rPr>
          <w:rFonts w:ascii="Arial" w:eastAsia="Times New Roman" w:hAnsi="Arial" w:cs="Arial"/>
          <w:kern w:val="0"/>
          <w:sz w:val="22"/>
          <w:szCs w:val="22"/>
          <w:lang w:eastAsia="en-GB"/>
          <w14:ligatures w14:val="none"/>
        </w:rPr>
        <w:t xml:space="preserve">. </w:t>
      </w:r>
    </w:p>
    <w:p w14:paraId="361EEEB9"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Morand-Beaulieu, S. and Leclerc, J.B. (2020) ‘Tourette syndrome: Research challenges to improve clinical practice’, </w:t>
      </w:r>
      <w:r w:rsidRPr="00B94CEF">
        <w:rPr>
          <w:rFonts w:ascii="Arial" w:eastAsia="Times New Roman" w:hAnsi="Arial" w:cs="Arial"/>
          <w:i/>
          <w:iCs/>
          <w:kern w:val="0"/>
          <w:sz w:val="22"/>
          <w:szCs w:val="22"/>
          <w:lang w:eastAsia="en-GB"/>
          <w14:ligatures w14:val="none"/>
        </w:rPr>
        <w:t>Encéphale</w:t>
      </w:r>
      <w:r w:rsidRPr="00B94CEF">
        <w:rPr>
          <w:rFonts w:ascii="Arial" w:eastAsia="Times New Roman" w:hAnsi="Arial" w:cs="Arial"/>
          <w:kern w:val="0"/>
          <w:sz w:val="22"/>
          <w:szCs w:val="22"/>
          <w:lang w:eastAsia="en-GB"/>
          <w14:ligatures w14:val="none"/>
        </w:rPr>
        <w:t xml:space="preserve">, 46(2), p. 146. Available at: </w:t>
      </w:r>
      <w:hyperlink r:id="rId22" w:history="1">
        <w:r w:rsidRPr="00B94CEF">
          <w:rPr>
            <w:rStyle w:val="Hyperlink"/>
            <w:rFonts w:ascii="Arial" w:eastAsia="Times New Roman" w:hAnsi="Arial" w:cs="Arial"/>
            <w:kern w:val="0"/>
            <w:sz w:val="22"/>
            <w:szCs w:val="22"/>
            <w:lang w:eastAsia="en-GB"/>
            <w14:ligatures w14:val="none"/>
          </w:rPr>
          <w:t>https://doi.org/10.1016/j.encep.2019.10.002</w:t>
        </w:r>
      </w:hyperlink>
      <w:r w:rsidRPr="00B94CEF">
        <w:rPr>
          <w:rFonts w:ascii="Arial" w:eastAsia="Times New Roman" w:hAnsi="Arial" w:cs="Arial"/>
          <w:kern w:val="0"/>
          <w:sz w:val="22"/>
          <w:szCs w:val="22"/>
          <w:lang w:eastAsia="en-GB"/>
          <w14:ligatures w14:val="none"/>
        </w:rPr>
        <w:t xml:space="preserve">. </w:t>
      </w:r>
    </w:p>
    <w:p w14:paraId="5BB8EFF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Müller-Vahl, K.R.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 summary statement’,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377–382. Available at: </w:t>
      </w:r>
      <w:hyperlink r:id="rId23" w:history="1">
        <w:r w:rsidRPr="00B94CEF">
          <w:rPr>
            <w:rStyle w:val="Hyperlink"/>
            <w:rFonts w:ascii="Arial" w:eastAsia="Times New Roman" w:hAnsi="Arial" w:cs="Arial"/>
            <w:kern w:val="0"/>
            <w:sz w:val="22"/>
            <w:szCs w:val="22"/>
            <w:lang w:eastAsia="en-GB"/>
            <w14:ligatures w14:val="none"/>
          </w:rPr>
          <w:t>https://doi.org/10.1007/s00787-021-01832-4</w:t>
        </w:r>
      </w:hyperlink>
      <w:r w:rsidRPr="00B94CEF">
        <w:rPr>
          <w:rFonts w:ascii="Arial" w:eastAsia="Times New Roman" w:hAnsi="Arial" w:cs="Arial"/>
          <w:kern w:val="0"/>
          <w:sz w:val="22"/>
          <w:szCs w:val="22"/>
          <w:lang w:eastAsia="en-GB"/>
          <w14:ligatures w14:val="none"/>
        </w:rPr>
        <w:t xml:space="preserve">. </w:t>
      </w:r>
    </w:p>
    <w:p w14:paraId="60D9EE5B"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Rattu, N.R.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‘Improving Tic services in England: a multi-method study to explore existing healthcare service provision for children and young people with tics and Tourette syndrome’, </w:t>
      </w:r>
      <w:r w:rsidRPr="00B94CEF">
        <w:rPr>
          <w:rFonts w:ascii="Arial" w:eastAsia="Times New Roman" w:hAnsi="Arial" w:cs="Arial"/>
          <w:i/>
          <w:iCs/>
          <w:kern w:val="0"/>
          <w:sz w:val="22"/>
          <w:szCs w:val="22"/>
          <w:lang w:eastAsia="en-GB"/>
          <w14:ligatures w14:val="none"/>
        </w:rPr>
        <w:t>BMJ mental health</w:t>
      </w:r>
      <w:r w:rsidRPr="00B94CEF">
        <w:rPr>
          <w:rFonts w:ascii="Arial" w:eastAsia="Times New Roman" w:hAnsi="Arial" w:cs="Arial"/>
          <w:kern w:val="0"/>
          <w:sz w:val="22"/>
          <w:szCs w:val="22"/>
          <w:lang w:eastAsia="en-GB"/>
          <w14:ligatures w14:val="none"/>
        </w:rPr>
        <w:t xml:space="preserve">, 28(1), p. e301599. Available at: </w:t>
      </w:r>
      <w:hyperlink r:id="rId24" w:history="1">
        <w:r w:rsidRPr="00B94CEF">
          <w:rPr>
            <w:rStyle w:val="Hyperlink"/>
            <w:rFonts w:ascii="Arial" w:eastAsia="Times New Roman" w:hAnsi="Arial" w:cs="Arial"/>
            <w:kern w:val="0"/>
            <w:sz w:val="22"/>
            <w:szCs w:val="22"/>
            <w:lang w:eastAsia="en-GB"/>
            <w14:ligatures w14:val="none"/>
          </w:rPr>
          <w:t>https://doi.org/10.1136/bmjment-2025-301599</w:t>
        </w:r>
      </w:hyperlink>
      <w:r w:rsidRPr="00B94CEF">
        <w:rPr>
          <w:rFonts w:ascii="Arial" w:eastAsia="Times New Roman" w:hAnsi="Arial" w:cs="Arial"/>
          <w:kern w:val="0"/>
          <w:sz w:val="22"/>
          <w:szCs w:val="22"/>
          <w:lang w:eastAsia="en-GB"/>
          <w14:ligatures w14:val="none"/>
        </w:rPr>
        <w:t xml:space="preserve">. </w:t>
      </w:r>
    </w:p>
    <w:p w14:paraId="2399F1ED"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Seideman, M.F. and Seideman, T.A. (2020) ‘A Review of the Current Treatment of Tourette Syndrome’, </w:t>
      </w:r>
      <w:r w:rsidRPr="00B94CEF">
        <w:rPr>
          <w:rFonts w:ascii="Arial" w:eastAsia="Times New Roman" w:hAnsi="Arial" w:cs="Arial"/>
          <w:i/>
          <w:iCs/>
          <w:kern w:val="0"/>
          <w:sz w:val="22"/>
          <w:szCs w:val="22"/>
          <w:lang w:eastAsia="en-GB"/>
          <w14:ligatures w14:val="none"/>
        </w:rPr>
        <w:t>The Journal of Paediatric Pharmacology and Therapeutics</w:t>
      </w:r>
      <w:r w:rsidRPr="00B94CEF">
        <w:rPr>
          <w:rFonts w:ascii="Arial" w:eastAsia="Times New Roman" w:hAnsi="Arial" w:cs="Arial"/>
          <w:kern w:val="0"/>
          <w:sz w:val="22"/>
          <w:szCs w:val="22"/>
          <w:lang w:eastAsia="en-GB"/>
          <w14:ligatures w14:val="none"/>
        </w:rPr>
        <w:t xml:space="preserve">, 25(5), pp. 401–412. Available at: </w:t>
      </w:r>
      <w:hyperlink r:id="rId25" w:history="1">
        <w:r w:rsidRPr="00B94CEF">
          <w:rPr>
            <w:rStyle w:val="Hyperlink"/>
            <w:rFonts w:ascii="Arial" w:eastAsia="Times New Roman" w:hAnsi="Arial" w:cs="Arial"/>
            <w:kern w:val="0"/>
            <w:sz w:val="22"/>
            <w:szCs w:val="22"/>
            <w:lang w:eastAsia="en-GB"/>
            <w14:ligatures w14:val="none"/>
          </w:rPr>
          <w:t>https://doi.org/10.5863/1551-6776-25.5.401</w:t>
        </w:r>
      </w:hyperlink>
      <w:r w:rsidRPr="00B94CEF">
        <w:rPr>
          <w:rFonts w:ascii="Arial" w:eastAsia="Times New Roman" w:hAnsi="Arial" w:cs="Arial"/>
          <w:kern w:val="0"/>
          <w:sz w:val="22"/>
          <w:szCs w:val="22"/>
          <w:lang w:eastAsia="en-GB"/>
          <w14:ligatures w14:val="none"/>
        </w:rPr>
        <w:t xml:space="preserve">. </w:t>
      </w:r>
    </w:p>
    <w:p w14:paraId="63E2D4E8"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Szejko, N.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disorders—version 2.0. Part I: assessment’,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383–402. Available at: </w:t>
      </w:r>
      <w:hyperlink r:id="rId26" w:history="1">
        <w:r w:rsidRPr="00B94CEF">
          <w:rPr>
            <w:rStyle w:val="Hyperlink"/>
            <w:rFonts w:ascii="Arial" w:eastAsia="Times New Roman" w:hAnsi="Arial" w:cs="Arial"/>
            <w:kern w:val="0"/>
            <w:sz w:val="22"/>
            <w:szCs w:val="22"/>
            <w:lang w:eastAsia="en-GB"/>
            <w14:ligatures w14:val="none"/>
          </w:rPr>
          <w:t>https://doi.org/10.1007/s00787-021-01842-2</w:t>
        </w:r>
      </w:hyperlink>
      <w:r w:rsidRPr="00B94CEF">
        <w:rPr>
          <w:rFonts w:ascii="Arial" w:eastAsia="Times New Roman" w:hAnsi="Arial" w:cs="Arial"/>
          <w:kern w:val="0"/>
          <w:sz w:val="22"/>
          <w:szCs w:val="22"/>
          <w:lang w:eastAsia="en-GB"/>
          <w14:ligatures w14:val="none"/>
        </w:rPr>
        <w:t xml:space="preserve">. </w:t>
      </w:r>
    </w:p>
    <w:p w14:paraId="100EB0E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Woods, D.W.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(2023) ‘Behavioural Interventions for Children and Adults with Tic Disorder’, </w:t>
      </w:r>
      <w:r w:rsidRPr="00B94CEF">
        <w:rPr>
          <w:rFonts w:ascii="Arial" w:eastAsia="Times New Roman" w:hAnsi="Arial" w:cs="Arial"/>
          <w:i/>
          <w:iCs/>
          <w:kern w:val="0"/>
          <w:sz w:val="22"/>
          <w:szCs w:val="22"/>
          <w:lang w:eastAsia="en-GB"/>
          <w14:ligatures w14:val="none"/>
        </w:rPr>
        <w:t>Annual review of clinical psychology</w:t>
      </w:r>
      <w:r w:rsidRPr="00B94CEF">
        <w:rPr>
          <w:rFonts w:ascii="Arial" w:eastAsia="Times New Roman" w:hAnsi="Arial" w:cs="Arial"/>
          <w:kern w:val="0"/>
          <w:sz w:val="22"/>
          <w:szCs w:val="22"/>
          <w:lang w:eastAsia="en-GB"/>
          <w14:ligatures w14:val="none"/>
        </w:rPr>
        <w:t xml:space="preserve">, 19(1), pp. 233–260. Available at: </w:t>
      </w:r>
      <w:hyperlink r:id="rId27" w:history="1">
        <w:r w:rsidRPr="00B94CEF">
          <w:rPr>
            <w:rStyle w:val="Hyperlink"/>
            <w:rFonts w:ascii="Arial" w:eastAsia="Times New Roman" w:hAnsi="Arial" w:cs="Arial"/>
            <w:kern w:val="0"/>
            <w:sz w:val="22"/>
            <w:szCs w:val="22"/>
            <w:lang w:eastAsia="en-GB"/>
            <w14:ligatures w14:val="none"/>
          </w:rPr>
          <w:t>https://doi.org/10.1146/annurev-clinpsy-080921-074307</w:t>
        </w:r>
      </w:hyperlink>
      <w:r w:rsidRPr="00B94CEF">
        <w:rPr>
          <w:rFonts w:ascii="Arial" w:eastAsia="Times New Roman" w:hAnsi="Arial" w:cs="Arial"/>
          <w:kern w:val="0"/>
          <w:sz w:val="22"/>
          <w:szCs w:val="22"/>
          <w:lang w:eastAsia="en-GB"/>
          <w14:ligatures w14:val="none"/>
        </w:rPr>
        <w:t xml:space="preserve">. </w:t>
      </w:r>
    </w:p>
    <w:p w14:paraId="1EA49775" w14:textId="77777777" w:rsidR="00B94CEF" w:rsidRPr="00D26F1C" w:rsidRDefault="00B94CEF" w:rsidP="00B94CEF">
      <w:pPr>
        <w:pStyle w:val="ListParagraph"/>
        <w:numPr>
          <w:ilvl w:val="0"/>
          <w:numId w:val="15"/>
        </w:numPr>
        <w:spacing w:line="360" w:lineRule="auto"/>
        <w:jc w:val="both"/>
        <w:rPr>
          <w:rFonts w:ascii="Arial" w:hAnsi="Arial" w:cs="Arial"/>
          <w:sz w:val="22"/>
          <w:szCs w:val="22"/>
        </w:rPr>
      </w:pPr>
      <w:r w:rsidRPr="00D26F1C">
        <w:rPr>
          <w:rFonts w:ascii="Arial" w:hAnsi="Arial" w:cs="Arial"/>
          <w:sz w:val="22"/>
          <w:szCs w:val="22"/>
        </w:rPr>
        <w:t xml:space="preserve">Yilmaz, A.Y. and Jankovic, J. (2025) ‘Epidemiology of Tourette Syndrome’, </w:t>
      </w:r>
      <w:r w:rsidRPr="00D26F1C">
        <w:rPr>
          <w:rFonts w:ascii="Arial" w:hAnsi="Arial" w:cs="Arial"/>
          <w:i/>
          <w:iCs/>
          <w:sz w:val="22"/>
          <w:szCs w:val="22"/>
        </w:rPr>
        <w:t xml:space="preserve">Brain </w:t>
      </w:r>
      <w:r w:rsidRPr="00B94CEF">
        <w:rPr>
          <w:rFonts w:ascii="Arial" w:hAnsi="Arial" w:cs="Arial"/>
          <w:i/>
          <w:iCs/>
          <w:sz w:val="22"/>
          <w:szCs w:val="22"/>
        </w:rPr>
        <w:t>Sciences</w:t>
      </w:r>
      <w:r w:rsidRPr="00D26F1C">
        <w:rPr>
          <w:rFonts w:ascii="Arial" w:hAnsi="Arial" w:cs="Arial"/>
          <w:sz w:val="22"/>
          <w:szCs w:val="22"/>
        </w:rPr>
        <w:t xml:space="preserve">, 15(5), p. 426. Available at: </w:t>
      </w:r>
      <w:hyperlink r:id="rId28" w:history="1">
        <w:r w:rsidRPr="00D26F1C">
          <w:rPr>
            <w:rStyle w:val="Hyperlink"/>
            <w:rFonts w:ascii="Arial" w:hAnsi="Arial" w:cs="Arial"/>
            <w:sz w:val="22"/>
            <w:szCs w:val="22"/>
          </w:rPr>
          <w:t>https://doi.org/10.3390/brainsci15050426</w:t>
        </w:r>
      </w:hyperlink>
      <w:r w:rsidRPr="00D26F1C">
        <w:rPr>
          <w:rFonts w:ascii="Arial" w:hAnsi="Arial" w:cs="Arial"/>
          <w:sz w:val="22"/>
          <w:szCs w:val="22"/>
        </w:rPr>
        <w:t>.</w:t>
      </w:r>
      <w:r w:rsidRPr="00B94CEF">
        <w:rPr>
          <w:rFonts w:ascii="Arial" w:hAnsi="Arial" w:cs="Arial"/>
          <w:sz w:val="22"/>
          <w:szCs w:val="22"/>
        </w:rPr>
        <w:t xml:space="preserve"> </w:t>
      </w:r>
    </w:p>
    <w:sectPr w:rsidR="00B94CEF" w:rsidRPr="00D26F1C">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14C38" w14:textId="77777777" w:rsidR="00637171" w:rsidRDefault="00637171" w:rsidP="000264A1">
      <w:pPr>
        <w:spacing w:after="0" w:line="240" w:lineRule="auto"/>
      </w:pPr>
      <w:r>
        <w:separator/>
      </w:r>
    </w:p>
  </w:endnote>
  <w:endnote w:type="continuationSeparator" w:id="0">
    <w:p w14:paraId="6D7C9349" w14:textId="77777777" w:rsidR="00637171" w:rsidRDefault="00637171"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3DF3F" w14:textId="77777777" w:rsidR="00637171" w:rsidRDefault="00637171" w:rsidP="000264A1">
      <w:pPr>
        <w:spacing w:after="0" w:line="240" w:lineRule="auto"/>
      </w:pPr>
      <w:r>
        <w:separator/>
      </w:r>
    </w:p>
  </w:footnote>
  <w:footnote w:type="continuationSeparator" w:id="0">
    <w:p w14:paraId="5BF75865" w14:textId="77777777" w:rsidR="00637171" w:rsidRDefault="00637171"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592"/>
    <w:multiLevelType w:val="hybridMultilevel"/>
    <w:tmpl w:val="7402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D1119"/>
    <w:multiLevelType w:val="hybridMultilevel"/>
    <w:tmpl w:val="4940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C0B00"/>
    <w:multiLevelType w:val="hybridMultilevel"/>
    <w:tmpl w:val="497EB712"/>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070F7"/>
    <w:multiLevelType w:val="hybridMultilevel"/>
    <w:tmpl w:val="22A45C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182644"/>
    <w:multiLevelType w:val="hybridMultilevel"/>
    <w:tmpl w:val="5EC0474A"/>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163865"/>
    <w:multiLevelType w:val="hybridMultilevel"/>
    <w:tmpl w:val="29D4F950"/>
    <w:lvl w:ilvl="0" w:tplc="E6E0E6E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3057571"/>
    <w:multiLevelType w:val="hybridMultilevel"/>
    <w:tmpl w:val="3BEE7316"/>
    <w:lvl w:ilvl="0" w:tplc="6EA4E810">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7430EB"/>
    <w:multiLevelType w:val="hybridMultilevel"/>
    <w:tmpl w:val="698A5720"/>
    <w:lvl w:ilvl="0" w:tplc="A3FA553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7571F5B"/>
    <w:multiLevelType w:val="hybridMultilevel"/>
    <w:tmpl w:val="28C46CD4"/>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545B01"/>
    <w:multiLevelType w:val="hybridMultilevel"/>
    <w:tmpl w:val="EFAADB18"/>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8542E"/>
    <w:multiLevelType w:val="hybridMultilevel"/>
    <w:tmpl w:val="E53E26D4"/>
    <w:lvl w:ilvl="0" w:tplc="5298E64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F722DBC"/>
    <w:multiLevelType w:val="hybridMultilevel"/>
    <w:tmpl w:val="5066CD94"/>
    <w:lvl w:ilvl="0" w:tplc="76F0306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0414BD8"/>
    <w:multiLevelType w:val="hybridMultilevel"/>
    <w:tmpl w:val="14DEFC38"/>
    <w:lvl w:ilvl="0" w:tplc="14A2E0A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992581"/>
    <w:multiLevelType w:val="hybridMultilevel"/>
    <w:tmpl w:val="12465D7A"/>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CC5104"/>
    <w:multiLevelType w:val="hybridMultilevel"/>
    <w:tmpl w:val="B32E5CC0"/>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082374">
    <w:abstractNumId w:val="1"/>
  </w:num>
  <w:num w:numId="2" w16cid:durableId="2123258455">
    <w:abstractNumId w:val="0"/>
  </w:num>
  <w:num w:numId="3" w16cid:durableId="705064897">
    <w:abstractNumId w:val="4"/>
  </w:num>
  <w:num w:numId="4" w16cid:durableId="1065449549">
    <w:abstractNumId w:val="13"/>
  </w:num>
  <w:num w:numId="5" w16cid:durableId="1110126428">
    <w:abstractNumId w:val="10"/>
  </w:num>
  <w:num w:numId="6" w16cid:durableId="1509294398">
    <w:abstractNumId w:val="8"/>
  </w:num>
  <w:num w:numId="7" w16cid:durableId="2026979566">
    <w:abstractNumId w:val="11"/>
  </w:num>
  <w:num w:numId="8" w16cid:durableId="621958102">
    <w:abstractNumId w:val="14"/>
  </w:num>
  <w:num w:numId="9" w16cid:durableId="1578784538">
    <w:abstractNumId w:val="7"/>
  </w:num>
  <w:num w:numId="10" w16cid:durableId="1444572542">
    <w:abstractNumId w:val="9"/>
  </w:num>
  <w:num w:numId="11" w16cid:durableId="1029454877">
    <w:abstractNumId w:val="5"/>
  </w:num>
  <w:num w:numId="12" w16cid:durableId="1742865571">
    <w:abstractNumId w:val="2"/>
  </w:num>
  <w:num w:numId="13" w16cid:durableId="1810706715">
    <w:abstractNumId w:val="12"/>
  </w:num>
  <w:num w:numId="14" w16cid:durableId="1030837781">
    <w:abstractNumId w:val="6"/>
  </w:num>
  <w:num w:numId="15" w16cid:durableId="7159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1DB8"/>
    <w:rsid w:val="000264A1"/>
    <w:rsid w:val="000270FB"/>
    <w:rsid w:val="000301BB"/>
    <w:rsid w:val="00032B58"/>
    <w:rsid w:val="00057D7A"/>
    <w:rsid w:val="00060FB4"/>
    <w:rsid w:val="000626CC"/>
    <w:rsid w:val="000943D2"/>
    <w:rsid w:val="000D7069"/>
    <w:rsid w:val="00154B0E"/>
    <w:rsid w:val="00196490"/>
    <w:rsid w:val="001A4986"/>
    <w:rsid w:val="001C61EE"/>
    <w:rsid w:val="001E5A74"/>
    <w:rsid w:val="001F07E7"/>
    <w:rsid w:val="00247C72"/>
    <w:rsid w:val="00251B56"/>
    <w:rsid w:val="00280311"/>
    <w:rsid w:val="0028497B"/>
    <w:rsid w:val="002D471B"/>
    <w:rsid w:val="00322557"/>
    <w:rsid w:val="00383BBB"/>
    <w:rsid w:val="003A3ED1"/>
    <w:rsid w:val="003D28CC"/>
    <w:rsid w:val="003D74CD"/>
    <w:rsid w:val="003E1991"/>
    <w:rsid w:val="003F5C9E"/>
    <w:rsid w:val="00414232"/>
    <w:rsid w:val="00414D68"/>
    <w:rsid w:val="004471BC"/>
    <w:rsid w:val="00453625"/>
    <w:rsid w:val="004A0513"/>
    <w:rsid w:val="004A506B"/>
    <w:rsid w:val="004C6FA8"/>
    <w:rsid w:val="004E06F5"/>
    <w:rsid w:val="00541B17"/>
    <w:rsid w:val="00556503"/>
    <w:rsid w:val="0056290A"/>
    <w:rsid w:val="005841F2"/>
    <w:rsid w:val="005914B7"/>
    <w:rsid w:val="005A6F49"/>
    <w:rsid w:val="005C6879"/>
    <w:rsid w:val="005C6B22"/>
    <w:rsid w:val="005D6946"/>
    <w:rsid w:val="005F19F6"/>
    <w:rsid w:val="005F67BC"/>
    <w:rsid w:val="00603016"/>
    <w:rsid w:val="00606777"/>
    <w:rsid w:val="006343E4"/>
    <w:rsid w:val="00637171"/>
    <w:rsid w:val="00661C18"/>
    <w:rsid w:val="006774D3"/>
    <w:rsid w:val="006C02DC"/>
    <w:rsid w:val="006E427E"/>
    <w:rsid w:val="006F4BC3"/>
    <w:rsid w:val="006F6624"/>
    <w:rsid w:val="00722ABC"/>
    <w:rsid w:val="007374BD"/>
    <w:rsid w:val="00764492"/>
    <w:rsid w:val="00770579"/>
    <w:rsid w:val="0078303E"/>
    <w:rsid w:val="007969F7"/>
    <w:rsid w:val="00797B8D"/>
    <w:rsid w:val="007A41BC"/>
    <w:rsid w:val="007C3A65"/>
    <w:rsid w:val="007C499D"/>
    <w:rsid w:val="00834A5D"/>
    <w:rsid w:val="00843325"/>
    <w:rsid w:val="00853F23"/>
    <w:rsid w:val="00862F70"/>
    <w:rsid w:val="0089704D"/>
    <w:rsid w:val="008A2C3D"/>
    <w:rsid w:val="008A6D32"/>
    <w:rsid w:val="008C2742"/>
    <w:rsid w:val="008E2531"/>
    <w:rsid w:val="0090576B"/>
    <w:rsid w:val="00924858"/>
    <w:rsid w:val="00936EA8"/>
    <w:rsid w:val="00974AB3"/>
    <w:rsid w:val="00995111"/>
    <w:rsid w:val="009B6BCE"/>
    <w:rsid w:val="009E4C3A"/>
    <w:rsid w:val="009E6B1C"/>
    <w:rsid w:val="00A07D85"/>
    <w:rsid w:val="00A43B89"/>
    <w:rsid w:val="00A54FDE"/>
    <w:rsid w:val="00A747C4"/>
    <w:rsid w:val="00A80285"/>
    <w:rsid w:val="00AC6A13"/>
    <w:rsid w:val="00AD76C6"/>
    <w:rsid w:val="00B114B5"/>
    <w:rsid w:val="00B30C1E"/>
    <w:rsid w:val="00B73C5B"/>
    <w:rsid w:val="00B94CEF"/>
    <w:rsid w:val="00BD7804"/>
    <w:rsid w:val="00BE0676"/>
    <w:rsid w:val="00BE3A83"/>
    <w:rsid w:val="00C51FCF"/>
    <w:rsid w:val="00C81AA4"/>
    <w:rsid w:val="00C83C23"/>
    <w:rsid w:val="00CA2F7B"/>
    <w:rsid w:val="00D05A5F"/>
    <w:rsid w:val="00D26F1C"/>
    <w:rsid w:val="00D320CE"/>
    <w:rsid w:val="00D3579D"/>
    <w:rsid w:val="00D6346E"/>
    <w:rsid w:val="00D85787"/>
    <w:rsid w:val="00DA18C8"/>
    <w:rsid w:val="00E11F1B"/>
    <w:rsid w:val="00E14E81"/>
    <w:rsid w:val="00E5282D"/>
    <w:rsid w:val="00E7598D"/>
    <w:rsid w:val="00F022F0"/>
    <w:rsid w:val="00F9002F"/>
    <w:rsid w:val="00FC6ECA"/>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D26F1C"/>
    <w:rPr>
      <w:color w:val="467886" w:themeColor="hyperlink"/>
      <w:u w:val="single"/>
    </w:rPr>
  </w:style>
  <w:style w:type="character" w:styleId="UnresolvedMention">
    <w:name w:val="Unresolved Mention"/>
    <w:basedOn w:val="DefaultParagraphFont"/>
    <w:uiPriority w:val="99"/>
    <w:semiHidden/>
    <w:unhideWhenUsed/>
    <w:rsid w:val="00D26F1C"/>
    <w:rPr>
      <w:color w:val="605E5C"/>
      <w:shd w:val="clear" w:color="auto" w:fill="E1DFDD"/>
    </w:rPr>
  </w:style>
  <w:style w:type="table" w:styleId="TableGrid">
    <w:name w:val="Table Grid"/>
    <w:basedOn w:val="TableNormal"/>
    <w:uiPriority w:val="39"/>
    <w:rsid w:val="00F02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900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s00115-025-01914-7" TargetMode="External"/><Relationship Id="rId18" Type="http://schemas.openxmlformats.org/officeDocument/2006/relationships/hyperlink" Target="https://doi.org/10.1111/1460-6984.13009" TargetMode="External"/><Relationship Id="rId26" Type="http://schemas.openxmlformats.org/officeDocument/2006/relationships/hyperlink" Target="https://doi.org/10.1007/s00787-021-01842-2" TargetMode="External"/><Relationship Id="rId3" Type="http://schemas.openxmlformats.org/officeDocument/2006/relationships/customXml" Target="../customXml/item3.xml"/><Relationship Id="rId21" Type="http://schemas.openxmlformats.org/officeDocument/2006/relationships/hyperlink" Target="https://doi.org/10.1007/s11940-020-0620-z" TargetMode="External"/><Relationship Id="rId7" Type="http://schemas.openxmlformats.org/officeDocument/2006/relationships/webSettings" Target="webSettings.xml"/><Relationship Id="rId12" Type="http://schemas.openxmlformats.org/officeDocument/2006/relationships/hyperlink" Target="https://doi.org/10.1007/s00787-021-01845-z" TargetMode="External"/><Relationship Id="rId17" Type="http://schemas.openxmlformats.org/officeDocument/2006/relationships/hyperlink" Target="https://doi.org/10.1136/bmjopen-2019-034634" TargetMode="External"/><Relationship Id="rId25" Type="http://schemas.openxmlformats.org/officeDocument/2006/relationships/hyperlink" Target="https://doi.org/10.5863/1551-6776-25.5.401" TargetMode="External"/><Relationship Id="rId2" Type="http://schemas.openxmlformats.org/officeDocument/2006/relationships/customXml" Target="../customXml/item2.xml"/><Relationship Id="rId16" Type="http://schemas.openxmlformats.org/officeDocument/2006/relationships/hyperlink" Target="https://doi.org/10.1177/27546330251390590" TargetMode="External"/><Relationship Id="rId20" Type="http://schemas.openxmlformats.org/officeDocument/2006/relationships/hyperlink" Target="https://doi.org/10.1007/s00415-023-11769-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00787-021-01854-y" TargetMode="External"/><Relationship Id="rId24" Type="http://schemas.openxmlformats.org/officeDocument/2006/relationships/hyperlink" Target="https://doi.org/10.1136/bmjment-2025-301599"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89/cap.2023.0026" TargetMode="External"/><Relationship Id="rId23" Type="http://schemas.openxmlformats.org/officeDocument/2006/relationships/hyperlink" Target="https://doi.org/10.1007/s00787-021-01832-4" TargetMode="External"/><Relationship Id="rId28" Type="http://schemas.openxmlformats.org/officeDocument/2006/relationships/hyperlink" Target="https://doi.org/10.3390/brainsci15050426" TargetMode="External"/><Relationship Id="rId10" Type="http://schemas.openxmlformats.org/officeDocument/2006/relationships/image" Target="media/image1.jpeg"/><Relationship Id="rId19" Type="http://schemas.openxmlformats.org/officeDocument/2006/relationships/hyperlink" Target="https://doi.org/10.1089/cap.2024.0023"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89/fpsyt.2021.621874" TargetMode="External"/><Relationship Id="rId22" Type="http://schemas.openxmlformats.org/officeDocument/2006/relationships/hyperlink" Target="https://doi.org/10.1016/j.encep.2019.10.002" TargetMode="External"/><Relationship Id="rId27" Type="http://schemas.openxmlformats.org/officeDocument/2006/relationships/hyperlink" Target="https://doi.org/10.1146/annurev-clinpsy-080921-074307"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e17ed533396ae096c94940c7cada224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32e059fa8b1c42037d8115f5b4a9e2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B47A27-C080-4301-9EA5-277D959EEC66}">
  <ds:schemaRefs>
    <ds:schemaRef ds:uri="http://schemas.microsoft.com/sharepoint/v3/contenttype/forms"/>
  </ds:schemaRefs>
</ds:datastoreItem>
</file>

<file path=customXml/itemProps2.xml><?xml version="1.0" encoding="utf-8"?>
<ds:datastoreItem xmlns:ds="http://schemas.openxmlformats.org/officeDocument/2006/customXml" ds:itemID="{C8312516-E071-40CA-9279-EC5742030EF5}">
  <ds:schemaRefs>
    <ds:schemaRef ds:uri="http://purl.org/dc/terms/"/>
    <ds:schemaRef ds:uri="http://www.w3.org/XML/1998/namespace"/>
    <ds:schemaRef ds:uri="http://schemas.openxmlformats.org/package/2006/metadata/core-properties"/>
    <ds:schemaRef ds:uri="0ebdf10f-b5a3-45b6-acdb-7dc1eb398785"/>
    <ds:schemaRef ds:uri="http://purl.org/dc/elements/1.1/"/>
    <ds:schemaRef ds:uri="http://schemas.microsoft.com/office/2006/metadata/properties"/>
    <ds:schemaRef ds:uri="http://schemas.microsoft.com/office/2006/documentManagement/types"/>
    <ds:schemaRef ds:uri="http://schemas.microsoft.com/office/infopath/2007/PartnerControls"/>
    <ds:schemaRef ds:uri="550816ce-8156-4f45-b1c4-24236a73d01f"/>
    <ds:schemaRef ds:uri="http://purl.org/dc/dcmitype/"/>
  </ds:schemaRefs>
</ds:datastoreItem>
</file>

<file path=customXml/itemProps3.xml><?xml version="1.0" encoding="utf-8"?>
<ds:datastoreItem xmlns:ds="http://schemas.openxmlformats.org/officeDocument/2006/customXml" ds:itemID="{DBFF00E2-37F1-41AF-AEA4-2DF7F7F6A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3470</Words>
  <Characters>19784</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Monica Ana Oprea (2315596)</cp:lastModifiedBy>
  <cp:revision>2</cp:revision>
  <dcterms:created xsi:type="dcterms:W3CDTF">2025-12-05T06:33:00Z</dcterms:created>
  <dcterms:modified xsi:type="dcterms:W3CDTF">2025-12-05T06:33:00Z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f9d24bde-f777-424f-9d38-3a31fa42c8b0</vt:lpwstr>
  </property>
  <property fmtid="{D5CDD505-2E9C-101B-9397-08002B2CF9AE}" pid="3" name="ContentTypeId">
    <vt:lpwstr>0x0101009DA2B97165742847ABC519A905693DF8</vt:lpwstr>
  </property>
</Properties>
</file>