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B129A6D">
      <w:pPr>
        <w:spacing w:before="200" w:after="200" w:line="360" w:lineRule="auto"/>
        <w:rPr>
          <w:lang w:val="en-GB"/>
        </w:rPr>
      </w:pPr>
    </w:p>
    <w:p w14:paraId="6B548E63">
      <w:pPr>
        <w:spacing w:before="200" w:after="200" w:line="360" w:lineRule="auto"/>
        <w:rPr>
          <w:lang w:val="en-GB"/>
        </w:rPr>
      </w:pPr>
    </w:p>
    <w:p w14:paraId="36A40808">
      <w:pPr>
        <w:spacing w:before="200" w:after="200" w:line="360" w:lineRule="auto"/>
        <w:rPr>
          <w:lang w:val="en-GB"/>
        </w:rPr>
      </w:pPr>
    </w:p>
    <w:p w14:paraId="364A8AA6">
      <w:pPr>
        <w:spacing w:before="480" w:line="360" w:lineRule="auto"/>
        <w:ind w:left="2160" w:firstLine="720"/>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MBA Dissertation Proposal</w:t>
      </w:r>
    </w:p>
    <w:p w14:paraId="2C55FC69">
      <w:pPr>
        <w:spacing w:before="240"/>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Programme: Master Of Business Administration</w:t>
      </w:r>
    </w:p>
    <w:p w14:paraId="79C11CCF">
      <w:pPr>
        <w:spacing w:before="240"/>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 xml:space="preserve"> </w:t>
      </w:r>
    </w:p>
    <w:p w14:paraId="007B3B25">
      <w:pPr>
        <w:spacing w:before="240"/>
        <w:jc w:val="center"/>
        <w:rPr>
          <w:rFonts w:hint="default" w:ascii="Times New Roman" w:hAnsi="Times New Roman" w:eastAsia="Times New Roman" w:cs="Times New Roman"/>
          <w:b/>
          <w:bCs/>
          <w:sz w:val="32"/>
          <w:szCs w:val="32"/>
          <w:lang w:val="en-US"/>
        </w:rPr>
      </w:pPr>
      <w:r>
        <w:rPr>
          <w:rFonts w:ascii="Times New Roman" w:hAnsi="Times New Roman" w:eastAsia="Times New Roman" w:cs="Times New Roman"/>
          <w:b/>
          <w:bCs/>
          <w:sz w:val="32"/>
          <w:szCs w:val="32"/>
          <w:lang w:val="en-GB"/>
        </w:rPr>
        <w:t>Student Name:</w:t>
      </w:r>
      <w:r>
        <w:rPr>
          <w:rFonts w:hint="default" w:ascii="Times New Roman" w:hAnsi="Times New Roman" w:eastAsia="Times New Roman" w:cs="Times New Roman"/>
          <w:b/>
          <w:bCs/>
          <w:sz w:val="32"/>
          <w:szCs w:val="32"/>
          <w:lang w:val="en-US"/>
        </w:rPr>
        <w:t xml:space="preserve"> Minal Ramani</w:t>
      </w:r>
    </w:p>
    <w:p w14:paraId="7CBE4091">
      <w:pPr>
        <w:spacing w:before="240"/>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Student</w:t>
      </w:r>
      <w:r>
        <w:rPr>
          <w:rFonts w:hint="default" w:ascii="Times New Roman" w:hAnsi="Times New Roman" w:eastAsia="Times New Roman" w:cs="Times New Roman"/>
          <w:b/>
          <w:bCs/>
          <w:sz w:val="32"/>
          <w:szCs w:val="32"/>
          <w:lang w:val="en-US"/>
        </w:rPr>
        <w:t xml:space="preserve"> ID</w:t>
      </w:r>
      <w:r>
        <w:rPr>
          <w:rFonts w:ascii="Times New Roman" w:hAnsi="Times New Roman" w:eastAsia="Times New Roman" w:cs="Times New Roman"/>
          <w:b/>
          <w:bCs/>
          <w:sz w:val="32"/>
          <w:szCs w:val="32"/>
          <w:lang w:val="en-GB"/>
        </w:rPr>
        <w:t xml:space="preserve"> </w:t>
      </w:r>
      <w:r>
        <w:rPr>
          <w:rFonts w:ascii="Times New Roman" w:hAnsi="Times New Roman" w:eastAsia="Times New Roman" w:cs="Times New Roman"/>
          <w:b/>
          <w:bCs/>
          <w:sz w:val="32"/>
          <w:szCs w:val="32"/>
          <w:lang w:val="en-US"/>
        </w:rPr>
        <w:t xml:space="preserve">Number: </w:t>
      </w:r>
      <w:bookmarkStart w:id="28" w:name="_GoBack"/>
      <w:bookmarkEnd w:id="28"/>
      <w:r>
        <w:rPr>
          <w:rFonts w:hint="default" w:ascii="Times New Roman" w:hAnsi="Times New Roman" w:eastAsia="Times New Roman" w:cs="Times New Roman"/>
          <w:b/>
          <w:bCs/>
          <w:sz w:val="32"/>
          <w:szCs w:val="32"/>
          <w:lang w:val="en-US"/>
        </w:rPr>
        <w:t>2423401</w:t>
      </w:r>
    </w:p>
    <w:p w14:paraId="42705949">
      <w:pPr>
        <w:spacing w:before="200" w:after="200" w:line="360" w:lineRule="auto"/>
        <w:rPr>
          <w:lang w:val="en-GB"/>
        </w:rPr>
      </w:pPr>
    </w:p>
    <w:p w14:paraId="0A9CF813">
      <w:pPr>
        <w:spacing w:before="200" w:after="200" w:line="360" w:lineRule="auto"/>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color w:val="222222"/>
          <w:sz w:val="32"/>
          <w:szCs w:val="32"/>
          <w:highlight w:val="white"/>
          <w:lang w:val="en-GB"/>
        </w:rPr>
        <w:t>A SYSTEMATIC REVIEW OF DIGITAL TRANSFORMATION PROJECTS IN THE GLOBAL COSMETICS INDUSTRY: IMPLICATIONS FOR ENHANCING CUSTOMER ENGAGEMENT IN THE UK</w:t>
      </w:r>
    </w:p>
    <w:p w14:paraId="0AEEC785">
      <w:pPr>
        <w:rPr>
          <w:rFonts w:ascii="Times New Roman" w:hAnsi="Times New Roman"/>
          <w:b/>
          <w:sz w:val="28"/>
          <w:szCs w:val="40"/>
          <w:lang w:val="en-GB"/>
        </w:rPr>
      </w:pPr>
      <w:r>
        <w:rPr>
          <w:rFonts w:ascii="Times New Roman" w:hAnsi="Times New Roman"/>
          <w:b/>
          <w:sz w:val="28"/>
          <w:szCs w:val="40"/>
          <w:lang w:val="en-GB"/>
        </w:rPr>
        <w:br w:type="page"/>
      </w:r>
    </w:p>
    <w:sdt>
      <w:sdtPr>
        <w:id w:val="364179378"/>
        <w:docPartObj>
          <w:docPartGallery w:val="Table of Contents"/>
          <w:docPartUnique/>
        </w:docPartObj>
      </w:sdtPr>
      <w:sdtEndPr>
        <w:rPr>
          <w:rFonts w:ascii="Arial" w:hAnsi="Arial" w:eastAsia="Arial" w:cs="Arial"/>
          <w:b/>
          <w:bCs/>
          <w:color w:val="auto"/>
          <w:sz w:val="22"/>
          <w:szCs w:val="22"/>
          <w:lang w:val="en"/>
        </w:rPr>
      </w:sdtEndPr>
      <w:sdtContent>
        <w:p w14:paraId="0568E933">
          <w:pPr>
            <w:pStyle w:val="23"/>
            <w:spacing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623F8C94">
          <w:pPr>
            <w:pStyle w:val="15"/>
            <w:tabs>
              <w:tab w:val="right" w:leader="dot" w:pos="9350"/>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"_Toc213165956" </w:instrText>
          </w:r>
          <w:r>
            <w:fldChar w:fldCharType="separate"/>
          </w:r>
          <w:r>
            <w:rPr>
              <w:rStyle w:val="12"/>
              <w:rFonts w:ascii="Times New Roman" w:hAnsi="Times New Roman" w:cs="Times New Roman"/>
              <w:sz w:val="24"/>
              <w:szCs w:val="24"/>
              <w:lang w:val="en-GB"/>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_Toc213165956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B00F9A2">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"_Toc213165957" </w:instrText>
          </w:r>
          <w:r>
            <w:fldChar w:fldCharType="separate"/>
          </w:r>
          <w:r>
            <w:rPr>
              <w:rStyle w:val="12"/>
              <w:rFonts w:ascii="Times New Roman" w:hAnsi="Times New Roman" w:cs="Times New Roman"/>
              <w:sz w:val="24"/>
              <w:szCs w:val="24"/>
              <w:lang w:val="en-GB"/>
            </w:rPr>
            <w:t>1.1 Proposed Title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_Toc213165957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F759CF6">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"_Toc213165958" </w:instrText>
          </w:r>
          <w:r>
            <w:fldChar w:fldCharType="separate"/>
          </w:r>
          <w:r>
            <w:rPr>
              <w:rStyle w:val="12"/>
              <w:rFonts w:ascii="Times New Roman" w:hAnsi="Times New Roman" w:cs="Times New Roman"/>
              <w:sz w:val="24"/>
              <w:szCs w:val="24"/>
              <w:lang w:val="en-GB"/>
            </w:rPr>
            <w:t>1.2 Background and Rationale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_Toc213165958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E134C6D">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"_Toc213165959" </w:instrText>
          </w:r>
          <w:r>
            <w:fldChar w:fldCharType="separate"/>
          </w:r>
          <w:r>
            <w:rPr>
              <w:rStyle w:val="12"/>
              <w:rFonts w:ascii="Times New Roman" w:hAnsi="Times New Roman" w:cs="Times New Roman"/>
              <w:sz w:val="24"/>
              <w:szCs w:val="24"/>
              <w:lang w:val="en-GB"/>
            </w:rPr>
            <w:t>1.3 Research Aim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_Toc213165959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567E13D">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"_Toc213165960" </w:instrText>
          </w:r>
          <w:r>
            <w:fldChar w:fldCharType="separate"/>
          </w:r>
          <w:r>
            <w:rPr>
              <w:rStyle w:val="12"/>
              <w:rFonts w:ascii="Times New Roman" w:hAnsi="Times New Roman" w:cs="Times New Roman"/>
              <w:sz w:val="24"/>
              <w:szCs w:val="24"/>
              <w:lang w:val="en-GB"/>
            </w:rPr>
            <w:t>1.4 Research 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D38D3BB">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"_Toc213165961" </w:instrText>
          </w:r>
          <w:r>
            <w:fldChar w:fldCharType="separate"/>
          </w:r>
          <w:r>
            <w:rPr>
              <w:rStyle w:val="12"/>
              <w:rFonts w:ascii="Times New Roman" w:hAnsi="Times New Roman" w:cs="Times New Roman"/>
              <w:sz w:val="24"/>
              <w:szCs w:val="24"/>
              <w:lang w:val="en-GB"/>
            </w:rPr>
            <w:t>1.5 Research Questions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81F55FE">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"_Toc213165962" </w:instrText>
          </w:r>
          <w:r>
            <w:fldChar w:fldCharType="separate"/>
          </w:r>
          <w:r>
            <w:rPr>
              <w:rStyle w:val="12"/>
              <w:rFonts w:ascii="Times New Roman" w:hAnsi="Times New Roman" w:cs="Times New Roman"/>
              <w:sz w:val="24"/>
              <w:szCs w:val="24"/>
              <w:lang w:val="en-GB"/>
            </w:rPr>
            <w:t>2. 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532DFCB">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"_Toc213165963" </w:instrText>
          </w:r>
          <w:r>
            <w:fldChar w:fldCharType="separate"/>
          </w:r>
          <w:r>
            <w:rPr>
              <w:rStyle w:val="12"/>
              <w:rFonts w:ascii="Times New Roman" w:hAnsi="Times New Roman" w:cs="Times New Roman"/>
              <w:sz w:val="24"/>
              <w:szCs w:val="24"/>
              <w:lang w:val="en-GB"/>
            </w:rPr>
            <w:t>2.1 Theoretical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BC04583">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"_Toc213165964" </w:instrText>
          </w:r>
          <w:r>
            <w:fldChar w:fldCharType="separate"/>
          </w:r>
          <w:r>
            <w:rPr>
              <w:rStyle w:val="12"/>
              <w:rFonts w:ascii="Times New Roman" w:hAnsi="Times New Roman" w:cs="Times New Roman"/>
              <w:sz w:val="24"/>
              <w:szCs w:val="24"/>
              <w:lang w:val="en-GB"/>
            </w:rPr>
            <w:t>2.2 Key literature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A379978">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"_Toc213165965" </w:instrText>
          </w:r>
          <w:r>
            <w:fldChar w:fldCharType="separate"/>
          </w:r>
          <w:r>
            <w:rPr>
              <w:rStyle w:val="12"/>
              <w:rFonts w:ascii="Times New Roman" w:hAnsi="Times New Roman" w:cs="Times New Roman"/>
              <w:sz w:val="24"/>
              <w:szCs w:val="24"/>
              <w:lang w:val="en-GB"/>
            </w:rPr>
            <w:t>2.3 Research Gap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2075322">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"_Toc213165966" </w:instrText>
          </w:r>
          <w:r>
            <w:fldChar w:fldCharType="separate"/>
          </w:r>
          <w:r>
            <w:rPr>
              <w:rStyle w:val="12"/>
              <w:rFonts w:ascii="Times New Roman" w:hAnsi="Times New Roman" w:cs="Times New Roman"/>
              <w:sz w:val="24"/>
              <w:szCs w:val="24"/>
              <w:lang w:val="en-GB"/>
            </w:rPr>
            <w:t>2.4 Conceptual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_Toc213165966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E0CFE37">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"_Toc213165967" </w:instrText>
          </w:r>
          <w:r>
            <w:fldChar w:fldCharType="separate"/>
          </w:r>
          <w:r>
            <w:rPr>
              <w:rStyle w:val="12"/>
              <w:rFonts w:ascii="Times New Roman" w:hAnsi="Times New Roman" w:cs="Times New Roman"/>
              <w:sz w:val="24"/>
              <w:szCs w:val="24"/>
              <w:lang w:val="en-GB"/>
            </w:rPr>
            <w:t>3.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_Toc213165967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3816D08">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"_Toc213165968" </w:instrText>
          </w:r>
          <w:r>
            <w:fldChar w:fldCharType="separate"/>
          </w:r>
          <w:r>
            <w:rPr>
              <w:rStyle w:val="12"/>
              <w:rFonts w:ascii="Times New Roman" w:hAnsi="Times New Roman" w:cs="Times New Roman"/>
              <w:sz w:val="24"/>
              <w:szCs w:val="24"/>
              <w:lang w:val="en-GB"/>
            </w:rPr>
            <w:t>3.1 Research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_Toc213165968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74098B6">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"_Toc213165969" </w:instrText>
          </w:r>
          <w:r>
            <w:fldChar w:fldCharType="separate"/>
          </w:r>
          <w:r>
            <w:rPr>
              <w:rStyle w:val="12"/>
              <w:rFonts w:ascii="Times New Roman" w:hAnsi="Times New Roman" w:cs="Times New Roman"/>
              <w:sz w:val="24"/>
              <w:szCs w:val="24"/>
              <w:lang w:val="en-GB"/>
            </w:rPr>
            <w:t>3.2 Data Collection Methods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_Toc213165969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2F388F">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"_Toc213165970" </w:instrText>
          </w:r>
          <w:r>
            <w:fldChar w:fldCharType="separate"/>
          </w:r>
          <w:r>
            <w:rPr>
              <w:rStyle w:val="12"/>
              <w:rFonts w:ascii="Times New Roman" w:hAnsi="Times New Roman" w:cs="Times New Roman"/>
              <w:sz w:val="24"/>
              <w:szCs w:val="24"/>
              <w:lang w:val="en-GB"/>
            </w:rPr>
            <w:t>3.3 Sampling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_Toc213165970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299B9DD">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"_Toc213165971" </w:instrText>
          </w:r>
          <w:r>
            <w:fldChar w:fldCharType="separate"/>
          </w:r>
          <w:r>
            <w:rPr>
              <w:rStyle w:val="12"/>
              <w:rFonts w:ascii="Times New Roman" w:hAnsi="Times New Roman" w:cs="Times New Roman"/>
              <w:sz w:val="24"/>
              <w:szCs w:val="24"/>
              <w:lang w:val="en-GB"/>
            </w:rPr>
            <w:t>3.4 Data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_Toc213165971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E7C2D0C">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"_Toc213165972" </w:instrText>
          </w:r>
          <w:r>
            <w:fldChar w:fldCharType="separate"/>
          </w:r>
          <w:r>
            <w:rPr>
              <w:rStyle w:val="12"/>
              <w:rFonts w:ascii="Times New Roman" w:hAnsi="Times New Roman" w:cs="Times New Roman"/>
              <w:sz w:val="24"/>
              <w:szCs w:val="24"/>
              <w:lang w:val="en-GB"/>
            </w:rPr>
            <w:t>3.5 Ethical Considerations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_Toc213165972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CD9166E">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"_Toc213165973" </w:instrText>
          </w:r>
          <w:r>
            <w:fldChar w:fldCharType="separate"/>
          </w:r>
          <w:r>
            <w:rPr>
              <w:rStyle w:val="12"/>
              <w:rFonts w:ascii="Times New Roman" w:hAnsi="Times New Roman" w:cs="Times New Roman"/>
              <w:sz w:val="24"/>
              <w:szCs w:val="24"/>
              <w:lang w:val="en-GB"/>
            </w:rPr>
            <w:t>3.6 Feasibility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F3E311B">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"_Toc213165974" </w:instrText>
          </w:r>
          <w:r>
            <w:fldChar w:fldCharType="separate"/>
          </w:r>
          <w:r>
            <w:rPr>
              <w:rStyle w:val="12"/>
              <w:rFonts w:ascii="Times New Roman" w:hAnsi="Times New Roman" w:cs="Times New Roman"/>
              <w:sz w:val="24"/>
              <w:szCs w:val="24"/>
              <w:lang w:val="en-GB"/>
            </w:rPr>
            <w:t>4. Expected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_Toc213165974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FEECD07">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"_Toc213165975" </w:instrText>
          </w:r>
          <w:r>
            <w:fldChar w:fldCharType="separate"/>
          </w:r>
          <w:r>
            <w:rPr>
              <w:rStyle w:val="12"/>
              <w:rFonts w:ascii="Times New Roman" w:hAnsi="Times New Roman" w:cs="Times New Roman"/>
              <w:sz w:val="24"/>
              <w:szCs w:val="24"/>
              <w:lang w:val="en-GB"/>
            </w:rPr>
            <w:t>4.1 Anticipated Results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_Toc213165975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3C2E87">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"_Toc213165976" </w:instrText>
          </w:r>
          <w:r>
            <w:fldChar w:fldCharType="separate"/>
          </w:r>
          <w:r>
            <w:rPr>
              <w:rStyle w:val="12"/>
              <w:rFonts w:ascii="Times New Roman" w:hAnsi="Times New Roman" w:cs="Times New Roman"/>
              <w:sz w:val="24"/>
              <w:szCs w:val="24"/>
              <w:lang w:val="en-GB"/>
            </w:rPr>
            <w:t>4.2 Expected Contribution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_Toc213165976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AD1D898">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"_Toc213165977" </w:instrText>
          </w:r>
          <w:r>
            <w:fldChar w:fldCharType="separate"/>
          </w:r>
          <w:r>
            <w:rPr>
              <w:rStyle w:val="12"/>
              <w:rFonts w:ascii="Times New Roman" w:hAnsi="Times New Roman" w:cs="Times New Roman"/>
              <w:sz w:val="24"/>
              <w:szCs w:val="24"/>
              <w:lang w:val="en-GB"/>
            </w:rPr>
            <w:t>5. Limitations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_Toc213165977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F6F1A1C">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"_Toc213165978" </w:instrText>
          </w:r>
          <w:r>
            <w:fldChar w:fldCharType="separate"/>
          </w:r>
          <w:r>
            <w:rPr>
              <w:rStyle w:val="12"/>
              <w:rFonts w:ascii="Times New Roman" w:hAnsi="Times New Roman" w:cs="Times New Roman"/>
              <w:sz w:val="24"/>
              <w:szCs w:val="24"/>
              <w:lang w:val="en-GB"/>
            </w:rPr>
            <w:t>5.1 Anticipated Constraints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_Toc213165978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4496451">
          <w:pPr>
            <w:pStyle w:val="16"/>
            <w:tabs>
              <w:tab w:val="right" w:leader="dot" w:pos="9350"/>
            </w:tabs>
            <w:spacing w:line="360" w:lineRule="auto"/>
            <w:rPr>
              <w:rFonts w:ascii="Times New Roman" w:hAnsi="Times New Roman" w:cs="Times New Roman"/>
              <w:sz w:val="24"/>
              <w:szCs w:val="24"/>
            </w:rPr>
          </w:pPr>
          <w:r>
            <w:fldChar w:fldCharType="begin"/>
          </w:r>
          <w:r>
            <w:instrText xml:space="preserve"> HYPERLINK \l "_Toc213165979" </w:instrText>
          </w:r>
          <w:r>
            <w:fldChar w:fldCharType="separate"/>
          </w:r>
          <w:r>
            <w:rPr>
              <w:rStyle w:val="12"/>
              <w:rFonts w:ascii="Times New Roman" w:hAnsi="Times New Roman" w:cs="Times New Roman"/>
              <w:sz w:val="24"/>
              <w:szCs w:val="24"/>
              <w:lang w:val="en-GB"/>
            </w:rPr>
            <w:t>5.2 Mitigation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_Toc213165979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9A1720">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"_Toc213165980" </w:instrText>
          </w:r>
          <w:r>
            <w:fldChar w:fldCharType="separate"/>
          </w:r>
          <w:r>
            <w:rPr>
              <w:rStyle w:val="12"/>
              <w:rFonts w:ascii="Times New Roman" w:hAnsi="Times New Roman" w:cs="Times New Roman"/>
              <w:sz w:val="24"/>
              <w:szCs w:val="24"/>
              <w:lang w:val="en-GB"/>
            </w:rPr>
            <w:t>6. Timeframe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_Toc213165980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875D3BB">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"_Toc213165981" </w:instrText>
          </w:r>
          <w:r>
            <w:fldChar w:fldCharType="separate"/>
          </w:r>
          <w:r>
            <w:rPr>
              <w:rStyle w:val="12"/>
              <w:rFonts w:ascii="Times New Roman" w:hAnsi="Times New Roman" w:cs="Times New Roman"/>
              <w:sz w:val="24"/>
              <w:szCs w:val="24"/>
              <w:lang w:val="en-GB"/>
            </w:rPr>
            <w:t>7.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_Toc213165981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B48941C">
          <w:pPr>
            <w:pStyle w:val="15"/>
            <w:tabs>
              <w:tab w:val="right" w:leader="dot" w:pos="9350"/>
            </w:tabs>
            <w:spacing w:line="360" w:lineRule="auto"/>
            <w:rPr>
              <w:rFonts w:ascii="Times New Roman" w:hAnsi="Times New Roman" w:cs="Times New Roman"/>
              <w:sz w:val="24"/>
              <w:szCs w:val="24"/>
            </w:rPr>
          </w:pPr>
          <w:r>
            <w:fldChar w:fldCharType="begin"/>
          </w:r>
          <w:r>
            <w:instrText xml:space="preserve"> HYPERLINK \l "_Toc213165982" </w:instrText>
          </w:r>
          <w:r>
            <w:fldChar w:fldCharType="separate"/>
          </w:r>
          <w:r>
            <w:rPr>
              <w:rStyle w:val="12"/>
              <w:rFonts w:ascii="Times New Roman" w:hAnsi="Times New Roman" w:cs="Times New Roman"/>
              <w:sz w:val="24"/>
              <w:szCs w:val="24"/>
              <w:lang w:val="en-GB"/>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_Toc213165982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4C6FFA1">
          <w:pPr>
            <w:spacing w:line="360" w:lineRule="auto"/>
          </w:pPr>
          <w:r>
            <w:rPr>
              <w:rFonts w:ascii="Times New Roman" w:hAnsi="Times New Roman" w:cs="Times New Roman"/>
              <w:b/>
              <w:bCs/>
              <w:sz w:val="24"/>
              <w:szCs w:val="24"/>
            </w:rPr>
            <w:fldChar w:fldCharType="end"/>
          </w:r>
        </w:p>
      </w:sdtContent>
    </w:sdt>
    <w:p w14:paraId="42E7997F">
      <w:pPr>
        <w:rPr>
          <w:rFonts w:ascii="Times New Roman" w:hAnsi="Times New Roman"/>
          <w:b/>
          <w:sz w:val="28"/>
          <w:szCs w:val="40"/>
          <w:lang w:val="en-GB"/>
        </w:rPr>
      </w:pPr>
    </w:p>
    <w:p w14:paraId="042DE642">
      <w:pPr>
        <w:rPr>
          <w:rFonts w:ascii="Times New Roman" w:hAnsi="Times New Roman"/>
          <w:b/>
          <w:sz w:val="28"/>
          <w:szCs w:val="40"/>
          <w:lang w:val="en-GB"/>
        </w:rPr>
      </w:pPr>
      <w:bookmarkStart w:id="0" w:name="_Toc213165956"/>
      <w:r>
        <w:rPr>
          <w:lang w:val="en-GB"/>
        </w:rPr>
        <w:br w:type="page"/>
      </w:r>
    </w:p>
    <w:p w14:paraId="2FF6CAEA">
      <w:pPr>
        <w:pStyle w:val="2"/>
        <w:rPr>
          <w:b w:val="0"/>
          <w:lang w:val="en-GB"/>
        </w:rPr>
      </w:pPr>
      <w:r>
        <w:rPr>
          <w:lang w:val="en-GB"/>
        </w:rPr>
        <w:t>1. Introduction</w:t>
      </w:r>
      <w:bookmarkEnd w:id="0"/>
      <w:r>
        <w:rPr>
          <w:lang w:val="en-GB"/>
        </w:rPr>
        <w:t xml:space="preserve"> </w:t>
      </w:r>
    </w:p>
    <w:p w14:paraId="29D3382B">
      <w:pPr>
        <w:pStyle w:val="3"/>
        <w:rPr>
          <w:b w:val="0"/>
          <w:lang w:val="en-GB"/>
        </w:rPr>
      </w:pPr>
      <w:bookmarkStart w:id="1" w:name="_Toc213165957"/>
      <w:r>
        <w:rPr>
          <w:lang w:val="en-GB"/>
        </w:rPr>
        <w:t>1.1 Proposed Title</w:t>
      </w:r>
      <w:bookmarkEnd w:id="1"/>
    </w:p>
    <w:p w14:paraId="271E9633">
      <w:pPr>
        <w:spacing w:before="200" w:after="20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222222"/>
          <w:sz w:val="24"/>
          <w:szCs w:val="24"/>
          <w:highlight w:val="white"/>
          <w:lang w:val="en-GB"/>
        </w:rPr>
        <w:t>“A Systematic Review of Digital Transformation Projects in the Global Cosmetics Industry: Implications for Enhancing Customer Engagement in the UK”</w:t>
      </w:r>
    </w:p>
    <w:p w14:paraId="5B74EE6E">
      <w:pPr>
        <w:pStyle w:val="3"/>
        <w:rPr>
          <w:lang w:val="en-GB"/>
        </w:rPr>
      </w:pPr>
      <w:bookmarkStart w:id="2" w:name="_Toc213165958"/>
      <w:r>
        <w:rPr>
          <w:lang w:val="en-GB"/>
        </w:rPr>
        <w:t>1.2 Background and Rationale</w:t>
      </w:r>
      <w:bookmarkEnd w:id="2"/>
      <w:r>
        <w:rPr>
          <w:lang w:val="en-GB"/>
        </w:rPr>
        <w:t xml:space="preserve"> </w:t>
      </w:r>
    </w:p>
    <w:p w14:paraId="2FEBCBE0">
      <w:pP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Recent years have seen a dramatic shift in the global cosmetics market, driven by changing customer expectations and advances in digital technologies. Digital transformation refers to the implementation</w:t>
      </w:r>
      <w:r>
        <w:rPr>
          <w:rFonts w:ascii="Times New Roman" w:hAnsi="Times New Roman" w:eastAsia="Times New Roman" w:cs="Times New Roman"/>
          <w:b/>
          <w:sz w:val="24"/>
          <w:szCs w:val="24"/>
          <w:lang w:val="en-GB"/>
        </w:rPr>
        <w:t xml:space="preserve"> </w:t>
      </w:r>
      <w:r>
        <w:rPr>
          <w:rFonts w:ascii="Times New Roman" w:hAnsi="Times New Roman" w:eastAsia="Times New Roman" w:cs="Times New Roman"/>
          <w:sz w:val="24"/>
          <w:szCs w:val="24"/>
          <w:lang w:val="en-GB"/>
        </w:rPr>
        <w:t xml:space="preserve">of digital technologies in all aspects of the business. The global beauty and personal care market is expected to reach over “USD 670 billion by 2026”, with over 35% of total sales coming from digital channels (Statista.com, 2025). Cosmetics brands have been forced to adapt creative tactics, including AR and “AI-based product recommendations” through “social media engagement” and data analytics. </w:t>
      </w:r>
    </w:p>
    <w:p w14:paraId="03F92905">
      <w:pP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For increasing customer engagement, technological transformation plays a crucial part in the “business and management practice”. Along with that, customer interaction and experiential marketing influence the cosmetics sector, where technological tools enable brands to make more personalized experiences. For instance, global brands including Sephora and L’Oréal have utilized AI chatbots and AR applications to bridge the gap between online shopping and physical shopping experiences (Dattatray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2025). From a management standpoint, implementing digital transformation projects enables businesses to improve customer relationship management tactics,   </w:t>
      </w:r>
    </w:p>
    <w:p w14:paraId="08A753BA">
      <w:pP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Despite the worldwide progress of digital initiatives, research on how these tactics result in successful consumer interaction, particularly in the UK cosmetics sector, is still lacking. It was noticed that most of the global brands have adopted various innovative technologies. Small UK-based firms also faced the struggle during the implementation of digital technology due to the limited resources and lack of expertise (Joy-Camacho and Thornhill, 2024). Most of the literature focuses on the digital transformation in the retail or technology-based sector, compared to systematic research on the beauty industry and cosmetics. There is a knowledge gap about the best practices, challenges, and results of the digital transformation project in the UK cosmetic sector. </w:t>
      </w:r>
    </w:p>
    <w:p w14:paraId="1643AECF">
      <w:pP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main aim of this research is to address the gap by conducting a systematic review of the digital transformation projects in the global cosmetics market (Chandel and Gain, 2023). These findings offer the academic concept and the practical guidance for the cosmetic brand to implement digital innovation to develop the relationship with its customers. </w:t>
      </w:r>
    </w:p>
    <w:p w14:paraId="3D96036E">
      <w:pPr>
        <w:pStyle w:val="3"/>
        <w:rPr>
          <w:lang w:val="en-GB"/>
        </w:rPr>
      </w:pPr>
      <w:bookmarkStart w:id="3" w:name="_Toc213165959"/>
      <w:r>
        <w:rPr>
          <w:lang w:val="en-GB"/>
        </w:rPr>
        <w:t>1.3 Research Aim</w:t>
      </w:r>
      <w:bookmarkEnd w:id="3"/>
    </w:p>
    <w:p w14:paraId="3F0E70B2">
      <w:pPr>
        <w:spacing w:before="200" w:after="20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This research aims to “systematically review existing literature on digital transformation projects in the global cosmetics industry and evaluate their implications for enhancing customer engagement within the UK market context”.</w:t>
      </w:r>
    </w:p>
    <w:p w14:paraId="28063F6C">
      <w:pPr>
        <w:pStyle w:val="3"/>
        <w:rPr>
          <w:lang w:val="en-GB"/>
        </w:rPr>
      </w:pPr>
      <w:bookmarkStart w:id="4" w:name="_Toc213165960"/>
      <w:r>
        <w:rPr>
          <w:lang w:val="en-GB"/>
        </w:rPr>
        <w:t>1.4 Research Objectives</w:t>
      </w:r>
      <w:bookmarkEnd w:id="4"/>
    </w:p>
    <w:p w14:paraId="12BBD526">
      <w:pPr>
        <w:numPr>
          <w:ilvl w:val="0"/>
          <w:numId w:val="1"/>
        </w:numPr>
        <w:shd w:val="clear" w:color="auto" w:fill="FFFFFF"/>
        <w:spacing w:before="240" w:line="360" w:lineRule="auto"/>
        <w:jc w:val="both"/>
        <w:rPr>
          <w:rFonts w:ascii="Times New Roman" w:hAnsi="Times New Roman" w:eastAsia="Times New Roman" w:cs="Times New Roman"/>
          <w:color w:val="222222"/>
          <w:sz w:val="24"/>
          <w:szCs w:val="24"/>
          <w:lang w:val="en-GB"/>
        </w:rPr>
      </w:pPr>
      <w:r>
        <w:rPr>
          <w:rFonts w:ascii="Times New Roman" w:hAnsi="Times New Roman" w:eastAsia="Times New Roman" w:cs="Times New Roman"/>
          <w:color w:val="222222"/>
          <w:sz w:val="24"/>
          <w:szCs w:val="24"/>
          <w:lang w:val="en-GB"/>
        </w:rPr>
        <w:t>“To identify and analyse key digital transformation strategies adopted by cosmetics brands globally”.</w:t>
      </w:r>
    </w:p>
    <w:p w14:paraId="4AECCE26">
      <w:pPr>
        <w:numPr>
          <w:ilvl w:val="0"/>
          <w:numId w:val="1"/>
        </w:numPr>
        <w:shd w:val="clear" w:color="auto" w:fill="FFFFFF"/>
        <w:spacing w:line="360" w:lineRule="auto"/>
        <w:jc w:val="both"/>
        <w:rPr>
          <w:rFonts w:ascii="Times New Roman" w:hAnsi="Times New Roman" w:eastAsia="Times New Roman" w:cs="Times New Roman"/>
          <w:color w:val="222222"/>
          <w:sz w:val="24"/>
          <w:szCs w:val="24"/>
          <w:lang w:val="en-GB"/>
        </w:rPr>
      </w:pPr>
      <w:r>
        <w:rPr>
          <w:rFonts w:ascii="Times New Roman" w:hAnsi="Times New Roman" w:eastAsia="Times New Roman" w:cs="Times New Roman"/>
          <w:color w:val="222222"/>
          <w:sz w:val="24"/>
          <w:szCs w:val="24"/>
          <w:lang w:val="en-GB"/>
        </w:rPr>
        <w:t>To assess the “effectiveness of these digital initiatives in improving customer engagement and brand interaction”.</w:t>
      </w:r>
    </w:p>
    <w:p w14:paraId="79AD5C3F">
      <w:pPr>
        <w:numPr>
          <w:ilvl w:val="0"/>
          <w:numId w:val="1"/>
        </w:numPr>
        <w:shd w:val="clear" w:color="auto" w:fill="FFFFFF"/>
        <w:spacing w:line="360" w:lineRule="auto"/>
        <w:jc w:val="both"/>
        <w:rPr>
          <w:rFonts w:ascii="Times New Roman" w:hAnsi="Times New Roman" w:eastAsia="Times New Roman" w:cs="Times New Roman"/>
          <w:color w:val="222222"/>
          <w:sz w:val="24"/>
          <w:szCs w:val="24"/>
          <w:lang w:val="en-GB"/>
        </w:rPr>
      </w:pPr>
      <w:r>
        <w:rPr>
          <w:rFonts w:ascii="Times New Roman" w:hAnsi="Times New Roman" w:eastAsia="Times New Roman" w:cs="Times New Roman"/>
          <w:color w:val="222222"/>
          <w:sz w:val="24"/>
          <w:szCs w:val="24"/>
          <w:lang w:val="en-GB"/>
        </w:rPr>
        <w:t>To compare “digital transformation outcomes between global cosmetics brands and those operating in the UK”.</w:t>
      </w:r>
    </w:p>
    <w:p w14:paraId="0AB8D1EE">
      <w:pPr>
        <w:numPr>
          <w:ilvl w:val="0"/>
          <w:numId w:val="1"/>
        </w:numPr>
        <w:shd w:val="clear" w:color="auto" w:fill="FFFFFF"/>
        <w:spacing w:after="240" w:line="360" w:lineRule="auto"/>
        <w:jc w:val="both"/>
        <w:rPr>
          <w:rFonts w:ascii="Times New Roman" w:hAnsi="Times New Roman" w:eastAsia="Times New Roman" w:cs="Times New Roman"/>
          <w:color w:val="222222"/>
          <w:sz w:val="24"/>
          <w:szCs w:val="24"/>
          <w:lang w:val="en-GB"/>
        </w:rPr>
      </w:pPr>
      <w:r>
        <w:rPr>
          <w:rFonts w:ascii="Times New Roman" w:hAnsi="Times New Roman" w:eastAsia="Times New Roman" w:cs="Times New Roman"/>
          <w:color w:val="222222"/>
          <w:sz w:val="24"/>
          <w:szCs w:val="24"/>
          <w:lang w:val="en-GB"/>
        </w:rPr>
        <w:t>To provide “evidence-based recommendations for UK cosmetics companies to enhance customer engagement through digital transformation”.</w:t>
      </w:r>
    </w:p>
    <w:p w14:paraId="6F5A4072">
      <w:pPr>
        <w:pStyle w:val="3"/>
        <w:rPr>
          <w:lang w:val="en-GB"/>
        </w:rPr>
      </w:pPr>
      <w:bookmarkStart w:id="5" w:name="_Toc213165961"/>
      <w:r>
        <w:rPr>
          <w:lang w:val="en-GB"/>
        </w:rPr>
        <w:t>1.5 Research Questions</w:t>
      </w:r>
      <w:bookmarkEnd w:id="5"/>
      <w:r>
        <w:rPr>
          <w:lang w:val="en-GB"/>
        </w:rPr>
        <w:t xml:space="preserve"> </w:t>
      </w:r>
    </w:p>
    <w:p w14:paraId="74673CF6">
      <w:pPr>
        <w:numPr>
          <w:ilvl w:val="0"/>
          <w:numId w:val="2"/>
        </w:numPr>
        <w:spacing w:before="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What key “digital transformation strategies have been adopted by cosmetics brands globally”?</w:t>
      </w:r>
    </w:p>
    <w:p w14:paraId="379AAAC5">
      <w:pPr>
        <w:numPr>
          <w:ilvl w:val="0"/>
          <w:numId w:val="2"/>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How effective are these “digital initiatives in enhancing customer engagement and brand interaction”?</w:t>
      </w:r>
    </w:p>
    <w:p w14:paraId="439615B7">
      <w:pPr>
        <w:numPr>
          <w:ilvl w:val="0"/>
          <w:numId w:val="2"/>
        </w:num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what ways do “digital transformation outcomes differ between global cosmetics brands and those operating within the UK market”?</w:t>
      </w:r>
    </w:p>
    <w:p w14:paraId="6FCBF8A0">
      <w:pPr>
        <w:numPr>
          <w:ilvl w:val="0"/>
          <w:numId w:val="2"/>
        </w:numPr>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“What evidence-based strategies can be recommended for UK cosmetics companies to strengthen customer engagement through digital transformation”?</w:t>
      </w:r>
    </w:p>
    <w:p w14:paraId="103A391B">
      <w:pPr>
        <w:pStyle w:val="2"/>
        <w:rPr>
          <w:lang w:val="en-GB"/>
        </w:rPr>
      </w:pPr>
      <w:bookmarkStart w:id="6" w:name="_Toc213081824"/>
      <w:bookmarkStart w:id="7" w:name="_Toc213165962"/>
      <w:r>
        <w:rPr>
          <w:lang w:val="en-GB"/>
        </w:rPr>
        <w:t>2. Literature Review</w:t>
      </w:r>
      <w:bookmarkEnd w:id="6"/>
      <w:bookmarkEnd w:id="7"/>
      <w:r>
        <w:rPr>
          <w:lang w:val="en-GB"/>
        </w:rPr>
        <w:t xml:space="preserve"> </w:t>
      </w:r>
    </w:p>
    <w:p w14:paraId="586C4313">
      <w:pPr>
        <w:pStyle w:val="3"/>
        <w:rPr>
          <w:lang w:val="en-GB"/>
        </w:rPr>
      </w:pPr>
      <w:bookmarkStart w:id="8" w:name="_Toc213165963"/>
      <w:r>
        <w:rPr>
          <w:lang w:val="en-GB"/>
        </w:rPr>
        <w:t>2.1 Theoretical framework</w:t>
      </w:r>
      <w:bookmarkEnd w:id="8"/>
    </w:p>
    <w:p w14:paraId="4C560EFC">
      <w:pPr>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Key themes  </w:t>
      </w:r>
    </w:p>
    <w:p w14:paraId="1C89C6A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Key literature culture on the digital transformation in the custom-tectonic brand also indicated the various major themes, such as “global digital transformation strategies”, effectiveness of the digital initiatives, comparative digital outcome, and recommendations for engagement strategy (Reis and Melão, 2023). Globally, the cosmetic brands also implemented various technologies, such as AI, AR, and social media analytics, to personalize customer experiences and boost brand connections (Chu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2025). A study assessing efficiency demonstrates how digital tools have improved client engagement, satisfaction, and loyalty. UK-based organisations face issues, including insufficient resources, when international brands. </w:t>
      </w:r>
    </w:p>
    <w:p w14:paraId="6C966D66">
      <w:pPr>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Theoretical Insights</w:t>
      </w:r>
    </w:p>
    <w:p w14:paraId="61EFCA81">
      <w:pPr>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“Technology Acceptance Model (TAM)” </w:t>
      </w:r>
    </w:p>
    <w:p w14:paraId="473898CB">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drawing>
          <wp:inline distT="114300" distB="114300" distL="114300" distR="114300">
            <wp:extent cx="5943600" cy="2235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943600" cy="2235200"/>
                    </a:xfrm>
                    <a:prstGeom prst="rect">
                      <a:avLst/>
                    </a:prstGeom>
                    <a:ln w="25400">
                      <a:solidFill>
                        <a:srgbClr val="000000"/>
                      </a:solidFill>
                      <a:prstDash val="solid"/>
                    </a:ln>
                  </pic:spPr>
                </pic:pic>
              </a:graphicData>
            </a:graphic>
          </wp:inline>
        </w:drawing>
      </w:r>
    </w:p>
    <w:p w14:paraId="614A8D18">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Figure 1: “Technology Acceptance Model (TAM)” </w:t>
      </w:r>
    </w:p>
    <w:p w14:paraId="0413BA66">
      <w:pPr>
        <w:spacing w:before="240" w:after="24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(Source: Musa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2024)</w:t>
      </w:r>
    </w:p>
    <w:p w14:paraId="03E2850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TAM also offers a valuable framework for analysing how consumers in the cosmetics industry adopt and engage with the various digital transformation initiatives. This model mainly focuses on the two primary factors, such as the “perceived usefulness and perceived ease of use”, that also affect the behavioural intention of the individual to use the various technologies (Musa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2024). In the context of the study, TAM aids in explaining how consumers interact with various digital tools, such as AR and AI-based product recommendations. When the technologies are perceived as useful in enhancing the shopping experiences, product selection accuracy. Consumers are more likely to be involved and boost the trust in brands. On the other hand, ease of use also mitigates the hesitation, especially among the tech-savvy users (Mustafa and Garcia, 2021). It also ensures positive digital experiences. Major cosmetic brands such as L'Oréal and Sephora applied the principle of TAM through designing digital platforms (Toosi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2022). Thus, the TAM model provides the concept of how technological usability and the perceived value affect customer engagement in the UK cosmetic market. </w:t>
      </w:r>
    </w:p>
    <w:p w14:paraId="2415B981">
      <w:pPr>
        <w:spacing w:before="240" w:after="240"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“Resource-Based View (RBV)”</w:t>
      </w:r>
    </w:p>
    <w:p w14:paraId="707A558A">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drawing>
          <wp:inline distT="114300" distB="114300" distL="114300" distR="114300">
            <wp:extent cx="3314065" cy="30543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314264" cy="3054958"/>
                    </a:xfrm>
                    <a:prstGeom prst="rect">
                      <a:avLst/>
                    </a:prstGeom>
                    <a:ln w="25400">
                      <a:solidFill>
                        <a:srgbClr val="000000"/>
                      </a:solidFill>
                      <a:prstDash val="solid"/>
                    </a:ln>
                  </pic:spPr>
                </pic:pic>
              </a:graphicData>
            </a:graphic>
          </wp:inline>
        </w:drawing>
      </w:r>
    </w:p>
    <w:p w14:paraId="20307A82">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Figure 2: RVB </w:t>
      </w:r>
    </w:p>
    <w:p w14:paraId="7ED88BF0">
      <w:pPr>
        <w:spacing w:before="240" w:after="24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Kero and Bogale, 2023)</w:t>
      </w:r>
    </w:p>
    <w:p w14:paraId="547D77AA">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 strategic framework has been offered by the RVB to comprehend how organizations gain a sustained competitive advantage through the utilization of valuable, rare, inimitable, and non-substitutable (VRIN)" resources. Within the context of the global cosmetics sector, RBV is particularly important to analysing how digital transformation increases client engagement (Kero and Bogale, 2023). Along with that, strategic resources have been represented by approaches of technological transformation, including data analytics. "AI-driven recommendation systems" and AR applications that enable organizations to offer highly customized and interactive user experiences. Cosmetics brands such as Sephora and L'Oréal have utilised their technological capabilities and digital infrastructure, and innovative resources that differentiate them in the competitive market (Umezurike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2024). Operational efficiencies have been increased, and customer-brand relationships have also been focused on by these digital treasures. Integrating RBV aids in addressing the ways in which organizations invest in digital resources to increase competitiveness and engagement.   </w:t>
      </w:r>
    </w:p>
    <w:p w14:paraId="6C6489CD">
      <w:pPr>
        <w:pStyle w:val="3"/>
        <w:rPr>
          <w:lang w:val="en-GB"/>
        </w:rPr>
      </w:pPr>
      <w:bookmarkStart w:id="9" w:name="_Toc213165964"/>
      <w:r>
        <w:rPr>
          <w:lang w:val="en-GB"/>
        </w:rPr>
        <w:t>2.2 Key literature</w:t>
      </w:r>
      <w:bookmarkEnd w:id="9"/>
      <w:r>
        <w:rPr>
          <w:lang w:val="en-GB"/>
        </w:rPr>
        <w:t xml:space="preserve"> </w:t>
      </w:r>
    </w:p>
    <w:p w14:paraId="68075D87">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Various types of "digital transformation strategies" have been implemented by international cosmetics brands to boost their operational efficiency and brand competitiveness. As per the view of O'Higgins and Fatorachian (2025), for customized product recommendations, data analytics and AI have been considered as a suitable strategy, and this enables brands, including Estée Lauder and L'Oréal, to associate offerings to individual choices and skin types. Influencer partnerships and "social media marketing" have become crucial to engage digitally with younger active audiences. At the same time, Rainy and Mou (2025), stated that platforms such as TikTok, Instagram, and YouTube facilitate two-way communication and allow users to co-create content and change brand identity. Also stated that a smooth shopping experience is supported by the omnichannel retailing and implementation of e-commerce through connecting traditional stores with technological platforms. Some international brands adopted "sustainability-related digital innovations for ethical branding. </w:t>
      </w:r>
    </w:p>
    <w:p w14:paraId="7D9BFF26">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Digital transformation initiatives significantly impacted customer engagement and brand interaction in the cosmetic market. As opined by Dattatray</w:t>
      </w:r>
      <w:r>
        <w:rPr>
          <w:rFonts w:ascii="Times New Roman" w:hAnsi="Times New Roman" w:eastAsia="Times New Roman" w:cs="Times New Roman"/>
          <w:i/>
          <w:sz w:val="24"/>
          <w:szCs w:val="24"/>
          <w:lang w:val="en-GB"/>
        </w:rPr>
        <w:t xml:space="preserve"> et al.</w:t>
      </w:r>
      <w:r>
        <w:rPr>
          <w:rFonts w:ascii="Times New Roman" w:hAnsi="Times New Roman" w:eastAsia="Times New Roman" w:cs="Times New Roman"/>
          <w:sz w:val="24"/>
          <w:szCs w:val="24"/>
          <w:lang w:val="en-GB"/>
        </w:rPr>
        <w:t xml:space="preserve"> (2025), various digital tools such as "AR-based virtual try-ons, AI-powered skin analysis, and chatbots" have also developed the conveniences and increased the shopping experiences. Thus, the digital initiatives boost customer engagement and ensure brand value. Various cosmetics brands, such as L'Oréal and Sephora, have high conversion rates and strong emotional attachment with the customers through these innovations. On the other hand, Nunan</w:t>
      </w:r>
      <w:r>
        <w:rPr>
          <w:rFonts w:ascii="Times New Roman" w:hAnsi="Times New Roman" w:eastAsia="Times New Roman" w:cs="Times New Roman"/>
          <w:i/>
          <w:sz w:val="24"/>
          <w:szCs w:val="24"/>
          <w:lang w:val="en-GB"/>
        </w:rPr>
        <w:t xml:space="preserve"> et al.</w:t>
      </w:r>
      <w:r>
        <w:rPr>
          <w:rFonts w:ascii="Times New Roman" w:hAnsi="Times New Roman" w:eastAsia="Times New Roman" w:cs="Times New Roman"/>
          <w:sz w:val="24"/>
          <w:szCs w:val="24"/>
          <w:lang w:val="en-GB"/>
        </w:rPr>
        <w:t xml:space="preserve"> (2018) argued that digital tools also strengthen the involvement through providing personal relevance, but they also create privacy concerns and digital fatigue. Thus, the engagement metrics focus on the short-term interaction process, such as clicks and likes, compared to the long-term loyalty. Elasrag (2018), also supported the statement and opined that, in the UK market, the small cosmetic market faced the struggle to ensure global success due to limited digital infrastructure and limited budget. Thus, it can be stated that digital initiatives are significant for customer engagement and brand interaction and boost positive brand-customer relationships.  </w:t>
      </w:r>
    </w:p>
    <w:p w14:paraId="64983F5A">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stated by Makridakis (2017), by utilizing the latest innovations such as predictive analytics, AR-based virtual try-ons, and "AI-driven personalization", global cosmetics organisations such as Estée Lauder, L'Oréal, and Sephora have gained notable success through extensive "digital transformation programs". These innovations helped to increase developments in loyalty, customer engagement, and omnichannel implementation. Percy (2021) argued that several UK-based cosmetics firms, especially SMEs, experience slower development due to the lack of technical specialists and insufficient budgets. As supported by Creevey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(2019), customer engagement results in the UK continue to rely more on conventional advertising and specialty branding rather than enhanced online interactions. For increasing competitiveness in the UK market, strategic investment in digital infrastructure is required. </w:t>
      </w:r>
    </w:p>
    <w:p w14:paraId="3FC344EC">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stated by Park and Hong (2024), for increasing customer engagement through the digital transformation, UK cosmetic firms should focus on technological integration, data ethics, and personalization. These findings revealed that various global companies, such as "Sephora and L'Oréal", use AI-driven personalization and AR experiences to boost satisfaction and loyalty. For this reason, UK brands should invest in advanced technologies such as mobile apps. Pattanayak, (2021), critiqued that technology not only increases customer engagement, but brands should focus on innovation with transparency, authentic storytelling that ensures trust. Thus, the collaboration with omnichannel consistency and influencers can develop emotional engagement. </w:t>
      </w:r>
    </w:p>
    <w:p w14:paraId="4137FAC9">
      <w:pPr>
        <w:pStyle w:val="3"/>
        <w:rPr>
          <w:lang w:val="en-GB"/>
        </w:rPr>
      </w:pPr>
      <w:bookmarkStart w:id="10" w:name="_Toc213165965"/>
      <w:r>
        <w:rPr>
          <w:lang w:val="en-GB"/>
        </w:rPr>
        <w:t>2.3 Research Gap</w:t>
      </w:r>
      <w:bookmarkEnd w:id="10"/>
      <w:r>
        <w:rPr>
          <w:lang w:val="en-GB"/>
        </w:rPr>
        <w:t xml:space="preserve"> </w:t>
      </w:r>
    </w:p>
    <w:p w14:paraId="1B9CBDD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While several studies have looked at the digital shift in the worldwide cosmetics sector, most of them focus on creativity, e-commerce performance, or technology adoption rather than the way it directly impacts consumers (Kero and Bogale, 2023). Moreover, existing literature allows for a focus on huge multinational organizations, and there are insufficient insights into the ways in which these strategies translate in particular regional contexts.  Global success stories also indicated opportunities for the "AI, AR, and data analytics", but there are a few systematic review papers for comparing the effectiveness of these initiatives among global and UK-based firms. There is also a lack of analysis through linking the "digital transformation frameworks" (Chu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2025). Through addressing the gap in research, this study systematically reviewed the global digital transformation projects and evaluated their implications for increasing customer engagement in the UK market.  </w:t>
      </w:r>
    </w:p>
    <w:p w14:paraId="672B0218">
      <w:pPr>
        <w:pStyle w:val="3"/>
        <w:rPr>
          <w:lang w:val="en-GB"/>
        </w:rPr>
      </w:pPr>
      <w:bookmarkStart w:id="11" w:name="_Toc213165966"/>
      <w:r>
        <w:rPr>
          <w:lang w:val="en-GB"/>
        </w:rPr>
        <w:t>2.4 Conceptual Framework</w:t>
      </w:r>
      <w:bookmarkEnd w:id="11"/>
    </w:p>
    <w:p w14:paraId="77FC46A1">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drawing>
          <wp:inline distT="0" distB="0" distL="0" distR="0">
            <wp:extent cx="5189220" cy="4057015"/>
            <wp:effectExtent l="76200" t="76200" r="125730" b="133985"/>
            <wp:docPr id="127543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38115" name="Picture 1"/>
                    <pic:cNvPicPr>
                      <a:picLocks noChangeAspect="1"/>
                    </pic:cNvPicPr>
                  </pic:nvPicPr>
                  <pic:blipFill>
                    <a:blip r:embed="rId9"/>
                    <a:stretch>
                      <a:fillRect/>
                    </a:stretch>
                  </pic:blipFill>
                  <pic:spPr>
                    <a:xfrm>
                      <a:off x="0" y="0"/>
                      <a:ext cx="5190378" cy="405847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5F7331F">
      <w:pPr>
        <w:spacing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Figure 3: Conceptual Framework</w:t>
      </w:r>
    </w:p>
    <w:p w14:paraId="7D1E3D17">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Self-made by using MS Word)</w:t>
      </w:r>
    </w:p>
    <w:p w14:paraId="242E8E9E">
      <w:pPr>
        <w:pStyle w:val="2"/>
        <w:rPr>
          <w:lang w:val="en-GB"/>
        </w:rPr>
      </w:pPr>
      <w:bookmarkStart w:id="12" w:name="_Toc213165967"/>
      <w:r>
        <w:rPr>
          <w:lang w:val="en-GB"/>
        </w:rPr>
        <w:t>3. Methodology</w:t>
      </w:r>
      <w:bookmarkEnd w:id="12"/>
      <w:r>
        <w:rPr>
          <w:lang w:val="en-GB"/>
        </w:rPr>
        <w:t xml:space="preserve"> </w:t>
      </w:r>
    </w:p>
    <w:p w14:paraId="29220E41">
      <w:pPr>
        <w:pStyle w:val="3"/>
        <w:rPr>
          <w:lang w:val="en-GB"/>
        </w:rPr>
      </w:pPr>
      <w:bookmarkStart w:id="13" w:name="_Toc213165968"/>
      <w:r>
        <w:rPr>
          <w:lang w:val="en-GB"/>
        </w:rPr>
        <w:t>3.1 Research Approach</w:t>
      </w:r>
      <w:bookmarkEnd w:id="13"/>
    </w:p>
    <w:p w14:paraId="1A8998B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“qualitative systematic review approach” will be adopted because by using this approach, existing knowledge will be explored on digital technologies in the international cosmetics industry (Gwada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2025). At the same time, in this research, the “qualitative approach” will be most suitable because the research seeks to comprehend experiences, strategies, and outcomes regarding technological changes and their implications for user engagement in the UK context. </w:t>
      </w:r>
    </w:p>
    <w:p w14:paraId="2BB3D0A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research will avoid the quantitative method, because this approach focuses on the statistical relationship (Ghanad, 2023). On the other hand, the qualitative approach provides a deep understanding of research and supports the "interpretivism research paradigm" and helps to address the systematic review on "digital transformation projects in the global cosmetics industry", which will aid in offering implications to increase customer engagement in the UK cosmetic market. For this reason, this research will adopt a qualitative research approach through a systematic review of existing literature (Andrić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2025). This systematic review process will ensure the replicability and transparency by following the academic guidelines, such as the search strategy, Boolean operators, and PRISMA flow chart. The qualitative nature of the systematic review will aid in supporting the thematic analysis. </w:t>
      </w:r>
    </w:p>
    <w:p w14:paraId="2C57CD3D">
      <w:pPr>
        <w:pStyle w:val="3"/>
        <w:rPr>
          <w:lang w:val="en-GB"/>
        </w:rPr>
      </w:pPr>
      <w:bookmarkStart w:id="14" w:name="_Toc213165969"/>
      <w:r>
        <w:rPr>
          <w:lang w:val="en-GB"/>
        </w:rPr>
        <w:t>3.2 Data Collection Methods</w:t>
      </w:r>
      <w:bookmarkEnd w:id="14"/>
      <w:r>
        <w:rPr>
          <w:lang w:val="en-GB"/>
        </w:rPr>
        <w:t xml:space="preserve"> </w:t>
      </w:r>
    </w:p>
    <w:p w14:paraId="3F6976B3">
      <w:pPr>
        <w:spacing w:before="240" w:after="24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Secondary Data Collection  </w:t>
      </w:r>
    </w:p>
    <w:p w14:paraId="4BFB8D30">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"Secondary data" will be collected from industry reports, academic journals, credible online sources, and papers. For collecting insights published between 2015 and 2025 and "peer-reviewed research", various databases, including Google Scholar, ScienceDirect, PubMed, Scopus, and Web of Science, will be leveraged, which ensures recency and relevance. For the systematic review, the "secondary data collection" is suitable because it will enable exploration of large, exciting evidence on technological transformation strategies internationally (Mazhar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2021). </w:t>
      </w:r>
    </w:p>
    <w:p w14:paraId="0C645451">
      <w:pPr>
        <w:spacing w:before="240" w:after="24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Search strategy </w:t>
      </w:r>
    </w:p>
    <w:p w14:paraId="00034DC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This systematic review will use the search strategy to identify reliable and authentic articles that will be published between 2015 and 2025 and focus on digital innovation. The search process will consider the various "</w:t>
      </w:r>
      <w:r>
        <w:rPr>
          <w:rFonts w:ascii="Times New Roman" w:hAnsi="Times New Roman" w:eastAsia="Times New Roman" w:cs="Times New Roman"/>
          <w:b/>
          <w:i/>
          <w:sz w:val="24"/>
          <w:szCs w:val="24"/>
          <w:lang w:val="en-GB"/>
        </w:rPr>
        <w:t>search terms and synonyms”</w:t>
      </w:r>
      <w:r>
        <w:rPr>
          <w:rFonts w:ascii="Times New Roman" w:hAnsi="Times New Roman" w:eastAsia="Times New Roman" w:cs="Times New Roman"/>
          <w:sz w:val="24"/>
          <w:szCs w:val="24"/>
          <w:lang w:val="en-GB"/>
        </w:rPr>
        <w:t xml:space="preserve"> based on the research objectives (Rethlefsen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2021).  Thereafter, the key terms will be linked by using the “Boolean operators (AND, OR, NOT)”, which aids in refining the research. Through applying the “inclusion and exclusion criteria” and use of the PRISMA flow chart, this research will select relevant literature. At last, this study will conduct the CASP checklist to ensure the quality and credibility of selected articles. </w:t>
      </w:r>
    </w:p>
    <w:p w14:paraId="19CC1839">
      <w:pPr>
        <w:spacing w:before="240" w:after="24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Search terms </w:t>
      </w:r>
    </w:p>
    <w:p w14:paraId="45CA1461">
      <w:pPr>
        <w:spacing w:before="240" w:after="24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sz w:val="24"/>
          <w:szCs w:val="24"/>
          <w:lang w:val="en-GB"/>
        </w:rPr>
        <w:t>Key search terms to consider-</w:t>
      </w:r>
      <w:r>
        <w:rPr>
          <w:rFonts w:ascii="Times New Roman" w:hAnsi="Times New Roman" w:eastAsia="Times New Roman" w:cs="Times New Roman"/>
          <w:b/>
          <w:i/>
          <w:sz w:val="24"/>
          <w:szCs w:val="24"/>
          <w:lang w:val="en-GB"/>
        </w:rPr>
        <w:t xml:space="preserve"> “</w:t>
      </w:r>
      <w:r>
        <w:rPr>
          <w:rFonts w:ascii="Times New Roman" w:hAnsi="Times New Roman" w:eastAsia="Times New Roman" w:cs="Times New Roman"/>
          <w:i/>
          <w:sz w:val="24"/>
          <w:szCs w:val="24"/>
          <w:lang w:val="en-GB"/>
        </w:rPr>
        <w:t>Digital transformation”, “Digital innovation”, “Cosmetics industry”, “Beauty sector”, “Skincare brands”, “Customer engagement,” “Customer experience”, “Brand interaction”, “Consumer loyalty”, “United Kingdom”, “UK cosmetics market”, “Global beauty industry”.</w:t>
      </w:r>
    </w:p>
    <w:p w14:paraId="747CB47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i/>
          <w:sz w:val="24"/>
          <w:szCs w:val="24"/>
          <w:lang w:val="en-GB"/>
        </w:rPr>
        <w:t xml:space="preserve">Boolean operator table </w:t>
      </w:r>
    </w:p>
    <w:tbl>
      <w:tblPr>
        <w:tblStyle w:val="18"/>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00" w:type="dxa"/>
          <w:left w:w="100" w:type="dxa"/>
          <w:bottom w:w="100" w:type="dxa"/>
          <w:right w:w="100" w:type="dxa"/>
        </w:tblCellMar>
      </w:tblPr>
      <w:tblGrid>
        <w:gridCol w:w="1663"/>
        <w:gridCol w:w="4118"/>
        <w:gridCol w:w="1577"/>
        <w:gridCol w:w="1174"/>
        <w:gridCol w:w="1028"/>
      </w:tblGrid>
      <w:tr w14:paraId="40C67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267" w:hRule="atLeast"/>
          <w:jc w:val="center"/>
        </w:trPr>
        <w:tc>
          <w:tcPr>
            <w:tcW w:w="938" w:type="pct"/>
            <w:tcMar>
              <w:top w:w="100" w:type="dxa"/>
              <w:left w:w="100" w:type="dxa"/>
              <w:bottom w:w="100" w:type="dxa"/>
              <w:right w:w="100" w:type="dxa"/>
            </w:tcMar>
          </w:tcPr>
          <w:p w14:paraId="6F2394D0">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“Boolean</w:t>
            </w:r>
          </w:p>
          <w:p w14:paraId="4310E546">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Operators”</w:t>
            </w:r>
          </w:p>
          <w:p w14:paraId="7A38960D">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 </w:t>
            </w:r>
          </w:p>
          <w:p w14:paraId="67E178F1">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 </w:t>
            </w:r>
          </w:p>
        </w:tc>
        <w:tc>
          <w:tcPr>
            <w:tcW w:w="2222" w:type="pct"/>
            <w:tcMar>
              <w:top w:w="100" w:type="dxa"/>
              <w:left w:w="100" w:type="dxa"/>
              <w:bottom w:w="100" w:type="dxa"/>
              <w:right w:w="100" w:type="dxa"/>
            </w:tcMar>
          </w:tcPr>
          <w:p w14:paraId="4FE99815">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Keywords / Synonyms</w:t>
            </w:r>
          </w:p>
        </w:tc>
        <w:tc>
          <w:tcPr>
            <w:tcW w:w="893" w:type="pct"/>
            <w:tcMar>
              <w:top w:w="100" w:type="dxa"/>
              <w:left w:w="100" w:type="dxa"/>
              <w:bottom w:w="100" w:type="dxa"/>
              <w:right w:w="100" w:type="dxa"/>
            </w:tcMar>
          </w:tcPr>
          <w:p w14:paraId="4F7C31FF">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“Database”</w:t>
            </w:r>
          </w:p>
        </w:tc>
        <w:tc>
          <w:tcPr>
            <w:tcW w:w="474" w:type="pct"/>
            <w:tcMar>
              <w:top w:w="100" w:type="dxa"/>
              <w:left w:w="100" w:type="dxa"/>
              <w:bottom w:w="100" w:type="dxa"/>
              <w:right w:w="100" w:type="dxa"/>
            </w:tcMar>
          </w:tcPr>
          <w:p w14:paraId="6A96F1B4">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“Number</w:t>
            </w:r>
          </w:p>
          <w:p w14:paraId="3BC38013">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of</w:t>
            </w:r>
          </w:p>
          <w:p w14:paraId="56153224">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studies”</w:t>
            </w:r>
          </w:p>
        </w:tc>
        <w:tc>
          <w:tcPr>
            <w:tcW w:w="474" w:type="pct"/>
            <w:tcMar>
              <w:top w:w="100" w:type="dxa"/>
              <w:left w:w="100" w:type="dxa"/>
              <w:bottom w:w="100" w:type="dxa"/>
              <w:right w:w="100" w:type="dxa"/>
            </w:tcMar>
          </w:tcPr>
          <w:p w14:paraId="063175BC">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“Total</w:t>
            </w:r>
          </w:p>
          <w:p w14:paraId="327E5AEE">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number of</w:t>
            </w:r>
          </w:p>
          <w:p w14:paraId="347327B1">
            <w:pP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studies”</w:t>
            </w:r>
          </w:p>
        </w:tc>
      </w:tr>
      <w:tr w14:paraId="2088E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061" w:hRule="atLeast"/>
          <w:jc w:val="center"/>
        </w:trPr>
        <w:tc>
          <w:tcPr>
            <w:tcW w:w="938" w:type="pct"/>
            <w:tcMar>
              <w:top w:w="100" w:type="dxa"/>
              <w:left w:w="100" w:type="dxa"/>
              <w:bottom w:w="100" w:type="dxa"/>
              <w:right w:w="100" w:type="dxa"/>
            </w:tcMar>
          </w:tcPr>
          <w:p w14:paraId="18315FA8">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OR</w:t>
            </w:r>
          </w:p>
        </w:tc>
        <w:tc>
          <w:tcPr>
            <w:tcW w:w="2222" w:type="pct"/>
            <w:tcMar>
              <w:top w:w="100" w:type="dxa"/>
              <w:left w:w="100" w:type="dxa"/>
              <w:bottom w:w="100" w:type="dxa"/>
              <w:right w:w="100" w:type="dxa"/>
            </w:tcMar>
          </w:tcPr>
          <w:p w14:paraId="392F5B91">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“Digital transformation” OR “Digitalisation” OR “Technology adoption” OR “Digital innovation”</w:t>
            </w:r>
          </w:p>
        </w:tc>
        <w:tc>
          <w:tcPr>
            <w:tcW w:w="893" w:type="pct"/>
            <w:tcMar>
              <w:top w:w="100" w:type="dxa"/>
              <w:left w:w="100" w:type="dxa"/>
              <w:bottom w:w="100" w:type="dxa"/>
              <w:right w:w="100" w:type="dxa"/>
            </w:tcMar>
          </w:tcPr>
          <w:p w14:paraId="68D8919B">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Google Scholar</w:t>
            </w:r>
          </w:p>
        </w:tc>
        <w:tc>
          <w:tcPr>
            <w:tcW w:w="474" w:type="pct"/>
            <w:tcMar>
              <w:top w:w="100" w:type="dxa"/>
              <w:left w:w="100" w:type="dxa"/>
              <w:bottom w:w="100" w:type="dxa"/>
              <w:right w:w="100" w:type="dxa"/>
            </w:tcMar>
          </w:tcPr>
          <w:p w14:paraId="5756CF88">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X1</w:t>
            </w:r>
          </w:p>
        </w:tc>
        <w:tc>
          <w:tcPr>
            <w:tcW w:w="474" w:type="pct"/>
            <w:vMerge w:val="restart"/>
            <w:tcMar>
              <w:top w:w="100" w:type="dxa"/>
              <w:left w:w="100" w:type="dxa"/>
              <w:bottom w:w="100" w:type="dxa"/>
              <w:right w:w="100" w:type="dxa"/>
            </w:tcMar>
          </w:tcPr>
          <w:p w14:paraId="386487A6">
            <w:pPr>
              <w:spacing w:line="240" w:lineRule="auto"/>
              <w:jc w:val="center"/>
              <w:rPr>
                <w:rFonts w:ascii="Times New Roman" w:hAnsi="Times New Roman" w:eastAsia="Times New Roman" w:cs="Times New Roman"/>
                <w:sz w:val="24"/>
                <w:szCs w:val="24"/>
                <w:lang w:val="en-GB"/>
              </w:rPr>
            </w:pPr>
          </w:p>
          <w:p w14:paraId="03B4ACB9">
            <w:pPr>
              <w:spacing w:line="240" w:lineRule="auto"/>
              <w:jc w:val="center"/>
              <w:rPr>
                <w:rFonts w:ascii="Times New Roman" w:hAnsi="Times New Roman" w:eastAsia="Times New Roman" w:cs="Times New Roman"/>
                <w:sz w:val="24"/>
                <w:szCs w:val="24"/>
                <w:lang w:val="en-GB"/>
              </w:rPr>
            </w:pPr>
          </w:p>
          <w:p w14:paraId="4552D846">
            <w:pPr>
              <w:spacing w:line="240" w:lineRule="auto"/>
              <w:jc w:val="center"/>
              <w:rPr>
                <w:rFonts w:ascii="Times New Roman" w:hAnsi="Times New Roman" w:eastAsia="Times New Roman" w:cs="Times New Roman"/>
                <w:sz w:val="24"/>
                <w:szCs w:val="24"/>
                <w:lang w:val="en-GB"/>
              </w:rPr>
            </w:pPr>
          </w:p>
          <w:p w14:paraId="163FCF92">
            <w:pPr>
              <w:spacing w:line="240" w:lineRule="auto"/>
              <w:jc w:val="center"/>
              <w:rPr>
                <w:rFonts w:ascii="Times New Roman" w:hAnsi="Times New Roman" w:eastAsia="Times New Roman" w:cs="Times New Roman"/>
                <w:sz w:val="24"/>
                <w:szCs w:val="24"/>
                <w:lang w:val="en-GB"/>
              </w:rPr>
            </w:pPr>
          </w:p>
          <w:p w14:paraId="290ADB39">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w:t>
            </w:r>
            <w:r>
              <w:rPr>
                <w:rFonts w:ascii="Times New Roman" w:hAnsi="Times New Roman" w:eastAsia="Times New Roman" w:cs="Times New Roman"/>
                <w:sz w:val="24"/>
                <w:szCs w:val="24"/>
                <w:vertAlign w:val="subscript"/>
                <w:lang w:val="en-GB"/>
              </w:rPr>
              <w:t xml:space="preserve">1 </w:t>
            </w:r>
            <w:r>
              <w:rPr>
                <w:rFonts w:ascii="Times New Roman" w:hAnsi="Times New Roman" w:eastAsia="Times New Roman" w:cs="Times New Roman"/>
                <w:sz w:val="24"/>
                <w:szCs w:val="24"/>
                <w:lang w:val="en-GB"/>
              </w:rPr>
              <w:t>+ X</w:t>
            </w:r>
            <w:r>
              <w:rPr>
                <w:rFonts w:ascii="Times New Roman" w:hAnsi="Times New Roman" w:eastAsia="Times New Roman" w:cs="Times New Roman"/>
                <w:sz w:val="24"/>
                <w:szCs w:val="24"/>
                <w:vertAlign w:val="subscript"/>
                <w:lang w:val="en-GB"/>
              </w:rPr>
              <w:t xml:space="preserve">2 </w:t>
            </w:r>
            <w:r>
              <w:rPr>
                <w:rFonts w:ascii="Times New Roman" w:hAnsi="Times New Roman" w:eastAsia="Times New Roman" w:cs="Times New Roman"/>
                <w:sz w:val="24"/>
                <w:szCs w:val="24"/>
                <w:lang w:val="en-GB"/>
              </w:rPr>
              <w:t>+ X</w:t>
            </w:r>
            <w:r>
              <w:rPr>
                <w:rFonts w:ascii="Times New Roman" w:hAnsi="Times New Roman" w:eastAsia="Times New Roman" w:cs="Times New Roman"/>
                <w:sz w:val="24"/>
                <w:szCs w:val="24"/>
                <w:vertAlign w:val="subscript"/>
                <w:lang w:val="en-GB"/>
              </w:rPr>
              <w:t xml:space="preserve">3 </w:t>
            </w:r>
            <w:r>
              <w:rPr>
                <w:rFonts w:ascii="Times New Roman" w:hAnsi="Times New Roman" w:eastAsia="Times New Roman" w:cs="Times New Roman"/>
                <w:sz w:val="24"/>
                <w:szCs w:val="24"/>
                <w:lang w:val="en-GB"/>
              </w:rPr>
              <w:t>+ X</w:t>
            </w:r>
            <w:r>
              <w:rPr>
                <w:rFonts w:ascii="Times New Roman" w:hAnsi="Times New Roman" w:eastAsia="Times New Roman" w:cs="Times New Roman"/>
                <w:sz w:val="24"/>
                <w:szCs w:val="24"/>
                <w:vertAlign w:val="subscript"/>
                <w:lang w:val="en-GB"/>
              </w:rPr>
              <w:t xml:space="preserve">4 </w:t>
            </w:r>
            <w:r>
              <w:rPr>
                <w:rFonts w:ascii="Times New Roman" w:hAnsi="Times New Roman" w:eastAsia="Times New Roman" w:cs="Times New Roman"/>
                <w:sz w:val="24"/>
                <w:szCs w:val="24"/>
                <w:lang w:val="en-GB"/>
              </w:rPr>
              <w:t>+X</w:t>
            </w:r>
            <w:r>
              <w:rPr>
                <w:rFonts w:ascii="Times New Roman" w:hAnsi="Times New Roman" w:eastAsia="Times New Roman" w:cs="Times New Roman"/>
                <w:sz w:val="24"/>
                <w:szCs w:val="24"/>
                <w:vertAlign w:val="subscript"/>
                <w:lang w:val="en-GB"/>
              </w:rPr>
              <w:t>5</w:t>
            </w:r>
          </w:p>
        </w:tc>
      </w:tr>
      <w:tr w14:paraId="0E7EEE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635" w:hRule="atLeast"/>
          <w:jc w:val="center"/>
        </w:trPr>
        <w:tc>
          <w:tcPr>
            <w:tcW w:w="938" w:type="pct"/>
            <w:tcMar>
              <w:top w:w="100" w:type="dxa"/>
              <w:left w:w="100" w:type="dxa"/>
              <w:bottom w:w="100" w:type="dxa"/>
              <w:right w:w="100" w:type="dxa"/>
            </w:tcMar>
          </w:tcPr>
          <w:p w14:paraId="3E6A70C2">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OR </w:t>
            </w:r>
          </w:p>
        </w:tc>
        <w:tc>
          <w:tcPr>
            <w:tcW w:w="2222" w:type="pct"/>
            <w:tcMar>
              <w:top w:w="100" w:type="dxa"/>
              <w:left w:w="100" w:type="dxa"/>
              <w:bottom w:w="100" w:type="dxa"/>
              <w:right w:w="100" w:type="dxa"/>
            </w:tcMar>
          </w:tcPr>
          <w:p w14:paraId="1474A682">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“Cosmetics industry” OR “beauty sector” OR “skincare brands” OR “Makeup companies”</w:t>
            </w:r>
          </w:p>
        </w:tc>
        <w:tc>
          <w:tcPr>
            <w:tcW w:w="893" w:type="pct"/>
            <w:tcMar>
              <w:top w:w="100" w:type="dxa"/>
              <w:left w:w="100" w:type="dxa"/>
              <w:bottom w:w="100" w:type="dxa"/>
              <w:right w:w="100" w:type="dxa"/>
            </w:tcMar>
          </w:tcPr>
          <w:p w14:paraId="5A248F82">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Scopus, PubMed</w:t>
            </w:r>
          </w:p>
        </w:tc>
        <w:tc>
          <w:tcPr>
            <w:tcW w:w="474" w:type="pct"/>
            <w:tcMar>
              <w:top w:w="100" w:type="dxa"/>
              <w:left w:w="100" w:type="dxa"/>
              <w:bottom w:w="100" w:type="dxa"/>
              <w:right w:w="100" w:type="dxa"/>
            </w:tcMar>
          </w:tcPr>
          <w:p w14:paraId="47A2569A">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X2</w:t>
            </w:r>
          </w:p>
        </w:tc>
        <w:tc>
          <w:tcPr>
            <w:tcW w:w="474" w:type="pct"/>
            <w:vMerge w:val="continue"/>
            <w:tcMar>
              <w:top w:w="100" w:type="dxa"/>
              <w:left w:w="100" w:type="dxa"/>
              <w:bottom w:w="100" w:type="dxa"/>
              <w:right w:w="100" w:type="dxa"/>
            </w:tcMar>
          </w:tcPr>
          <w:p w14:paraId="39E12CC2">
            <w:pPr>
              <w:spacing w:line="240" w:lineRule="auto"/>
              <w:jc w:val="both"/>
              <w:rPr>
                <w:rFonts w:ascii="Times New Roman" w:hAnsi="Times New Roman" w:eastAsia="Times New Roman" w:cs="Times New Roman"/>
                <w:sz w:val="24"/>
                <w:szCs w:val="24"/>
                <w:lang w:val="en-GB"/>
              </w:rPr>
            </w:pPr>
          </w:p>
        </w:tc>
      </w:tr>
      <w:tr w14:paraId="7B3793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350" w:hRule="atLeast"/>
          <w:jc w:val="center"/>
        </w:trPr>
        <w:tc>
          <w:tcPr>
            <w:tcW w:w="938" w:type="pct"/>
            <w:tcMar>
              <w:top w:w="100" w:type="dxa"/>
              <w:left w:w="100" w:type="dxa"/>
              <w:bottom w:w="100" w:type="dxa"/>
              <w:right w:w="100" w:type="dxa"/>
            </w:tcMar>
          </w:tcPr>
          <w:p w14:paraId="367DB345">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OR</w:t>
            </w:r>
          </w:p>
        </w:tc>
        <w:tc>
          <w:tcPr>
            <w:tcW w:w="2222" w:type="pct"/>
            <w:tcMar>
              <w:top w:w="100" w:type="dxa"/>
              <w:left w:w="100" w:type="dxa"/>
              <w:bottom w:w="100" w:type="dxa"/>
              <w:right w:w="100" w:type="dxa"/>
            </w:tcMar>
          </w:tcPr>
          <w:p w14:paraId="0F53312A">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“Customer engagement” OR “customer experience” OR “Brand interaction” OR “Consumer loyalty”</w:t>
            </w:r>
          </w:p>
        </w:tc>
        <w:tc>
          <w:tcPr>
            <w:tcW w:w="893" w:type="pct"/>
            <w:tcMar>
              <w:top w:w="100" w:type="dxa"/>
              <w:left w:w="100" w:type="dxa"/>
              <w:bottom w:w="100" w:type="dxa"/>
              <w:right w:w="100" w:type="dxa"/>
            </w:tcMar>
          </w:tcPr>
          <w:p w14:paraId="0591DC99">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Google scholar</w:t>
            </w:r>
          </w:p>
        </w:tc>
        <w:tc>
          <w:tcPr>
            <w:tcW w:w="474" w:type="pct"/>
            <w:tcMar>
              <w:top w:w="100" w:type="dxa"/>
              <w:left w:w="100" w:type="dxa"/>
              <w:bottom w:w="100" w:type="dxa"/>
              <w:right w:w="100" w:type="dxa"/>
            </w:tcMar>
          </w:tcPr>
          <w:p w14:paraId="47C87FDF">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X3</w:t>
            </w:r>
          </w:p>
        </w:tc>
        <w:tc>
          <w:tcPr>
            <w:tcW w:w="474" w:type="pct"/>
            <w:vMerge w:val="continue"/>
            <w:tcMar>
              <w:top w:w="100" w:type="dxa"/>
              <w:left w:w="100" w:type="dxa"/>
              <w:bottom w:w="100" w:type="dxa"/>
              <w:right w:w="100" w:type="dxa"/>
            </w:tcMar>
          </w:tcPr>
          <w:p w14:paraId="71DE60E1">
            <w:pPr>
              <w:spacing w:line="240" w:lineRule="auto"/>
              <w:jc w:val="both"/>
              <w:rPr>
                <w:rFonts w:ascii="Times New Roman" w:hAnsi="Times New Roman" w:eastAsia="Times New Roman" w:cs="Times New Roman"/>
                <w:sz w:val="24"/>
                <w:szCs w:val="24"/>
                <w:lang w:val="en-GB"/>
              </w:rPr>
            </w:pPr>
          </w:p>
        </w:tc>
      </w:tr>
      <w:tr w14:paraId="349320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599" w:hRule="atLeast"/>
          <w:jc w:val="center"/>
        </w:trPr>
        <w:tc>
          <w:tcPr>
            <w:tcW w:w="938" w:type="pct"/>
            <w:tcMar>
              <w:top w:w="100" w:type="dxa"/>
              <w:left w:w="100" w:type="dxa"/>
              <w:bottom w:w="100" w:type="dxa"/>
              <w:right w:w="100" w:type="dxa"/>
            </w:tcMar>
          </w:tcPr>
          <w:p w14:paraId="1E319149">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OR</w:t>
            </w:r>
          </w:p>
        </w:tc>
        <w:tc>
          <w:tcPr>
            <w:tcW w:w="2222" w:type="pct"/>
            <w:tcMar>
              <w:top w:w="100" w:type="dxa"/>
              <w:left w:w="100" w:type="dxa"/>
              <w:bottom w:w="100" w:type="dxa"/>
              <w:right w:w="100" w:type="dxa"/>
            </w:tcMar>
          </w:tcPr>
          <w:p w14:paraId="6E9F4FF2">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“United Kingdom” OR “UK” OR “British cosmetics market”</w:t>
            </w:r>
          </w:p>
        </w:tc>
        <w:tc>
          <w:tcPr>
            <w:tcW w:w="893" w:type="pct"/>
            <w:tcMar>
              <w:top w:w="100" w:type="dxa"/>
              <w:left w:w="100" w:type="dxa"/>
              <w:bottom w:w="100" w:type="dxa"/>
              <w:right w:w="100" w:type="dxa"/>
            </w:tcMar>
          </w:tcPr>
          <w:p w14:paraId="70CADA1E">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Science Direct, Web of Science</w:t>
            </w:r>
          </w:p>
        </w:tc>
        <w:tc>
          <w:tcPr>
            <w:tcW w:w="474" w:type="pct"/>
            <w:tcMar>
              <w:top w:w="100" w:type="dxa"/>
              <w:left w:w="100" w:type="dxa"/>
              <w:bottom w:w="100" w:type="dxa"/>
              <w:right w:w="100" w:type="dxa"/>
            </w:tcMar>
          </w:tcPr>
          <w:p w14:paraId="311E9D9F">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X4</w:t>
            </w:r>
          </w:p>
        </w:tc>
        <w:tc>
          <w:tcPr>
            <w:tcW w:w="474" w:type="pct"/>
            <w:vMerge w:val="continue"/>
            <w:tcMar>
              <w:top w:w="100" w:type="dxa"/>
              <w:left w:w="100" w:type="dxa"/>
              <w:bottom w:w="100" w:type="dxa"/>
              <w:right w:w="100" w:type="dxa"/>
            </w:tcMar>
          </w:tcPr>
          <w:p w14:paraId="7E91A5D0">
            <w:pPr>
              <w:spacing w:line="240" w:lineRule="auto"/>
              <w:jc w:val="both"/>
              <w:rPr>
                <w:rFonts w:ascii="Times New Roman" w:hAnsi="Times New Roman" w:eastAsia="Times New Roman" w:cs="Times New Roman"/>
                <w:sz w:val="24"/>
                <w:szCs w:val="24"/>
                <w:lang w:val="en-GB"/>
              </w:rPr>
            </w:pPr>
          </w:p>
        </w:tc>
      </w:tr>
      <w:tr w14:paraId="7B994E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1635" w:hRule="atLeast"/>
          <w:jc w:val="center"/>
        </w:trPr>
        <w:tc>
          <w:tcPr>
            <w:tcW w:w="938" w:type="pct"/>
            <w:tcMar>
              <w:top w:w="100" w:type="dxa"/>
              <w:left w:w="100" w:type="dxa"/>
              <w:bottom w:w="100" w:type="dxa"/>
              <w:right w:w="100" w:type="dxa"/>
            </w:tcMar>
          </w:tcPr>
          <w:p w14:paraId="0B55F66F">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AND</w:t>
            </w:r>
          </w:p>
        </w:tc>
        <w:tc>
          <w:tcPr>
            <w:tcW w:w="2222" w:type="pct"/>
            <w:tcMar>
              <w:top w:w="100" w:type="dxa"/>
              <w:left w:w="100" w:type="dxa"/>
              <w:bottom w:w="100" w:type="dxa"/>
              <w:right w:w="100" w:type="dxa"/>
            </w:tcMar>
          </w:tcPr>
          <w:p w14:paraId="7BDBAEED">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(“Digital transformation” AND “Cosmetics industry”) AND (“Customer engagement” OR “brand interaction”) AND (“UK” OR “global”)</w:t>
            </w:r>
          </w:p>
        </w:tc>
        <w:tc>
          <w:tcPr>
            <w:tcW w:w="893" w:type="pct"/>
            <w:tcMar>
              <w:top w:w="100" w:type="dxa"/>
              <w:left w:w="100" w:type="dxa"/>
              <w:bottom w:w="100" w:type="dxa"/>
              <w:right w:w="100" w:type="dxa"/>
            </w:tcMar>
          </w:tcPr>
          <w:p w14:paraId="35D2B98D">
            <w:pPr>
              <w:spacing w:line="24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Google scholar</w:t>
            </w:r>
          </w:p>
        </w:tc>
        <w:tc>
          <w:tcPr>
            <w:tcW w:w="474" w:type="pct"/>
            <w:tcMar>
              <w:top w:w="100" w:type="dxa"/>
              <w:left w:w="100" w:type="dxa"/>
              <w:bottom w:w="100" w:type="dxa"/>
              <w:right w:w="100" w:type="dxa"/>
            </w:tcMar>
          </w:tcPr>
          <w:p w14:paraId="70252F03">
            <w:pPr>
              <w:spacing w:line="240" w:lineRule="auto"/>
              <w:jc w:val="center"/>
              <w:rPr>
                <w:rFonts w:ascii="Times New Roman" w:hAnsi="Times New Roman" w:eastAsia="Times New Roman" w:cs="Times New Roman"/>
                <w:sz w:val="24"/>
                <w:szCs w:val="24"/>
                <w:vertAlign w:val="subscript"/>
                <w:lang w:val="en-GB"/>
              </w:rPr>
            </w:pPr>
            <w:r>
              <w:rPr>
                <w:rFonts w:ascii="Times New Roman" w:hAnsi="Times New Roman" w:eastAsia="Times New Roman" w:cs="Times New Roman"/>
                <w:sz w:val="24"/>
                <w:szCs w:val="24"/>
                <w:lang w:val="en-GB"/>
              </w:rPr>
              <w:t>X5</w:t>
            </w:r>
          </w:p>
        </w:tc>
        <w:tc>
          <w:tcPr>
            <w:tcW w:w="474" w:type="pct"/>
            <w:vMerge w:val="continue"/>
            <w:tcMar>
              <w:top w:w="100" w:type="dxa"/>
              <w:left w:w="100" w:type="dxa"/>
              <w:bottom w:w="100" w:type="dxa"/>
              <w:right w:w="100" w:type="dxa"/>
            </w:tcMar>
          </w:tcPr>
          <w:p w14:paraId="5D89694B">
            <w:pPr>
              <w:spacing w:line="240" w:lineRule="auto"/>
              <w:jc w:val="both"/>
              <w:rPr>
                <w:rFonts w:ascii="Times New Roman" w:hAnsi="Times New Roman" w:eastAsia="Times New Roman" w:cs="Times New Roman"/>
                <w:sz w:val="24"/>
                <w:szCs w:val="24"/>
                <w:lang w:val="en-GB"/>
              </w:rPr>
            </w:pPr>
          </w:p>
        </w:tc>
      </w:tr>
    </w:tbl>
    <w:p w14:paraId="43774913">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Table 1: Boolean Operator Table</w:t>
      </w:r>
    </w:p>
    <w:p w14:paraId="523B34BE">
      <w:pPr>
        <w:spacing w:before="240" w:after="24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Self-made using MS Word)</w:t>
      </w:r>
    </w:p>
    <w:p w14:paraId="44634ADE">
      <w:pPr>
        <w:pStyle w:val="3"/>
        <w:rPr>
          <w:lang w:val="en-GB"/>
        </w:rPr>
      </w:pPr>
      <w:bookmarkStart w:id="15" w:name="_Toc213165970"/>
      <w:r>
        <w:rPr>
          <w:lang w:val="en-GB"/>
        </w:rPr>
        <w:t>3.3 Sampling Strategy</w:t>
      </w:r>
      <w:bookmarkEnd w:id="15"/>
    </w:p>
    <w:p w14:paraId="303C0B6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For this systematic review research, this study will use the selection criteria as a sampling strategy. Based on the inclusion criteria, this study will select reliable articles. The selection process also follows a PRISMA flow chart and consists of the four key stages, such as "Identification, Screening, Eligibility, and Inclusion” (Rethlefsen and Page, 2022). Through applying the inclusion-exclusion criteria and removing the duplicate articles, this study will select a number of reliable articles that ensure digital transformation trends in the UK cosmetic industry. </w:t>
      </w:r>
    </w:p>
    <w:p w14:paraId="0A8F3A34">
      <w:pPr>
        <w:spacing w:before="240" w:after="240"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Inclusion-exclusion criteria </w:t>
      </w:r>
    </w:p>
    <w:tbl>
      <w:tblPr>
        <w:tblStyle w:val="19"/>
        <w:tblW w:w="5000" w:type="pct"/>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776"/>
        <w:gridCol w:w="3846"/>
        <w:gridCol w:w="3938"/>
      </w:tblGrid>
      <w:tr w14:paraId="718C5D1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929" w:type="pct"/>
            <w:tcMar>
              <w:top w:w="100" w:type="dxa"/>
              <w:left w:w="100" w:type="dxa"/>
              <w:bottom w:w="100" w:type="dxa"/>
              <w:right w:w="100" w:type="dxa"/>
            </w:tcMar>
          </w:tcPr>
          <w:p w14:paraId="33B89C0E">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Criteria</w:t>
            </w:r>
          </w:p>
        </w:tc>
        <w:tc>
          <w:tcPr>
            <w:tcW w:w="2011" w:type="pct"/>
            <w:tcMar>
              <w:top w:w="100" w:type="dxa"/>
              <w:left w:w="100" w:type="dxa"/>
              <w:bottom w:w="100" w:type="dxa"/>
              <w:right w:w="100" w:type="dxa"/>
            </w:tcMar>
          </w:tcPr>
          <w:p w14:paraId="4C47A3A5">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Inclusion</w:t>
            </w:r>
          </w:p>
        </w:tc>
        <w:tc>
          <w:tcPr>
            <w:tcW w:w="2059" w:type="pct"/>
            <w:tcMar>
              <w:top w:w="100" w:type="dxa"/>
              <w:left w:w="100" w:type="dxa"/>
              <w:bottom w:w="100" w:type="dxa"/>
              <w:right w:w="100" w:type="dxa"/>
            </w:tcMar>
          </w:tcPr>
          <w:p w14:paraId="735DD39F">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Exclusion</w:t>
            </w:r>
          </w:p>
        </w:tc>
      </w:tr>
      <w:tr w14:paraId="7574D10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929" w:type="pct"/>
            <w:tcMar>
              <w:top w:w="100" w:type="dxa"/>
              <w:left w:w="100" w:type="dxa"/>
              <w:bottom w:w="100" w:type="dxa"/>
              <w:right w:w="100" w:type="dxa"/>
            </w:tcMar>
          </w:tcPr>
          <w:p w14:paraId="30DB3B01">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Publication Years</w:t>
            </w:r>
          </w:p>
        </w:tc>
        <w:tc>
          <w:tcPr>
            <w:tcW w:w="2011" w:type="pct"/>
            <w:tcMar>
              <w:top w:w="100" w:type="dxa"/>
              <w:left w:w="100" w:type="dxa"/>
              <w:bottom w:w="100" w:type="dxa"/>
              <w:right w:w="100" w:type="dxa"/>
            </w:tcMar>
          </w:tcPr>
          <w:p w14:paraId="65736981">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Studies published between 2015 and 2025 to certify current evidence and use recent trends of digital transformation. </w:t>
            </w:r>
          </w:p>
        </w:tc>
        <w:tc>
          <w:tcPr>
            <w:tcW w:w="2059" w:type="pct"/>
            <w:tcMar>
              <w:top w:w="100" w:type="dxa"/>
              <w:left w:w="100" w:type="dxa"/>
              <w:bottom w:w="100" w:type="dxa"/>
              <w:right w:w="100" w:type="dxa"/>
            </w:tcMar>
          </w:tcPr>
          <w:p w14:paraId="17A37965">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Studies published before 2015 are limited because they cannot capture recent evidence of digital transformation. </w:t>
            </w:r>
          </w:p>
        </w:tc>
      </w:tr>
      <w:tr w14:paraId="0A4E189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917" w:hRule="atLeast"/>
          <w:jc w:val="center"/>
        </w:trPr>
        <w:tc>
          <w:tcPr>
            <w:tcW w:w="929" w:type="pct"/>
            <w:tcMar>
              <w:top w:w="100" w:type="dxa"/>
              <w:left w:w="100" w:type="dxa"/>
              <w:bottom w:w="100" w:type="dxa"/>
              <w:right w:w="100" w:type="dxa"/>
            </w:tcMar>
          </w:tcPr>
          <w:p w14:paraId="1D833835">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Industry Focus </w:t>
            </w:r>
          </w:p>
        </w:tc>
        <w:tc>
          <w:tcPr>
            <w:tcW w:w="2011" w:type="pct"/>
            <w:tcMar>
              <w:top w:w="100" w:type="dxa"/>
              <w:left w:w="100" w:type="dxa"/>
              <w:bottom w:w="100" w:type="dxa"/>
              <w:right w:w="100" w:type="dxa"/>
            </w:tcMar>
          </w:tcPr>
          <w:p w14:paraId="4E10141B">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Papers focusing on the beauty, cosmetics, and personal care industry. </w:t>
            </w:r>
          </w:p>
        </w:tc>
        <w:tc>
          <w:tcPr>
            <w:tcW w:w="2059" w:type="pct"/>
            <w:tcMar>
              <w:top w:w="100" w:type="dxa"/>
              <w:left w:w="100" w:type="dxa"/>
              <w:bottom w:w="100" w:type="dxa"/>
              <w:right w:w="100" w:type="dxa"/>
            </w:tcMar>
          </w:tcPr>
          <w:p w14:paraId="59E03B41">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Studies from other industries</w:t>
            </w:r>
          </w:p>
        </w:tc>
      </w:tr>
      <w:tr w14:paraId="1B2EB69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929" w:type="pct"/>
            <w:tcMar>
              <w:top w:w="100" w:type="dxa"/>
              <w:left w:w="100" w:type="dxa"/>
              <w:bottom w:w="100" w:type="dxa"/>
              <w:right w:w="100" w:type="dxa"/>
            </w:tcMar>
          </w:tcPr>
          <w:p w14:paraId="71120283">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Language</w:t>
            </w:r>
          </w:p>
        </w:tc>
        <w:tc>
          <w:tcPr>
            <w:tcW w:w="2011" w:type="pct"/>
            <w:tcMar>
              <w:top w:w="100" w:type="dxa"/>
              <w:left w:w="100" w:type="dxa"/>
              <w:bottom w:w="100" w:type="dxa"/>
              <w:right w:w="100" w:type="dxa"/>
            </w:tcMar>
          </w:tcPr>
          <w:p w14:paraId="5AF75B7E">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English language publications certify consistency and clarity in analysis </w:t>
            </w:r>
          </w:p>
        </w:tc>
        <w:tc>
          <w:tcPr>
            <w:tcW w:w="2059" w:type="pct"/>
            <w:tcMar>
              <w:top w:w="100" w:type="dxa"/>
              <w:left w:w="100" w:type="dxa"/>
              <w:bottom w:w="100" w:type="dxa"/>
              <w:right w:w="100" w:type="dxa"/>
            </w:tcMar>
          </w:tcPr>
          <w:p w14:paraId="5E7DCD02">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Non-English publications are due to bias and limited accessibility.</w:t>
            </w:r>
          </w:p>
        </w:tc>
      </w:tr>
      <w:tr w14:paraId="591A315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929" w:type="pct"/>
            <w:tcMar>
              <w:top w:w="100" w:type="dxa"/>
              <w:left w:w="100" w:type="dxa"/>
              <w:bottom w:w="100" w:type="dxa"/>
              <w:right w:w="100" w:type="dxa"/>
            </w:tcMar>
          </w:tcPr>
          <w:p w14:paraId="6A1EC7A4">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Type of Source</w:t>
            </w:r>
          </w:p>
        </w:tc>
        <w:tc>
          <w:tcPr>
            <w:tcW w:w="2011" w:type="pct"/>
            <w:tcMar>
              <w:top w:w="100" w:type="dxa"/>
              <w:left w:w="100" w:type="dxa"/>
              <w:bottom w:w="100" w:type="dxa"/>
              <w:right w:w="100" w:type="dxa"/>
            </w:tcMar>
          </w:tcPr>
          <w:p w14:paraId="39DDDF28">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Industry reports, peer-reviewed journals, and newspapers. </w:t>
            </w:r>
          </w:p>
        </w:tc>
        <w:tc>
          <w:tcPr>
            <w:tcW w:w="2059" w:type="pct"/>
            <w:tcMar>
              <w:top w:w="100" w:type="dxa"/>
              <w:left w:w="100" w:type="dxa"/>
              <w:bottom w:w="100" w:type="dxa"/>
              <w:right w:w="100" w:type="dxa"/>
            </w:tcMar>
          </w:tcPr>
          <w:p w14:paraId="0FC6CFAF">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Non-academic blogs and duplicate websites. </w:t>
            </w:r>
          </w:p>
        </w:tc>
      </w:tr>
      <w:tr w14:paraId="1CD00A8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929" w:type="pct"/>
            <w:tcMar>
              <w:top w:w="100" w:type="dxa"/>
              <w:left w:w="100" w:type="dxa"/>
              <w:bottom w:w="100" w:type="dxa"/>
              <w:right w:w="100" w:type="dxa"/>
            </w:tcMar>
          </w:tcPr>
          <w:p w14:paraId="5CE46685">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Topic Relevance</w:t>
            </w:r>
          </w:p>
        </w:tc>
        <w:tc>
          <w:tcPr>
            <w:tcW w:w="2011" w:type="pct"/>
            <w:tcMar>
              <w:top w:w="100" w:type="dxa"/>
              <w:left w:w="100" w:type="dxa"/>
              <w:bottom w:w="100" w:type="dxa"/>
              <w:right w:w="100" w:type="dxa"/>
            </w:tcMar>
          </w:tcPr>
          <w:p w14:paraId="413DDCD3">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Technology implementation, technological transformation, and customer engagement will be addressed. </w:t>
            </w:r>
          </w:p>
        </w:tc>
        <w:tc>
          <w:tcPr>
            <w:tcW w:w="2059" w:type="pct"/>
            <w:tcMar>
              <w:top w:w="100" w:type="dxa"/>
              <w:left w:w="100" w:type="dxa"/>
              <w:bottom w:w="100" w:type="dxa"/>
              <w:right w:w="100" w:type="dxa"/>
            </w:tcMar>
          </w:tcPr>
          <w:p w14:paraId="7D4D62B1">
            <w:pPr>
              <w:widowControl w:val="0"/>
              <w:pBdr>
                <w:top w:val="none" w:color="auto" w:sz="0" w:space="0"/>
                <w:left w:val="none" w:color="auto" w:sz="0" w:space="0"/>
                <w:bottom w:val="none" w:color="auto" w:sz="0" w:space="0"/>
                <w:right w:val="none" w:color="auto" w:sz="0" w:space="0"/>
                <w:between w:val="none" w:color="auto" w:sz="0" w:space="0"/>
              </w:pBd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Studies unrelated to the topic or not connected with customer engagement. </w:t>
            </w:r>
          </w:p>
        </w:tc>
      </w:tr>
    </w:tbl>
    <w:p w14:paraId="74318C93">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Table 2: “Inclusion-exclusion criteria”</w:t>
      </w:r>
    </w:p>
    <w:p w14:paraId="2BEADCF0">
      <w:pPr>
        <w:spacing w:before="240" w:after="240"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(Source: Self-made by using MS-Word) </w:t>
      </w:r>
    </w:p>
    <w:p w14:paraId="6C2AAEA3">
      <w:pPr>
        <w:pStyle w:val="3"/>
        <w:rPr>
          <w:lang w:val="en-GB"/>
        </w:rPr>
      </w:pPr>
      <w:bookmarkStart w:id="16" w:name="_Toc213165971"/>
      <w:r>
        <w:rPr>
          <w:lang w:val="en-GB"/>
        </w:rPr>
        <w:t>3.4 Data Analysis</w:t>
      </w:r>
      <w:bookmarkEnd w:id="16"/>
      <w:r>
        <w:rPr>
          <w:lang w:val="en-GB"/>
        </w:rPr>
        <w:t xml:space="preserve"> </w:t>
      </w:r>
    </w:p>
    <w:p w14:paraId="3C7AA00C">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Thematic analysis will be used for analysing the collected secondary data, which enables the identification and evaluation of patterns across selected studies (Braun and Clarke, 2024). All data will be acquainted, coded, and grouped into key themes, including “AI and personalization”, digital innovation, and results of customer engagement. This technique also considers identifying, coding, and categorising various patterns across the selected studies to develop the themes based on the digital transformation and the customer engagement (Vázquez-Varela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2022). All themes will be linked with the research objectives, and this thematic synthesis approach also provides a detailed understanding of how the digital initiatives affect customer engagement within the UK cosmetics market. </w:t>
      </w:r>
    </w:p>
    <w:p w14:paraId="475AB783">
      <w:pPr>
        <w:pStyle w:val="3"/>
        <w:rPr>
          <w:lang w:val="en-GB"/>
        </w:rPr>
      </w:pPr>
      <w:bookmarkStart w:id="17" w:name="_Toc213165972"/>
      <w:r>
        <w:rPr>
          <w:lang w:val="en-GB"/>
        </w:rPr>
        <w:t>3.5 Ethical Considerations</w:t>
      </w:r>
      <w:bookmarkEnd w:id="17"/>
    </w:p>
    <w:p w14:paraId="7E3EFD8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Ethical considerations focus on upholding academic honesty, openness, and respect for proprietary information because this work is wholly dependent on secondary data. All data will be sourced from publicly available, reputable databases and "peer-reviewed publications" to certify originality and reliability (Masic, 2022). The appropriate referencing and citation style will be used to credit the original authors. Primary data collection and the human participant will not be involved in this study. Issues of confidentiality are not applicable in this study. This study will maintain objectivity in the interpretation of findings. Thus, the whole research will maintain the university's ethical guidelines and "ensure credible academic conduct".</w:t>
      </w:r>
    </w:p>
    <w:p w14:paraId="5191BF59">
      <w:pPr>
        <w:pStyle w:val="3"/>
        <w:rPr>
          <w:lang w:val="en-GB"/>
        </w:rPr>
      </w:pPr>
      <w:bookmarkStart w:id="18" w:name="_Toc213165973"/>
      <w:r>
        <w:rPr>
          <w:lang w:val="en-GB"/>
        </w:rPr>
        <w:t>3.6 Feasibility</w:t>
      </w:r>
      <w:bookmarkEnd w:id="18"/>
      <w:r>
        <w:rPr>
          <w:lang w:val="en-GB"/>
        </w:rPr>
        <w:t xml:space="preserve"> </w:t>
      </w:r>
    </w:p>
    <w:p w14:paraId="5F668AE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study relies on secondary information rather than gathering primary information; it is very feasible. In addition, there are no time or technical limitations because access to users is not necessary (Senjam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2021</w:t>
      </w:r>
      <w:r>
        <w:rPr>
          <w:lang w:val="en-GB"/>
        </w:rPr>
        <w:t>)</w:t>
      </w:r>
      <w:r>
        <w:rPr>
          <w:rFonts w:ascii="Times New Roman" w:hAnsi="Times New Roman" w:eastAsia="Times New Roman" w:cs="Times New Roman"/>
          <w:sz w:val="24"/>
          <w:szCs w:val="24"/>
          <w:lang w:val="en-GB"/>
        </w:rPr>
        <w:t xml:space="preserve">. Through institutional library resources, the researcher has complete access to scholarly databases such as Google Scholar, Scopus, and ScienceDirect, confirming the availability of pertinent and reliable material. The systematic review approach is time-efficient, and it will be completed within the dissertation schedule (Lauzon-Schnittka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2022). Minimum financial resources are required for this study. The research is realistic, doable, and feasible within the time frame specified, allowing for a comprehensive and rigorously scholarly investigation of digital change and consumer interaction in the cosmetics sector.</w:t>
      </w:r>
    </w:p>
    <w:p w14:paraId="7BEC9EE1">
      <w:pPr>
        <w:pStyle w:val="2"/>
        <w:rPr>
          <w:lang w:val="en-GB"/>
        </w:rPr>
      </w:pPr>
      <w:bookmarkStart w:id="19" w:name="_Toc213165974"/>
      <w:r>
        <w:rPr>
          <w:lang w:val="en-GB"/>
        </w:rPr>
        <w:t>4. Expected Findings</w:t>
      </w:r>
      <w:bookmarkEnd w:id="19"/>
      <w:r>
        <w:rPr>
          <w:lang w:val="en-GB"/>
        </w:rPr>
        <w:t xml:space="preserve"> </w:t>
      </w:r>
    </w:p>
    <w:p w14:paraId="3F981673">
      <w:pPr>
        <w:pStyle w:val="3"/>
        <w:rPr>
          <w:lang w:val="en-GB"/>
        </w:rPr>
      </w:pPr>
      <w:bookmarkStart w:id="20" w:name="_Toc213165975"/>
      <w:r>
        <w:rPr>
          <w:lang w:val="en-GB"/>
        </w:rPr>
        <w:t>4.1 Anticipated Results</w:t>
      </w:r>
      <w:bookmarkEnd w:id="20"/>
    </w:p>
    <w:p w14:paraId="48A2053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is anticipated that clear patterns will be revealed that portray the ways in which digital shifting has become a crucial aspect of customer satisfaction, engagement, and loyalty in the cosmetics industry. However, “Sephora, L’Oréal, and Estée Lauder” are predicted to show a powerful digital maturity and implement technologies including “data analytics, AI-driven customisation” to increase shopping decisions (Andrade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2024). </w:t>
      </w:r>
    </w:p>
    <w:p w14:paraId="0AAF7EE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It may be difficult to achieve equivalent results for UK-based cosmetics brands due to slower acceptance rates and more constrained resource abilities. Barriers, including skill gaps, cost constraints, and insufficient digital infrastructure, could hinder their technological progress (Singun, 2025). At the same time, creativity is portrayed through influencer partnerships, innovative digital marketing, and inadequate high-scale technological investment. Overall, these findings portray a positive relationship between the results of customer engagement and technological adoption. </w:t>
      </w:r>
    </w:p>
    <w:p w14:paraId="09A42EED">
      <w:pPr>
        <w:pStyle w:val="3"/>
        <w:rPr>
          <w:lang w:val="en-GB"/>
        </w:rPr>
      </w:pPr>
      <w:r>
        <w:rPr>
          <w:lang w:val="en-GB"/>
        </w:rPr>
        <w:t xml:space="preserve"> </w:t>
      </w:r>
      <w:bookmarkStart w:id="21" w:name="_Toc213165976"/>
      <w:r>
        <w:rPr>
          <w:lang w:val="en-GB"/>
        </w:rPr>
        <w:t>4.2 Expected Contribution</w:t>
      </w:r>
      <w:bookmarkEnd w:id="21"/>
    </w:p>
    <w:p w14:paraId="7AA8E6C0">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research will contribute to theoretical knowledge through integrating the various frameworks, such as “TAM and the resource-based view (RBV) theory”, to explain how the “digital transformation affected the consumer interaction” and the brand loyalty in the UK cosmetic market (O’Higgins and Fatorachian, 2025). This study will address the research gap by linking the theoretical concept with practical digital practices, such as “AR experiences, AI personalization, and the Omnichannel experiences”. </w:t>
      </w:r>
    </w:p>
    <w:p w14:paraId="3CA95DD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From the managerial perspective, this research will provide evidence-based knowledge for the UK cosmetic firms to increase “customer engagement” through customer digital initiatives. This study will indicate how cosmetic firms can enhance their digital investments and develop data-driven decision-making, and boost consumer trust through ethical practices (Shastri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2024). At a policy level, this research can inform the regulators and the UK industry stakeholders on the sustainability and digital innovation within the beauty market. This study will offer the best practices that balance the customer’s privacy protection and technological advancement. </w:t>
      </w:r>
    </w:p>
    <w:p w14:paraId="4881F851">
      <w:pPr>
        <w:pStyle w:val="2"/>
        <w:rPr>
          <w:lang w:val="en-GB"/>
        </w:rPr>
      </w:pPr>
      <w:bookmarkStart w:id="22" w:name="_Toc213165977"/>
      <w:r>
        <w:rPr>
          <w:lang w:val="en-GB"/>
        </w:rPr>
        <w:t>5. Limitations</w:t>
      </w:r>
      <w:bookmarkEnd w:id="22"/>
      <w:r>
        <w:rPr>
          <w:lang w:val="en-GB"/>
        </w:rPr>
        <w:t xml:space="preserve"> </w:t>
      </w:r>
    </w:p>
    <w:p w14:paraId="3D2014E4">
      <w:pPr>
        <w:pStyle w:val="3"/>
        <w:rPr>
          <w:lang w:val="en-GB"/>
        </w:rPr>
      </w:pPr>
      <w:bookmarkStart w:id="23" w:name="_Toc213165978"/>
      <w:r>
        <w:rPr>
          <w:lang w:val="en-GB"/>
        </w:rPr>
        <w:t>5.1 Anticipated Constraints</w:t>
      </w:r>
      <w:bookmarkEnd w:id="23"/>
    </w:p>
    <w:p w14:paraId="12CE4406">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scope and depth of this research can be affected by several limitations. As secondary data will be used in this study, access to current company information can be restricted. Moreover, many cosmetic brands, including private firms, cannot reveal detailed “digital transformation strategies" that can hinder in-depth analysis. Moreover, data availability between UK-based and global firms could lead to unequal representations across cases (Albaroudi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2024). However, the risk of publication bias is another anticipated barrier because successful digital change approaches are focused on by industry and academic insights, while overlooking issues. The qualitative study hinders the measurement of a statistical nature. </w:t>
      </w:r>
    </w:p>
    <w:p w14:paraId="0E1461D1">
      <w:pPr>
        <w:pStyle w:val="3"/>
        <w:rPr>
          <w:lang w:val="en-GB"/>
        </w:rPr>
      </w:pPr>
      <w:bookmarkStart w:id="24" w:name="_Toc213165979"/>
      <w:r>
        <w:rPr>
          <w:lang w:val="en-GB"/>
        </w:rPr>
        <w:t>5.2 Mitigation Strategies</w:t>
      </w:r>
      <w:bookmarkEnd w:id="24"/>
    </w:p>
    <w:p w14:paraId="3EF934EA">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To minimize the potential limitation, this research will adopt a systematic search strategy by using multiple databases such as “Scopus, Web of Science, and Google Scholar”. Clear “inclusion-exclusion criteria” will be used to ensure the credibility and reliability of the selected articles (Miranda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xml:space="preserve"> 2024). On the other hand, to mitigate the publication bias, this research will use the “peer-reviewed and grey literature”. In addition, comparative findings between the UK and the global cosmetic market will aid in mitigating the limitations and recognizing the regional variations in consumer behaviour and the trend of digital adoption (Lim </w:t>
      </w:r>
      <w:r>
        <w:rPr>
          <w:rFonts w:ascii="Times New Roman" w:hAnsi="Times New Roman" w:eastAsia="Times New Roman" w:cs="Times New Roman"/>
          <w:i/>
          <w:sz w:val="24"/>
          <w:szCs w:val="24"/>
          <w:lang w:val="en-GB"/>
        </w:rPr>
        <w:t xml:space="preserve">et al. </w:t>
      </w:r>
      <w:r>
        <w:rPr>
          <w:rFonts w:ascii="Times New Roman" w:hAnsi="Times New Roman" w:eastAsia="Times New Roman" w:cs="Times New Roman"/>
          <w:sz w:val="24"/>
          <w:szCs w:val="24"/>
          <w:lang w:val="en-GB"/>
        </w:rPr>
        <w:t xml:space="preserve">2023). This study will develop thematic analysis for the interpretation of findings on “digital transformation and customer engagement”. </w:t>
      </w:r>
    </w:p>
    <w:p w14:paraId="796FD25E">
      <w:pPr>
        <w:pStyle w:val="2"/>
        <w:rPr>
          <w:lang w:val="en-GB"/>
        </w:rPr>
      </w:pPr>
      <w:bookmarkStart w:id="25" w:name="_Toc213165980"/>
      <w:r>
        <w:rPr>
          <w:lang w:val="en-GB"/>
        </w:rPr>
        <w:t>6. Timeframe</w:t>
      </w:r>
      <w:bookmarkEnd w:id="25"/>
      <w:r>
        <w:rPr>
          <w:lang w:val="en-GB"/>
        </w:rPr>
        <w:t xml:space="preserve"> </w:t>
      </w:r>
    </w:p>
    <w:tbl>
      <w:tblPr>
        <w:tblStyle w:val="20"/>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00" w:type="dxa"/>
          <w:left w:w="100" w:type="dxa"/>
          <w:bottom w:w="100" w:type="dxa"/>
          <w:right w:w="100" w:type="dxa"/>
        </w:tblCellMar>
      </w:tblPr>
      <w:tblGrid>
        <w:gridCol w:w="1843"/>
        <w:gridCol w:w="1827"/>
        <w:gridCol w:w="1827"/>
        <w:gridCol w:w="1890"/>
        <w:gridCol w:w="2173"/>
      </w:tblGrid>
      <w:tr w14:paraId="61FBAA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540" w:hRule="atLeast"/>
          <w:jc w:val="center"/>
        </w:trPr>
        <w:tc>
          <w:tcPr>
            <w:tcW w:w="998" w:type="pct"/>
            <w:tcMar>
              <w:top w:w="0" w:type="dxa"/>
              <w:left w:w="100" w:type="dxa"/>
              <w:bottom w:w="0" w:type="dxa"/>
              <w:right w:w="100" w:type="dxa"/>
            </w:tcMar>
          </w:tcPr>
          <w:p w14:paraId="51E6466D">
            <w:pPr>
              <w:spacing w:line="24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Phase / Task</w:t>
            </w:r>
          </w:p>
        </w:tc>
        <w:tc>
          <w:tcPr>
            <w:tcW w:w="990" w:type="pct"/>
            <w:tcMar>
              <w:top w:w="0" w:type="dxa"/>
              <w:left w:w="100" w:type="dxa"/>
              <w:bottom w:w="0" w:type="dxa"/>
              <w:right w:w="100" w:type="dxa"/>
            </w:tcMar>
          </w:tcPr>
          <w:p w14:paraId="0A289B31">
            <w:pPr>
              <w:spacing w:line="24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Start Date</w:t>
            </w:r>
          </w:p>
        </w:tc>
        <w:tc>
          <w:tcPr>
            <w:tcW w:w="990" w:type="pct"/>
            <w:tcMar>
              <w:top w:w="0" w:type="dxa"/>
              <w:left w:w="100" w:type="dxa"/>
              <w:bottom w:w="0" w:type="dxa"/>
              <w:right w:w="100" w:type="dxa"/>
            </w:tcMar>
          </w:tcPr>
          <w:p w14:paraId="52D6673D">
            <w:pPr>
              <w:spacing w:line="24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End Date</w:t>
            </w:r>
          </w:p>
        </w:tc>
        <w:tc>
          <w:tcPr>
            <w:tcW w:w="1023" w:type="pct"/>
            <w:tcMar>
              <w:top w:w="0" w:type="dxa"/>
              <w:left w:w="100" w:type="dxa"/>
              <w:bottom w:w="0" w:type="dxa"/>
              <w:right w:w="100" w:type="dxa"/>
            </w:tcMar>
          </w:tcPr>
          <w:p w14:paraId="06437118">
            <w:pPr>
              <w:spacing w:line="24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Duration (weeks)</w:t>
            </w:r>
          </w:p>
        </w:tc>
        <w:tc>
          <w:tcPr>
            <w:tcW w:w="998" w:type="pct"/>
            <w:tcMar>
              <w:top w:w="0" w:type="dxa"/>
              <w:left w:w="100" w:type="dxa"/>
              <w:bottom w:w="0" w:type="dxa"/>
              <w:right w:w="100" w:type="dxa"/>
            </w:tcMar>
          </w:tcPr>
          <w:p w14:paraId="645668B4">
            <w:pPr>
              <w:spacing w:line="24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Notes</w:t>
            </w:r>
          </w:p>
        </w:tc>
      </w:tr>
      <w:tr w14:paraId="0738BF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0EB81E81">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Topic selection and proposal development</w:t>
            </w:r>
          </w:p>
        </w:tc>
        <w:tc>
          <w:tcPr>
            <w:tcW w:w="990" w:type="pct"/>
            <w:tcMar>
              <w:top w:w="0" w:type="dxa"/>
              <w:left w:w="100" w:type="dxa"/>
              <w:bottom w:w="0" w:type="dxa"/>
              <w:right w:w="100" w:type="dxa"/>
            </w:tcMar>
          </w:tcPr>
          <w:p w14:paraId="4876E38D">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01 Nov 2025</w:t>
            </w:r>
          </w:p>
        </w:tc>
        <w:tc>
          <w:tcPr>
            <w:tcW w:w="990" w:type="pct"/>
            <w:tcMar>
              <w:top w:w="0" w:type="dxa"/>
              <w:left w:w="100" w:type="dxa"/>
              <w:bottom w:w="0" w:type="dxa"/>
              <w:right w:w="100" w:type="dxa"/>
            </w:tcMar>
          </w:tcPr>
          <w:p w14:paraId="140463E7">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14 Nov 2025</w:t>
            </w:r>
          </w:p>
        </w:tc>
        <w:tc>
          <w:tcPr>
            <w:tcW w:w="1023" w:type="pct"/>
            <w:tcMar>
              <w:top w:w="0" w:type="dxa"/>
              <w:left w:w="100" w:type="dxa"/>
              <w:bottom w:w="0" w:type="dxa"/>
              <w:right w:w="100" w:type="dxa"/>
            </w:tcMar>
          </w:tcPr>
          <w:p w14:paraId="077959EE">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2 weeks</w:t>
            </w:r>
          </w:p>
        </w:tc>
        <w:tc>
          <w:tcPr>
            <w:tcW w:w="998" w:type="pct"/>
            <w:tcMar>
              <w:top w:w="0" w:type="dxa"/>
              <w:left w:w="100" w:type="dxa"/>
              <w:bottom w:w="0" w:type="dxa"/>
              <w:right w:w="100" w:type="dxa"/>
            </w:tcMar>
          </w:tcPr>
          <w:p w14:paraId="557BBE1A">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Finalise “research aim, objectives, and scope”</w:t>
            </w:r>
          </w:p>
        </w:tc>
      </w:tr>
      <w:tr w14:paraId="216D90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271ADD06">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Literature review and framework development</w:t>
            </w:r>
          </w:p>
        </w:tc>
        <w:tc>
          <w:tcPr>
            <w:tcW w:w="990" w:type="pct"/>
            <w:tcMar>
              <w:top w:w="0" w:type="dxa"/>
              <w:left w:w="100" w:type="dxa"/>
              <w:bottom w:w="0" w:type="dxa"/>
              <w:right w:w="100" w:type="dxa"/>
            </w:tcMar>
          </w:tcPr>
          <w:p w14:paraId="4C9DE880">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15 Nov 2025</w:t>
            </w:r>
          </w:p>
        </w:tc>
        <w:tc>
          <w:tcPr>
            <w:tcW w:w="990" w:type="pct"/>
            <w:tcMar>
              <w:top w:w="0" w:type="dxa"/>
              <w:left w:w="100" w:type="dxa"/>
              <w:bottom w:w="0" w:type="dxa"/>
              <w:right w:w="100" w:type="dxa"/>
            </w:tcMar>
          </w:tcPr>
          <w:p w14:paraId="60ED4E9D">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12 Dec 2025</w:t>
            </w:r>
          </w:p>
        </w:tc>
        <w:tc>
          <w:tcPr>
            <w:tcW w:w="1023" w:type="pct"/>
            <w:tcMar>
              <w:top w:w="0" w:type="dxa"/>
              <w:left w:w="100" w:type="dxa"/>
              <w:bottom w:w="0" w:type="dxa"/>
              <w:right w:w="100" w:type="dxa"/>
            </w:tcMar>
          </w:tcPr>
          <w:p w14:paraId="0AEDCE41">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4 weeks</w:t>
            </w:r>
          </w:p>
        </w:tc>
        <w:tc>
          <w:tcPr>
            <w:tcW w:w="998" w:type="pct"/>
            <w:tcMar>
              <w:top w:w="0" w:type="dxa"/>
              <w:left w:w="100" w:type="dxa"/>
              <w:bottom w:w="0" w:type="dxa"/>
              <w:right w:w="100" w:type="dxa"/>
            </w:tcMar>
          </w:tcPr>
          <w:p w14:paraId="600E58B2">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Critically analyse research papers and address research gaps</w:t>
            </w:r>
          </w:p>
        </w:tc>
      </w:tr>
      <w:tr w14:paraId="0360D4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03528D3E">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Methodology Development</w:t>
            </w:r>
          </w:p>
        </w:tc>
        <w:tc>
          <w:tcPr>
            <w:tcW w:w="990" w:type="pct"/>
            <w:tcMar>
              <w:top w:w="0" w:type="dxa"/>
              <w:left w:w="100" w:type="dxa"/>
              <w:bottom w:w="0" w:type="dxa"/>
              <w:right w:w="100" w:type="dxa"/>
            </w:tcMar>
          </w:tcPr>
          <w:p w14:paraId="110136B4">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13 Dec 2025</w:t>
            </w:r>
          </w:p>
        </w:tc>
        <w:tc>
          <w:tcPr>
            <w:tcW w:w="990" w:type="pct"/>
            <w:tcMar>
              <w:top w:w="0" w:type="dxa"/>
              <w:left w:w="100" w:type="dxa"/>
              <w:bottom w:w="0" w:type="dxa"/>
              <w:right w:w="100" w:type="dxa"/>
            </w:tcMar>
          </w:tcPr>
          <w:p w14:paraId="769C4D30">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26 Dec 2025</w:t>
            </w:r>
          </w:p>
        </w:tc>
        <w:tc>
          <w:tcPr>
            <w:tcW w:w="1023" w:type="pct"/>
            <w:tcMar>
              <w:top w:w="0" w:type="dxa"/>
              <w:left w:w="100" w:type="dxa"/>
              <w:bottom w:w="0" w:type="dxa"/>
              <w:right w:w="100" w:type="dxa"/>
            </w:tcMar>
          </w:tcPr>
          <w:p w14:paraId="654A2B50">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2 weeks</w:t>
            </w:r>
          </w:p>
        </w:tc>
        <w:tc>
          <w:tcPr>
            <w:tcW w:w="998" w:type="pct"/>
            <w:tcMar>
              <w:top w:w="0" w:type="dxa"/>
              <w:left w:w="100" w:type="dxa"/>
              <w:bottom w:w="0" w:type="dxa"/>
              <w:right w:w="100" w:type="dxa"/>
            </w:tcMar>
          </w:tcPr>
          <w:p w14:paraId="696C8615">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Design research approach, “data sources, and thematic synthesis analysis methods”</w:t>
            </w:r>
          </w:p>
        </w:tc>
      </w:tr>
      <w:tr w14:paraId="2E3873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34CB02A1">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Data collection (secondary research)</w:t>
            </w:r>
          </w:p>
        </w:tc>
        <w:tc>
          <w:tcPr>
            <w:tcW w:w="990" w:type="pct"/>
            <w:tcMar>
              <w:top w:w="0" w:type="dxa"/>
              <w:left w:w="100" w:type="dxa"/>
              <w:bottom w:w="0" w:type="dxa"/>
              <w:right w:w="100" w:type="dxa"/>
            </w:tcMar>
          </w:tcPr>
          <w:p w14:paraId="6B30ACE8">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27 Dec 2025</w:t>
            </w:r>
          </w:p>
        </w:tc>
        <w:tc>
          <w:tcPr>
            <w:tcW w:w="990" w:type="pct"/>
            <w:tcMar>
              <w:top w:w="0" w:type="dxa"/>
              <w:left w:w="100" w:type="dxa"/>
              <w:bottom w:w="0" w:type="dxa"/>
              <w:right w:w="100" w:type="dxa"/>
            </w:tcMar>
          </w:tcPr>
          <w:p w14:paraId="456638FE">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16 Jan 2026</w:t>
            </w:r>
          </w:p>
        </w:tc>
        <w:tc>
          <w:tcPr>
            <w:tcW w:w="1023" w:type="pct"/>
            <w:tcMar>
              <w:top w:w="0" w:type="dxa"/>
              <w:left w:w="100" w:type="dxa"/>
              <w:bottom w:w="0" w:type="dxa"/>
              <w:right w:w="100" w:type="dxa"/>
            </w:tcMar>
          </w:tcPr>
          <w:p w14:paraId="7DA533B9">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3 weeks</w:t>
            </w:r>
          </w:p>
        </w:tc>
        <w:tc>
          <w:tcPr>
            <w:tcW w:w="998" w:type="pct"/>
            <w:tcMar>
              <w:top w:w="0" w:type="dxa"/>
              <w:left w:w="100" w:type="dxa"/>
              <w:bottom w:w="0" w:type="dxa"/>
              <w:right w:w="100" w:type="dxa"/>
            </w:tcMar>
          </w:tcPr>
          <w:p w14:paraId="45BE3D0A">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Consider “inclusion/exclusion criteria”, and collect the secondary data from selected databases.</w:t>
            </w:r>
          </w:p>
        </w:tc>
      </w:tr>
      <w:tr w14:paraId="1253F7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46BEC6FA">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Data analysis and interpretation</w:t>
            </w:r>
          </w:p>
        </w:tc>
        <w:tc>
          <w:tcPr>
            <w:tcW w:w="990" w:type="pct"/>
            <w:tcMar>
              <w:top w:w="0" w:type="dxa"/>
              <w:left w:w="100" w:type="dxa"/>
              <w:bottom w:w="0" w:type="dxa"/>
              <w:right w:w="100" w:type="dxa"/>
            </w:tcMar>
          </w:tcPr>
          <w:p w14:paraId="1FE4404F">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17 Jan 2026</w:t>
            </w:r>
          </w:p>
        </w:tc>
        <w:tc>
          <w:tcPr>
            <w:tcW w:w="990" w:type="pct"/>
            <w:tcMar>
              <w:top w:w="0" w:type="dxa"/>
              <w:left w:w="100" w:type="dxa"/>
              <w:bottom w:w="0" w:type="dxa"/>
              <w:right w:w="100" w:type="dxa"/>
            </w:tcMar>
          </w:tcPr>
          <w:p w14:paraId="1283E839">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06 Feb 2026</w:t>
            </w:r>
          </w:p>
        </w:tc>
        <w:tc>
          <w:tcPr>
            <w:tcW w:w="1023" w:type="pct"/>
            <w:tcMar>
              <w:top w:w="0" w:type="dxa"/>
              <w:left w:w="100" w:type="dxa"/>
              <w:bottom w:w="0" w:type="dxa"/>
              <w:right w:w="100" w:type="dxa"/>
            </w:tcMar>
          </w:tcPr>
          <w:p w14:paraId="69709E28">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3 weeks</w:t>
            </w:r>
          </w:p>
        </w:tc>
        <w:tc>
          <w:tcPr>
            <w:tcW w:w="998" w:type="pct"/>
            <w:tcMar>
              <w:top w:w="0" w:type="dxa"/>
              <w:left w:w="100" w:type="dxa"/>
              <w:bottom w:w="0" w:type="dxa"/>
              <w:right w:w="100" w:type="dxa"/>
            </w:tcMar>
          </w:tcPr>
          <w:p w14:paraId="2070615D">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Thematic analysis and synthesizing findings</w:t>
            </w:r>
          </w:p>
        </w:tc>
      </w:tr>
      <w:tr w14:paraId="7A7D0F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3A55D367">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Drafting and revision of the report</w:t>
            </w:r>
          </w:p>
        </w:tc>
        <w:tc>
          <w:tcPr>
            <w:tcW w:w="990" w:type="pct"/>
            <w:tcMar>
              <w:top w:w="0" w:type="dxa"/>
              <w:left w:w="100" w:type="dxa"/>
              <w:bottom w:w="0" w:type="dxa"/>
              <w:right w:w="100" w:type="dxa"/>
            </w:tcMar>
          </w:tcPr>
          <w:p w14:paraId="099BFA27">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07 Feb 2026 </w:t>
            </w:r>
          </w:p>
        </w:tc>
        <w:tc>
          <w:tcPr>
            <w:tcW w:w="990" w:type="pct"/>
            <w:tcMar>
              <w:top w:w="0" w:type="dxa"/>
              <w:left w:w="100" w:type="dxa"/>
              <w:bottom w:w="0" w:type="dxa"/>
              <w:right w:w="100" w:type="dxa"/>
            </w:tcMar>
          </w:tcPr>
          <w:p w14:paraId="3FD85494">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27 Feb 2026</w:t>
            </w:r>
          </w:p>
        </w:tc>
        <w:tc>
          <w:tcPr>
            <w:tcW w:w="1023" w:type="pct"/>
            <w:tcMar>
              <w:top w:w="0" w:type="dxa"/>
              <w:left w:w="100" w:type="dxa"/>
              <w:bottom w:w="0" w:type="dxa"/>
              <w:right w:w="100" w:type="dxa"/>
            </w:tcMar>
          </w:tcPr>
          <w:p w14:paraId="69318442">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3 weeks</w:t>
            </w:r>
          </w:p>
        </w:tc>
        <w:tc>
          <w:tcPr>
            <w:tcW w:w="998" w:type="pct"/>
            <w:tcMar>
              <w:top w:w="0" w:type="dxa"/>
              <w:left w:w="100" w:type="dxa"/>
              <w:bottom w:w="0" w:type="dxa"/>
              <w:right w:w="100" w:type="dxa"/>
            </w:tcMar>
          </w:tcPr>
          <w:p w14:paraId="2BABD7A8">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Write, edit, and format dissertation chapters</w:t>
            </w:r>
          </w:p>
        </w:tc>
      </w:tr>
      <w:tr w14:paraId="6B930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00" w:type="dxa"/>
            <w:left w:w="100" w:type="dxa"/>
            <w:bottom w:w="100" w:type="dxa"/>
            <w:right w:w="100" w:type="dxa"/>
          </w:tblCellMar>
        </w:tblPrEx>
        <w:trPr>
          <w:trHeight w:val="285" w:hRule="atLeast"/>
          <w:jc w:val="center"/>
        </w:trPr>
        <w:tc>
          <w:tcPr>
            <w:tcW w:w="998" w:type="pct"/>
            <w:tcMar>
              <w:top w:w="0" w:type="dxa"/>
              <w:left w:w="100" w:type="dxa"/>
              <w:bottom w:w="0" w:type="dxa"/>
              <w:right w:w="100" w:type="dxa"/>
            </w:tcMar>
          </w:tcPr>
          <w:p w14:paraId="2AC059C2">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Final submission </w:t>
            </w:r>
          </w:p>
        </w:tc>
        <w:tc>
          <w:tcPr>
            <w:tcW w:w="990" w:type="pct"/>
            <w:tcMar>
              <w:top w:w="0" w:type="dxa"/>
              <w:left w:w="100" w:type="dxa"/>
              <w:bottom w:w="0" w:type="dxa"/>
              <w:right w:w="100" w:type="dxa"/>
            </w:tcMar>
          </w:tcPr>
          <w:p w14:paraId="3040333B">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28 Feb 2026</w:t>
            </w:r>
          </w:p>
        </w:tc>
        <w:tc>
          <w:tcPr>
            <w:tcW w:w="990" w:type="pct"/>
            <w:tcMar>
              <w:top w:w="0" w:type="dxa"/>
              <w:left w:w="100" w:type="dxa"/>
              <w:bottom w:w="0" w:type="dxa"/>
              <w:right w:w="100" w:type="dxa"/>
            </w:tcMar>
          </w:tcPr>
          <w:p w14:paraId="29FA2A6A">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05 Mar 2026</w:t>
            </w:r>
          </w:p>
        </w:tc>
        <w:tc>
          <w:tcPr>
            <w:tcW w:w="1023" w:type="pct"/>
            <w:tcMar>
              <w:top w:w="0" w:type="dxa"/>
              <w:left w:w="100" w:type="dxa"/>
              <w:bottom w:w="0" w:type="dxa"/>
              <w:right w:w="100" w:type="dxa"/>
            </w:tcMar>
          </w:tcPr>
          <w:p w14:paraId="7D39DF06">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1 week</w:t>
            </w:r>
          </w:p>
        </w:tc>
        <w:tc>
          <w:tcPr>
            <w:tcW w:w="998" w:type="pct"/>
            <w:tcMar>
              <w:top w:w="0" w:type="dxa"/>
              <w:left w:w="100" w:type="dxa"/>
              <w:bottom w:w="0" w:type="dxa"/>
              <w:right w:w="100" w:type="dxa"/>
            </w:tcMar>
          </w:tcPr>
          <w:p w14:paraId="302DE410">
            <w:pPr>
              <w:spacing w:line="24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Proofread and submit the final paper</w:t>
            </w:r>
          </w:p>
        </w:tc>
      </w:tr>
    </w:tbl>
    <w:p w14:paraId="03C4C696">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Table 3: Timeline </w:t>
      </w:r>
    </w:p>
    <w:p w14:paraId="2F031C45">
      <w:pPr>
        <w:spacing w:before="240" w:after="240" w:line="36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sz w:val="24"/>
          <w:szCs w:val="24"/>
          <w:lang w:val="en-GB"/>
        </w:rPr>
        <w:t xml:space="preserve">(Source: Self-made by using MS-Word) </w:t>
      </w:r>
    </w:p>
    <w:p w14:paraId="25604A40">
      <w:pPr>
        <w:pStyle w:val="2"/>
        <w:rPr>
          <w:lang w:val="en-GB"/>
        </w:rPr>
      </w:pPr>
      <w:bookmarkStart w:id="26" w:name="_Toc213165981"/>
      <w:r>
        <w:rPr>
          <w:lang w:val="en-GB"/>
        </w:rPr>
        <w:t>7. Conclusion</w:t>
      </w:r>
      <w:bookmarkEnd w:id="26"/>
      <w:r>
        <w:rPr>
          <w:lang w:val="en-GB"/>
        </w:rPr>
        <w:t xml:space="preserve">  </w:t>
      </w:r>
    </w:p>
    <w:p w14:paraId="7A0D4227">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purpose of this study is to carefully investigate the research on digital transformation tactics in the global cosmetics sector and assess the ways in which they might develop customer involvement in the UK. The key objectives are to address international strategies of digital transformation, assess their impact on increasing engagement, compare results between international and cosmetics organisations in the UK, and develop suitable suggestions for the UK brands. </w:t>
      </w:r>
    </w:p>
    <w:p w14:paraId="69AFC841">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relevance of this study depends on the necessity for cosmetics brands to implement technological creativity to stay competitive in the digital market. This research will offer a strategic concept that can help the UK cosmetics firm in implementing digital technologies such as AI, AR, and data analytics to boost customer loyalty and customer interaction. </w:t>
      </w:r>
    </w:p>
    <w:p w14:paraId="17A249A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study is both valuable and feasible through a focus on the secondary information and the systematic research approach. This study will provide an in-depth concept of the "digital transformation" and provide practical guidance for managers in the beauty market, which enhances customer engagement. Through addressing the gap in the research, this study ensures the sustainable growth and competitive advantage in the digital era. </w:t>
      </w:r>
    </w:p>
    <w:p w14:paraId="51D96C87">
      <w:pP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br w:type="page"/>
      </w:r>
    </w:p>
    <w:p w14:paraId="62C0E833">
      <w:pPr>
        <w:pStyle w:val="2"/>
        <w:rPr>
          <w:lang w:val="en-GB"/>
        </w:rPr>
      </w:pPr>
      <w:bookmarkStart w:id="27" w:name="_Toc213165982"/>
      <w:r>
        <w:rPr>
          <w:lang w:val="en-GB"/>
        </w:rPr>
        <w:t>References</w:t>
      </w:r>
      <w:bookmarkEnd w:id="27"/>
      <w:r>
        <w:rPr>
          <w:lang w:val="en-GB"/>
        </w:rPr>
        <w:t xml:space="preserve"> </w:t>
      </w:r>
    </w:p>
    <w:p w14:paraId="1D98D55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Albaroudi, E., Mansouri, T. and Alameer, A., (2024). A comprehensive review of AI techniques for addressing algorithmic bias in job hiring. </w:t>
      </w:r>
      <w:r>
        <w:rPr>
          <w:rFonts w:ascii="Times New Roman" w:hAnsi="Times New Roman" w:eastAsia="Times New Roman" w:cs="Times New Roman"/>
          <w:i/>
          <w:sz w:val="24"/>
          <w:szCs w:val="24"/>
          <w:lang w:val="en-GB"/>
        </w:rPr>
        <w:t>ai</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5</w:t>
      </w:r>
      <w:r>
        <w:rPr>
          <w:rFonts w:ascii="Times New Roman" w:hAnsi="Times New Roman" w:eastAsia="Times New Roman" w:cs="Times New Roman"/>
          <w:sz w:val="24"/>
          <w:szCs w:val="24"/>
          <w:lang w:val="en-GB"/>
        </w:rPr>
        <w:t>(1), pp.383-404.</w:t>
      </w:r>
    </w:p>
    <w:p w14:paraId="0B3DBBF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Andrade, S.S., de Sousa Faria, A.V., Sousa, A.A., da Silva Ferreira, R., Camargo, N.S., Rodrigues, M.C. and Longo, J.P.F., (2024). Hurdles in translating science from lab to market in delivery systems for Cosmetics: An industrial perspective. </w:t>
      </w:r>
      <w:r>
        <w:rPr>
          <w:rFonts w:ascii="Times New Roman" w:hAnsi="Times New Roman" w:eastAsia="Times New Roman" w:cs="Times New Roman"/>
          <w:i/>
          <w:sz w:val="24"/>
          <w:szCs w:val="24"/>
          <w:lang w:val="en-GB"/>
        </w:rPr>
        <w:t>Advanced Drug Delivery Reviews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205</w:t>
      </w:r>
      <w:r>
        <w:rPr>
          <w:rFonts w:ascii="Times New Roman" w:hAnsi="Times New Roman" w:eastAsia="Times New Roman" w:cs="Times New Roman"/>
          <w:sz w:val="24"/>
          <w:szCs w:val="24"/>
          <w:lang w:val="en-GB"/>
        </w:rPr>
        <w:t>, p.115156.</w:t>
      </w:r>
    </w:p>
    <w:p w14:paraId="5A606CCF">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Andrić, A., Peričić, T.P., Tokalić, R., Marušić, A. and Puljak, L., (2025). Experiences and challenges faced by systematic review authors in using the GRADE approach: a qualitative study. </w:t>
      </w:r>
      <w:r>
        <w:rPr>
          <w:rFonts w:ascii="Times New Roman" w:hAnsi="Times New Roman" w:eastAsia="Times New Roman" w:cs="Times New Roman"/>
          <w:i/>
          <w:sz w:val="24"/>
          <w:szCs w:val="24"/>
          <w:lang w:val="en-GB"/>
        </w:rPr>
        <w:t>Journal of Clinical Epidemiology</w:t>
      </w:r>
      <w:r>
        <w:rPr>
          <w:rFonts w:ascii="Times New Roman" w:hAnsi="Times New Roman" w:eastAsia="Times New Roman" w:cs="Times New Roman"/>
          <w:sz w:val="24"/>
          <w:szCs w:val="24"/>
          <w:lang w:val="en-GB"/>
        </w:rPr>
        <w:t>, p.111870.</w:t>
      </w:r>
    </w:p>
    <w:p w14:paraId="403B33F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Braun, V. and Clarke, V., (2024). Supporting best practice in reflexive thematic analysis reporting in Palliative Medicine: A review of published research and introduction to the Reflexive Thematic Analysis Reporting Guidelines (RTARG). </w:t>
      </w:r>
      <w:r>
        <w:rPr>
          <w:rFonts w:ascii="Times New Roman" w:hAnsi="Times New Roman" w:eastAsia="Times New Roman" w:cs="Times New Roman"/>
          <w:i/>
          <w:sz w:val="24"/>
          <w:szCs w:val="24"/>
          <w:lang w:val="en-GB"/>
        </w:rPr>
        <w:t>Palliative medicine</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38</w:t>
      </w:r>
      <w:r>
        <w:rPr>
          <w:rFonts w:ascii="Times New Roman" w:hAnsi="Times New Roman" w:eastAsia="Times New Roman" w:cs="Times New Roman"/>
          <w:sz w:val="24"/>
          <w:szCs w:val="24"/>
          <w:lang w:val="en-GB"/>
        </w:rPr>
        <w:t>(6), pp.608-616.</w:t>
      </w:r>
    </w:p>
    <w:p w14:paraId="3A46553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Chandel, A. and Gain, N., (2023). A Review on Digital Transformation: Cosmetic Industry. </w:t>
      </w:r>
      <w:r>
        <w:rPr>
          <w:rFonts w:ascii="Times New Roman" w:hAnsi="Times New Roman" w:eastAsia="Times New Roman" w:cs="Times New Roman"/>
          <w:i/>
          <w:sz w:val="24"/>
          <w:szCs w:val="24"/>
          <w:lang w:val="en-GB"/>
        </w:rPr>
        <w:t>International Journal of Innovations in Science, Engineering And Management</w:t>
      </w:r>
      <w:r>
        <w:rPr>
          <w:rFonts w:ascii="Times New Roman" w:hAnsi="Times New Roman" w:eastAsia="Times New Roman" w:cs="Times New Roman"/>
          <w:sz w:val="24"/>
          <w:szCs w:val="24"/>
          <w:lang w:val="en-GB"/>
        </w:rPr>
        <w:t>, pp.26-30.</w:t>
      </w:r>
    </w:p>
    <w:p w14:paraId="3740E751">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Chu, S.C., Yim, M.Y.C. and Mundel, J., (2025). Artificial intelligence, virtual and augmented reality, social media, online reviews, and influencers: a review of how service businesses use promotional devices and future research directions. </w:t>
      </w:r>
      <w:r>
        <w:rPr>
          <w:rFonts w:ascii="Times New Roman" w:hAnsi="Times New Roman" w:eastAsia="Times New Roman" w:cs="Times New Roman"/>
          <w:i/>
          <w:sz w:val="24"/>
          <w:szCs w:val="24"/>
          <w:lang w:val="en-GB"/>
        </w:rPr>
        <w:t>International Journal of Advertising</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44</w:t>
      </w:r>
      <w:r>
        <w:rPr>
          <w:rFonts w:ascii="Times New Roman" w:hAnsi="Times New Roman" w:eastAsia="Times New Roman" w:cs="Times New Roman"/>
          <w:sz w:val="24"/>
          <w:szCs w:val="24"/>
          <w:lang w:val="en-GB"/>
        </w:rPr>
        <w:t>(5), pp.798-828.</w:t>
      </w:r>
    </w:p>
    <w:p w14:paraId="4FF6E651">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Creevey, D., Kidney, E., and Mehta, G. (2019). From dreaming to believing: a review of consumer engagement behaviours with brands' social media content across the holiday travel process. </w:t>
      </w:r>
      <w:r>
        <w:rPr>
          <w:rFonts w:ascii="Times New Roman" w:hAnsi="Times New Roman" w:eastAsia="Times New Roman" w:cs="Times New Roman"/>
          <w:i/>
          <w:sz w:val="24"/>
          <w:szCs w:val="24"/>
          <w:lang w:val="en-GB"/>
        </w:rPr>
        <w:t>Journal of Travel &amp; Tourism Marketing</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36</w:t>
      </w:r>
      <w:r>
        <w:rPr>
          <w:rFonts w:ascii="Times New Roman" w:hAnsi="Times New Roman" w:eastAsia="Times New Roman" w:cs="Times New Roman"/>
          <w:sz w:val="24"/>
          <w:szCs w:val="24"/>
          <w:lang w:val="en-GB"/>
        </w:rPr>
        <w:t>(6), pp.679-691.</w:t>
      </w:r>
    </w:p>
    <w:p w14:paraId="4DEE8DB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Dattatray, A.J., Dnyandeo, C.V. and Dhaneshwar, C.T., (2025). Augmented Reality and Virtual Tryons on Cosmetics and Beauty. </w:t>
      </w:r>
      <w:r>
        <w:rPr>
          <w:rFonts w:ascii="Times New Roman" w:hAnsi="Times New Roman" w:eastAsia="Times New Roman" w:cs="Times New Roman"/>
          <w:i/>
          <w:sz w:val="24"/>
          <w:szCs w:val="24"/>
          <w:lang w:val="en-GB"/>
        </w:rPr>
        <w:t>Research Journal of Topical and Cosmetic Sciences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16</w:t>
      </w:r>
      <w:r>
        <w:rPr>
          <w:rFonts w:ascii="Times New Roman" w:hAnsi="Times New Roman" w:eastAsia="Times New Roman" w:cs="Times New Roman"/>
          <w:sz w:val="24"/>
          <w:szCs w:val="24"/>
          <w:lang w:val="en-GB"/>
        </w:rPr>
        <w:t>(1), pp.49-54.</w:t>
      </w:r>
    </w:p>
    <w:p w14:paraId="53C05D1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Dattatray, A.J., Dnyandeo, C.V. and Dhaneshwar, C.T., (2025). Augmented Reality and Virtual Tryons on Cosmetics and Beauty. </w:t>
      </w:r>
      <w:r>
        <w:rPr>
          <w:rFonts w:ascii="Times New Roman" w:hAnsi="Times New Roman" w:eastAsia="Times New Roman" w:cs="Times New Roman"/>
          <w:i/>
          <w:sz w:val="24"/>
          <w:szCs w:val="24"/>
          <w:lang w:val="en-GB"/>
        </w:rPr>
        <w:t>Research Journal of Topical and Cosmetic Sciences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16</w:t>
      </w:r>
      <w:r>
        <w:rPr>
          <w:rFonts w:ascii="Times New Roman" w:hAnsi="Times New Roman" w:eastAsia="Times New Roman" w:cs="Times New Roman"/>
          <w:sz w:val="24"/>
          <w:szCs w:val="24"/>
          <w:lang w:val="en-GB"/>
        </w:rPr>
        <w:t>(1), pp.49-54.</w:t>
      </w:r>
    </w:p>
    <w:p w14:paraId="15C0BFA9">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Elasrag, H., (2018). Halal industry: Key challenges and opportunities.</w:t>
      </w:r>
    </w:p>
    <w:p w14:paraId="1E856A9F">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Ghanad, A., (2023). An overview of quantitative research methods. </w:t>
      </w:r>
      <w:r>
        <w:rPr>
          <w:rFonts w:ascii="Times New Roman" w:hAnsi="Times New Roman" w:eastAsia="Times New Roman" w:cs="Times New Roman"/>
          <w:i/>
          <w:sz w:val="24"/>
          <w:szCs w:val="24"/>
          <w:lang w:val="en-GB"/>
        </w:rPr>
        <w:t>International journal of multidisciplinary research and analysis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6</w:t>
      </w:r>
      <w:r>
        <w:rPr>
          <w:rFonts w:ascii="Times New Roman" w:hAnsi="Times New Roman" w:eastAsia="Times New Roman" w:cs="Times New Roman"/>
          <w:sz w:val="24"/>
          <w:szCs w:val="24"/>
          <w:lang w:val="en-GB"/>
        </w:rPr>
        <w:t>(08), pp.3794-3803.</w:t>
      </w:r>
    </w:p>
    <w:p w14:paraId="7F58206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Gwada, D., Tondeur, J., Bruggeman, B., Liyala, S., and Abeka, S.O., (2025). Bridging higher educators' beliefs and practice in online education: A qualitative systematic review. </w:t>
      </w:r>
      <w:r>
        <w:rPr>
          <w:rFonts w:ascii="Times New Roman" w:hAnsi="Times New Roman" w:eastAsia="Times New Roman" w:cs="Times New Roman"/>
          <w:i/>
          <w:sz w:val="24"/>
          <w:szCs w:val="24"/>
          <w:lang w:val="en-GB"/>
        </w:rPr>
        <w:t>Computers and Education Open</w:t>
      </w:r>
      <w:r>
        <w:rPr>
          <w:rFonts w:ascii="Times New Roman" w:hAnsi="Times New Roman" w:eastAsia="Times New Roman" w:cs="Times New Roman"/>
          <w:sz w:val="24"/>
          <w:szCs w:val="24"/>
          <w:lang w:val="en-GB"/>
        </w:rPr>
        <w:t>, p.100286.</w:t>
      </w:r>
    </w:p>
    <w:p w14:paraId="72DF72D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Joy-Camacho, W. and Thornhill, I., (2024). Opportunities and limitations to environmental management system (EMS) implementation in UK small and medium enterprises (SMEs)–A systematic review. </w:t>
      </w:r>
      <w:r>
        <w:rPr>
          <w:rFonts w:ascii="Times New Roman" w:hAnsi="Times New Roman" w:eastAsia="Times New Roman" w:cs="Times New Roman"/>
          <w:i/>
          <w:sz w:val="24"/>
          <w:szCs w:val="24"/>
          <w:lang w:val="en-GB"/>
        </w:rPr>
        <w:t>Journal of Environmental Management</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367</w:t>
      </w:r>
      <w:r>
        <w:rPr>
          <w:rFonts w:ascii="Times New Roman" w:hAnsi="Times New Roman" w:eastAsia="Times New Roman" w:cs="Times New Roman"/>
          <w:sz w:val="24"/>
          <w:szCs w:val="24"/>
          <w:lang w:val="en-GB"/>
        </w:rPr>
        <w:t>, p.121749.</w:t>
      </w:r>
    </w:p>
    <w:p w14:paraId="0146A710">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Kero, C.A. and Bogale, A.T., (2023). A Systematic Review of Resource-Based View and Dynamic Capabilities of Firms and Future Research Avenues. </w:t>
      </w:r>
      <w:r>
        <w:rPr>
          <w:rFonts w:ascii="Times New Roman" w:hAnsi="Times New Roman" w:eastAsia="Times New Roman" w:cs="Times New Roman"/>
          <w:i/>
          <w:sz w:val="24"/>
          <w:szCs w:val="24"/>
          <w:lang w:val="en-GB"/>
        </w:rPr>
        <w:t>International Journal of Sustainable Development &amp; Planning</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18</w:t>
      </w:r>
      <w:r>
        <w:rPr>
          <w:rFonts w:ascii="Times New Roman" w:hAnsi="Times New Roman" w:eastAsia="Times New Roman" w:cs="Times New Roman"/>
          <w:sz w:val="24"/>
          <w:szCs w:val="24"/>
          <w:lang w:val="en-GB"/>
        </w:rPr>
        <w:t>(10).</w:t>
      </w:r>
    </w:p>
    <w:p w14:paraId="0E83C06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Lauzon-Schnittka, J., Audette-Chapdelaine, S., Boutin, D., Wilhelmy, C., Auger, A.M. and Brodeur, M., (2022). The experience of patient partners in research: a qualitative systematic review and thematic synthesis. </w:t>
      </w:r>
      <w:r>
        <w:rPr>
          <w:rFonts w:ascii="Times New Roman" w:hAnsi="Times New Roman" w:eastAsia="Times New Roman" w:cs="Times New Roman"/>
          <w:i/>
          <w:sz w:val="24"/>
          <w:szCs w:val="24"/>
          <w:lang w:val="en-GB"/>
        </w:rPr>
        <w:t>Research involvement and engagement</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8</w:t>
      </w:r>
      <w:r>
        <w:rPr>
          <w:rFonts w:ascii="Times New Roman" w:hAnsi="Times New Roman" w:eastAsia="Times New Roman" w:cs="Times New Roman"/>
          <w:sz w:val="24"/>
          <w:szCs w:val="24"/>
          <w:lang w:val="en-GB"/>
        </w:rPr>
        <w:t>(1), p.55.</w:t>
      </w:r>
    </w:p>
    <w:p w14:paraId="6F78A347">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Lim, W.M., Kumar, S., Pandey, N., Verma, D. and Kumar, D., (2023). Evolution and trends in consumer behaviour: Insights from Journal of Consumer Behaviour. </w:t>
      </w:r>
      <w:r>
        <w:rPr>
          <w:rFonts w:ascii="Times New Roman" w:hAnsi="Times New Roman" w:eastAsia="Times New Roman" w:cs="Times New Roman"/>
          <w:i/>
          <w:sz w:val="24"/>
          <w:szCs w:val="24"/>
          <w:lang w:val="en-GB"/>
        </w:rPr>
        <w:t>Journal of Consumer Behaviour</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22</w:t>
      </w:r>
      <w:r>
        <w:rPr>
          <w:rFonts w:ascii="Times New Roman" w:hAnsi="Times New Roman" w:eastAsia="Times New Roman" w:cs="Times New Roman"/>
          <w:sz w:val="24"/>
          <w:szCs w:val="24"/>
          <w:lang w:val="en-GB"/>
        </w:rPr>
        <w:t>(1), pp.217-232.</w:t>
      </w:r>
    </w:p>
    <w:p w14:paraId="021CD62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Makridakis, S., (2017). The forthcoming Artificial Intelligence (AI) revolution: Its impact on society and firms. </w:t>
      </w:r>
      <w:r>
        <w:rPr>
          <w:rFonts w:ascii="Times New Roman" w:hAnsi="Times New Roman" w:eastAsia="Times New Roman" w:cs="Times New Roman"/>
          <w:i/>
          <w:sz w:val="24"/>
          <w:szCs w:val="24"/>
          <w:lang w:val="en-GB"/>
        </w:rPr>
        <w:t>Futures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90</w:t>
      </w:r>
      <w:r>
        <w:rPr>
          <w:rFonts w:ascii="Times New Roman" w:hAnsi="Times New Roman" w:eastAsia="Times New Roman" w:cs="Times New Roman"/>
          <w:sz w:val="24"/>
          <w:szCs w:val="24"/>
          <w:lang w:val="en-GB"/>
        </w:rPr>
        <w:t>, pp.46-60.</w:t>
      </w:r>
    </w:p>
    <w:p w14:paraId="2750D2C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Masic, I., (2022). Scientometrics: the imperative for scientific validity of the scientific publications content. </w:t>
      </w:r>
      <w:r>
        <w:rPr>
          <w:rFonts w:ascii="Times New Roman" w:hAnsi="Times New Roman" w:eastAsia="Times New Roman" w:cs="Times New Roman"/>
          <w:i/>
          <w:sz w:val="24"/>
          <w:szCs w:val="24"/>
          <w:lang w:val="en-GB"/>
        </w:rPr>
        <w:t>SAR</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w:t>
      </w:r>
      <w:r>
        <w:rPr>
          <w:rFonts w:ascii="Times New Roman" w:hAnsi="Times New Roman" w:eastAsia="Times New Roman" w:cs="Times New Roman"/>
          <w:sz w:val="24"/>
          <w:szCs w:val="24"/>
          <w:lang w:val="en-GB"/>
        </w:rPr>
        <w:t>(1), pp.56-80.</w:t>
      </w:r>
    </w:p>
    <w:p w14:paraId="62B263F3">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Mazhar, S.A., Anjum, R., Anwar, A.I. and Khan, A.A., (2021). Methods of data collection: A fundamental tool of research. </w:t>
      </w:r>
      <w:r>
        <w:rPr>
          <w:rFonts w:ascii="Times New Roman" w:hAnsi="Times New Roman" w:eastAsia="Times New Roman" w:cs="Times New Roman"/>
          <w:i/>
          <w:sz w:val="24"/>
          <w:szCs w:val="24"/>
          <w:lang w:val="en-GB"/>
        </w:rPr>
        <w:t>Journal of Integrated Community Health</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10</w:t>
      </w:r>
      <w:r>
        <w:rPr>
          <w:rFonts w:ascii="Times New Roman" w:hAnsi="Times New Roman" w:eastAsia="Times New Roman" w:cs="Times New Roman"/>
          <w:sz w:val="24"/>
          <w:szCs w:val="24"/>
          <w:lang w:val="en-GB"/>
        </w:rPr>
        <w:t>(1), pp.6-10.</w:t>
      </w:r>
    </w:p>
    <w:p w14:paraId="70B13B57">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Miranda, J.S., Abbade, L.P., Abbade, J.F., Thabane, L., Mbuagbaw, L., Pascon, G.C., Campanili, T.C.G.F., Santos, L.P. and de Gouveia Santos, V.L.C., (2024). Deficiencies in reporting inclusion/exclusion criteria and characteristics of patients in randomized controlled trials of therapeutic interventions in pressure injuries: a systematic methodological review. </w:t>
      </w:r>
      <w:r>
        <w:rPr>
          <w:rFonts w:ascii="Times New Roman" w:hAnsi="Times New Roman" w:eastAsia="Times New Roman" w:cs="Times New Roman"/>
          <w:i/>
          <w:sz w:val="24"/>
          <w:szCs w:val="24"/>
          <w:lang w:val="en-GB"/>
        </w:rPr>
        <w:t>International Wound Journal</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21</w:t>
      </w:r>
      <w:r>
        <w:rPr>
          <w:rFonts w:ascii="Times New Roman" w:hAnsi="Times New Roman" w:eastAsia="Times New Roman" w:cs="Times New Roman"/>
          <w:sz w:val="24"/>
          <w:szCs w:val="24"/>
          <w:lang w:val="en-GB"/>
        </w:rPr>
        <w:t>(2), p.e14351.</w:t>
      </w:r>
    </w:p>
    <w:p w14:paraId="5A3E5F2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Musa, H.G., Fatmawati, I., Nuryakin, N. and Suyanto, M., (2024). Marketing research trends using technology acceptance model (TAM): A comprehensive review of researches (2002–2022). </w:t>
      </w:r>
      <w:r>
        <w:rPr>
          <w:rFonts w:ascii="Times New Roman" w:hAnsi="Times New Roman" w:eastAsia="Times New Roman" w:cs="Times New Roman"/>
          <w:i/>
          <w:sz w:val="24"/>
          <w:szCs w:val="24"/>
          <w:lang w:val="en-GB"/>
        </w:rPr>
        <w:t>Cogent business &amp; management</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11</w:t>
      </w:r>
      <w:r>
        <w:rPr>
          <w:rFonts w:ascii="Times New Roman" w:hAnsi="Times New Roman" w:eastAsia="Times New Roman" w:cs="Times New Roman"/>
          <w:sz w:val="24"/>
          <w:szCs w:val="24"/>
          <w:lang w:val="en-GB"/>
        </w:rPr>
        <w:t>(1), p.2329375.</w:t>
      </w:r>
    </w:p>
    <w:p w14:paraId="25D65B2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Mustafa, A.S. and Garcia, M.B., (2021), November. Theories integrated with technology acceptance model (TAM) in online learning acceptance and continuance intention: A systematic review. In </w:t>
      </w:r>
      <w:r>
        <w:rPr>
          <w:rFonts w:ascii="Times New Roman" w:hAnsi="Times New Roman" w:eastAsia="Times New Roman" w:cs="Times New Roman"/>
          <w:i/>
          <w:sz w:val="24"/>
          <w:szCs w:val="24"/>
          <w:lang w:val="en-GB"/>
        </w:rPr>
        <w:t>2021 1st Conference on online teaching for mobile education (OT4ME)</w:t>
      </w:r>
      <w:r>
        <w:rPr>
          <w:rFonts w:ascii="Times New Roman" w:hAnsi="Times New Roman" w:eastAsia="Times New Roman" w:cs="Times New Roman"/>
          <w:sz w:val="24"/>
          <w:szCs w:val="24"/>
          <w:lang w:val="en-GB"/>
        </w:rPr>
        <w:t xml:space="preserve"> (pp. 68-72). IEEE.</w:t>
      </w:r>
    </w:p>
    <w:p w14:paraId="2B74A3A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Nunan, D., Sibai, O., Schivinski, B. and Christodoulides, G., (2018). Reflections on “social media: Influencing customer satisfaction in B2B sales” and a research agenda. </w:t>
      </w:r>
      <w:r>
        <w:rPr>
          <w:rFonts w:ascii="Times New Roman" w:hAnsi="Times New Roman" w:eastAsia="Times New Roman" w:cs="Times New Roman"/>
          <w:i/>
          <w:sz w:val="24"/>
          <w:szCs w:val="24"/>
          <w:lang w:val="en-GB"/>
        </w:rPr>
        <w:t>Industrial Marketing Management</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75</w:t>
      </w:r>
      <w:r>
        <w:rPr>
          <w:rFonts w:ascii="Times New Roman" w:hAnsi="Times New Roman" w:eastAsia="Times New Roman" w:cs="Times New Roman"/>
          <w:sz w:val="24"/>
          <w:szCs w:val="24"/>
          <w:lang w:val="en-GB"/>
        </w:rPr>
        <w:t>, pp.31-36.</w:t>
      </w:r>
    </w:p>
    <w:p w14:paraId="01BCD0B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O’Higgins, B. and Fatorachian, H., (2025). Consumer trust in artificial intelligence in the UK and Ireland’s personal care and cosmetics sector. </w:t>
      </w:r>
      <w:r>
        <w:rPr>
          <w:rFonts w:ascii="Times New Roman" w:hAnsi="Times New Roman" w:eastAsia="Times New Roman" w:cs="Times New Roman"/>
          <w:i/>
          <w:sz w:val="24"/>
          <w:szCs w:val="24"/>
          <w:lang w:val="en-GB"/>
        </w:rPr>
        <w:t>Cogent Business &amp; Management</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12</w:t>
      </w:r>
      <w:r>
        <w:rPr>
          <w:rFonts w:ascii="Times New Roman" w:hAnsi="Times New Roman" w:eastAsia="Times New Roman" w:cs="Times New Roman"/>
          <w:sz w:val="24"/>
          <w:szCs w:val="24"/>
          <w:lang w:val="en-GB"/>
        </w:rPr>
        <w:t>(1), p.2469765.</w:t>
      </w:r>
    </w:p>
    <w:p w14:paraId="439F4602">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Park, Y.W. and Hong, P., (2024). Beauty Reimagined: Navigating the Cosmetic Industry's Digital Transformation. In </w:t>
      </w:r>
      <w:r>
        <w:rPr>
          <w:rFonts w:ascii="Times New Roman" w:hAnsi="Times New Roman" w:eastAsia="Times New Roman" w:cs="Times New Roman"/>
          <w:i/>
          <w:sz w:val="24"/>
          <w:szCs w:val="24"/>
          <w:lang w:val="en-GB"/>
        </w:rPr>
        <w:t>Cosmetics marketing strategy in the era of the digital ecosystem: Revolutionizing beauty in the new market frontier</w:t>
      </w:r>
      <w:r>
        <w:rPr>
          <w:rFonts w:ascii="Times New Roman" w:hAnsi="Times New Roman" w:eastAsia="Times New Roman" w:cs="Times New Roman"/>
          <w:sz w:val="24"/>
          <w:szCs w:val="24"/>
          <w:lang w:val="en-GB"/>
        </w:rPr>
        <w:t xml:space="preserve"> (pp. 47-74). Singapore: Springer Nature Singapore.</w:t>
      </w:r>
    </w:p>
    <w:p w14:paraId="504D928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Pattanayak, S., (2021). Navigating Ethical Challenges in Business Consulting with Generative AI: Balancing Innovation and Responsibility. </w:t>
      </w:r>
      <w:r>
        <w:rPr>
          <w:rFonts w:ascii="Times New Roman" w:hAnsi="Times New Roman" w:eastAsia="Times New Roman" w:cs="Times New Roman"/>
          <w:i/>
          <w:sz w:val="24"/>
          <w:szCs w:val="24"/>
          <w:lang w:val="en-GB"/>
        </w:rPr>
        <w:t>International Journal of Enhanced Research in Management &amp; Computer Applications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10</w:t>
      </w:r>
      <w:r>
        <w:rPr>
          <w:rFonts w:ascii="Times New Roman" w:hAnsi="Times New Roman" w:eastAsia="Times New Roman" w:cs="Times New Roman"/>
          <w:sz w:val="24"/>
          <w:szCs w:val="24"/>
          <w:lang w:val="en-GB"/>
        </w:rPr>
        <w:t>(2), pp.24-32.</w:t>
      </w:r>
    </w:p>
    <w:p w14:paraId="4AFBCAD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Percy, C. (2021). Strategic staff management in SMEs to support lifelong learning: a literature review.</w:t>
      </w:r>
    </w:p>
    <w:p w14:paraId="38A18CF9">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Rainy, T. and Mou, A.J., (2025). Strategic Use Of Engagement Marketing In Digital Platforms: A Focused Analysis Of Roi And Consumer Psychology</w:t>
      </w:r>
      <w:r>
        <w:rPr>
          <w:rFonts w:ascii="Times New Roman" w:hAnsi="Times New Roman" w:eastAsia="Times New Roman" w:cs="Times New Roman"/>
          <w:i/>
          <w:sz w:val="24"/>
          <w:szCs w:val="24"/>
          <w:lang w:val="en-GB"/>
        </w:rPr>
        <w:t>. Available at SSRN 5340377</w:t>
      </w:r>
      <w:r>
        <w:rPr>
          <w:rFonts w:ascii="Times New Roman" w:hAnsi="Times New Roman" w:eastAsia="Times New Roman" w:cs="Times New Roman"/>
          <w:sz w:val="24"/>
          <w:szCs w:val="24"/>
          <w:lang w:val="en-GB"/>
        </w:rPr>
        <w:t>.</w:t>
      </w:r>
    </w:p>
    <w:p w14:paraId="28A9F165">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Reis, J. and Melão, N., (2023). Digital transformation: A meta-review and guidelines for future research. </w:t>
      </w:r>
      <w:r>
        <w:rPr>
          <w:rFonts w:ascii="Times New Roman" w:hAnsi="Times New Roman" w:eastAsia="Times New Roman" w:cs="Times New Roman"/>
          <w:i/>
          <w:sz w:val="24"/>
          <w:szCs w:val="24"/>
          <w:lang w:val="en-GB"/>
        </w:rPr>
        <w:t>Heliyon</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9</w:t>
      </w:r>
      <w:r>
        <w:rPr>
          <w:rFonts w:ascii="Times New Roman" w:hAnsi="Times New Roman" w:eastAsia="Times New Roman" w:cs="Times New Roman"/>
          <w:sz w:val="24"/>
          <w:szCs w:val="24"/>
          <w:lang w:val="en-GB"/>
        </w:rPr>
        <w:t>(1).</w:t>
      </w:r>
    </w:p>
    <w:p w14:paraId="1A9E675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Rethlefsen, M.L. and Page, M.J., (2022). PRISMA 2020 and PRISMA-S: common questions on tracking records and the flow diagram. </w:t>
      </w:r>
      <w:r>
        <w:rPr>
          <w:rFonts w:ascii="Times New Roman" w:hAnsi="Times New Roman" w:eastAsia="Times New Roman" w:cs="Times New Roman"/>
          <w:i/>
          <w:sz w:val="24"/>
          <w:szCs w:val="24"/>
          <w:lang w:val="en-GB"/>
        </w:rPr>
        <w:t>Journal of the Medical Library Association: JMLA</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110</w:t>
      </w:r>
      <w:r>
        <w:rPr>
          <w:rFonts w:ascii="Times New Roman" w:hAnsi="Times New Roman" w:eastAsia="Times New Roman" w:cs="Times New Roman"/>
          <w:sz w:val="24"/>
          <w:szCs w:val="24"/>
          <w:lang w:val="en-GB"/>
        </w:rPr>
        <w:t>(2), p.253.</w:t>
      </w:r>
    </w:p>
    <w:p w14:paraId="49F0330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Rethlefsen, M.L., Kirtley, S., Waffenschmidt, S., Ayala, A.P., Moher, D., Page, M.J. and Koffel, J.B., (2021). PRISMA-S: an extension to the PRISMA statement for reporting literature searches in systematic reviews. </w:t>
      </w:r>
      <w:r>
        <w:rPr>
          <w:rFonts w:ascii="Times New Roman" w:hAnsi="Times New Roman" w:eastAsia="Times New Roman" w:cs="Times New Roman"/>
          <w:i/>
          <w:sz w:val="24"/>
          <w:szCs w:val="24"/>
          <w:lang w:val="en-GB"/>
        </w:rPr>
        <w:t>Systematic reviews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10</w:t>
      </w:r>
      <w:r>
        <w:rPr>
          <w:rFonts w:ascii="Times New Roman" w:hAnsi="Times New Roman" w:eastAsia="Times New Roman" w:cs="Times New Roman"/>
          <w:sz w:val="24"/>
          <w:szCs w:val="24"/>
          <w:lang w:val="en-GB"/>
        </w:rPr>
        <w:t>(1), p.39.</w:t>
      </w:r>
    </w:p>
    <w:p w14:paraId="1EE3528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Senjam, S.S., Manna, S. and Bascaran, C., (2021). Smartphones-based assistive technology: accessibility features and apps for people with visual impairment, and its usage, challenges, and usability testing. </w:t>
      </w:r>
      <w:r>
        <w:rPr>
          <w:rFonts w:ascii="Times New Roman" w:hAnsi="Times New Roman" w:eastAsia="Times New Roman" w:cs="Times New Roman"/>
          <w:i/>
          <w:sz w:val="24"/>
          <w:szCs w:val="24"/>
          <w:lang w:val="en-GB"/>
        </w:rPr>
        <w:t>Clinical optometry</w:t>
      </w:r>
      <w:r>
        <w:rPr>
          <w:rFonts w:ascii="Times New Roman" w:hAnsi="Times New Roman" w:eastAsia="Times New Roman" w:cs="Times New Roman"/>
          <w:sz w:val="24"/>
          <w:szCs w:val="24"/>
          <w:lang w:val="en-GB"/>
        </w:rPr>
        <w:t>, pp.311-322.</w:t>
      </w:r>
    </w:p>
    <w:p w14:paraId="11E14ECC">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Shastri, D.H., Gandhi, S. and Almeida, H., (2024). Enhancing collaboration and interdisciplinary strategies for navigating innovative technologies and regulatory approvals in the cosmetic industry. </w:t>
      </w:r>
      <w:r>
        <w:rPr>
          <w:rFonts w:ascii="Times New Roman" w:hAnsi="Times New Roman" w:eastAsia="Times New Roman" w:cs="Times New Roman"/>
          <w:i/>
          <w:sz w:val="24"/>
          <w:szCs w:val="24"/>
          <w:lang w:val="en-GB"/>
        </w:rPr>
        <w:t>Current Cosmetic Science</w:t>
      </w:r>
      <w:r>
        <w:rPr>
          <w:rFonts w:ascii="Times New Roman" w:hAnsi="Times New Roman" w:eastAsia="Times New Roman" w:cs="Times New Roman"/>
          <w:sz w:val="24"/>
          <w:szCs w:val="24"/>
          <w:lang w:val="en-GB"/>
        </w:rPr>
        <w:t>.</w:t>
      </w:r>
    </w:p>
    <w:p w14:paraId="0B98AE7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Singun, A.J., (2025). Unveiling the barriers to digital transformation in higher education institutions: a systematic literature review. </w:t>
      </w:r>
      <w:r>
        <w:rPr>
          <w:rFonts w:ascii="Times New Roman" w:hAnsi="Times New Roman" w:eastAsia="Times New Roman" w:cs="Times New Roman"/>
          <w:i/>
          <w:sz w:val="24"/>
          <w:szCs w:val="24"/>
          <w:lang w:val="en-GB"/>
        </w:rPr>
        <w:t>Discover Education</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4</w:t>
      </w:r>
      <w:r>
        <w:rPr>
          <w:rFonts w:ascii="Times New Roman" w:hAnsi="Times New Roman" w:eastAsia="Times New Roman" w:cs="Times New Roman"/>
          <w:sz w:val="24"/>
          <w:szCs w:val="24"/>
          <w:lang w:val="en-GB"/>
        </w:rPr>
        <w:t>(1), p.37.</w:t>
      </w:r>
    </w:p>
    <w:p w14:paraId="7B69FA92">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Statista.com, (2025). </w:t>
      </w:r>
      <w:r>
        <w:rPr>
          <w:rFonts w:ascii="Times New Roman" w:hAnsi="Times New Roman" w:eastAsia="Times New Roman" w:cs="Times New Roman"/>
          <w:i/>
          <w:sz w:val="24"/>
          <w:szCs w:val="24"/>
          <w:lang w:val="en-GB"/>
        </w:rPr>
        <w:t>Beauty &amp; Personal Care – Worldwide.</w:t>
      </w:r>
      <w:r>
        <w:rPr>
          <w:rFonts w:ascii="Times New Roman" w:hAnsi="Times New Roman" w:eastAsia="Times New Roman" w:cs="Times New Roman"/>
          <w:sz w:val="24"/>
          <w:szCs w:val="24"/>
          <w:lang w:val="en-GB"/>
        </w:rPr>
        <w:t xml:space="preserve"> Available at:</w:t>
      </w:r>
      <w:r>
        <w:fldChar w:fldCharType="begin"/>
      </w:r>
      <w:r>
        <w:instrText xml:space="preserve"> HYPERLINK "https://www.statista.com/outlook/cmo/beauty-personal-care/worldwide?srsltid=AfmBOoq9qmfuZXepVRKpRSZuJnBNkpKNHZ8k0NfyrhZFjyF2hQdVITTj"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"https://www.statista.com/outlook/cmo/beauty-personal-care/worldwide?srsltid=AfmBOoq9qmfuZXepVRKpRSZuJnBNkpKNHZ8k0NfyrhZFjyF2hQdVITTj" \h </w:instrText>
      </w:r>
      <w:r>
        <w:fldChar w:fldCharType="separate"/>
      </w:r>
      <w:r>
        <w:rPr>
          <w:rFonts w:ascii="Times New Roman" w:hAnsi="Times New Roman" w:eastAsia="Times New Roman" w:cs="Times New Roman"/>
          <w:color w:val="1155CC"/>
          <w:sz w:val="24"/>
          <w:szCs w:val="24"/>
          <w:u w:val="single"/>
          <w:lang w:val="en-GB"/>
        </w:rPr>
        <w:t>https://www.statista.com/outlook/cmo/beauty-personal-care/worldwide?srsltid=AfmBOoq9qmfuZXepVRKpRSZuJnBNkpKNHZ8k0NfyrhZFjyF2hQdVITTj</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 xml:space="preserve"> [Accessed on: 11-04-2025]</w:t>
      </w:r>
    </w:p>
    <w:p w14:paraId="2BBEB019">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Toosi, R., Hosseini, S.H., Nosraty, N. and Rahmatian, F., (2022). Artificial Intelligence, Health, and the Beauty Industry.</w:t>
      </w:r>
    </w:p>
    <w:p w14:paraId="4D7668B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Umezurike, S.A., Akinrinoye, O.V., Kufile, O.T., Onifade, A.Y., Otokiti, B.O. and Ejike, O.G., (2024). Augmented reality shopping experiences: A review of retail immersion technologies and outcomes. </w:t>
      </w:r>
      <w:r>
        <w:rPr>
          <w:rFonts w:ascii="Times New Roman" w:hAnsi="Times New Roman" w:eastAsia="Times New Roman" w:cs="Times New Roman"/>
          <w:i/>
          <w:sz w:val="24"/>
          <w:szCs w:val="24"/>
          <w:lang w:val="en-GB"/>
        </w:rPr>
        <w:t>International Journal of Management and Organizational Research</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w:t>
      </w:r>
      <w:r>
        <w:rPr>
          <w:rFonts w:ascii="Times New Roman" w:hAnsi="Times New Roman" w:eastAsia="Times New Roman" w:cs="Times New Roman"/>
          <w:sz w:val="24"/>
          <w:szCs w:val="24"/>
          <w:lang w:val="en-GB"/>
        </w:rPr>
        <w:t>(2), pp.83-94.</w:t>
      </w:r>
    </w:p>
    <w:p w14:paraId="529B8F0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Vázquez-Varela, C., Martínez-Navarro, J.M. and Abad-González, L., (2022). Traditional fire knowledge: a thematic synthesis approach. </w:t>
      </w:r>
      <w:r>
        <w:rPr>
          <w:rFonts w:ascii="Times New Roman" w:hAnsi="Times New Roman" w:eastAsia="Times New Roman" w:cs="Times New Roman"/>
          <w:i/>
          <w:sz w:val="24"/>
          <w:szCs w:val="24"/>
          <w:lang w:val="en-GB"/>
        </w:rPr>
        <w:t>Fire</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5</w:t>
      </w:r>
      <w:r>
        <w:rPr>
          <w:rFonts w:ascii="Times New Roman" w:hAnsi="Times New Roman" w:eastAsia="Times New Roman" w:cs="Times New Roman"/>
          <w:sz w:val="24"/>
          <w:szCs w:val="24"/>
          <w:lang w:val="en-GB"/>
        </w:rPr>
        <w:t>(2), p.47.</w:t>
      </w:r>
    </w:p>
    <w:p w14:paraId="173A46EF">
      <w:pPr>
        <w:spacing w:before="200" w:after="200" w:line="360" w:lineRule="auto"/>
        <w:jc w:val="both"/>
        <w:rPr>
          <w:rFonts w:ascii="Times New Roman" w:hAnsi="Times New Roman" w:eastAsia="Times New Roman" w:cs="Times New Roman"/>
          <w:sz w:val="24"/>
          <w:szCs w:val="24"/>
          <w:lang w:val="en-GB"/>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432433AB-AEAA-43D1-8102-44E63440DD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F4CB0323-4255-4A91-A0D5-5BF6C4697192}"/>
  </w:font>
  <w:font w:name="Wingdings">
    <w:panose1 w:val="05000000000000000000"/>
    <w:charset w:val="02"/>
    <w:family w:val="auto"/>
    <w:pitch w:val="default"/>
    <w:sig w:usb0="00000000" w:usb1="00000000" w:usb2="00000000" w:usb3="00000000" w:csb0="80000000" w:csb1="00000000"/>
    <w:embedRegular r:id="rId3" w:fontKey="{0DDD956E-C2AC-467D-8497-88D578979CB6}"/>
  </w:font>
  <w:font w:name="Calibri">
    <w:panose1 w:val="020F0502020204030204"/>
    <w:charset w:val="00"/>
    <w:family w:val="swiss"/>
    <w:pitch w:val="default"/>
    <w:sig w:usb0="E4002EFF" w:usb1="C000247B" w:usb2="00000009" w:usb3="00000000" w:csb0="200001FF" w:csb1="00000000"/>
    <w:embedRegular r:id="rId4" w:fontKey="{671D9543-E773-4753-ACBD-9D8D3AC9B83F}"/>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embedRegular r:id="rId5" w:fontKey="{98922E17-7BC5-4FED-A67A-9C2C9868113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13042563"/>
      <w:docPartObj>
        <w:docPartGallery w:val="autotext"/>
      </w:docPartObj>
    </w:sdtPr>
    <w:sdtEndPr>
      <w:rPr>
        <w:rFonts w:ascii="Times New Roman" w:hAnsi="Times New Roman" w:cs="Times New Roman"/>
        <w:sz w:val="20"/>
        <w:szCs w:val="20"/>
      </w:rPr>
    </w:sdtEndPr>
    <w:sdtContent>
      <w:p w14:paraId="49C79886">
        <w:pPr>
          <w:pStyle w:val="10"/>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p>
    </w:sdtContent>
  </w:sdt>
  <w:p w14:paraId="51D76148">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8D72A76"/>
    <w:multiLevelType w:val="multilevel"/>
    <w:tmpl w:val="08D72A7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306564BF"/>
    <w:multiLevelType w:val="multilevel"/>
    <w:tmpl w:val="306564B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3F6"/>
    <w:rsid w:val="0040712B"/>
    <w:rsid w:val="00422C6B"/>
    <w:rsid w:val="009571F7"/>
    <w:rsid w:val="00A70DB7"/>
    <w:rsid w:val="00AF0446"/>
    <w:rsid w:val="00BA73F6"/>
    <w:rsid w:val="00CB03DA"/>
    <w:rsid w:val="00FD59E5"/>
    <w:rsid w:val="21EF6676"/>
    <w:rsid w:val="4B0505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0"/>
    <w:pPr>
      <w:keepNext/>
      <w:keepLines/>
      <w:spacing w:before="400" w:after="120"/>
      <w:jc w:val="both"/>
      <w:outlineLvl w:val="0"/>
    </w:pPr>
    <w:rPr>
      <w:rFonts w:ascii="Times New Roman" w:hAnsi="Times New Roman"/>
      <w:b/>
      <w:sz w:val="28"/>
      <w:szCs w:val="40"/>
    </w:rPr>
  </w:style>
  <w:style w:type="paragraph" w:styleId="3">
    <w:name w:val="heading 2"/>
    <w:basedOn w:val="1"/>
    <w:next w:val="1"/>
    <w:uiPriority w:val="0"/>
    <w:pPr>
      <w:keepNext/>
      <w:keepLines/>
      <w:spacing w:before="360" w:after="120"/>
      <w:jc w:val="both"/>
      <w:outlineLvl w:val="1"/>
    </w:pPr>
    <w:rPr>
      <w:rFonts w:ascii="Times New Roman" w:hAnsi="Times New Roman"/>
      <w:b/>
      <w:sz w:val="24"/>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qFormat/>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22"/>
    <w:unhideWhenUsed/>
    <w:qFormat/>
    <w:uiPriority w:val="99"/>
    <w:pPr>
      <w:tabs>
        <w:tab w:val="center" w:pos="4513"/>
        <w:tab w:val="right" w:pos="9026"/>
      </w:tabs>
      <w:spacing w:line="240" w:lineRule="auto"/>
    </w:pPr>
  </w:style>
  <w:style w:type="paragraph" w:styleId="11">
    <w:name w:val="header"/>
    <w:basedOn w:val="1"/>
    <w:link w:val="21"/>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0"/>
    <w:pPr>
      <w:keepNext/>
      <w:keepLines/>
      <w:spacing w:after="320"/>
    </w:pPr>
    <w:rPr>
      <w:color w:val="666666"/>
      <w:sz w:val="30"/>
      <w:szCs w:val="30"/>
    </w:rPr>
  </w:style>
  <w:style w:type="paragraph" w:styleId="14">
    <w:name w:val="Title"/>
    <w:basedOn w:val="1"/>
    <w:next w:val="1"/>
    <w:qFormat/>
    <w:uiPriority w:val="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20"/>
    </w:pPr>
  </w:style>
  <w:style w:type="table" w:customStyle="1" w:styleId="17">
    <w:name w:val="TableNormal"/>
    <w:qFormat/>
    <w:uiPriority w:val="0"/>
    <w:tblPr>
      <w:tblCellMar>
        <w:top w:w="100" w:type="dxa"/>
        <w:left w:w="100" w:type="dxa"/>
        <w:bottom w:w="100" w:type="dxa"/>
        <w:right w:w="100" w:type="dxa"/>
      </w:tblCellMar>
    </w:tblPr>
  </w:style>
  <w:style w:type="table" w:customStyle="1" w:styleId="18">
    <w:name w:val="Table1"/>
    <w:basedOn w:val="17"/>
    <w:qFormat/>
    <w:uiPriority w:val="0"/>
  </w:style>
  <w:style w:type="table" w:customStyle="1" w:styleId="19">
    <w:name w:val="Table2"/>
    <w:basedOn w:val="17"/>
    <w:qFormat/>
    <w:uiPriority w:val="0"/>
  </w:style>
  <w:style w:type="table" w:customStyle="1" w:styleId="20">
    <w:name w:val="Table3"/>
    <w:basedOn w:val="17"/>
    <w:qFormat/>
    <w:uiPriority w:val="0"/>
  </w:style>
  <w:style w:type="character" w:customStyle="1" w:styleId="21">
    <w:name w:val="Header Char"/>
    <w:basedOn w:val="8"/>
    <w:link w:val="11"/>
    <w:qFormat/>
    <w:uiPriority w:val="99"/>
  </w:style>
  <w:style w:type="character" w:customStyle="1" w:styleId="22">
    <w:name w:val="Footer Char"/>
    <w:basedOn w:val="8"/>
    <w:link w:val="10"/>
    <w:qFormat/>
    <w:uiPriority w:val="99"/>
  </w:style>
  <w:style w:type="paragraph" w:customStyle="1" w:styleId="23">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72836-ED24-4E1E-BE9D-313F52124197}">
  <ds:schemaRefs/>
</ds:datastoreItem>
</file>

<file path=docProps/app.xml><?xml version="1.0" encoding="utf-8"?>
<Properties xmlns="http://schemas.openxmlformats.org/officeDocument/2006/extended-properties" xmlns:vt="http://schemas.openxmlformats.org/officeDocument/2006/docPropsVTypes">
  <Template>Normal</Template>
  <Pages>23</Pages>
  <Words>4858</Words>
  <Characters>30366</Characters>
  <Lines>634</Lines>
  <Paragraphs>251</Paragraphs>
  <TotalTime>12</TotalTime>
  <ScaleCrop>false</ScaleCrop>
  <LinksUpToDate>false</LinksUpToDate>
  <CharactersWithSpaces>35071</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2025-11-04T10:33:00Z</dcterms:created>
  <dc:creator>minal</dc:creator>
  <cp:lastModifiedBy>Minal Ramani</cp:lastModifiedBy>
  <dcterms:modified xsi:type="dcterms:W3CDTF">2025-11-05T21:11:38Z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919b6a5e-5e2c-405c-b7a3-5a16fc3d6466</vt:lpwstr>
  </property>
  <property fmtid="{D5CDD505-2E9C-101B-9397-08002B2CF9AE}" pid="3" name="KSOProductBuildVer">
    <vt:lpwstr>1033-12.2.0.23131</vt:lpwstr>
  </property>
  <property fmtid="{D5CDD505-2E9C-101B-9397-08002B2CF9AE}" pid="4" name="ICV">
    <vt:lpwstr>5973DCE7B1AD496EB24C32006BC5A62E_12</vt:lpwstr>
  </property>
</Properties>
</file>