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29C3" w:rsidRDefault="002D29C3" w:rsidP="002D29C3">
      <w:pPr>
        <w:pStyle w:val="Title"/>
      </w:pPr>
    </w:p>
    <w:p w:rsidR="002D29C3" w:rsidRDefault="002D29C3" w:rsidP="002D29C3"/>
    <w:p w:rsidR="002D29C3" w:rsidRDefault="002D29C3" w:rsidP="002D29C3"/>
    <w:p w:rsidR="002D29C3" w:rsidRDefault="002D29C3" w:rsidP="002D29C3"/>
    <w:p w:rsidR="002D29C3" w:rsidRDefault="002D29C3" w:rsidP="002D29C3"/>
    <w:p w:rsidR="002D29C3" w:rsidRDefault="002D29C3" w:rsidP="002D29C3"/>
    <w:p w:rsidR="002D29C3" w:rsidRDefault="002D29C3" w:rsidP="002D29C3"/>
    <w:p w:rsidR="002D29C3" w:rsidRDefault="002D29C3" w:rsidP="002D29C3"/>
    <w:p w:rsidR="002D29C3" w:rsidRDefault="002D29C3" w:rsidP="002D29C3"/>
    <w:p w:rsidR="002D29C3" w:rsidRPr="00AF3398" w:rsidRDefault="000D0F60" w:rsidP="000D0F60">
      <w:pPr>
        <w:jc w:val="center"/>
        <w:rPr>
          <w:rFonts w:ascii="Times New Roman" w:hAnsi="Times New Roman" w:cs="Times New Roman"/>
          <w:sz w:val="28"/>
          <w:szCs w:val="28"/>
        </w:rPr>
      </w:pPr>
      <w:r w:rsidRPr="00AF3398">
        <w:rPr>
          <w:rFonts w:ascii="Times New Roman" w:hAnsi="Times New Roman" w:cs="Times New Roman"/>
          <w:sz w:val="28"/>
          <w:szCs w:val="28"/>
        </w:rPr>
        <w:t xml:space="preserve">Module Code: BMLW4006 </w:t>
      </w:r>
      <w:r w:rsidRPr="00AF3398">
        <w:rPr>
          <w:rFonts w:ascii="Times New Roman" w:hAnsi="Times New Roman" w:cs="Times New Roman"/>
          <w:sz w:val="28"/>
          <w:szCs w:val="28"/>
        </w:rPr>
        <w:t>BMPL4011</w:t>
      </w:r>
    </w:p>
    <w:p w:rsidR="000D0F60" w:rsidRPr="00AF3398" w:rsidRDefault="000D0F60" w:rsidP="000D0F60">
      <w:pPr>
        <w:jc w:val="center"/>
        <w:rPr>
          <w:rFonts w:ascii="Times New Roman" w:hAnsi="Times New Roman" w:cs="Times New Roman"/>
          <w:sz w:val="28"/>
          <w:szCs w:val="28"/>
        </w:rPr>
      </w:pPr>
      <w:r w:rsidRPr="00AF3398">
        <w:rPr>
          <w:rFonts w:ascii="Times New Roman" w:hAnsi="Times New Roman" w:cs="Times New Roman"/>
          <w:sz w:val="28"/>
          <w:szCs w:val="28"/>
        </w:rPr>
        <w:t>Module Name: Legal Process</w:t>
      </w:r>
    </w:p>
    <w:p w:rsidR="000D0F60" w:rsidRPr="00AF3398" w:rsidRDefault="000D0F60" w:rsidP="000D0F60">
      <w:pPr>
        <w:jc w:val="center"/>
        <w:rPr>
          <w:rFonts w:ascii="Times New Roman" w:hAnsi="Times New Roman" w:cs="Times New Roman"/>
          <w:sz w:val="28"/>
          <w:szCs w:val="28"/>
        </w:rPr>
      </w:pPr>
      <w:r w:rsidRPr="00AF3398">
        <w:rPr>
          <w:rFonts w:ascii="Times New Roman" w:hAnsi="Times New Roman" w:cs="Times New Roman"/>
          <w:sz w:val="28"/>
          <w:szCs w:val="28"/>
        </w:rPr>
        <w:t>Assignment-2</w:t>
      </w:r>
    </w:p>
    <w:p w:rsidR="002D29C3" w:rsidRPr="00AF3398" w:rsidRDefault="00273C55" w:rsidP="002D29C3">
      <w:pPr>
        <w:jc w:val="center"/>
        <w:rPr>
          <w:rFonts w:ascii="Times New Roman" w:hAnsi="Times New Roman" w:cs="Times New Roman"/>
          <w:sz w:val="28"/>
          <w:szCs w:val="28"/>
        </w:rPr>
      </w:pPr>
      <w:r w:rsidRPr="00AF3398">
        <w:rPr>
          <w:rFonts w:ascii="Times New Roman" w:hAnsi="Times New Roman" w:cs="Times New Roman"/>
          <w:sz w:val="28"/>
          <w:szCs w:val="28"/>
        </w:rPr>
        <w:t>Judges are Public Servant</w:t>
      </w:r>
    </w:p>
    <w:p w:rsidR="000D0F60" w:rsidRPr="00AF3398" w:rsidRDefault="000D0F60" w:rsidP="002D29C3">
      <w:pPr>
        <w:jc w:val="center"/>
        <w:rPr>
          <w:rFonts w:ascii="Times New Roman" w:hAnsi="Times New Roman" w:cs="Times New Roman"/>
          <w:sz w:val="28"/>
          <w:szCs w:val="28"/>
        </w:rPr>
      </w:pPr>
    </w:p>
    <w:p w:rsidR="000D0F60" w:rsidRPr="00AF3398" w:rsidRDefault="000D0F60" w:rsidP="002D29C3">
      <w:pPr>
        <w:jc w:val="center"/>
        <w:rPr>
          <w:rFonts w:ascii="Times New Roman" w:hAnsi="Times New Roman" w:cs="Times New Roman"/>
          <w:sz w:val="28"/>
          <w:szCs w:val="28"/>
        </w:rPr>
      </w:pPr>
      <w:r w:rsidRPr="00AF3398">
        <w:rPr>
          <w:rFonts w:ascii="Times New Roman" w:hAnsi="Times New Roman" w:cs="Times New Roman"/>
          <w:sz w:val="28"/>
          <w:szCs w:val="28"/>
        </w:rPr>
        <w:t>Submitted By: Delia Cepoi</w:t>
      </w:r>
    </w:p>
    <w:p w:rsidR="000D0F60" w:rsidRPr="00AF3398" w:rsidRDefault="000D0F60" w:rsidP="002D29C3">
      <w:pPr>
        <w:jc w:val="center"/>
        <w:rPr>
          <w:rFonts w:ascii="Times New Roman" w:hAnsi="Times New Roman" w:cs="Times New Roman"/>
          <w:sz w:val="28"/>
          <w:szCs w:val="28"/>
        </w:rPr>
      </w:pPr>
      <w:r w:rsidRPr="00AF3398">
        <w:rPr>
          <w:rFonts w:ascii="Times New Roman" w:hAnsi="Times New Roman" w:cs="Times New Roman"/>
          <w:sz w:val="28"/>
          <w:szCs w:val="28"/>
        </w:rPr>
        <w:t xml:space="preserve">Student ID: </w:t>
      </w:r>
    </w:p>
    <w:p w:rsidR="002D29C3" w:rsidRDefault="002D29C3" w:rsidP="002D29C3">
      <w:pPr>
        <w:jc w:val="center"/>
        <w:rPr>
          <w:rFonts w:ascii="Times New Roman" w:hAnsi="Times New Roman" w:cs="Times New Roman"/>
          <w:b/>
          <w:sz w:val="24"/>
          <w:szCs w:val="24"/>
        </w:rPr>
      </w:pPr>
    </w:p>
    <w:p w:rsidR="002D29C3" w:rsidRDefault="002D29C3" w:rsidP="002D29C3">
      <w:pPr>
        <w:jc w:val="center"/>
        <w:rPr>
          <w:rFonts w:ascii="Times New Roman" w:hAnsi="Times New Roman" w:cs="Times New Roman"/>
          <w:b/>
          <w:sz w:val="24"/>
          <w:szCs w:val="24"/>
        </w:rPr>
      </w:pPr>
    </w:p>
    <w:p w:rsidR="002D29C3" w:rsidRDefault="002D29C3" w:rsidP="002D29C3">
      <w:pPr>
        <w:jc w:val="center"/>
        <w:rPr>
          <w:rFonts w:ascii="Times New Roman" w:hAnsi="Times New Roman" w:cs="Times New Roman"/>
          <w:b/>
          <w:sz w:val="24"/>
          <w:szCs w:val="24"/>
        </w:rPr>
      </w:pPr>
    </w:p>
    <w:p w:rsidR="002D29C3" w:rsidRPr="002D29C3" w:rsidRDefault="002D29C3" w:rsidP="002D29C3">
      <w:pPr>
        <w:jc w:val="center"/>
        <w:rPr>
          <w:rFonts w:ascii="Times New Roman" w:hAnsi="Times New Roman" w:cs="Times New Roman"/>
          <w:b/>
          <w:sz w:val="24"/>
          <w:szCs w:val="24"/>
        </w:rPr>
      </w:pPr>
    </w:p>
    <w:p w:rsidR="002D29C3" w:rsidRDefault="002D29C3" w:rsidP="002D29C3">
      <w:pPr>
        <w:pStyle w:val="Title"/>
      </w:pPr>
    </w:p>
    <w:p w:rsidR="002D29C3" w:rsidRDefault="002D29C3" w:rsidP="002D29C3">
      <w:pPr>
        <w:pStyle w:val="Title"/>
      </w:pPr>
    </w:p>
    <w:p w:rsidR="002D29C3" w:rsidRDefault="002D29C3" w:rsidP="002D29C3">
      <w:pPr>
        <w:pStyle w:val="Title"/>
      </w:pPr>
    </w:p>
    <w:p w:rsidR="000D0F60" w:rsidRDefault="000D0F60">
      <w:pPr>
        <w:rPr>
          <w:rFonts w:asciiTheme="majorHAnsi" w:eastAsiaTheme="majorEastAsia" w:hAnsiTheme="majorHAnsi" w:cstheme="majorBidi"/>
          <w:b/>
          <w:spacing w:val="-10"/>
          <w:kern w:val="28"/>
          <w:sz w:val="56"/>
          <w:szCs w:val="56"/>
        </w:rPr>
      </w:pPr>
    </w:p>
    <w:sdt>
      <w:sdtPr>
        <w:id w:val="-1878539910"/>
        <w:docPartObj>
          <w:docPartGallery w:val="Table of Contents"/>
          <w:docPartUnique/>
        </w:docPartObj>
      </w:sdtPr>
      <w:sdtEndPr>
        <w:rPr>
          <w:rFonts w:asciiTheme="minorHAnsi" w:eastAsiaTheme="minorEastAsia" w:hAnsiTheme="minorHAnsi" w:cstheme="minorBidi"/>
          <w:b/>
          <w:bCs/>
          <w:noProof/>
          <w:color w:val="auto"/>
          <w:kern w:val="2"/>
          <w:sz w:val="22"/>
          <w:szCs w:val="22"/>
          <w:lang w:val=""/>
          <w14:ligatures w14:val="standardContextual"/>
        </w:rPr>
      </w:sdtEndPr>
      <w:sdtContent>
        <w:p w:rsidR="000D0F60" w:rsidRDefault="000D0F60">
          <w:pPr>
            <w:pStyle w:val="TOCHeading"/>
          </w:pPr>
          <w:r>
            <w:t>Contents</w:t>
          </w:r>
        </w:p>
        <w:p w:rsidR="00AF3398" w:rsidRDefault="000D0F60">
          <w:pPr>
            <w:pStyle w:val="TOC1"/>
            <w:tabs>
              <w:tab w:val="right" w:leader="dot" w:pos="9350"/>
            </w:tabs>
            <w:rPr>
              <w:noProof/>
              <w:kern w:val="0"/>
              <w:lang w:val="en-US"/>
              <w14:ligatures w14:val="none"/>
            </w:rPr>
          </w:pPr>
          <w:r>
            <w:fldChar w:fldCharType="begin"/>
          </w:r>
          <w:r>
            <w:instrText xml:space="preserve"> TOC \o "1-3" \h \z \u </w:instrText>
          </w:r>
          <w:r>
            <w:fldChar w:fldCharType="separate"/>
          </w:r>
          <w:hyperlink w:anchor="_Toc140537832" w:history="1">
            <w:r w:rsidR="00AF3398" w:rsidRPr="008950BD">
              <w:rPr>
                <w:rStyle w:val="Hyperlink"/>
                <w:noProof/>
              </w:rPr>
              <w:t>Role of judges</w:t>
            </w:r>
            <w:r w:rsidR="00AF3398">
              <w:rPr>
                <w:noProof/>
                <w:webHidden/>
              </w:rPr>
              <w:tab/>
            </w:r>
            <w:r w:rsidR="00AF3398">
              <w:rPr>
                <w:noProof/>
                <w:webHidden/>
              </w:rPr>
              <w:fldChar w:fldCharType="begin"/>
            </w:r>
            <w:r w:rsidR="00AF3398">
              <w:rPr>
                <w:noProof/>
                <w:webHidden/>
              </w:rPr>
              <w:instrText xml:space="preserve"> PAGEREF _Toc140537832 \h </w:instrText>
            </w:r>
            <w:r w:rsidR="00AF3398">
              <w:rPr>
                <w:noProof/>
                <w:webHidden/>
              </w:rPr>
            </w:r>
            <w:r w:rsidR="00AF3398">
              <w:rPr>
                <w:noProof/>
                <w:webHidden/>
              </w:rPr>
              <w:fldChar w:fldCharType="separate"/>
            </w:r>
            <w:r w:rsidR="00AF3398">
              <w:rPr>
                <w:noProof/>
                <w:webHidden/>
              </w:rPr>
              <w:t>3</w:t>
            </w:r>
            <w:r w:rsidR="00AF3398">
              <w:rPr>
                <w:noProof/>
                <w:webHidden/>
              </w:rPr>
              <w:fldChar w:fldCharType="end"/>
            </w:r>
          </w:hyperlink>
        </w:p>
        <w:p w:rsidR="00AF3398" w:rsidRDefault="00AF3398">
          <w:pPr>
            <w:pStyle w:val="TOC1"/>
            <w:tabs>
              <w:tab w:val="right" w:leader="dot" w:pos="9350"/>
            </w:tabs>
            <w:rPr>
              <w:noProof/>
              <w:kern w:val="0"/>
              <w:lang w:val="en-US"/>
              <w14:ligatures w14:val="none"/>
            </w:rPr>
          </w:pPr>
          <w:hyperlink w:anchor="_Toc140537833" w:history="1">
            <w:r w:rsidRPr="008950BD">
              <w:rPr>
                <w:rStyle w:val="Hyperlink"/>
                <w:noProof/>
              </w:rPr>
              <w:t>The power conferred to judges</w:t>
            </w:r>
            <w:r>
              <w:rPr>
                <w:noProof/>
                <w:webHidden/>
              </w:rPr>
              <w:tab/>
            </w:r>
            <w:r>
              <w:rPr>
                <w:noProof/>
                <w:webHidden/>
              </w:rPr>
              <w:fldChar w:fldCharType="begin"/>
            </w:r>
            <w:r>
              <w:rPr>
                <w:noProof/>
                <w:webHidden/>
              </w:rPr>
              <w:instrText xml:space="preserve"> PAGEREF _Toc140537833 \h </w:instrText>
            </w:r>
            <w:r>
              <w:rPr>
                <w:noProof/>
                <w:webHidden/>
              </w:rPr>
            </w:r>
            <w:r>
              <w:rPr>
                <w:noProof/>
                <w:webHidden/>
              </w:rPr>
              <w:fldChar w:fldCharType="separate"/>
            </w:r>
            <w:r>
              <w:rPr>
                <w:noProof/>
                <w:webHidden/>
              </w:rPr>
              <w:t>3</w:t>
            </w:r>
            <w:r>
              <w:rPr>
                <w:noProof/>
                <w:webHidden/>
              </w:rPr>
              <w:fldChar w:fldCharType="end"/>
            </w:r>
          </w:hyperlink>
        </w:p>
        <w:p w:rsidR="00AF3398" w:rsidRDefault="00AF3398">
          <w:pPr>
            <w:pStyle w:val="TOC1"/>
            <w:tabs>
              <w:tab w:val="right" w:leader="dot" w:pos="9350"/>
            </w:tabs>
            <w:rPr>
              <w:noProof/>
              <w:kern w:val="0"/>
              <w:lang w:val="en-US"/>
              <w14:ligatures w14:val="none"/>
            </w:rPr>
          </w:pPr>
          <w:hyperlink w:anchor="_Toc140537834" w:history="1">
            <w:r w:rsidRPr="008950BD">
              <w:rPr>
                <w:rStyle w:val="Hyperlink"/>
                <w:noProof/>
              </w:rPr>
              <w:t>Intelligible standards and fair judiciary</w:t>
            </w:r>
            <w:r>
              <w:rPr>
                <w:noProof/>
                <w:webHidden/>
              </w:rPr>
              <w:tab/>
            </w:r>
            <w:r>
              <w:rPr>
                <w:noProof/>
                <w:webHidden/>
              </w:rPr>
              <w:fldChar w:fldCharType="begin"/>
            </w:r>
            <w:r>
              <w:rPr>
                <w:noProof/>
                <w:webHidden/>
              </w:rPr>
              <w:instrText xml:space="preserve"> PAGEREF _Toc140537834 \h </w:instrText>
            </w:r>
            <w:r>
              <w:rPr>
                <w:noProof/>
                <w:webHidden/>
              </w:rPr>
            </w:r>
            <w:r>
              <w:rPr>
                <w:noProof/>
                <w:webHidden/>
              </w:rPr>
              <w:fldChar w:fldCharType="separate"/>
            </w:r>
            <w:r>
              <w:rPr>
                <w:noProof/>
                <w:webHidden/>
              </w:rPr>
              <w:t>3</w:t>
            </w:r>
            <w:r>
              <w:rPr>
                <w:noProof/>
                <w:webHidden/>
              </w:rPr>
              <w:fldChar w:fldCharType="end"/>
            </w:r>
          </w:hyperlink>
        </w:p>
        <w:p w:rsidR="00AF3398" w:rsidRDefault="00AF3398">
          <w:pPr>
            <w:pStyle w:val="TOC1"/>
            <w:tabs>
              <w:tab w:val="right" w:leader="dot" w:pos="9350"/>
            </w:tabs>
            <w:rPr>
              <w:noProof/>
              <w:kern w:val="0"/>
              <w:lang w:val="en-US"/>
              <w14:ligatures w14:val="none"/>
            </w:rPr>
          </w:pPr>
          <w:hyperlink w:anchor="_Toc140537835" w:history="1">
            <w:r w:rsidRPr="008950BD">
              <w:rPr>
                <w:rStyle w:val="Hyperlink"/>
                <w:noProof/>
              </w:rPr>
              <w:t>Judge as a public servant</w:t>
            </w:r>
            <w:r>
              <w:rPr>
                <w:noProof/>
                <w:webHidden/>
              </w:rPr>
              <w:tab/>
            </w:r>
            <w:r>
              <w:rPr>
                <w:noProof/>
                <w:webHidden/>
              </w:rPr>
              <w:fldChar w:fldCharType="begin"/>
            </w:r>
            <w:r>
              <w:rPr>
                <w:noProof/>
                <w:webHidden/>
              </w:rPr>
              <w:instrText xml:space="preserve"> PAGEREF _Toc140537835 \h </w:instrText>
            </w:r>
            <w:r>
              <w:rPr>
                <w:noProof/>
                <w:webHidden/>
              </w:rPr>
            </w:r>
            <w:r>
              <w:rPr>
                <w:noProof/>
                <w:webHidden/>
              </w:rPr>
              <w:fldChar w:fldCharType="separate"/>
            </w:r>
            <w:r>
              <w:rPr>
                <w:noProof/>
                <w:webHidden/>
              </w:rPr>
              <w:t>3</w:t>
            </w:r>
            <w:r>
              <w:rPr>
                <w:noProof/>
                <w:webHidden/>
              </w:rPr>
              <w:fldChar w:fldCharType="end"/>
            </w:r>
          </w:hyperlink>
        </w:p>
        <w:p w:rsidR="00AF3398" w:rsidRDefault="00AF3398">
          <w:pPr>
            <w:pStyle w:val="TOC1"/>
            <w:tabs>
              <w:tab w:val="right" w:leader="dot" w:pos="9350"/>
            </w:tabs>
            <w:rPr>
              <w:noProof/>
              <w:kern w:val="0"/>
              <w:lang w:val="en-US"/>
              <w14:ligatures w14:val="none"/>
            </w:rPr>
          </w:pPr>
          <w:hyperlink w:anchor="_Toc140537836" w:history="1">
            <w:r w:rsidRPr="008950BD">
              <w:rPr>
                <w:rStyle w:val="Hyperlink"/>
                <w:noProof/>
              </w:rPr>
              <w:t>References</w:t>
            </w:r>
            <w:r>
              <w:rPr>
                <w:noProof/>
                <w:webHidden/>
              </w:rPr>
              <w:tab/>
            </w:r>
            <w:r>
              <w:rPr>
                <w:noProof/>
                <w:webHidden/>
              </w:rPr>
              <w:fldChar w:fldCharType="begin"/>
            </w:r>
            <w:r>
              <w:rPr>
                <w:noProof/>
                <w:webHidden/>
              </w:rPr>
              <w:instrText xml:space="preserve"> PAGEREF _Toc140537836 \h </w:instrText>
            </w:r>
            <w:r>
              <w:rPr>
                <w:noProof/>
                <w:webHidden/>
              </w:rPr>
            </w:r>
            <w:r>
              <w:rPr>
                <w:noProof/>
                <w:webHidden/>
              </w:rPr>
              <w:fldChar w:fldCharType="separate"/>
            </w:r>
            <w:r>
              <w:rPr>
                <w:noProof/>
                <w:webHidden/>
              </w:rPr>
              <w:t>4</w:t>
            </w:r>
            <w:r>
              <w:rPr>
                <w:noProof/>
                <w:webHidden/>
              </w:rPr>
              <w:fldChar w:fldCharType="end"/>
            </w:r>
          </w:hyperlink>
        </w:p>
        <w:p w:rsidR="000D0F60" w:rsidRDefault="000D0F60">
          <w:r>
            <w:rPr>
              <w:b/>
              <w:bCs/>
              <w:noProof/>
            </w:rPr>
            <w:fldChar w:fldCharType="end"/>
          </w:r>
        </w:p>
      </w:sdtContent>
    </w:sdt>
    <w:p w:rsidR="000D0F60" w:rsidRDefault="000D0F60">
      <w:pPr>
        <w:rPr>
          <w:rFonts w:ascii="Times New Roman" w:eastAsiaTheme="majorEastAsia" w:hAnsi="Times New Roman" w:cstheme="majorBidi"/>
          <w:b/>
          <w:color w:val="2F5496" w:themeColor="accent1" w:themeShade="BF"/>
          <w:sz w:val="28"/>
          <w:szCs w:val="32"/>
        </w:rPr>
      </w:pPr>
      <w:r>
        <w:br w:type="page"/>
      </w:r>
    </w:p>
    <w:p w:rsidR="009A7AAE" w:rsidRDefault="00273C55" w:rsidP="002D29C3">
      <w:pPr>
        <w:pStyle w:val="Heading1"/>
      </w:pPr>
      <w:bookmarkStart w:id="0" w:name="_Toc140537832"/>
      <w:r>
        <w:lastRenderedPageBreak/>
        <w:t>Role of judges</w:t>
      </w:r>
      <w:bookmarkEnd w:id="0"/>
    </w:p>
    <w:p w:rsidR="00623DE4"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Judges are the en</w:t>
      </w:r>
      <w:r w:rsidR="002D29C3">
        <w:rPr>
          <w:rFonts w:ascii="Times New Roman" w:hAnsi="Times New Roman" w:cs="Times New Roman"/>
          <w:sz w:val="24"/>
          <w:szCs w:val="24"/>
        </w:rPr>
        <w:t>tities to provide instructions an</w:t>
      </w:r>
      <w:r w:rsidRPr="009519D5">
        <w:rPr>
          <w:rFonts w:ascii="Times New Roman" w:hAnsi="Times New Roman" w:cs="Times New Roman"/>
          <w:sz w:val="24"/>
          <w:szCs w:val="24"/>
        </w:rPr>
        <w:t xml:space="preserve">d guidance </w:t>
      </w:r>
      <w:r w:rsidR="00CE327B" w:rsidRPr="009519D5">
        <w:rPr>
          <w:rFonts w:ascii="Times New Roman" w:hAnsi="Times New Roman" w:cs="Times New Roman"/>
          <w:sz w:val="24"/>
          <w:szCs w:val="24"/>
        </w:rPr>
        <w:t xml:space="preserve">to the subsequent deliberations as they are responsible for putting their efforts </w:t>
      </w:r>
      <w:r w:rsidR="0079052C" w:rsidRPr="009519D5">
        <w:rPr>
          <w:rFonts w:ascii="Times New Roman" w:hAnsi="Times New Roman" w:cs="Times New Roman"/>
          <w:sz w:val="24"/>
          <w:szCs w:val="24"/>
        </w:rPr>
        <w:t xml:space="preserve">into making a final ruling. </w:t>
      </w:r>
      <w:r w:rsidR="0092500B" w:rsidRPr="009519D5">
        <w:rPr>
          <w:rFonts w:ascii="Times New Roman" w:hAnsi="Times New Roman" w:cs="Times New Roman"/>
          <w:sz w:val="24"/>
          <w:szCs w:val="24"/>
        </w:rPr>
        <w:t>In addition, judges are in a position to sentence convicted criminals. In mo</w:t>
      </w:r>
      <w:r w:rsidR="000D2791" w:rsidRPr="009519D5">
        <w:rPr>
          <w:rFonts w:ascii="Times New Roman" w:hAnsi="Times New Roman" w:cs="Times New Roman"/>
          <w:sz w:val="24"/>
          <w:szCs w:val="24"/>
        </w:rPr>
        <w:t xml:space="preserve">st </w:t>
      </w:r>
      <w:r w:rsidRPr="009519D5">
        <w:rPr>
          <w:rFonts w:ascii="Times New Roman" w:hAnsi="Times New Roman" w:cs="Times New Roman"/>
          <w:sz w:val="24"/>
          <w:szCs w:val="24"/>
        </w:rPr>
        <w:t>of</w:t>
      </w:r>
      <w:r w:rsidR="0092500B" w:rsidRPr="009519D5">
        <w:rPr>
          <w:rFonts w:ascii="Times New Roman" w:hAnsi="Times New Roman" w:cs="Times New Roman"/>
          <w:sz w:val="24"/>
          <w:szCs w:val="24"/>
        </w:rPr>
        <w:t xml:space="preserve"> the cases, </w:t>
      </w:r>
      <w:r w:rsidRPr="009519D5">
        <w:rPr>
          <w:rFonts w:ascii="Times New Roman" w:hAnsi="Times New Roman" w:cs="Times New Roman"/>
          <w:sz w:val="24"/>
          <w:szCs w:val="24"/>
        </w:rPr>
        <w:t xml:space="preserve">Jury heard and settled the cases. </w:t>
      </w:r>
      <w:r w:rsidR="004B1DE4" w:rsidRPr="009519D5">
        <w:rPr>
          <w:rFonts w:ascii="Times New Roman" w:hAnsi="Times New Roman" w:cs="Times New Roman"/>
          <w:sz w:val="24"/>
          <w:szCs w:val="24"/>
        </w:rPr>
        <w:t>President chose almost half of the entire judges of the supreme court</w:t>
      </w:r>
      <w:r w:rsidR="00EF39C9" w:rsidRPr="009519D5">
        <w:rPr>
          <w:rFonts w:ascii="Times New Roman" w:hAnsi="Times New Roman" w:cs="Times New Roman"/>
          <w:sz w:val="24"/>
          <w:szCs w:val="24"/>
        </w:rPr>
        <w:t xml:space="preserve"> and other courts</w:t>
      </w:r>
      <w:r w:rsidR="00677FC8">
        <w:rPr>
          <w:rFonts w:ascii="Times New Roman" w:hAnsi="Times New Roman" w:cs="Times New Roman"/>
          <w:sz w:val="24"/>
          <w:szCs w:val="24"/>
        </w:rPr>
        <w:t xml:space="preserve"> </w:t>
      </w:r>
      <w:sdt>
        <w:sdtPr>
          <w:rPr>
            <w:rFonts w:ascii="Times New Roman" w:hAnsi="Times New Roman" w:cs="Times New Roman"/>
            <w:sz w:val="24"/>
            <w:szCs w:val="24"/>
          </w:rPr>
          <w:id w:val="1002709773"/>
          <w:citation/>
        </w:sdtPr>
        <w:sdtEndPr/>
        <w:sdtContent>
          <w:r w:rsidR="00515D3A">
            <w:rPr>
              <w:rFonts w:ascii="Times New Roman" w:hAnsi="Times New Roman" w:cs="Times New Roman"/>
              <w:sz w:val="24"/>
              <w:szCs w:val="24"/>
            </w:rPr>
            <w:fldChar w:fldCharType="begin"/>
          </w:r>
          <w:r w:rsidR="00515D3A">
            <w:rPr>
              <w:rFonts w:ascii="Times New Roman" w:hAnsi="Times New Roman" w:cs="Times New Roman"/>
              <w:sz w:val="24"/>
              <w:szCs w:val="24"/>
              <w:lang w:val="en-US"/>
            </w:rPr>
            <w:instrText xml:space="preserve"> CITATION Mic22 \l 1033 </w:instrText>
          </w:r>
          <w:r w:rsidR="00515D3A">
            <w:rPr>
              <w:rFonts w:ascii="Times New Roman" w:hAnsi="Times New Roman" w:cs="Times New Roman"/>
              <w:sz w:val="24"/>
              <w:szCs w:val="24"/>
            </w:rPr>
            <w:fldChar w:fldCharType="separate"/>
          </w:r>
          <w:r w:rsidR="00515D3A" w:rsidRPr="00515D3A">
            <w:rPr>
              <w:rFonts w:ascii="Times New Roman" w:hAnsi="Times New Roman" w:cs="Times New Roman"/>
              <w:noProof/>
              <w:sz w:val="24"/>
              <w:szCs w:val="24"/>
              <w:lang w:val="en-US"/>
            </w:rPr>
            <w:t>(Flaherty &amp; Hopkins, 2022)</w:t>
          </w:r>
          <w:r w:rsidR="00515D3A">
            <w:rPr>
              <w:rFonts w:ascii="Times New Roman" w:hAnsi="Times New Roman" w:cs="Times New Roman"/>
              <w:sz w:val="24"/>
              <w:szCs w:val="24"/>
            </w:rPr>
            <w:fldChar w:fldCharType="end"/>
          </w:r>
        </w:sdtContent>
      </w:sdt>
      <w:r w:rsidR="00EF39C9" w:rsidRPr="009519D5">
        <w:rPr>
          <w:rFonts w:ascii="Times New Roman" w:hAnsi="Times New Roman" w:cs="Times New Roman"/>
          <w:sz w:val="24"/>
          <w:szCs w:val="24"/>
        </w:rPr>
        <w:t xml:space="preserve">. This is to ensure a fair justice implementation system in all courts. </w:t>
      </w:r>
      <w:r w:rsidR="00203E25" w:rsidRPr="009519D5">
        <w:rPr>
          <w:rFonts w:ascii="Times New Roman" w:hAnsi="Times New Roman" w:cs="Times New Roman"/>
          <w:sz w:val="24"/>
          <w:szCs w:val="24"/>
        </w:rPr>
        <w:t>The judges</w:t>
      </w:r>
      <w:r w:rsidR="007A60F7">
        <w:rPr>
          <w:rFonts w:ascii="Times New Roman" w:hAnsi="Times New Roman" w:cs="Times New Roman"/>
          <w:sz w:val="24"/>
          <w:szCs w:val="24"/>
        </w:rPr>
        <w:t xml:space="preserve"> are chosen rat</w:t>
      </w:r>
      <w:r w:rsidR="00203E25" w:rsidRPr="009519D5">
        <w:rPr>
          <w:rFonts w:ascii="Times New Roman" w:hAnsi="Times New Roman" w:cs="Times New Roman"/>
          <w:sz w:val="24"/>
          <w:szCs w:val="24"/>
        </w:rPr>
        <w:t xml:space="preserve">ionally regardless of their skin color, cultural values, family background, </w:t>
      </w:r>
      <w:r w:rsidR="009F5FF7" w:rsidRPr="009519D5">
        <w:rPr>
          <w:rFonts w:ascii="Times New Roman" w:hAnsi="Times New Roman" w:cs="Times New Roman"/>
          <w:sz w:val="24"/>
          <w:szCs w:val="24"/>
        </w:rPr>
        <w:t>and wealth status</w:t>
      </w:r>
      <w:r w:rsidR="00677FC8">
        <w:rPr>
          <w:rFonts w:ascii="Times New Roman" w:hAnsi="Times New Roman" w:cs="Times New Roman"/>
          <w:sz w:val="24"/>
          <w:szCs w:val="24"/>
        </w:rPr>
        <w:t xml:space="preserve"> </w:t>
      </w:r>
      <w:sdt>
        <w:sdtPr>
          <w:rPr>
            <w:rFonts w:ascii="Times New Roman" w:hAnsi="Times New Roman" w:cs="Times New Roman"/>
            <w:sz w:val="24"/>
            <w:szCs w:val="24"/>
          </w:rPr>
          <w:id w:val="1456761118"/>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Der20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(McCarthy, 2020)</w:t>
          </w:r>
          <w:r w:rsidR="00E65969">
            <w:rPr>
              <w:rFonts w:ascii="Times New Roman" w:hAnsi="Times New Roman" w:cs="Times New Roman"/>
              <w:sz w:val="24"/>
              <w:szCs w:val="24"/>
            </w:rPr>
            <w:fldChar w:fldCharType="end"/>
          </w:r>
        </w:sdtContent>
      </w:sdt>
    </w:p>
    <w:p w:rsidR="00BC3198" w:rsidRPr="009519D5" w:rsidRDefault="00273C55" w:rsidP="002D29C3">
      <w:pPr>
        <w:pStyle w:val="Heading1"/>
      </w:pPr>
      <w:bookmarkStart w:id="1" w:name="_Toc140537833"/>
      <w:r w:rsidRPr="009519D5">
        <w:t>The power conferred to judges</w:t>
      </w:r>
      <w:bookmarkEnd w:id="1"/>
    </w:p>
    <w:p w:rsidR="009D1088"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The power conferred to judges initially or</w:t>
      </w:r>
      <w:r w:rsidR="00157204" w:rsidRPr="009519D5">
        <w:rPr>
          <w:rFonts w:ascii="Times New Roman" w:hAnsi="Times New Roman" w:cs="Times New Roman"/>
          <w:sz w:val="24"/>
          <w:szCs w:val="24"/>
        </w:rPr>
        <w:t xml:space="preserve">iginated in the Act of 1701, named </w:t>
      </w:r>
      <w:r w:rsidR="00226340" w:rsidRPr="009519D5">
        <w:rPr>
          <w:rFonts w:ascii="Times New Roman" w:hAnsi="Times New Roman" w:cs="Times New Roman"/>
          <w:sz w:val="24"/>
          <w:szCs w:val="24"/>
        </w:rPr>
        <w:t>the Act of Settlement</w:t>
      </w:r>
      <w:r w:rsidR="00BC68CE" w:rsidRPr="009519D5">
        <w:rPr>
          <w:rFonts w:ascii="Times New Roman" w:hAnsi="Times New Roman" w:cs="Times New Roman"/>
          <w:sz w:val="24"/>
          <w:szCs w:val="24"/>
        </w:rPr>
        <w:t xml:space="preserve">. </w:t>
      </w:r>
      <w:r w:rsidR="00CC56E8" w:rsidRPr="009519D5">
        <w:rPr>
          <w:rFonts w:ascii="Times New Roman" w:hAnsi="Times New Roman" w:cs="Times New Roman"/>
          <w:sz w:val="24"/>
          <w:szCs w:val="24"/>
        </w:rPr>
        <w:t>This Act is now considered in section 11 under the 1981 Act of the supreme court</w:t>
      </w:r>
      <w:r w:rsidR="00447A9E">
        <w:rPr>
          <w:rFonts w:ascii="Times New Roman" w:hAnsi="Times New Roman" w:cs="Times New Roman"/>
          <w:sz w:val="24"/>
          <w:szCs w:val="24"/>
        </w:rPr>
        <w:t xml:space="preserve"> </w:t>
      </w:r>
      <w:sdt>
        <w:sdtPr>
          <w:rPr>
            <w:rFonts w:ascii="Times New Roman" w:hAnsi="Times New Roman" w:cs="Times New Roman"/>
            <w:sz w:val="24"/>
            <w:szCs w:val="24"/>
          </w:rPr>
          <w:id w:val="814991168"/>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San22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(Pereira et al., 2022)</w:t>
          </w:r>
          <w:r w:rsidR="00E65969">
            <w:rPr>
              <w:rFonts w:ascii="Times New Roman" w:hAnsi="Times New Roman" w:cs="Times New Roman"/>
              <w:sz w:val="24"/>
              <w:szCs w:val="24"/>
            </w:rPr>
            <w:fldChar w:fldCharType="end"/>
          </w:r>
        </w:sdtContent>
      </w:sdt>
      <w:r w:rsidR="00C8681A" w:rsidRPr="009519D5">
        <w:rPr>
          <w:rFonts w:ascii="Times New Roman" w:hAnsi="Times New Roman" w:cs="Times New Roman"/>
          <w:sz w:val="24"/>
          <w:szCs w:val="24"/>
        </w:rPr>
        <w:t xml:space="preserve">. Judges have the right to rule for unlawful acts driven by public bodies </w:t>
      </w:r>
      <w:r w:rsidR="000D73C2" w:rsidRPr="009519D5">
        <w:rPr>
          <w:rFonts w:ascii="Times New Roman" w:hAnsi="Times New Roman" w:cs="Times New Roman"/>
          <w:sz w:val="24"/>
          <w:szCs w:val="24"/>
        </w:rPr>
        <w:t xml:space="preserve">and have the power to declare a ruling against the government in the case of certain unlawful activities. </w:t>
      </w:r>
      <w:r w:rsidR="00043EF7" w:rsidRPr="009519D5">
        <w:rPr>
          <w:rFonts w:ascii="Times New Roman" w:hAnsi="Times New Roman" w:cs="Times New Roman"/>
          <w:sz w:val="24"/>
          <w:szCs w:val="24"/>
        </w:rPr>
        <w:t xml:space="preserve">There are many examples shown by public commedia, all certain commenting owned by different political bodies </w:t>
      </w:r>
      <w:r w:rsidR="003B0E29" w:rsidRPr="009519D5">
        <w:rPr>
          <w:rFonts w:ascii="Times New Roman" w:hAnsi="Times New Roman" w:cs="Times New Roman"/>
          <w:sz w:val="24"/>
          <w:szCs w:val="24"/>
        </w:rPr>
        <w:t>that tend</w:t>
      </w:r>
      <w:r w:rsidR="00043EF7" w:rsidRPr="009519D5">
        <w:rPr>
          <w:rFonts w:ascii="Times New Roman" w:hAnsi="Times New Roman" w:cs="Times New Roman"/>
          <w:sz w:val="24"/>
          <w:szCs w:val="24"/>
        </w:rPr>
        <w:t xml:space="preserve"> to highlight the criminal affairs or human rights</w:t>
      </w:r>
      <w:r w:rsidR="003B0E29" w:rsidRPr="009519D5">
        <w:rPr>
          <w:rFonts w:ascii="Times New Roman" w:hAnsi="Times New Roman" w:cs="Times New Roman"/>
          <w:sz w:val="24"/>
          <w:szCs w:val="24"/>
        </w:rPr>
        <w:t>, but there are also certain situations in which</w:t>
      </w:r>
      <w:r w:rsidR="00BB0D1C" w:rsidRPr="009519D5">
        <w:rPr>
          <w:rFonts w:ascii="Times New Roman" w:hAnsi="Times New Roman" w:cs="Times New Roman"/>
          <w:sz w:val="24"/>
          <w:szCs w:val="24"/>
        </w:rPr>
        <w:t xml:space="preserve"> states redress the unpredictable or unforeseen results or outcomes of their own </w:t>
      </w:r>
      <w:r w:rsidR="00B54C1D" w:rsidRPr="009519D5">
        <w:rPr>
          <w:rFonts w:ascii="Times New Roman" w:hAnsi="Times New Roman" w:cs="Times New Roman"/>
          <w:sz w:val="24"/>
          <w:szCs w:val="24"/>
        </w:rPr>
        <w:t>legislation</w:t>
      </w:r>
      <w:r w:rsidR="00BB0D1C" w:rsidRPr="009519D5">
        <w:rPr>
          <w:rFonts w:ascii="Times New Roman" w:hAnsi="Times New Roman" w:cs="Times New Roman"/>
          <w:sz w:val="24"/>
          <w:szCs w:val="24"/>
        </w:rPr>
        <w:t>. Therefore, it is incorrect to say that the judiciary</w:t>
      </w:r>
      <w:r w:rsidR="00D10F1E" w:rsidRPr="009519D5">
        <w:rPr>
          <w:rFonts w:ascii="Times New Roman" w:hAnsi="Times New Roman" w:cs="Times New Roman"/>
          <w:sz w:val="24"/>
          <w:szCs w:val="24"/>
        </w:rPr>
        <w:t xml:space="preserve"> can use the Act of human rights 1998.</w:t>
      </w:r>
      <w:r w:rsidR="00580959" w:rsidRPr="009519D5">
        <w:rPr>
          <w:rFonts w:ascii="Times New Roman" w:hAnsi="Times New Roman" w:cs="Times New Roman"/>
          <w:sz w:val="24"/>
          <w:szCs w:val="24"/>
        </w:rPr>
        <w:t xml:space="preserve"> </w:t>
      </w:r>
      <w:r w:rsidR="00FE1440" w:rsidRPr="009519D5">
        <w:rPr>
          <w:rFonts w:ascii="Times New Roman" w:hAnsi="Times New Roman" w:cs="Times New Roman"/>
          <w:sz w:val="24"/>
          <w:szCs w:val="24"/>
        </w:rPr>
        <w:t>This Act is only permissible to the authorities of the High Court</w:t>
      </w:r>
      <w:r w:rsidR="001F503A" w:rsidRPr="009519D5">
        <w:rPr>
          <w:rFonts w:ascii="Times New Roman" w:hAnsi="Times New Roman" w:cs="Times New Roman"/>
          <w:sz w:val="24"/>
          <w:szCs w:val="24"/>
        </w:rPr>
        <w:t>,</w:t>
      </w:r>
      <w:r w:rsidR="00FE1440" w:rsidRPr="009519D5">
        <w:rPr>
          <w:rFonts w:ascii="Times New Roman" w:hAnsi="Times New Roman" w:cs="Times New Roman"/>
          <w:sz w:val="24"/>
          <w:szCs w:val="24"/>
        </w:rPr>
        <w:t xml:space="preserve"> Supreme Court</w:t>
      </w:r>
      <w:r w:rsidR="00A55B7A" w:rsidRPr="009519D5">
        <w:rPr>
          <w:rFonts w:ascii="Times New Roman" w:hAnsi="Times New Roman" w:cs="Times New Roman"/>
          <w:sz w:val="24"/>
          <w:szCs w:val="24"/>
        </w:rPr>
        <w:t>,</w:t>
      </w:r>
      <w:r w:rsidR="00FE1440" w:rsidRPr="009519D5">
        <w:rPr>
          <w:rFonts w:ascii="Times New Roman" w:hAnsi="Times New Roman" w:cs="Times New Roman"/>
          <w:sz w:val="24"/>
          <w:szCs w:val="24"/>
        </w:rPr>
        <w:t xml:space="preserve"> and House of Lords</w:t>
      </w:r>
      <w:r w:rsidR="00A55B7A" w:rsidRPr="009519D5">
        <w:rPr>
          <w:rFonts w:ascii="Times New Roman" w:hAnsi="Times New Roman" w:cs="Times New Roman"/>
          <w:sz w:val="24"/>
          <w:szCs w:val="24"/>
        </w:rPr>
        <w:t xml:space="preserve"> to declare specific legislation to be applicable to the convention rights.</w:t>
      </w:r>
      <w:r w:rsidR="001F503A" w:rsidRPr="009519D5">
        <w:rPr>
          <w:rFonts w:ascii="Times New Roman" w:hAnsi="Times New Roman" w:cs="Times New Roman"/>
          <w:sz w:val="24"/>
          <w:szCs w:val="24"/>
        </w:rPr>
        <w:t xml:space="preserve"> The declaration of legislation regarding incompatibility does not remove</w:t>
      </w:r>
      <w:r w:rsidR="00C62FC8" w:rsidRPr="009519D5">
        <w:rPr>
          <w:rFonts w:ascii="Times New Roman" w:hAnsi="Times New Roman" w:cs="Times New Roman"/>
          <w:sz w:val="24"/>
          <w:szCs w:val="24"/>
        </w:rPr>
        <w:t xml:space="preserve"> laws and rolling from the statute book</w:t>
      </w:r>
      <w:r>
        <w:rPr>
          <w:rFonts w:ascii="Times New Roman" w:hAnsi="Times New Roman" w:cs="Times New Roman"/>
          <w:sz w:val="24"/>
          <w:szCs w:val="24"/>
        </w:rPr>
        <w:t xml:space="preserve"> </w:t>
      </w:r>
      <w:sdt>
        <w:sdtPr>
          <w:rPr>
            <w:rFonts w:ascii="Times New Roman" w:hAnsi="Times New Roman" w:cs="Times New Roman"/>
            <w:sz w:val="24"/>
            <w:szCs w:val="24"/>
          </w:rPr>
          <w:id w:val="-1690521404"/>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Seb20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(Rothmann &amp; Rossouw, 2020)</w:t>
          </w:r>
          <w:r w:rsidR="00E65969">
            <w:rPr>
              <w:rFonts w:ascii="Times New Roman" w:hAnsi="Times New Roman" w:cs="Times New Roman"/>
              <w:sz w:val="24"/>
              <w:szCs w:val="24"/>
            </w:rPr>
            <w:fldChar w:fldCharType="end"/>
          </w:r>
        </w:sdtContent>
      </w:sdt>
      <w:r w:rsidR="00E65969">
        <w:rPr>
          <w:rFonts w:ascii="Times New Roman" w:hAnsi="Times New Roman" w:cs="Times New Roman"/>
          <w:sz w:val="24"/>
          <w:szCs w:val="24"/>
        </w:rPr>
        <w:t>.</w:t>
      </w:r>
    </w:p>
    <w:p w:rsidR="00C138AD"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It is the power conferred to the individual judges to suggest</w:t>
      </w:r>
      <w:r w:rsidR="00581BA4" w:rsidRPr="009519D5">
        <w:rPr>
          <w:rFonts w:ascii="Times New Roman" w:hAnsi="Times New Roman" w:cs="Times New Roman"/>
          <w:sz w:val="24"/>
          <w:szCs w:val="24"/>
        </w:rPr>
        <w:t xml:space="preserve"> parliamentary committees by giving them evidence in certain cases. Judges, in this case, voluntarily take part in providing evidence to the parliamentary committees</w:t>
      </w:r>
      <w:r w:rsidR="00626F17" w:rsidRPr="009519D5">
        <w:rPr>
          <w:rFonts w:ascii="Times New Roman" w:hAnsi="Times New Roman" w:cs="Times New Roman"/>
          <w:sz w:val="24"/>
          <w:szCs w:val="24"/>
        </w:rPr>
        <w:t xml:space="preserve"> in certain law cases To make well-established and long-lasting legislation and rules and other conventions that prevent judges from commenting on certain matters</w:t>
      </w:r>
      <w:r w:rsidR="009D1088">
        <w:rPr>
          <w:rFonts w:ascii="Times New Roman" w:hAnsi="Times New Roman" w:cs="Times New Roman"/>
          <w:sz w:val="24"/>
          <w:szCs w:val="24"/>
        </w:rPr>
        <w:t xml:space="preserve"> </w:t>
      </w:r>
      <w:sdt>
        <w:sdtPr>
          <w:rPr>
            <w:rFonts w:ascii="Times New Roman" w:hAnsi="Times New Roman" w:cs="Times New Roman"/>
            <w:sz w:val="24"/>
            <w:szCs w:val="24"/>
          </w:rPr>
          <w:id w:val="1743443857"/>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Rod20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(Smith, 2020)</w:t>
          </w:r>
          <w:r w:rsidR="00E65969">
            <w:rPr>
              <w:rFonts w:ascii="Times New Roman" w:hAnsi="Times New Roman" w:cs="Times New Roman"/>
              <w:sz w:val="24"/>
              <w:szCs w:val="24"/>
            </w:rPr>
            <w:fldChar w:fldCharType="end"/>
          </w:r>
        </w:sdtContent>
      </w:sdt>
    </w:p>
    <w:p w:rsidR="00160D09"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Other parliamentary committees follow and respect these legislations and conventions' advice and are evidence by the individual judges volunt</w:t>
      </w:r>
      <w:r w:rsidRPr="009519D5">
        <w:rPr>
          <w:rFonts w:ascii="Times New Roman" w:hAnsi="Times New Roman" w:cs="Times New Roman"/>
          <w:sz w:val="24"/>
          <w:szCs w:val="24"/>
        </w:rPr>
        <w:t>arily. Certain legislation, such as merits of government</w:t>
      </w:r>
      <w:r w:rsidR="00F81A38" w:rsidRPr="009519D5">
        <w:rPr>
          <w:rFonts w:ascii="Times New Roman" w:hAnsi="Times New Roman" w:cs="Times New Roman"/>
          <w:sz w:val="24"/>
          <w:szCs w:val="24"/>
        </w:rPr>
        <w:t xml:space="preserve"> po</w:t>
      </w:r>
      <w:r w:rsidRPr="009519D5">
        <w:rPr>
          <w:rFonts w:ascii="Times New Roman" w:hAnsi="Times New Roman" w:cs="Times New Roman"/>
          <w:sz w:val="24"/>
          <w:szCs w:val="24"/>
        </w:rPr>
        <w:t>licy</w:t>
      </w:r>
      <w:r w:rsidR="003E3E3F" w:rsidRPr="009519D5">
        <w:rPr>
          <w:rFonts w:ascii="Times New Roman" w:hAnsi="Times New Roman" w:cs="Times New Roman"/>
          <w:sz w:val="24"/>
          <w:szCs w:val="24"/>
        </w:rPr>
        <w:t xml:space="preserve"> merits and cases of individual judge</w:t>
      </w:r>
      <w:r w:rsidR="00F81A38" w:rsidRPr="009519D5">
        <w:rPr>
          <w:rFonts w:ascii="Times New Roman" w:hAnsi="Times New Roman" w:cs="Times New Roman"/>
          <w:sz w:val="24"/>
          <w:szCs w:val="24"/>
        </w:rPr>
        <w:t>s</w:t>
      </w:r>
      <w:r w:rsidR="00251EF4" w:rsidRPr="009519D5">
        <w:rPr>
          <w:rFonts w:ascii="Times New Roman" w:hAnsi="Times New Roman" w:cs="Times New Roman"/>
          <w:sz w:val="24"/>
          <w:szCs w:val="24"/>
        </w:rPr>
        <w:t>,</w:t>
      </w:r>
      <w:r w:rsidR="003E3E3F" w:rsidRPr="009519D5">
        <w:rPr>
          <w:rFonts w:ascii="Times New Roman" w:hAnsi="Times New Roman" w:cs="Times New Roman"/>
          <w:sz w:val="24"/>
          <w:szCs w:val="24"/>
        </w:rPr>
        <w:t xml:space="preserve"> cases of particular judicial officers, politicians</w:t>
      </w:r>
      <w:r w:rsidR="00423C94" w:rsidRPr="009519D5">
        <w:rPr>
          <w:rFonts w:ascii="Times New Roman" w:hAnsi="Times New Roman" w:cs="Times New Roman"/>
          <w:sz w:val="24"/>
          <w:szCs w:val="24"/>
        </w:rPr>
        <w:t>,</w:t>
      </w:r>
      <w:r w:rsidR="003E3E3F" w:rsidRPr="009519D5">
        <w:rPr>
          <w:rFonts w:ascii="Times New Roman" w:hAnsi="Times New Roman" w:cs="Times New Roman"/>
          <w:sz w:val="24"/>
          <w:szCs w:val="24"/>
        </w:rPr>
        <w:t xml:space="preserve"> and other public bodies</w:t>
      </w:r>
      <w:r>
        <w:rPr>
          <w:rFonts w:ascii="Times New Roman" w:hAnsi="Times New Roman" w:cs="Times New Roman"/>
          <w:sz w:val="24"/>
          <w:szCs w:val="24"/>
        </w:rPr>
        <w:t xml:space="preserve"> </w:t>
      </w:r>
      <w:sdt>
        <w:sdtPr>
          <w:rPr>
            <w:rFonts w:ascii="Times New Roman" w:hAnsi="Times New Roman" w:cs="Times New Roman"/>
            <w:sz w:val="24"/>
            <w:szCs w:val="24"/>
          </w:rPr>
          <w:id w:val="629216811"/>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Igo19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(Vukonjanski, 2019)</w:t>
          </w:r>
          <w:r w:rsidR="00E65969">
            <w:rPr>
              <w:rFonts w:ascii="Times New Roman" w:hAnsi="Times New Roman" w:cs="Times New Roman"/>
              <w:sz w:val="24"/>
              <w:szCs w:val="24"/>
            </w:rPr>
            <w:fldChar w:fldCharType="end"/>
          </w:r>
        </w:sdtContent>
      </w:sdt>
    </w:p>
    <w:p w:rsidR="00AE4616"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lastRenderedPageBreak/>
        <w:t xml:space="preserve">Another level of power </w:t>
      </w:r>
      <w:r w:rsidRPr="009519D5">
        <w:rPr>
          <w:rFonts w:ascii="Times New Roman" w:hAnsi="Times New Roman" w:cs="Times New Roman"/>
          <w:sz w:val="24"/>
          <w:szCs w:val="24"/>
        </w:rPr>
        <w:t>conferred to judges is based on personal expertise and experiences, in certain situations, judges appear before the committee to make conventions as an individual because of their particular experience or expertise</w:t>
      </w:r>
      <w:r w:rsidR="008A2CFA" w:rsidRPr="009519D5">
        <w:rPr>
          <w:rFonts w:ascii="Times New Roman" w:hAnsi="Times New Roman" w:cs="Times New Roman"/>
          <w:sz w:val="24"/>
          <w:szCs w:val="24"/>
        </w:rPr>
        <w:t xml:space="preserve"> or represent the judiciary as a whole to make distinctions.</w:t>
      </w:r>
      <w:r w:rsidR="006F1FBF" w:rsidRPr="009519D5">
        <w:rPr>
          <w:rFonts w:ascii="Times New Roman" w:hAnsi="Times New Roman" w:cs="Times New Roman"/>
          <w:sz w:val="24"/>
          <w:szCs w:val="24"/>
        </w:rPr>
        <w:t xml:space="preserve"> </w:t>
      </w:r>
      <w:r w:rsidR="00C256C6" w:rsidRPr="009519D5">
        <w:rPr>
          <w:rFonts w:ascii="Times New Roman" w:hAnsi="Times New Roman" w:cs="Times New Roman"/>
          <w:sz w:val="24"/>
          <w:szCs w:val="24"/>
        </w:rPr>
        <w:t>After certain situations, the Constitutional Reform Act of 2005 was made in which committees required individual experts or experienced judges to appear before them to make effective ruling</w:t>
      </w:r>
      <w:r w:rsidR="00160D09">
        <w:rPr>
          <w:rFonts w:ascii="Times New Roman" w:hAnsi="Times New Roman" w:cs="Times New Roman"/>
          <w:sz w:val="24"/>
          <w:szCs w:val="24"/>
        </w:rPr>
        <w:t xml:space="preserve">s </w:t>
      </w:r>
      <w:sdt>
        <w:sdtPr>
          <w:rPr>
            <w:rFonts w:ascii="Times New Roman" w:hAnsi="Times New Roman" w:cs="Times New Roman"/>
            <w:sz w:val="24"/>
            <w:szCs w:val="24"/>
          </w:rPr>
          <w:id w:val="-2068485859"/>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Gha20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(Ghani, 2020)</w:t>
          </w:r>
          <w:r w:rsidR="00E65969">
            <w:rPr>
              <w:rFonts w:ascii="Times New Roman" w:hAnsi="Times New Roman" w:cs="Times New Roman"/>
              <w:sz w:val="24"/>
              <w:szCs w:val="24"/>
            </w:rPr>
            <w:fldChar w:fldCharType="end"/>
          </w:r>
        </w:sdtContent>
      </w:sdt>
    </w:p>
    <w:p w:rsidR="00E9478A"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 xml:space="preserve">In some situations, a parliamentary committee </w:t>
      </w:r>
      <w:r w:rsidR="00E46159" w:rsidRPr="009519D5">
        <w:rPr>
          <w:rFonts w:ascii="Times New Roman" w:hAnsi="Times New Roman" w:cs="Times New Roman"/>
          <w:sz w:val="24"/>
          <w:szCs w:val="24"/>
        </w:rPr>
        <w:t>can act as an appropriate forum for individual judges to give their</w:t>
      </w:r>
      <w:r w:rsidR="008B04D1" w:rsidRPr="009519D5">
        <w:rPr>
          <w:rFonts w:ascii="Times New Roman" w:hAnsi="Times New Roman" w:cs="Times New Roman"/>
          <w:sz w:val="24"/>
          <w:szCs w:val="24"/>
        </w:rPr>
        <w:t xml:space="preserve"> </w:t>
      </w:r>
      <w:r w:rsidR="00A73593" w:rsidRPr="009519D5">
        <w:rPr>
          <w:rFonts w:ascii="Times New Roman" w:hAnsi="Times New Roman" w:cs="Times New Roman"/>
          <w:sz w:val="24"/>
          <w:szCs w:val="24"/>
        </w:rPr>
        <w:t>Effective ruling on certain issues which affect the administration of judges</w:t>
      </w:r>
      <w:r w:rsidR="002A33D1" w:rsidRPr="009519D5">
        <w:rPr>
          <w:rFonts w:ascii="Times New Roman" w:hAnsi="Times New Roman" w:cs="Times New Roman"/>
          <w:sz w:val="24"/>
          <w:szCs w:val="24"/>
        </w:rPr>
        <w:t xml:space="preserve"> and allow these judges to comment on relevant topics to make effective legislation. In current situations, the senior judiciary has the power conferred to them to respond to certain conditions and invitations to comment on the creation of a justice ministry</w:t>
      </w:r>
      <w:r w:rsidR="00E71049">
        <w:rPr>
          <w:rFonts w:ascii="Times New Roman" w:hAnsi="Times New Roman" w:cs="Times New Roman"/>
          <w:sz w:val="24"/>
          <w:szCs w:val="24"/>
        </w:rPr>
        <w:t xml:space="preserve"> </w:t>
      </w:r>
      <w:sdt>
        <w:sdtPr>
          <w:rPr>
            <w:rFonts w:ascii="Times New Roman" w:hAnsi="Times New Roman" w:cs="Times New Roman"/>
            <w:sz w:val="24"/>
            <w:szCs w:val="24"/>
          </w:rPr>
          <w:id w:val="1634518581"/>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Neu19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(Neudorf, 2019)</w:t>
          </w:r>
          <w:r w:rsidR="00E65969">
            <w:rPr>
              <w:rFonts w:ascii="Times New Roman" w:hAnsi="Times New Roman" w:cs="Times New Roman"/>
              <w:sz w:val="24"/>
              <w:szCs w:val="24"/>
            </w:rPr>
            <w:fldChar w:fldCharType="end"/>
          </w:r>
        </w:sdtContent>
      </w:sdt>
    </w:p>
    <w:p w:rsidR="00E9478A" w:rsidRDefault="00273C55" w:rsidP="002D29C3">
      <w:pPr>
        <w:pStyle w:val="Heading1"/>
      </w:pPr>
      <w:bookmarkStart w:id="2" w:name="_Toc140537834"/>
      <w:r>
        <w:t xml:space="preserve">Intelligible </w:t>
      </w:r>
      <w:r w:rsidR="005C6FF3">
        <w:t>standards and fair judiciary</w:t>
      </w:r>
      <w:bookmarkEnd w:id="2"/>
    </w:p>
    <w:p w:rsidR="008301A5"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The standard of intelligible principle</w:t>
      </w:r>
      <w:r w:rsidR="00564135" w:rsidRPr="009519D5">
        <w:rPr>
          <w:rFonts w:ascii="Times New Roman" w:hAnsi="Times New Roman" w:cs="Times New Roman"/>
          <w:sz w:val="24"/>
          <w:szCs w:val="24"/>
        </w:rPr>
        <w:t xml:space="preserve"> considers the primary test of the Supreme Court to assess the functionality of Congress to delegate its legislative power conferred to it to the other branches of the state or government. </w:t>
      </w:r>
      <w:r w:rsidR="00CC0AF9" w:rsidRPr="009519D5">
        <w:rPr>
          <w:rFonts w:ascii="Times New Roman" w:hAnsi="Times New Roman" w:cs="Times New Roman"/>
          <w:sz w:val="24"/>
          <w:szCs w:val="24"/>
        </w:rPr>
        <w:t>In the broad spectrum, in lenient standard, the Supreme Court has insertion times confirmed the authority of Congress to delegate its power conferred to the judiciary</w:t>
      </w:r>
      <w:r w:rsidR="002005F7" w:rsidRPr="009519D5">
        <w:rPr>
          <w:rFonts w:ascii="Times New Roman" w:hAnsi="Times New Roman" w:cs="Times New Roman"/>
          <w:sz w:val="24"/>
          <w:szCs w:val="24"/>
        </w:rPr>
        <w:t xml:space="preserve"> implemented on the governmental bodies or public authorities. As the Supreme Court has affirmed that Congress always abides by the rules and does not violate the Constitution</w:t>
      </w:r>
      <w:r w:rsidR="0092786E" w:rsidRPr="009519D5">
        <w:rPr>
          <w:rFonts w:ascii="Times New Roman" w:hAnsi="Times New Roman" w:cs="Times New Roman"/>
          <w:sz w:val="24"/>
          <w:szCs w:val="24"/>
        </w:rPr>
        <w:t xml:space="preserve"> because of the board terms legislation leaving a degree of certain discretion to the judicial bodies or ministry of the judiciary</w:t>
      </w:r>
      <w:r w:rsidR="005C6FF3">
        <w:rPr>
          <w:rFonts w:ascii="Times New Roman" w:hAnsi="Times New Roman" w:cs="Times New Roman"/>
          <w:sz w:val="24"/>
          <w:szCs w:val="24"/>
        </w:rPr>
        <w:t xml:space="preserve"> </w:t>
      </w:r>
      <w:sdt>
        <w:sdtPr>
          <w:rPr>
            <w:rFonts w:ascii="Times New Roman" w:hAnsi="Times New Roman" w:cs="Times New Roman"/>
            <w:sz w:val="24"/>
            <w:szCs w:val="24"/>
          </w:rPr>
          <w:id w:val="-1677646145"/>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San22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(Pereira et al., 2022)</w:t>
          </w:r>
          <w:r w:rsidR="00E65969">
            <w:rPr>
              <w:rFonts w:ascii="Times New Roman" w:hAnsi="Times New Roman" w:cs="Times New Roman"/>
              <w:sz w:val="24"/>
              <w:szCs w:val="24"/>
            </w:rPr>
            <w:fldChar w:fldCharType="end"/>
          </w:r>
        </w:sdtContent>
      </w:sdt>
      <w:r w:rsidR="00B245DB">
        <w:rPr>
          <w:rFonts w:ascii="Times New Roman" w:hAnsi="Times New Roman" w:cs="Times New Roman"/>
          <w:sz w:val="24"/>
          <w:szCs w:val="24"/>
        </w:rPr>
        <w:t>.</w:t>
      </w:r>
    </w:p>
    <w:p w:rsidR="005D05C6"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 xml:space="preserve">Under the principle of intelligible judiciary standard, the Supreme Court and other courts have upheld specific delegations to the affirmative over administrative agencies to determine certain situations such as excessive profits during a crisis or </w:t>
      </w:r>
      <w:r w:rsidR="009A1276" w:rsidRPr="009519D5">
        <w:rPr>
          <w:rFonts w:ascii="Times New Roman" w:hAnsi="Times New Roman" w:cs="Times New Roman"/>
          <w:sz w:val="24"/>
          <w:szCs w:val="24"/>
        </w:rPr>
        <w:t>war</w:t>
      </w:r>
      <w:r w:rsidRPr="009519D5">
        <w:rPr>
          <w:rFonts w:ascii="Times New Roman" w:hAnsi="Times New Roman" w:cs="Times New Roman"/>
          <w:sz w:val="24"/>
          <w:szCs w:val="24"/>
        </w:rPr>
        <w:t>time</w:t>
      </w:r>
      <w:r w:rsidRPr="009519D5">
        <w:rPr>
          <w:rFonts w:ascii="Times New Roman" w:hAnsi="Times New Roman" w:cs="Times New Roman"/>
          <w:sz w:val="24"/>
          <w:szCs w:val="24"/>
        </w:rPr>
        <w:t xml:space="preserve">, </w:t>
      </w:r>
      <w:r w:rsidR="00362C46" w:rsidRPr="009519D5">
        <w:rPr>
          <w:rFonts w:ascii="Times New Roman" w:hAnsi="Times New Roman" w:cs="Times New Roman"/>
          <w:sz w:val="24"/>
          <w:szCs w:val="24"/>
        </w:rPr>
        <w:t xml:space="preserve">unfair and unlawful activities of voting power, </w:t>
      </w:r>
      <w:r w:rsidR="009A1276" w:rsidRPr="009519D5">
        <w:rPr>
          <w:rFonts w:ascii="Times New Roman" w:hAnsi="Times New Roman" w:cs="Times New Roman"/>
          <w:sz w:val="24"/>
          <w:szCs w:val="24"/>
        </w:rPr>
        <w:t xml:space="preserve">and other questionable situations regarding prices </w:t>
      </w:r>
      <w:r w:rsidR="001A549D" w:rsidRPr="009519D5">
        <w:rPr>
          <w:rFonts w:ascii="Times New Roman" w:hAnsi="Times New Roman" w:cs="Times New Roman"/>
          <w:sz w:val="24"/>
          <w:szCs w:val="24"/>
        </w:rPr>
        <w:t xml:space="preserve">of commodities </w:t>
      </w:r>
      <w:r w:rsidR="00610B8A" w:rsidRPr="009519D5">
        <w:rPr>
          <w:rFonts w:ascii="Times New Roman" w:hAnsi="Times New Roman" w:cs="Times New Roman"/>
          <w:sz w:val="24"/>
          <w:szCs w:val="24"/>
        </w:rPr>
        <w:t>and to address the unnecessary rise in oil prices</w:t>
      </w:r>
      <w:r w:rsidR="00E7083C" w:rsidRPr="009519D5">
        <w:rPr>
          <w:rFonts w:ascii="Times New Roman" w:hAnsi="Times New Roman" w:cs="Times New Roman"/>
          <w:sz w:val="24"/>
          <w:szCs w:val="24"/>
        </w:rPr>
        <w:t xml:space="preserve"> by the natural gas company</w:t>
      </w:r>
      <w:r w:rsidR="00B245DB">
        <w:rPr>
          <w:rFonts w:ascii="Times New Roman" w:hAnsi="Times New Roman" w:cs="Times New Roman"/>
          <w:sz w:val="24"/>
          <w:szCs w:val="24"/>
        </w:rPr>
        <w:t xml:space="preserve"> </w:t>
      </w:r>
      <w:sdt>
        <w:sdtPr>
          <w:rPr>
            <w:rFonts w:ascii="Times New Roman" w:hAnsi="Times New Roman" w:cs="Times New Roman"/>
            <w:sz w:val="24"/>
            <w:szCs w:val="24"/>
          </w:rPr>
          <w:id w:val="-858349311"/>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Seb20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(Rothmann &amp; Rossouw, 2020)</w:t>
          </w:r>
          <w:r w:rsidR="00E65969">
            <w:rPr>
              <w:rFonts w:ascii="Times New Roman" w:hAnsi="Times New Roman" w:cs="Times New Roman"/>
              <w:sz w:val="24"/>
              <w:szCs w:val="24"/>
            </w:rPr>
            <w:fldChar w:fldCharType="end"/>
          </w:r>
        </w:sdtContent>
      </w:sdt>
    </w:p>
    <w:p w:rsidR="008F4DC3"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The bro</w:t>
      </w:r>
      <w:r w:rsidRPr="009519D5">
        <w:rPr>
          <w:rFonts w:ascii="Times New Roman" w:hAnsi="Times New Roman" w:cs="Times New Roman"/>
          <w:sz w:val="24"/>
          <w:szCs w:val="24"/>
        </w:rPr>
        <w:t>adest delegation in the situation is judicially challeng</w:t>
      </w:r>
      <w:r w:rsidR="00514F58" w:rsidRPr="009519D5">
        <w:rPr>
          <w:rFonts w:ascii="Times New Roman" w:hAnsi="Times New Roman" w:cs="Times New Roman"/>
          <w:sz w:val="24"/>
          <w:szCs w:val="24"/>
        </w:rPr>
        <w:t xml:space="preserve">ing the national court in commenting or broadcasting the cases of the United States by upholding the supervision under the Communication Act of 1934 that </w:t>
      </w:r>
      <w:r w:rsidR="005946AA" w:rsidRPr="009519D5">
        <w:rPr>
          <w:rFonts w:ascii="Times New Roman" w:hAnsi="Times New Roman" w:cs="Times New Roman"/>
          <w:sz w:val="24"/>
          <w:szCs w:val="24"/>
        </w:rPr>
        <w:t>affirm</w:t>
      </w:r>
      <w:r w:rsidR="00514F58" w:rsidRPr="009519D5">
        <w:rPr>
          <w:rFonts w:ascii="Times New Roman" w:hAnsi="Times New Roman" w:cs="Times New Roman"/>
          <w:sz w:val="24"/>
          <w:szCs w:val="24"/>
        </w:rPr>
        <w:t xml:space="preserve"> the communications at the federal level and certain commissions to the broadcast licensing as of public interest</w:t>
      </w:r>
      <w:r w:rsidR="005946AA" w:rsidRPr="009519D5">
        <w:rPr>
          <w:rFonts w:ascii="Times New Roman" w:hAnsi="Times New Roman" w:cs="Times New Roman"/>
          <w:sz w:val="24"/>
          <w:szCs w:val="24"/>
        </w:rPr>
        <w:t xml:space="preserve">. </w:t>
      </w:r>
      <w:r w:rsidR="00417FDB" w:rsidRPr="009519D5">
        <w:rPr>
          <w:rFonts w:ascii="Times New Roman" w:hAnsi="Times New Roman" w:cs="Times New Roman"/>
          <w:sz w:val="24"/>
          <w:szCs w:val="24"/>
        </w:rPr>
        <w:t xml:space="preserve">With the increment of the current state </w:t>
      </w:r>
      <w:r w:rsidR="00417FDB" w:rsidRPr="009519D5">
        <w:rPr>
          <w:rFonts w:ascii="Times New Roman" w:hAnsi="Times New Roman" w:cs="Times New Roman"/>
          <w:sz w:val="24"/>
          <w:szCs w:val="24"/>
        </w:rPr>
        <w:lastRenderedPageBreak/>
        <w:t xml:space="preserve">of administration or judiciary system, the Supreme Court did not apply to confer </w:t>
      </w:r>
      <w:r w:rsidR="00C33EB3" w:rsidRPr="009519D5">
        <w:rPr>
          <w:rFonts w:ascii="Times New Roman" w:hAnsi="Times New Roman" w:cs="Times New Roman"/>
          <w:sz w:val="24"/>
          <w:szCs w:val="24"/>
        </w:rPr>
        <w:t>delegate powers to state and government entities</w:t>
      </w:r>
      <w:r w:rsidR="006D1410">
        <w:rPr>
          <w:rFonts w:ascii="Times New Roman" w:hAnsi="Times New Roman" w:cs="Times New Roman"/>
          <w:sz w:val="24"/>
          <w:szCs w:val="24"/>
        </w:rPr>
        <w:t xml:space="preserve"> </w:t>
      </w:r>
      <w:sdt>
        <w:sdtPr>
          <w:rPr>
            <w:rFonts w:ascii="Times New Roman" w:hAnsi="Times New Roman" w:cs="Times New Roman"/>
            <w:sz w:val="24"/>
            <w:szCs w:val="24"/>
          </w:rPr>
          <w:id w:val="-797222468"/>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Ble19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(Sinani &amp; Taleski, 2019)</w:t>
          </w:r>
          <w:r w:rsidR="00E65969">
            <w:rPr>
              <w:rFonts w:ascii="Times New Roman" w:hAnsi="Times New Roman" w:cs="Times New Roman"/>
              <w:sz w:val="24"/>
              <w:szCs w:val="24"/>
            </w:rPr>
            <w:fldChar w:fldCharType="end"/>
          </w:r>
        </w:sdtContent>
      </w:sdt>
      <w:r>
        <w:rPr>
          <w:rFonts w:ascii="Times New Roman" w:hAnsi="Times New Roman" w:cs="Times New Roman"/>
          <w:sz w:val="24"/>
          <w:szCs w:val="24"/>
        </w:rPr>
        <w:t>.</w:t>
      </w:r>
    </w:p>
    <w:p w:rsidR="00666281"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As far as the role of Congress and the ability of the</w:t>
      </w:r>
      <w:r w:rsidR="009E5A4B" w:rsidRPr="009519D5">
        <w:rPr>
          <w:rFonts w:ascii="Times New Roman" w:hAnsi="Times New Roman" w:cs="Times New Roman"/>
          <w:sz w:val="24"/>
          <w:szCs w:val="24"/>
        </w:rPr>
        <w:t xml:space="preserve"> Congress to delegate its power to the government entities is concerned, the court has been sluggish to give comments or interfere with </w:t>
      </w:r>
      <w:r w:rsidR="00E85180" w:rsidRPr="009519D5">
        <w:rPr>
          <w:rFonts w:ascii="Times New Roman" w:hAnsi="Times New Roman" w:cs="Times New Roman"/>
          <w:sz w:val="24"/>
          <w:szCs w:val="24"/>
        </w:rPr>
        <w:t>Congress's</w:t>
      </w:r>
      <w:r w:rsidR="009E5A4B" w:rsidRPr="009519D5">
        <w:rPr>
          <w:rFonts w:ascii="Times New Roman" w:hAnsi="Times New Roman" w:cs="Times New Roman"/>
          <w:sz w:val="24"/>
          <w:szCs w:val="24"/>
        </w:rPr>
        <w:t xml:space="preserve"> practical flexibility and avoid the duties and expertise of other branches of the state regarding set an issue of the judicial affairs.</w:t>
      </w:r>
    </w:p>
    <w:p w:rsidR="00E85180"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The court, under certain circumstances of a complex society, along with the</w:t>
      </w:r>
      <w:r w:rsidR="00994B80" w:rsidRPr="009519D5">
        <w:rPr>
          <w:rFonts w:ascii="Times New Roman" w:hAnsi="Times New Roman" w:cs="Times New Roman"/>
          <w:sz w:val="24"/>
          <w:szCs w:val="24"/>
        </w:rPr>
        <w:t xml:space="preserve"> ever-changing issues and technical problems within the society, noted </w:t>
      </w:r>
      <w:r w:rsidR="00AF6210" w:rsidRPr="009519D5">
        <w:rPr>
          <w:rFonts w:ascii="Times New Roman" w:hAnsi="Times New Roman" w:cs="Times New Roman"/>
          <w:sz w:val="24"/>
          <w:szCs w:val="24"/>
        </w:rPr>
        <w:t>that</w:t>
      </w:r>
      <w:r w:rsidR="00994B80" w:rsidRPr="009519D5">
        <w:rPr>
          <w:rFonts w:ascii="Times New Roman" w:hAnsi="Times New Roman" w:cs="Times New Roman"/>
          <w:sz w:val="24"/>
          <w:szCs w:val="24"/>
        </w:rPr>
        <w:t xml:space="preserve"> the system of jurisprudence is now actively driven by mutual understanding or practical comprehension</w:t>
      </w:r>
      <w:r w:rsidR="00AF6210" w:rsidRPr="009519D5">
        <w:rPr>
          <w:rFonts w:ascii="Times New Roman" w:hAnsi="Times New Roman" w:cs="Times New Roman"/>
          <w:sz w:val="24"/>
          <w:szCs w:val="24"/>
        </w:rPr>
        <w:t>.</w:t>
      </w:r>
      <w:r w:rsidR="00031D15" w:rsidRPr="009519D5">
        <w:rPr>
          <w:rFonts w:ascii="Times New Roman" w:hAnsi="Times New Roman" w:cs="Times New Roman"/>
          <w:sz w:val="24"/>
          <w:szCs w:val="24"/>
        </w:rPr>
        <w:t xml:space="preserve"> Court affirmed the fact that the Constitution</w:t>
      </w:r>
      <w:r w:rsidR="001D5583" w:rsidRPr="009519D5">
        <w:rPr>
          <w:rFonts w:ascii="Times New Roman" w:hAnsi="Times New Roman" w:cs="Times New Roman"/>
          <w:sz w:val="24"/>
          <w:szCs w:val="24"/>
        </w:rPr>
        <w:t xml:space="preserve"> was restricted to following the Congress forestry resources of flexibility in the practical tums Evan holding the constitutions and delegation in Panama and Schechter.</w:t>
      </w:r>
      <w:r w:rsidR="004D0B5D" w:rsidRPr="009519D5">
        <w:rPr>
          <w:rFonts w:ascii="Times New Roman" w:hAnsi="Times New Roman" w:cs="Times New Roman"/>
          <w:sz w:val="24"/>
          <w:szCs w:val="24"/>
        </w:rPr>
        <w:t xml:space="preserve"> Also, the court affirmed that Congress is not able to do its job to delegate or confirm its power under general directives of the broad spectrum.</w:t>
      </w:r>
    </w:p>
    <w:p w:rsidR="00A017F1"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Under the principle of intelligible standards, the Supreme Court</w:t>
      </w:r>
      <w:r w:rsidR="00682CC5" w:rsidRPr="009519D5">
        <w:rPr>
          <w:rFonts w:ascii="Times New Roman" w:hAnsi="Times New Roman" w:cs="Times New Roman"/>
          <w:sz w:val="24"/>
          <w:szCs w:val="24"/>
        </w:rPr>
        <w:t xml:space="preserve"> is now facing challenges in distinguishing between permissible and impermissible delegations driven by Congress</w:t>
      </w:r>
      <w:r w:rsidR="008F4DC3">
        <w:rPr>
          <w:rFonts w:ascii="Times New Roman" w:hAnsi="Times New Roman" w:cs="Times New Roman"/>
          <w:sz w:val="24"/>
          <w:szCs w:val="24"/>
        </w:rPr>
        <w:t xml:space="preserve"> </w:t>
      </w:r>
      <w:sdt>
        <w:sdtPr>
          <w:rPr>
            <w:rFonts w:ascii="Times New Roman" w:hAnsi="Times New Roman" w:cs="Times New Roman"/>
            <w:sz w:val="24"/>
            <w:szCs w:val="24"/>
          </w:rPr>
          <w:id w:val="-1763138966"/>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Ble19 \l 1033 </w:instrText>
          </w:r>
          <w:r w:rsidR="00E65969">
            <w:rPr>
              <w:rFonts w:ascii="Times New Roman" w:hAnsi="Times New Roman" w:cs="Times New Roman"/>
              <w:sz w:val="24"/>
              <w:szCs w:val="24"/>
            </w:rPr>
            <w:fldChar w:fldCharType="separate"/>
          </w:r>
          <w:r w:rsidR="00E65969">
            <w:rPr>
              <w:rFonts w:ascii="Times New Roman" w:hAnsi="Times New Roman" w:cs="Times New Roman"/>
              <w:noProof/>
              <w:sz w:val="24"/>
              <w:szCs w:val="24"/>
              <w:lang w:val="en-US"/>
            </w:rPr>
            <w:t xml:space="preserve"> </w:t>
          </w:r>
          <w:r w:rsidR="00E65969" w:rsidRPr="00E65969">
            <w:rPr>
              <w:rFonts w:ascii="Times New Roman" w:hAnsi="Times New Roman" w:cs="Times New Roman"/>
              <w:noProof/>
              <w:sz w:val="24"/>
              <w:szCs w:val="24"/>
              <w:lang w:val="en-US"/>
            </w:rPr>
            <w:t>(Sinani &amp; Taleski, 2019)</w:t>
          </w:r>
          <w:r w:rsidR="00E65969">
            <w:rPr>
              <w:rFonts w:ascii="Times New Roman" w:hAnsi="Times New Roman" w:cs="Times New Roman"/>
              <w:sz w:val="24"/>
              <w:szCs w:val="24"/>
            </w:rPr>
            <w:fldChar w:fldCharType="end"/>
          </w:r>
        </w:sdtContent>
      </w:sdt>
      <w:r w:rsidR="00F41EB7" w:rsidRPr="009519D5">
        <w:rPr>
          <w:rFonts w:ascii="Times New Roman" w:hAnsi="Times New Roman" w:cs="Times New Roman"/>
          <w:sz w:val="24"/>
          <w:szCs w:val="24"/>
        </w:rPr>
        <w:t xml:space="preserve">. The court has noted under the nondelegation rulings and decisions and also identified the challenges and difficulties in drawing the line which distinguishes or separates the legislative power to make rulings and laws from certain authoritative and administrative bodies to execute and implement these laws enacted by the general system of Congress. </w:t>
      </w:r>
      <w:r w:rsidR="00811A89" w:rsidRPr="009519D5">
        <w:rPr>
          <w:rFonts w:ascii="Times New Roman" w:hAnsi="Times New Roman" w:cs="Times New Roman"/>
          <w:sz w:val="24"/>
          <w:szCs w:val="24"/>
        </w:rPr>
        <w:t>The precise and septal boundary or line or legislative power is a threat or subject of difficult inquiry or delicate situations</w:t>
      </w:r>
      <w:r w:rsidR="00AE7FB9" w:rsidRPr="009519D5">
        <w:rPr>
          <w:rFonts w:ascii="Times New Roman" w:hAnsi="Times New Roman" w:cs="Times New Roman"/>
          <w:sz w:val="24"/>
          <w:szCs w:val="24"/>
        </w:rPr>
        <w:t xml:space="preserve"> into which the court will only interfere with necessary and essential reasons.</w:t>
      </w:r>
      <w:r w:rsidR="000D2791" w:rsidRPr="009519D5">
        <w:rPr>
          <w:rFonts w:ascii="Times New Roman" w:hAnsi="Times New Roman" w:cs="Times New Roman"/>
          <w:sz w:val="24"/>
          <w:szCs w:val="24"/>
        </w:rPr>
        <w:t xml:space="preserve"> In most of the cases, Jury heard and settled the cases. President chose almost half of the entire judges of the supreme court and other courts. This is to ensure a fair justice implementation system in all courts</w:t>
      </w:r>
      <w:r w:rsidR="00D946F2">
        <w:rPr>
          <w:rFonts w:ascii="Times New Roman" w:hAnsi="Times New Roman" w:cs="Times New Roman"/>
          <w:sz w:val="24"/>
          <w:szCs w:val="24"/>
        </w:rPr>
        <w:t xml:space="preserve"> </w:t>
      </w:r>
      <w:sdt>
        <w:sdtPr>
          <w:rPr>
            <w:rFonts w:ascii="Times New Roman" w:hAnsi="Times New Roman" w:cs="Times New Roman"/>
            <w:sz w:val="24"/>
            <w:szCs w:val="24"/>
          </w:rPr>
          <w:id w:val="918684617"/>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Ble19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(Sinani &amp; Taleski, 2019)</w:t>
          </w:r>
          <w:r w:rsidR="00E65969">
            <w:rPr>
              <w:rFonts w:ascii="Times New Roman" w:hAnsi="Times New Roman" w:cs="Times New Roman"/>
              <w:sz w:val="24"/>
              <w:szCs w:val="24"/>
            </w:rPr>
            <w:fldChar w:fldCharType="end"/>
          </w:r>
        </w:sdtContent>
      </w:sdt>
      <w:r w:rsidR="000D2791" w:rsidRPr="009519D5">
        <w:rPr>
          <w:rFonts w:ascii="Times New Roman" w:hAnsi="Times New Roman" w:cs="Times New Roman"/>
          <w:sz w:val="24"/>
          <w:szCs w:val="24"/>
        </w:rPr>
        <w:t xml:space="preserve">. Judges are chosen rationally regardless of their skin color, cultural values, family background, and wealth status. The power conferred to judges initially originated in the Act of 1701, named the Act of Settlement. This Act is now considered in section 11 under the 1981 Act of the supreme court. Judges have the right to rule for unlawful acts driven by public bodies and have the power to declare a ruling against the government in the case of certain illegal activities. There are many examples shown by public commedia, all certain commenting owned by different political bodies that tend to highlight the criminal affairs or human rights, but there </w:t>
      </w:r>
      <w:r w:rsidR="000D2791" w:rsidRPr="009519D5">
        <w:rPr>
          <w:rFonts w:ascii="Times New Roman" w:hAnsi="Times New Roman" w:cs="Times New Roman"/>
          <w:sz w:val="24"/>
          <w:szCs w:val="24"/>
        </w:rPr>
        <w:lastRenderedPageBreak/>
        <w:t>are also certain situations in which states redress the unpredictable or unforeseen results or outcomes of their own legislation.</w:t>
      </w:r>
    </w:p>
    <w:p w:rsidR="000D2791"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Instead of criticizing the delegated power of the court and administrator big and legislative authorities of the court, the court has now looked on the broader spectrum to identi</w:t>
      </w:r>
      <w:r w:rsidRPr="009519D5">
        <w:rPr>
          <w:rFonts w:ascii="Times New Roman" w:hAnsi="Times New Roman" w:cs="Times New Roman"/>
          <w:sz w:val="24"/>
          <w:szCs w:val="24"/>
        </w:rPr>
        <w:t xml:space="preserve">fy the implementation of intelligible principles followed by Congress </w:t>
      </w:r>
      <w:r w:rsidR="005F6517">
        <w:rPr>
          <w:rFonts w:ascii="Times New Roman" w:hAnsi="Times New Roman" w:cs="Times New Roman"/>
          <w:sz w:val="24"/>
          <w:szCs w:val="24"/>
        </w:rPr>
        <w:t>to</w:t>
      </w:r>
      <w:r w:rsidRPr="009519D5">
        <w:rPr>
          <w:rFonts w:ascii="Times New Roman" w:hAnsi="Times New Roman" w:cs="Times New Roman"/>
          <w:sz w:val="24"/>
          <w:szCs w:val="24"/>
        </w:rPr>
        <w:t xml:space="preserve"> constrain certain delegations and </w:t>
      </w:r>
      <w:r w:rsidR="008B074C" w:rsidRPr="009519D5">
        <w:rPr>
          <w:rFonts w:ascii="Times New Roman" w:hAnsi="Times New Roman" w:cs="Times New Roman"/>
          <w:sz w:val="24"/>
          <w:szCs w:val="24"/>
        </w:rPr>
        <w:t>ruling to governmental and public bodies.</w:t>
      </w:r>
    </w:p>
    <w:p w:rsidR="005F6517" w:rsidRPr="009519D5" w:rsidRDefault="00273C55" w:rsidP="002D29C3">
      <w:pPr>
        <w:pStyle w:val="Heading1"/>
      </w:pPr>
      <w:bookmarkStart w:id="3" w:name="_Toc140537835"/>
      <w:r>
        <w:t>Judge as a public servant</w:t>
      </w:r>
      <w:bookmarkEnd w:id="3"/>
    </w:p>
    <w:p w:rsidR="00A017F1" w:rsidRPr="009519D5" w:rsidRDefault="00273C55" w:rsidP="009519D5">
      <w:pPr>
        <w:spacing w:line="360" w:lineRule="auto"/>
        <w:jc w:val="both"/>
        <w:rPr>
          <w:rFonts w:ascii="Times New Roman" w:hAnsi="Times New Roman" w:cs="Times New Roman"/>
          <w:sz w:val="24"/>
          <w:szCs w:val="24"/>
        </w:rPr>
      </w:pPr>
      <w:r w:rsidRPr="009519D5">
        <w:rPr>
          <w:rFonts w:ascii="Times New Roman" w:hAnsi="Times New Roman" w:cs="Times New Roman"/>
          <w:sz w:val="24"/>
          <w:szCs w:val="24"/>
        </w:rPr>
        <w:t>It has been mentioned that the Constitution of Ukraine under the Act of 199</w:t>
      </w:r>
      <w:r w:rsidR="0009389B" w:rsidRPr="009519D5">
        <w:rPr>
          <w:rFonts w:ascii="Times New Roman" w:hAnsi="Times New Roman" w:cs="Times New Roman"/>
          <w:sz w:val="24"/>
          <w:szCs w:val="24"/>
        </w:rPr>
        <w:t>1</w:t>
      </w:r>
      <w:r w:rsidRPr="009519D5">
        <w:rPr>
          <w:rFonts w:ascii="Times New Roman" w:hAnsi="Times New Roman" w:cs="Times New Roman"/>
          <w:sz w:val="24"/>
          <w:szCs w:val="24"/>
        </w:rPr>
        <w:t xml:space="preserve"> confirms that Ukraine is acting as a single state power to implement the rule of law </w:t>
      </w:r>
      <w:r w:rsidR="0009389B" w:rsidRPr="009519D5">
        <w:rPr>
          <w:rFonts w:ascii="Times New Roman" w:hAnsi="Times New Roman" w:cs="Times New Roman"/>
          <w:sz w:val="24"/>
          <w:szCs w:val="24"/>
        </w:rPr>
        <w:t>and</w:t>
      </w:r>
      <w:r w:rsidRPr="009519D5">
        <w:rPr>
          <w:rFonts w:ascii="Times New Roman" w:hAnsi="Times New Roman" w:cs="Times New Roman"/>
          <w:sz w:val="24"/>
          <w:szCs w:val="24"/>
        </w:rPr>
        <w:t xml:space="preserve"> exercise this la</w:t>
      </w:r>
      <w:r w:rsidR="0009389B" w:rsidRPr="009519D5">
        <w:rPr>
          <w:rFonts w:ascii="Times New Roman" w:hAnsi="Times New Roman" w:cs="Times New Roman"/>
          <w:sz w:val="24"/>
          <w:szCs w:val="24"/>
        </w:rPr>
        <w:t>w</w:t>
      </w:r>
      <w:r w:rsidRPr="009519D5">
        <w:rPr>
          <w:rFonts w:ascii="Times New Roman" w:hAnsi="Times New Roman" w:cs="Times New Roman"/>
          <w:sz w:val="24"/>
          <w:szCs w:val="24"/>
        </w:rPr>
        <w:t xml:space="preserve"> on its own deviance or branches of certain power systems such as legislative, judicial, and executive.</w:t>
      </w:r>
      <w:r w:rsidR="0009389B" w:rsidRPr="009519D5">
        <w:rPr>
          <w:rFonts w:ascii="Times New Roman" w:hAnsi="Times New Roman" w:cs="Times New Roman"/>
          <w:sz w:val="24"/>
          <w:szCs w:val="24"/>
        </w:rPr>
        <w:t xml:space="preserve"> </w:t>
      </w:r>
      <w:r w:rsidR="00A40A2A" w:rsidRPr="009519D5">
        <w:rPr>
          <w:rFonts w:ascii="Times New Roman" w:hAnsi="Times New Roman" w:cs="Times New Roman"/>
          <w:sz w:val="24"/>
          <w:szCs w:val="24"/>
        </w:rPr>
        <w:t>Under this Act, the judge is referred to as the 7th of the public in certain situations to resolve the conflict and to implement the ruling in certain circumstances and teslas. An essential factor did identify the judge as a public servant is that Ajaz has a single state power</w:t>
      </w:r>
      <w:r w:rsidR="00043A51" w:rsidRPr="009519D5">
        <w:rPr>
          <w:rFonts w:ascii="Times New Roman" w:hAnsi="Times New Roman" w:cs="Times New Roman"/>
          <w:sz w:val="24"/>
          <w:szCs w:val="24"/>
        </w:rPr>
        <w:t xml:space="preserve"> without regarding the nature and type of the power which make him a public servant and implements ruling and laws in social and legal states add institutions that ensures that</w:t>
      </w:r>
      <w:r w:rsidR="00D05A0B" w:rsidRPr="009519D5">
        <w:rPr>
          <w:rFonts w:ascii="Times New Roman" w:hAnsi="Times New Roman" w:cs="Times New Roman"/>
          <w:sz w:val="24"/>
          <w:szCs w:val="24"/>
        </w:rPr>
        <w:t xml:space="preserve"> state and other authorities of municipal bodies to protect the human rights</w:t>
      </w:r>
      <w:r w:rsidR="005F6517">
        <w:rPr>
          <w:rFonts w:ascii="Times New Roman" w:hAnsi="Times New Roman" w:cs="Times New Roman"/>
          <w:sz w:val="24"/>
          <w:szCs w:val="24"/>
        </w:rPr>
        <w:t xml:space="preserve"> </w:t>
      </w:r>
      <w:sdt>
        <w:sdtPr>
          <w:rPr>
            <w:rFonts w:ascii="Times New Roman" w:hAnsi="Times New Roman" w:cs="Times New Roman"/>
            <w:sz w:val="24"/>
            <w:szCs w:val="24"/>
          </w:rPr>
          <w:id w:val="-1186442920"/>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Rod20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(Smith, 2020)</w:t>
          </w:r>
          <w:r w:rsidR="00E65969">
            <w:rPr>
              <w:rFonts w:ascii="Times New Roman" w:hAnsi="Times New Roman" w:cs="Times New Roman"/>
              <w:sz w:val="24"/>
              <w:szCs w:val="24"/>
            </w:rPr>
            <w:fldChar w:fldCharType="end"/>
          </w:r>
        </w:sdtContent>
      </w:sdt>
    </w:p>
    <w:p w:rsidR="002D29C3" w:rsidRDefault="00273C55" w:rsidP="00421990">
      <w:pPr>
        <w:spacing w:line="360" w:lineRule="auto"/>
        <w:jc w:val="both"/>
        <w:rPr>
          <w:rStyle w:val="Heading1Char"/>
        </w:rPr>
      </w:pPr>
      <w:r w:rsidRPr="009519D5">
        <w:rPr>
          <w:rFonts w:ascii="Times New Roman" w:hAnsi="Times New Roman" w:cs="Times New Roman"/>
          <w:sz w:val="24"/>
          <w:szCs w:val="24"/>
        </w:rPr>
        <w:t xml:space="preserve">The role and functioning of the state and judicial system depend upon the competency level and professionalism of these authorities and their stability. This Act enables the country to go in the state and system of the public by Delhi </w:t>
      </w:r>
      <w:r w:rsidRPr="009519D5">
        <w:rPr>
          <w:rFonts w:ascii="Times New Roman" w:hAnsi="Times New Roman" w:cs="Times New Roman"/>
          <w:sz w:val="24"/>
          <w:szCs w:val="24"/>
        </w:rPr>
        <w:t>getting state power and</w:t>
      </w:r>
      <w:r w:rsidR="00347C85" w:rsidRPr="009519D5">
        <w:rPr>
          <w:rFonts w:ascii="Times New Roman" w:hAnsi="Times New Roman" w:cs="Times New Roman"/>
          <w:sz w:val="24"/>
          <w:szCs w:val="24"/>
        </w:rPr>
        <w:t xml:space="preserve"> forming certain self-government authorities and bodies at the state and government level. This system</w:t>
      </w:r>
      <w:r w:rsidR="00C177A4" w:rsidRPr="009519D5">
        <w:rPr>
          <w:rFonts w:ascii="Times New Roman" w:hAnsi="Times New Roman" w:cs="Times New Roman"/>
          <w:sz w:val="24"/>
          <w:szCs w:val="24"/>
        </w:rPr>
        <w:t xml:space="preserve"> Under this Act is also known as a public authority</w:t>
      </w:r>
      <w:r w:rsidR="009A35C9">
        <w:rPr>
          <w:rFonts w:ascii="Times New Roman" w:hAnsi="Times New Roman" w:cs="Times New Roman"/>
          <w:sz w:val="24"/>
          <w:szCs w:val="24"/>
        </w:rPr>
        <w:t xml:space="preserve"> </w:t>
      </w:r>
      <w:sdt>
        <w:sdtPr>
          <w:rPr>
            <w:rFonts w:ascii="Times New Roman" w:hAnsi="Times New Roman" w:cs="Times New Roman"/>
            <w:sz w:val="24"/>
            <w:szCs w:val="24"/>
          </w:rPr>
          <w:id w:val="-1918933837"/>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Igo19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(Vukonjanski, 2019)</w:t>
          </w:r>
          <w:r w:rsidR="00E65969">
            <w:rPr>
              <w:rFonts w:ascii="Times New Roman" w:hAnsi="Times New Roman" w:cs="Times New Roman"/>
              <w:sz w:val="24"/>
              <w:szCs w:val="24"/>
            </w:rPr>
            <w:fldChar w:fldCharType="end"/>
          </w:r>
        </w:sdtContent>
      </w:sdt>
      <w:r w:rsidR="009A35C9">
        <w:rPr>
          <w:rFonts w:ascii="Times New Roman" w:hAnsi="Times New Roman" w:cs="Times New Roman"/>
          <w:sz w:val="24"/>
          <w:szCs w:val="24"/>
        </w:rPr>
        <w:t>. In</w:t>
      </w:r>
      <w:r w:rsidR="000015D8" w:rsidRPr="009519D5">
        <w:rPr>
          <w:rFonts w:ascii="Times New Roman" w:hAnsi="Times New Roman" w:cs="Times New Roman"/>
          <w:sz w:val="24"/>
          <w:szCs w:val="24"/>
        </w:rPr>
        <w:t xml:space="preserve"> certain situations and case laws, the public authority system is well established to implement certain legislation and ruling understate power through self-made self-government authorities and bodies under the Constitution of Ukraine Act. This system of public authority protects human rights by giving them freedom</w:t>
      </w:r>
      <w:r w:rsidR="00AD3E6F" w:rsidRPr="009519D5">
        <w:rPr>
          <w:rFonts w:ascii="Times New Roman" w:hAnsi="Times New Roman" w:cs="Times New Roman"/>
          <w:sz w:val="24"/>
          <w:szCs w:val="24"/>
        </w:rPr>
        <w:t xml:space="preserve"> As the legitimate interests and values of the citizens. As a public authority, this system ensures the security of the state protection of the society, resolves the issues of social and economic perspectives, and respects the cultural constructions and domains of the society</w:t>
      </w:r>
      <w:r w:rsidR="009A35C9">
        <w:rPr>
          <w:rFonts w:ascii="Times New Roman" w:hAnsi="Times New Roman" w:cs="Times New Roman"/>
          <w:sz w:val="24"/>
          <w:szCs w:val="24"/>
        </w:rPr>
        <w:t xml:space="preserve"> </w:t>
      </w:r>
      <w:sdt>
        <w:sdtPr>
          <w:rPr>
            <w:rFonts w:ascii="Times New Roman" w:hAnsi="Times New Roman" w:cs="Times New Roman"/>
            <w:sz w:val="24"/>
            <w:szCs w:val="24"/>
          </w:rPr>
          <w:id w:val="-767776125"/>
          <w:citation/>
        </w:sdtPr>
        <w:sdtEndPr/>
        <w:sdtContent>
          <w:r w:rsidR="00E65969">
            <w:rPr>
              <w:rFonts w:ascii="Times New Roman" w:hAnsi="Times New Roman" w:cs="Times New Roman"/>
              <w:sz w:val="24"/>
              <w:szCs w:val="24"/>
            </w:rPr>
            <w:fldChar w:fldCharType="begin"/>
          </w:r>
          <w:r w:rsidR="00E65969">
            <w:rPr>
              <w:rFonts w:ascii="Times New Roman" w:hAnsi="Times New Roman" w:cs="Times New Roman"/>
              <w:sz w:val="24"/>
              <w:szCs w:val="24"/>
              <w:lang w:val="en-US"/>
            </w:rPr>
            <w:instrText xml:space="preserve"> CITATION Igo19 \l 1033 </w:instrText>
          </w:r>
          <w:r w:rsidR="00E65969">
            <w:rPr>
              <w:rFonts w:ascii="Times New Roman" w:hAnsi="Times New Roman" w:cs="Times New Roman"/>
              <w:sz w:val="24"/>
              <w:szCs w:val="24"/>
            </w:rPr>
            <w:fldChar w:fldCharType="separate"/>
          </w:r>
          <w:r w:rsidR="00E65969" w:rsidRPr="00E65969">
            <w:rPr>
              <w:rFonts w:ascii="Times New Roman" w:hAnsi="Times New Roman" w:cs="Times New Roman"/>
              <w:noProof/>
              <w:sz w:val="24"/>
              <w:szCs w:val="24"/>
              <w:lang w:val="en-US"/>
            </w:rPr>
            <w:t>(Vukonjanski, 2019)</w:t>
          </w:r>
          <w:r w:rsidR="00E65969">
            <w:rPr>
              <w:rFonts w:ascii="Times New Roman" w:hAnsi="Times New Roman" w:cs="Times New Roman"/>
              <w:sz w:val="24"/>
              <w:szCs w:val="24"/>
            </w:rPr>
            <w:fldChar w:fldCharType="end"/>
          </w:r>
        </w:sdtContent>
      </w:sdt>
    </w:p>
    <w:p w:rsidR="002D29C3" w:rsidRDefault="002D29C3" w:rsidP="00421990">
      <w:pPr>
        <w:spacing w:line="360" w:lineRule="auto"/>
        <w:jc w:val="both"/>
        <w:rPr>
          <w:rStyle w:val="Heading1Char"/>
        </w:rPr>
      </w:pPr>
    </w:p>
    <w:p w:rsidR="00421990" w:rsidRPr="00E65969" w:rsidRDefault="00273C55" w:rsidP="00E65969">
      <w:pPr>
        <w:rPr>
          <w:rFonts w:ascii="Times New Roman" w:eastAsiaTheme="majorEastAsia" w:hAnsi="Times New Roman" w:cstheme="majorBidi"/>
          <w:b/>
          <w:color w:val="2F5496" w:themeColor="accent1" w:themeShade="BF"/>
          <w:sz w:val="28"/>
          <w:szCs w:val="32"/>
        </w:rPr>
      </w:pPr>
      <w:r>
        <w:rPr>
          <w:rStyle w:val="Heading1Char"/>
        </w:rPr>
        <w:br w:type="page"/>
      </w:r>
      <w:bookmarkStart w:id="4" w:name="_Toc140537836"/>
      <w:r w:rsidRPr="002D29C3">
        <w:rPr>
          <w:rStyle w:val="Heading1Char"/>
          <w:b w:val="0"/>
        </w:rPr>
        <w:lastRenderedPageBreak/>
        <w:t>References</w:t>
      </w:r>
      <w:bookmarkEnd w:id="4"/>
    </w:p>
    <w:p w:rsidR="00E65969" w:rsidRDefault="00273C55" w:rsidP="00E65969">
      <w:pPr>
        <w:pStyle w:val="Bibliography"/>
        <w:rPr>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lang w:val="en-US"/>
        </w:rPr>
        <w:instrText xml:space="preserve"> BIBLIOGRAPHY  \l 1033 </w:instrText>
      </w:r>
      <w:r>
        <w:rPr>
          <w:rFonts w:ascii="Times New Roman" w:hAnsi="Times New Roman" w:cs="Times New Roman"/>
          <w:sz w:val="24"/>
          <w:szCs w:val="24"/>
        </w:rPr>
        <w:fldChar w:fldCharType="separate"/>
      </w:r>
      <w:r>
        <w:rPr>
          <w:noProof/>
        </w:rPr>
        <w:t xml:space="preserve">Flaherty, M. &amp; Hopkins, M. T., 2022. Self-Represented Litigants and Active Adjudication: The Duties of Adjudicators. </w:t>
      </w:r>
      <w:r>
        <w:rPr>
          <w:i/>
          <w:iCs/>
          <w:noProof/>
        </w:rPr>
        <w:t xml:space="preserve">The Duties of Adjudicators, </w:t>
      </w:r>
      <w:r>
        <w:rPr>
          <w:noProof/>
        </w:rPr>
        <w:t>pp. 177-203.</w:t>
      </w:r>
    </w:p>
    <w:p w:rsidR="00E65969" w:rsidRDefault="00273C55" w:rsidP="00E65969">
      <w:pPr>
        <w:pStyle w:val="Bibliography"/>
        <w:rPr>
          <w:noProof/>
        </w:rPr>
      </w:pPr>
      <w:r>
        <w:rPr>
          <w:noProof/>
        </w:rPr>
        <w:t xml:space="preserve">Ghani, U., 2020. </w:t>
      </w:r>
      <w:r>
        <w:rPr>
          <w:i/>
          <w:iCs/>
          <w:noProof/>
        </w:rPr>
        <w:t>Law-making is the Regime of Legislature: A Critical Overview of Models of Interpretation of Statute</w:t>
      </w:r>
      <w:bookmarkStart w:id="5" w:name="_GoBack"/>
      <w:bookmarkEnd w:id="5"/>
      <w:r>
        <w:rPr>
          <w:i/>
          <w:iCs/>
          <w:noProof/>
        </w:rPr>
        <w:t xml:space="preserve">s., </w:t>
      </w:r>
      <w:r>
        <w:rPr>
          <w:noProof/>
        </w:rPr>
        <w:t>s.l.: SSRN 3990612 .</w:t>
      </w:r>
    </w:p>
    <w:p w:rsidR="00E65969" w:rsidRDefault="00273C55" w:rsidP="00E65969">
      <w:pPr>
        <w:pStyle w:val="Bibliography"/>
        <w:rPr>
          <w:noProof/>
        </w:rPr>
      </w:pPr>
      <w:r>
        <w:rPr>
          <w:noProof/>
        </w:rPr>
        <w:t>McCarthy, D., 2020. Reflections on continuity and change in public service</w:t>
      </w:r>
      <w:r>
        <w:rPr>
          <w:noProof/>
        </w:rPr>
        <w:t xml:space="preserve"> reform in Ireland. </w:t>
      </w:r>
      <w:r>
        <w:rPr>
          <w:i/>
          <w:iCs/>
          <w:noProof/>
        </w:rPr>
        <w:t xml:space="preserve">Administration, </w:t>
      </w:r>
      <w:r>
        <w:rPr>
          <w:noProof/>
        </w:rPr>
        <w:t>68(4), pp. 41-54.</w:t>
      </w:r>
    </w:p>
    <w:p w:rsidR="00E65969" w:rsidRDefault="00273C55" w:rsidP="00E65969">
      <w:pPr>
        <w:pStyle w:val="Bibliography"/>
        <w:rPr>
          <w:noProof/>
        </w:rPr>
      </w:pPr>
      <w:r>
        <w:rPr>
          <w:noProof/>
        </w:rPr>
        <w:t xml:space="preserve">Neudorf, L., 2019. </w:t>
      </w:r>
      <w:r>
        <w:rPr>
          <w:i/>
          <w:iCs/>
          <w:noProof/>
        </w:rPr>
        <w:t xml:space="preserve">Separating Powers through the Constitution: A Comparison of India and Australia, </w:t>
      </w:r>
      <w:r>
        <w:rPr>
          <w:noProof/>
        </w:rPr>
        <w:t>s.l.: U. of Adelaide Law Research Paper.</w:t>
      </w:r>
    </w:p>
    <w:p w:rsidR="00E65969" w:rsidRDefault="00273C55" w:rsidP="00E65969">
      <w:pPr>
        <w:pStyle w:val="Bibliography"/>
        <w:rPr>
          <w:noProof/>
        </w:rPr>
      </w:pPr>
      <w:r>
        <w:rPr>
          <w:noProof/>
        </w:rPr>
        <w:t xml:space="preserve">Pereira, S. P. M. et al., 2022. The conceptual model of role </w:t>
      </w:r>
      <w:r>
        <w:rPr>
          <w:noProof/>
        </w:rPr>
        <w:t xml:space="preserve">stress and job burnout in judges: The moderating role of career calling. </w:t>
      </w:r>
      <w:r>
        <w:rPr>
          <w:i/>
          <w:iCs/>
          <w:noProof/>
        </w:rPr>
        <w:t xml:space="preserve">Laws, </w:t>
      </w:r>
      <w:r>
        <w:rPr>
          <w:noProof/>
        </w:rPr>
        <w:t>11(3), p. 42.</w:t>
      </w:r>
    </w:p>
    <w:p w:rsidR="00E65969" w:rsidRDefault="00273C55" w:rsidP="00E65969">
      <w:pPr>
        <w:pStyle w:val="Bibliography"/>
        <w:rPr>
          <w:noProof/>
        </w:rPr>
      </w:pPr>
      <w:r>
        <w:rPr>
          <w:noProof/>
        </w:rPr>
        <w:t xml:space="preserve">Rothmann, S. &amp; Rossouw, E., 2020. The well-being of judges: A review of quantitative and qualitative studies. </w:t>
      </w:r>
      <w:r>
        <w:rPr>
          <w:i/>
          <w:iCs/>
          <w:noProof/>
        </w:rPr>
        <w:t xml:space="preserve">SA Journal of Industrial Psychology, </w:t>
      </w:r>
      <w:r>
        <w:rPr>
          <w:noProof/>
        </w:rPr>
        <w:t>46(1), pp. 1-12.</w:t>
      </w:r>
    </w:p>
    <w:p w:rsidR="00E65969" w:rsidRDefault="00273C55" w:rsidP="00E65969">
      <w:pPr>
        <w:pStyle w:val="Bibliography"/>
        <w:rPr>
          <w:noProof/>
        </w:rPr>
      </w:pPr>
      <w:r>
        <w:rPr>
          <w:noProof/>
        </w:rPr>
        <w:t xml:space="preserve">Sinani, B. &amp; Taleski, D., 2019. An overview of the judicial control of state executive power. </w:t>
      </w:r>
      <w:r>
        <w:rPr>
          <w:i/>
          <w:iCs/>
          <w:noProof/>
        </w:rPr>
        <w:t xml:space="preserve">Zbornik radova Pravnog fakulteta u Splitu , </w:t>
      </w:r>
      <w:r>
        <w:rPr>
          <w:noProof/>
        </w:rPr>
        <w:t>56(4), pp. 1013-1029.</w:t>
      </w:r>
    </w:p>
    <w:p w:rsidR="00E65969" w:rsidRDefault="00273C55" w:rsidP="00E65969">
      <w:pPr>
        <w:pStyle w:val="Bibliography"/>
        <w:rPr>
          <w:noProof/>
        </w:rPr>
      </w:pPr>
      <w:r>
        <w:rPr>
          <w:noProof/>
        </w:rPr>
        <w:t>Smith, R. S., 2020. When does a purported exercise of a power of appointment impliedly revoke a</w:t>
      </w:r>
      <w:r>
        <w:rPr>
          <w:noProof/>
        </w:rPr>
        <w:t xml:space="preserve"> previous revocable exercise of the power?.. </w:t>
      </w:r>
      <w:r>
        <w:rPr>
          <w:i/>
          <w:iCs/>
          <w:noProof/>
        </w:rPr>
        <w:t xml:space="preserve">Trusts &amp; Trustees , </w:t>
      </w:r>
      <w:r>
        <w:rPr>
          <w:noProof/>
        </w:rPr>
        <w:t>28(8), pp. 751-760.</w:t>
      </w:r>
    </w:p>
    <w:p w:rsidR="00E65969" w:rsidRDefault="00273C55" w:rsidP="00E65969">
      <w:pPr>
        <w:pStyle w:val="Bibliography"/>
        <w:rPr>
          <w:noProof/>
        </w:rPr>
      </w:pPr>
      <w:r>
        <w:rPr>
          <w:noProof/>
        </w:rPr>
        <w:t xml:space="preserve">Thompson, J. A. &amp; Bunderson, J. S., 2019. Research on work as a calling… and how to make it matter. </w:t>
      </w:r>
      <w:r>
        <w:rPr>
          <w:i/>
          <w:iCs/>
          <w:noProof/>
        </w:rPr>
        <w:t>Annual Review of Organizational Psychology and Organizational Behavior,</w:t>
      </w:r>
      <w:r>
        <w:rPr>
          <w:i/>
          <w:iCs/>
          <w:noProof/>
        </w:rPr>
        <w:t xml:space="preserve"> </w:t>
      </w:r>
      <w:r>
        <w:rPr>
          <w:noProof/>
        </w:rPr>
        <w:t>Volume 6, pp. 421-443.</w:t>
      </w:r>
    </w:p>
    <w:p w:rsidR="00E65969" w:rsidRDefault="00273C55" w:rsidP="00E65969">
      <w:pPr>
        <w:pStyle w:val="Bibliography"/>
        <w:rPr>
          <w:noProof/>
        </w:rPr>
      </w:pPr>
      <w:r>
        <w:rPr>
          <w:noProof/>
        </w:rPr>
        <w:t xml:space="preserve">Vukonjanski, I., 2019. CHARACTERISTICS OF HUMAN RESOURCES MANAGEMENT MODEL IN PUBLIC ADMINISTRATION OF REPUBLIC OF SERBIA-contemporary trends and challenges. </w:t>
      </w:r>
      <w:r>
        <w:rPr>
          <w:i/>
          <w:iCs/>
          <w:noProof/>
        </w:rPr>
        <w:t xml:space="preserve">FACTA UNIVERSITATIS-Law and Politics, </w:t>
      </w:r>
      <w:r>
        <w:rPr>
          <w:noProof/>
        </w:rPr>
        <w:t>17(1), pp. 33-45.</w:t>
      </w:r>
    </w:p>
    <w:p w:rsidR="00A017F1" w:rsidRPr="009519D5" w:rsidRDefault="00273C55" w:rsidP="00E65969">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rsidR="00D830D1" w:rsidRPr="009519D5" w:rsidRDefault="00D830D1" w:rsidP="009519D5">
      <w:pPr>
        <w:spacing w:line="360" w:lineRule="auto"/>
        <w:jc w:val="both"/>
        <w:rPr>
          <w:rFonts w:ascii="Times New Roman" w:hAnsi="Times New Roman" w:cs="Times New Roman"/>
          <w:sz w:val="24"/>
          <w:szCs w:val="24"/>
        </w:rPr>
      </w:pPr>
    </w:p>
    <w:sectPr w:rsidR="00D830D1" w:rsidRPr="009519D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D58"/>
    <w:rsid w:val="000015D8"/>
    <w:rsid w:val="00031D15"/>
    <w:rsid w:val="00043A51"/>
    <w:rsid w:val="00043EF7"/>
    <w:rsid w:val="000778B7"/>
    <w:rsid w:val="0009389B"/>
    <w:rsid w:val="000B07C2"/>
    <w:rsid w:val="000D0F60"/>
    <w:rsid w:val="000D2791"/>
    <w:rsid w:val="000D73C2"/>
    <w:rsid w:val="0012131A"/>
    <w:rsid w:val="00157204"/>
    <w:rsid w:val="00160D09"/>
    <w:rsid w:val="00197400"/>
    <w:rsid w:val="001A549D"/>
    <w:rsid w:val="001B1D76"/>
    <w:rsid w:val="001D04A0"/>
    <w:rsid w:val="001D5583"/>
    <w:rsid w:val="001F4951"/>
    <w:rsid w:val="001F503A"/>
    <w:rsid w:val="002005F7"/>
    <w:rsid w:val="00203E25"/>
    <w:rsid w:val="00226340"/>
    <w:rsid w:val="00251EF4"/>
    <w:rsid w:val="00273C55"/>
    <w:rsid w:val="002A33D1"/>
    <w:rsid w:val="002D29C3"/>
    <w:rsid w:val="002E0465"/>
    <w:rsid w:val="00302D60"/>
    <w:rsid w:val="00347C85"/>
    <w:rsid w:val="00351A16"/>
    <w:rsid w:val="00362C46"/>
    <w:rsid w:val="003708F7"/>
    <w:rsid w:val="003B0E29"/>
    <w:rsid w:val="003C0345"/>
    <w:rsid w:val="003E3E3F"/>
    <w:rsid w:val="00414548"/>
    <w:rsid w:val="00417FDB"/>
    <w:rsid w:val="00421990"/>
    <w:rsid w:val="00423C94"/>
    <w:rsid w:val="00447A9E"/>
    <w:rsid w:val="00450885"/>
    <w:rsid w:val="00457CF5"/>
    <w:rsid w:val="004B1DE4"/>
    <w:rsid w:val="004B773D"/>
    <w:rsid w:val="004D0B5D"/>
    <w:rsid w:val="004F20FC"/>
    <w:rsid w:val="00514F58"/>
    <w:rsid w:val="00515D3A"/>
    <w:rsid w:val="00540B0A"/>
    <w:rsid w:val="00562851"/>
    <w:rsid w:val="00564135"/>
    <w:rsid w:val="00580959"/>
    <w:rsid w:val="00581BA4"/>
    <w:rsid w:val="005946AA"/>
    <w:rsid w:val="005C6FF3"/>
    <w:rsid w:val="005D05C6"/>
    <w:rsid w:val="005D3A88"/>
    <w:rsid w:val="005F1F1F"/>
    <w:rsid w:val="005F6517"/>
    <w:rsid w:val="00610B8A"/>
    <w:rsid w:val="00623DE4"/>
    <w:rsid w:val="00626F17"/>
    <w:rsid w:val="0066091F"/>
    <w:rsid w:val="00666281"/>
    <w:rsid w:val="00677FC8"/>
    <w:rsid w:val="00682CC5"/>
    <w:rsid w:val="006908EB"/>
    <w:rsid w:val="006B5B9E"/>
    <w:rsid w:val="006D1410"/>
    <w:rsid w:val="006F1FBF"/>
    <w:rsid w:val="00745981"/>
    <w:rsid w:val="00746D58"/>
    <w:rsid w:val="0079052C"/>
    <w:rsid w:val="007A60F7"/>
    <w:rsid w:val="007C3268"/>
    <w:rsid w:val="007D6E93"/>
    <w:rsid w:val="00806B49"/>
    <w:rsid w:val="00811A89"/>
    <w:rsid w:val="008301A5"/>
    <w:rsid w:val="00834F41"/>
    <w:rsid w:val="008A2CFA"/>
    <w:rsid w:val="008B04D1"/>
    <w:rsid w:val="008B074C"/>
    <w:rsid w:val="008D1990"/>
    <w:rsid w:val="008F4DC3"/>
    <w:rsid w:val="00913A4B"/>
    <w:rsid w:val="0092500B"/>
    <w:rsid w:val="0092786E"/>
    <w:rsid w:val="009519D5"/>
    <w:rsid w:val="00994B80"/>
    <w:rsid w:val="009A1276"/>
    <w:rsid w:val="009A35C9"/>
    <w:rsid w:val="009A7AAE"/>
    <w:rsid w:val="009D1088"/>
    <w:rsid w:val="009E5A4B"/>
    <w:rsid w:val="009F5FF7"/>
    <w:rsid w:val="00A017F1"/>
    <w:rsid w:val="00A404F5"/>
    <w:rsid w:val="00A40A2A"/>
    <w:rsid w:val="00A4550C"/>
    <w:rsid w:val="00A5418A"/>
    <w:rsid w:val="00A55B7A"/>
    <w:rsid w:val="00A73593"/>
    <w:rsid w:val="00A962CC"/>
    <w:rsid w:val="00AD3E6F"/>
    <w:rsid w:val="00AE4616"/>
    <w:rsid w:val="00AE7FB9"/>
    <w:rsid w:val="00AF13AB"/>
    <w:rsid w:val="00AF3398"/>
    <w:rsid w:val="00AF6210"/>
    <w:rsid w:val="00B245DB"/>
    <w:rsid w:val="00B54C1D"/>
    <w:rsid w:val="00B92D72"/>
    <w:rsid w:val="00BB0D1C"/>
    <w:rsid w:val="00BC3198"/>
    <w:rsid w:val="00BC68CE"/>
    <w:rsid w:val="00C138AD"/>
    <w:rsid w:val="00C177A4"/>
    <w:rsid w:val="00C256C6"/>
    <w:rsid w:val="00C33EB3"/>
    <w:rsid w:val="00C62FC8"/>
    <w:rsid w:val="00C80D93"/>
    <w:rsid w:val="00C8681A"/>
    <w:rsid w:val="00C9325F"/>
    <w:rsid w:val="00CC0AF9"/>
    <w:rsid w:val="00CC56E8"/>
    <w:rsid w:val="00CE327B"/>
    <w:rsid w:val="00D05A0B"/>
    <w:rsid w:val="00D10F1E"/>
    <w:rsid w:val="00D24444"/>
    <w:rsid w:val="00D3307F"/>
    <w:rsid w:val="00D6617E"/>
    <w:rsid w:val="00D830D1"/>
    <w:rsid w:val="00D946F2"/>
    <w:rsid w:val="00DA4E0B"/>
    <w:rsid w:val="00DC6340"/>
    <w:rsid w:val="00E46159"/>
    <w:rsid w:val="00E531E3"/>
    <w:rsid w:val="00E56D95"/>
    <w:rsid w:val="00E65969"/>
    <w:rsid w:val="00E7083C"/>
    <w:rsid w:val="00E71049"/>
    <w:rsid w:val="00E85180"/>
    <w:rsid w:val="00E9478A"/>
    <w:rsid w:val="00EA1FC4"/>
    <w:rsid w:val="00EA2659"/>
    <w:rsid w:val="00EF39C9"/>
    <w:rsid w:val="00F32DC5"/>
    <w:rsid w:val="00F41EB7"/>
    <w:rsid w:val="00F664FD"/>
    <w:rsid w:val="00F711A2"/>
    <w:rsid w:val="00F81A38"/>
    <w:rsid w:val="00FB3B2C"/>
    <w:rsid w:val="00FC06BB"/>
    <w:rsid w:val="00FE1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16F9F"/>
  <w15:chartTrackingRefBased/>
  <w15:docId w15:val="{75C61BA3-001C-5240-BB2F-8C8B75E30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2D29C3"/>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131A"/>
    <w:pPr>
      <w:ind w:left="720"/>
      <w:contextualSpacing/>
    </w:pPr>
  </w:style>
  <w:style w:type="paragraph" w:styleId="NormalWeb">
    <w:name w:val="Normal (Web)"/>
    <w:basedOn w:val="Normal"/>
    <w:uiPriority w:val="99"/>
    <w:unhideWhenUsed/>
    <w:rsid w:val="00A017F1"/>
    <w:pPr>
      <w:spacing w:before="100" w:beforeAutospacing="1" w:after="100" w:afterAutospacing="1" w:line="240" w:lineRule="auto"/>
    </w:pPr>
    <w:rPr>
      <w:rFonts w:ascii="Times New Roman" w:hAnsi="Times New Roman" w:cs="Times New Roman"/>
      <w:kern w:val="0"/>
      <w:sz w:val="24"/>
      <w:szCs w:val="24"/>
      <w14:ligatures w14:val="none"/>
    </w:rPr>
  </w:style>
  <w:style w:type="character" w:styleId="Hyperlink">
    <w:name w:val="Hyperlink"/>
    <w:basedOn w:val="DefaultParagraphFont"/>
    <w:uiPriority w:val="99"/>
    <w:unhideWhenUsed/>
    <w:rsid w:val="00A017F1"/>
    <w:rPr>
      <w:color w:val="0000FF"/>
      <w:u w:val="single"/>
    </w:rPr>
  </w:style>
  <w:style w:type="character" w:customStyle="1" w:styleId="Title1">
    <w:name w:val="Title1"/>
    <w:basedOn w:val="DefaultParagraphFont"/>
    <w:rsid w:val="00A017F1"/>
  </w:style>
  <w:style w:type="character" w:customStyle="1" w:styleId="Title2">
    <w:name w:val="Title2"/>
    <w:basedOn w:val="DefaultParagraphFont"/>
    <w:rsid w:val="004B773D"/>
  </w:style>
  <w:style w:type="character" w:customStyle="1" w:styleId="Heading1Char">
    <w:name w:val="Heading 1 Char"/>
    <w:basedOn w:val="DefaultParagraphFont"/>
    <w:link w:val="Heading1"/>
    <w:uiPriority w:val="9"/>
    <w:rsid w:val="002D29C3"/>
    <w:rPr>
      <w:rFonts w:ascii="Times New Roman" w:eastAsiaTheme="majorEastAsia" w:hAnsi="Times New Roman" w:cstheme="majorBidi"/>
      <w:b/>
      <w:color w:val="2F5496" w:themeColor="accent1" w:themeShade="BF"/>
      <w:sz w:val="28"/>
      <w:szCs w:val="32"/>
    </w:rPr>
  </w:style>
  <w:style w:type="paragraph" w:styleId="Title">
    <w:name w:val="Title"/>
    <w:basedOn w:val="Normal"/>
    <w:next w:val="Normal"/>
    <w:link w:val="TitleChar"/>
    <w:autoRedefine/>
    <w:uiPriority w:val="10"/>
    <w:qFormat/>
    <w:rsid w:val="002D29C3"/>
    <w:pPr>
      <w:spacing w:after="0" w:line="240" w:lineRule="auto"/>
      <w:contextualSpacing/>
      <w:jc w:val="center"/>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2D29C3"/>
    <w:rPr>
      <w:rFonts w:asciiTheme="majorHAnsi" w:eastAsiaTheme="majorEastAsia" w:hAnsiTheme="majorHAnsi" w:cstheme="majorBidi"/>
      <w:b/>
      <w:spacing w:val="-10"/>
      <w:kern w:val="28"/>
      <w:sz w:val="56"/>
      <w:szCs w:val="56"/>
    </w:rPr>
  </w:style>
  <w:style w:type="paragraph" w:styleId="Bibliography">
    <w:name w:val="Bibliography"/>
    <w:basedOn w:val="Normal"/>
    <w:next w:val="Normal"/>
    <w:uiPriority w:val="37"/>
    <w:unhideWhenUsed/>
    <w:rsid w:val="00E65969"/>
  </w:style>
  <w:style w:type="paragraph" w:styleId="TOCHeading">
    <w:name w:val="TOC Heading"/>
    <w:basedOn w:val="Heading1"/>
    <w:next w:val="Normal"/>
    <w:uiPriority w:val="39"/>
    <w:unhideWhenUsed/>
    <w:qFormat/>
    <w:rsid w:val="000D0F60"/>
    <w:pPr>
      <w:outlineLvl w:val="9"/>
    </w:pPr>
    <w:rPr>
      <w:rFonts w:asciiTheme="majorHAnsi" w:hAnsiTheme="majorHAnsi"/>
      <w:b w:val="0"/>
      <w:kern w:val="0"/>
      <w:sz w:val="32"/>
      <w:lang w:val="en-US"/>
      <w14:ligatures w14:val="none"/>
    </w:rPr>
  </w:style>
  <w:style w:type="paragraph" w:styleId="TOC1">
    <w:name w:val="toc 1"/>
    <w:basedOn w:val="Normal"/>
    <w:next w:val="Normal"/>
    <w:autoRedefine/>
    <w:uiPriority w:val="39"/>
    <w:unhideWhenUsed/>
    <w:rsid w:val="000D0F6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Mic22</b:Tag>
    <b:SourceType>JournalArticle</b:SourceType>
    <b:Guid>{3292F24D-0668-4C3F-A94E-4D2D39252A78}</b:Guid>
    <b:Title>Self-Represented Litigants and Active Adjudication: The Duties of Adjudicators</b:Title>
    <b:Year>2022</b:Year>
    <b:Author>
      <b:Author>
        <b:NameList>
          <b:Person>
            <b:Last>Flaherty</b:Last>
            <b:First>Michelle</b:First>
          </b:Person>
          <b:Person>
            <b:Last>Hopkins</b:Last>
            <b:First>Morgan</b:First>
            <b:Middle>Teeple</b:Middle>
          </b:Person>
        </b:NameList>
      </b:Author>
    </b:Author>
    <b:JournalName>The Duties of Adjudicators</b:JournalName>
    <b:Pages>177-203</b:Pages>
    <b:RefOrder>1</b:RefOrder>
  </b:Source>
  <b:Source>
    <b:Tag>Der20</b:Tag>
    <b:SourceType>JournalArticle</b:SourceType>
    <b:Guid>{77BACAE4-EC32-4C45-90B4-D7AE3C44DE5D}</b:Guid>
    <b:Author>
      <b:Author>
        <b:NameList>
          <b:Person>
            <b:Last>McCarthy</b:Last>
            <b:First>Dermot</b:First>
          </b:Person>
        </b:NameList>
      </b:Author>
    </b:Author>
    <b:Title>Reflections on continuity and change in public service reform in Ireland</b:Title>
    <b:JournalName>Administration</b:JournalName>
    <b:Year>2020</b:Year>
    <b:Pages>41-54</b:Pages>
    <b:Volume>68</b:Volume>
    <b:Issue>4</b:Issue>
    <b:RefOrder>2</b:RefOrder>
  </b:Source>
  <b:Source>
    <b:Tag>Gha20</b:Tag>
    <b:SourceType>Report</b:SourceType>
    <b:Guid>{6442EC06-E01A-444B-8E04-FAB3D6D40B2C}</b:Guid>
    <b:Author>
      <b:Author>
        <b:NameList>
          <b:Person>
            <b:Last>Ghani</b:Last>
            <b:First>Usman</b:First>
          </b:Person>
        </b:NameList>
      </b:Author>
    </b:Author>
    <b:Title>Law-making is the Regime of Legislature: A Critical Overview of Models of Interpretation of Statutes.</b:Title>
    <b:JournalName>Available at SSRN 3990612 </b:JournalName>
    <b:Year>2020</b:Year>
    <b:Publisher>SSRN 3990612 </b:Publisher>
    <b:RefOrder>7</b:RefOrder>
  </b:Source>
  <b:Source>
    <b:Tag>Neu19</b:Tag>
    <b:SourceType>Report</b:SourceType>
    <b:Guid>{BB2E8AF4-13D9-4CF0-B05F-096B3B6DC7E7}</b:Guid>
    <b:Title>Separating Powers through the Constitution: A Comparison of India and Australia</b:Title>
    <b:Year>2019</b:Year>
    <b:Publisher>U. of Adelaide Law Research Paper </b:Publisher>
    <b:Author>
      <b:Author>
        <b:NameList>
          <b:Person>
            <b:Last>Neudorf</b:Last>
            <b:First>Lorne</b:First>
          </b:Person>
        </b:NameList>
      </b:Author>
    </b:Author>
    <b:JournalName> Comparative Reflections on the Constitutional Models of India and Australia</b:JournalName>
    <b:RefOrder>8</b:RefOrder>
  </b:Source>
  <b:Source>
    <b:Tag>Jef19</b:Tag>
    <b:SourceType>JournalArticle</b:SourceType>
    <b:Guid>{17ACD2AA-F4F4-44E2-9D19-FCE94D612049}</b:Guid>
    <b:Author>
      <b:Author>
        <b:NameList>
          <b:Person>
            <b:Last>Thompson</b:Last>
            <b:First>Jeffery</b:First>
            <b:Middle>A.</b:Middle>
          </b:Person>
          <b:Person>
            <b:Last>Bunderson</b:Last>
            <b:First>J.</b:First>
            <b:Middle>Stuart</b:Middle>
          </b:Person>
        </b:NameList>
      </b:Author>
    </b:Author>
    <b:Title>Research on work as a calling… and how to make it matter</b:Title>
    <b:Year>2019</b:Year>
    <b:JournalName>Annual Review of Organizational Psychology and Organizational Behavior</b:JournalName>
    <b:Pages>421-443.</b:Pages>
    <b:Volume>6</b:Volume>
    <b:RefOrder>10</b:RefOrder>
  </b:Source>
  <b:Source>
    <b:Tag>San22</b:Tag>
    <b:SourceType>JournalArticle</b:SourceType>
    <b:Guid>{B61ACE29-62AE-4CFD-A955-87D7B1A2E928}</b:Guid>
    <b:Author>
      <b:Author>
        <b:NameList>
          <b:Person>
            <b:Last>Pereira</b:Last>
            <b:First>Sandra</b:First>
            <b:Middle>Patrícia Marques</b:Middle>
          </b:Person>
          <b:Person>
            <b:Last>Correia</b:Last>
            <b:First>Pedro</b:First>
            <b:Middle>Miguel Alves Ribeiro</b:Middle>
          </b:Person>
          <b:Person>
            <b:Last>Palma</b:Last>
            <b:First>Patrícia</b:First>
            <b:Middle>Jardim Da</b:Middle>
          </b:Person>
          <b:Person>
            <b:Last>Pitacho</b:Last>
            <b:First>Liliana</b:First>
          </b:Person>
          <b:Person>
            <b:Last>Lunardi</b:Last>
            <b:First>Fabrício</b:First>
            <b:Middle>Castagna</b:Middle>
          </b:Person>
        </b:NameList>
      </b:Author>
    </b:Author>
    <b:Title>The conceptual model of role stress and job burnout in judges: The moderating role of career calling</b:Title>
    <b:JournalName> Laws </b:JournalName>
    <b:Year>2022</b:Year>
    <b:Pages>42</b:Pages>
    <b:Volume>11</b:Volume>
    <b:Issue>3</b:Issue>
    <b:RefOrder>3</b:RefOrder>
  </b:Source>
  <b:Source>
    <b:Tag>Seb20</b:Tag>
    <b:SourceType>JournalArticle</b:SourceType>
    <b:Guid>{7A9F44C4-8345-4E7B-BCC5-64A286D474EC}</b:Guid>
    <b:Author>
      <b:Author>
        <b:NameList>
          <b:Person>
            <b:Last>Rothmann</b:Last>
            <b:First>Sebastiaan</b:First>
          </b:Person>
          <b:Person>
            <b:Last>Rossouw</b:Last>
            <b:First>Elna</b:First>
          </b:Person>
        </b:NameList>
      </b:Author>
    </b:Author>
    <b:Title>Well-being of judges: A review of quantitative and qualitative studies</b:Title>
    <b:JournalName>SA Journal of Industrial Psychology</b:JournalName>
    <b:Year>2020</b:Year>
    <b:Pages>1-12</b:Pages>
    <b:Volume>46</b:Volume>
    <b:Issue>1</b:Issue>
    <b:RefOrder>4</b:RefOrder>
  </b:Source>
  <b:Source>
    <b:Tag>Ble19</b:Tag>
    <b:SourceType>JournalArticle</b:SourceType>
    <b:Guid>{5B7FB1C6-AFEC-4721-9EB9-1B310D97F020}</b:Guid>
    <b:Author>
      <b:Author>
        <b:NameList>
          <b:Person>
            <b:Last>Sinani</b:Last>
            <b:First>Blerton</b:First>
          </b:Person>
          <b:Person>
            <b:Last>Taleski</b:Last>
            <b:First>Dane</b:First>
          </b:Person>
        </b:NameList>
      </b:Author>
    </b:Author>
    <b:Title>An overview of the judicial control of state executive power</b:Title>
    <b:JournalName>Zbornik radova Pravnog fakulteta u Splitu </b:JournalName>
    <b:Year>2019</b:Year>
    <b:Pages>1013-1029</b:Pages>
    <b:Volume>56</b:Volume>
    <b:Issue>4</b:Issue>
    <b:RefOrder>9</b:RefOrder>
  </b:Source>
  <b:Source>
    <b:Tag>Rod20</b:Tag>
    <b:SourceType>JournalArticle</b:SourceType>
    <b:Guid>{B62739A3-044C-412C-84C6-659CFDF84CAE}</b:Guid>
    <b:Author>
      <b:Author>
        <b:NameList>
          <b:Person>
            <b:Last>Smith</b:Last>
            <b:First>Rodney</b:First>
            <b:Middle>Stewart</b:Middle>
          </b:Person>
        </b:NameList>
      </b:Author>
    </b:Author>
    <b:Title>When does a purported exercise of a power of appointment impliedly revoke a previous revocable exercise of the power?.</b:Title>
    <b:JournalName>Trusts &amp; Trustees </b:JournalName>
    <b:Year>2020</b:Year>
    <b:Pages>751-760</b:Pages>
    <b:Volume>28</b:Volume>
    <b:Issue>8</b:Issue>
    <b:RefOrder>5</b:RefOrder>
  </b:Source>
  <b:Source>
    <b:Tag>Igo19</b:Tag>
    <b:SourceType>JournalArticle</b:SourceType>
    <b:Guid>{323E8BE4-E2C3-4B18-B133-234F3F6973E1}</b:Guid>
    <b:Author>
      <b:Author>
        <b:NameList>
          <b:Person>
            <b:Last>Vukonjanski</b:Last>
            <b:First>Igor</b:First>
          </b:Person>
        </b:NameList>
      </b:Author>
    </b:Author>
    <b:Title>CHARACTERISTICS OF HUMAN RESOURCES MANAGEMENT MODEL IN PUBLIC ADMINISTRATION OF REPUBLIC OF SERBIA-contemporary trends and challenges</b:Title>
    <b:JournalName>FACTA UNIVERSITATIS-Law and Politics</b:JournalName>
    <b:Year>2019</b:Year>
    <b:Pages> 33-45</b:Pages>
    <b:Volume>17</b:Volume>
    <b:Issue>1</b:Issue>
    <b:RefOrder>6</b:RefOrder>
  </b:Source>
</b:Sources>
</file>

<file path=customXml/itemProps1.xml><?xml version="1.0" encoding="utf-8"?>
<ds:datastoreItem xmlns:ds="http://schemas.openxmlformats.org/officeDocument/2006/customXml" ds:itemID="{F49B91FF-4584-43F6-871E-CF24B99A1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HP</cp:lastModifiedBy>
  <cp:revision>10</cp:revision>
  <dcterms:created xsi:type="dcterms:W3CDTF">2023-07-16T06:07:00Z</dcterms:created>
  <dcterms:modified xsi:type="dcterms:W3CDTF">2023-07-17T20:57:00Z</dcterms:modified>
</cp:coreProperties>
</file>