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32"/>
          <w:szCs w:val="32"/>
        </w:rPr>
      </w:pPr>
      <w:r w:rsidDel="00000000" w:rsidR="00000000" w:rsidRPr="00000000">
        <w:rPr>
          <w:b w:val="1"/>
          <w:sz w:val="32"/>
          <w:szCs w:val="32"/>
          <w:rtl w:val="0"/>
        </w:rPr>
        <w:t xml:space="preserve">Managing Projects in the Workplace</w:t>
      </w:r>
    </w:p>
    <w:p w:rsidR="00000000" w:rsidDel="00000000" w:rsidP="00000000" w:rsidRDefault="00000000" w:rsidRPr="00000000" w14:paraId="00000002">
      <w:pPr>
        <w:spacing w:line="360" w:lineRule="auto"/>
        <w:jc w:val="center"/>
        <w:rPr>
          <w:b w:val="1"/>
        </w:rPr>
      </w:pPr>
      <w:r w:rsidDel="00000000" w:rsidR="00000000" w:rsidRPr="00000000">
        <w:rPr>
          <w:b w:val="1"/>
          <w:rtl w:val="0"/>
        </w:rPr>
        <w:t xml:space="preserve">Task 2: Project Management Plan</w:t>
      </w:r>
    </w:p>
    <w:p w:rsidR="00000000" w:rsidDel="00000000" w:rsidP="00000000" w:rsidRDefault="00000000" w:rsidRPr="00000000" w14:paraId="00000003">
      <w:pPr>
        <w:spacing w:line="360" w:lineRule="auto"/>
        <w:jc w:val="center"/>
        <w:rPr>
          <w:b w:val="1"/>
        </w:rPr>
      </w:pPr>
      <w:r w:rsidDel="00000000" w:rsidR="00000000" w:rsidRPr="00000000">
        <w:rPr>
          <w:b w:val="1"/>
          <w:rtl w:val="0"/>
        </w:rPr>
        <w:t xml:space="preserve">Individual Report</w:t>
      </w:r>
    </w:p>
    <w:p w:rsidR="00000000" w:rsidDel="00000000" w:rsidP="00000000" w:rsidRDefault="00000000" w:rsidRPr="00000000" w14:paraId="00000004">
      <w:pPr>
        <w:spacing w:line="360" w:lineRule="auto"/>
        <w:jc w:val="right"/>
        <w:rPr/>
      </w:pPr>
      <w:r w:rsidDel="00000000" w:rsidR="00000000" w:rsidRPr="00000000">
        <w:rPr>
          <w:rtl w:val="0"/>
        </w:rPr>
        <w:t xml:space="preserve">Ashfaq Ahmed</w:t>
      </w:r>
    </w:p>
    <w:p w:rsidR="00000000" w:rsidDel="00000000" w:rsidP="00000000" w:rsidRDefault="00000000" w:rsidRPr="00000000" w14:paraId="00000005">
      <w:pPr>
        <w:spacing w:line="360" w:lineRule="auto"/>
        <w:jc w:val="right"/>
        <w:rPr/>
      </w:pPr>
      <w:r w:rsidDel="00000000" w:rsidR="00000000" w:rsidRPr="00000000">
        <w:rPr>
          <w:rtl w:val="0"/>
        </w:rPr>
        <w:t xml:space="preserve">Student ID: 2028429</w:t>
        <w:br w:type="textWrapping"/>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keepNext w:val="1"/>
        <w:keepLines w:val="1"/>
        <w:pBdr>
          <w:top w:space="0" w:sz="0" w:val="nil"/>
          <w:left w:space="0" w:sz="0" w:val="nil"/>
          <w:bottom w:space="0" w:sz="0" w:val="nil"/>
          <w:right w:space="0" w:sz="0" w:val="nil"/>
          <w:between w:space="0" w:sz="0" w:val="nil"/>
        </w:pBdr>
        <w:spacing w:after="0" w:before="240" w:line="259" w:lineRule="auto"/>
        <w:jc w:val="center"/>
        <w:rPr>
          <w:b w:val="1"/>
          <w:color w:val="000000"/>
          <w:sz w:val="26"/>
          <w:szCs w:val="26"/>
        </w:rPr>
      </w:pPr>
      <w:r w:rsidDel="00000000" w:rsidR="00000000" w:rsidRPr="00000000">
        <w:rPr>
          <w:b w:val="1"/>
          <w:color w:val="000000"/>
          <w:sz w:val="26"/>
          <w:szCs w:val="26"/>
          <w:rtl w:val="0"/>
        </w:rPr>
        <w:t xml:space="preserve">Table of Contents</w:t>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gjdgxs">
        <w:r w:rsidDel="00000000" w:rsidR="00000000" w:rsidRPr="00000000">
          <w:rPr>
            <w:color w:val="0563c1"/>
            <w:u w:val="single"/>
            <w:rtl w:val="0"/>
          </w:rPr>
          <w:t xml:space="preserve">Introduction</w:t>
        </w:r>
      </w:hyperlink>
      <w:hyperlink w:anchor="_gjdgxs">
        <w:r w:rsidDel="00000000" w:rsidR="00000000" w:rsidRPr="00000000">
          <w:rPr>
            <w:color w:val="000000"/>
            <w:rtl w:val="0"/>
          </w:rPr>
          <w:tab/>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30j0zll">
        <w:r w:rsidDel="00000000" w:rsidR="00000000" w:rsidRPr="00000000">
          <w:rPr>
            <w:color w:val="0563c1"/>
            <w:u w:val="single"/>
            <w:rtl w:val="0"/>
          </w:rPr>
          <w:t xml:space="preserve">Project description</w:t>
        </w:r>
      </w:hyperlink>
      <w:hyperlink w:anchor="_30j0zll">
        <w:r w:rsidDel="00000000" w:rsidR="00000000" w:rsidRPr="00000000">
          <w:rPr>
            <w:color w:val="000000"/>
            <w:rtl w:val="0"/>
          </w:rPr>
          <w:tab/>
          <w:t xml:space="preserve">3</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1fob9te">
        <w:r w:rsidDel="00000000" w:rsidR="00000000" w:rsidRPr="00000000">
          <w:rPr>
            <w:color w:val="0563c1"/>
            <w:u w:val="single"/>
            <w:rtl w:val="0"/>
          </w:rPr>
          <w:t xml:space="preserve">Project Scope</w:t>
        </w:r>
      </w:hyperlink>
      <w:hyperlink w:anchor="_1fob9te">
        <w:r w:rsidDel="00000000" w:rsidR="00000000" w:rsidRPr="00000000">
          <w:rPr>
            <w:color w:val="000000"/>
            <w:rtl w:val="0"/>
          </w:rPr>
          <w:tab/>
          <w:t xml:space="preserve">3</w:t>
        </w:r>
      </w:hyperlink>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3znysh7">
        <w:r w:rsidDel="00000000" w:rsidR="00000000" w:rsidRPr="00000000">
          <w:rPr>
            <w:color w:val="0563c1"/>
            <w:u w:val="single"/>
            <w:rtl w:val="0"/>
          </w:rPr>
          <w:t xml:space="preserve">Work breakdown structure (WBS)</w:t>
        </w:r>
      </w:hyperlink>
      <w:hyperlink w:anchor="_3znysh7">
        <w:r w:rsidDel="00000000" w:rsidR="00000000" w:rsidRPr="00000000">
          <w:rPr>
            <w:color w:val="000000"/>
            <w:rtl w:val="0"/>
          </w:rPr>
          <w:tab/>
          <w:t xml:space="preserve">4</w:t>
        </w:r>
      </w:hyperlink>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2et92p0">
        <w:r w:rsidDel="00000000" w:rsidR="00000000" w:rsidRPr="00000000">
          <w:rPr>
            <w:color w:val="0563c1"/>
            <w:u w:val="single"/>
            <w:rtl w:val="0"/>
          </w:rPr>
          <w:t xml:space="preserve">Quad Chart</w:t>
        </w:r>
      </w:hyperlink>
      <w:hyperlink w:anchor="_2et92p0">
        <w:r w:rsidDel="00000000" w:rsidR="00000000" w:rsidRPr="00000000">
          <w:rPr>
            <w:color w:val="000000"/>
            <w:rtl w:val="0"/>
          </w:rPr>
          <w:tab/>
          <w:t xml:space="preserve">5</w:t>
        </w:r>
      </w:hyperlink>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tyjcwt">
        <w:r w:rsidDel="00000000" w:rsidR="00000000" w:rsidRPr="00000000">
          <w:rPr>
            <w:color w:val="0563c1"/>
            <w:u w:val="single"/>
            <w:rtl w:val="0"/>
          </w:rPr>
          <w:t xml:space="preserve">Gantt Chart</w:t>
        </w:r>
      </w:hyperlink>
      <w:hyperlink w:anchor="_tyjcwt">
        <w:r w:rsidDel="00000000" w:rsidR="00000000" w:rsidRPr="00000000">
          <w:rPr>
            <w:color w:val="000000"/>
            <w:rtl w:val="0"/>
          </w:rPr>
          <w:tab/>
          <w:t xml:space="preserve">6</w:t>
        </w:r>
      </w:hyperlink>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3dy6vkm">
        <w:r w:rsidDel="00000000" w:rsidR="00000000" w:rsidRPr="00000000">
          <w:rPr>
            <w:color w:val="0563c1"/>
            <w:u w:val="single"/>
            <w:rtl w:val="0"/>
          </w:rPr>
          <w:t xml:space="preserve">Stakeholders' involvement</w:t>
        </w:r>
      </w:hyperlink>
      <w:hyperlink w:anchor="_3dy6vkm">
        <w:r w:rsidDel="00000000" w:rsidR="00000000" w:rsidRPr="00000000">
          <w:rPr>
            <w:color w:val="000000"/>
            <w:rtl w:val="0"/>
          </w:rPr>
          <w:tab/>
          <w:t xml:space="preserve">6</w:t>
        </w:r>
      </w:hyperlink>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1t3h5sf">
        <w:r w:rsidDel="00000000" w:rsidR="00000000" w:rsidRPr="00000000">
          <w:rPr>
            <w:color w:val="0563c1"/>
            <w:u w:val="single"/>
            <w:rtl w:val="0"/>
          </w:rPr>
          <w:t xml:space="preserve">Allocation of resources</w:t>
        </w:r>
      </w:hyperlink>
      <w:hyperlink w:anchor="_1t3h5sf">
        <w:r w:rsidDel="00000000" w:rsidR="00000000" w:rsidRPr="00000000">
          <w:rPr>
            <w:color w:val="000000"/>
            <w:rtl w:val="0"/>
          </w:rPr>
          <w:tab/>
          <w:t xml:space="preserve">8</w:t>
        </w:r>
      </w:hyperlink>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4d34og8">
        <w:r w:rsidDel="00000000" w:rsidR="00000000" w:rsidRPr="00000000">
          <w:rPr>
            <w:color w:val="0563c1"/>
            <w:u w:val="single"/>
            <w:rtl w:val="0"/>
          </w:rPr>
          <w:t xml:space="preserve">Risk Analysis</w:t>
        </w:r>
      </w:hyperlink>
      <w:hyperlink w:anchor="_4d34og8">
        <w:r w:rsidDel="00000000" w:rsidR="00000000" w:rsidRPr="00000000">
          <w:rPr>
            <w:color w:val="000000"/>
            <w:rtl w:val="0"/>
          </w:rPr>
          <w:tab/>
          <w:t xml:space="preserve">9</w:t>
        </w:r>
      </w:hyperlink>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2s8eyo1">
        <w:r w:rsidDel="00000000" w:rsidR="00000000" w:rsidRPr="00000000">
          <w:rPr>
            <w:color w:val="0563c1"/>
            <w:u w:val="single"/>
            <w:rtl w:val="0"/>
          </w:rPr>
          <w:t xml:space="preserve">Conclusion</w:t>
        </w:r>
      </w:hyperlink>
      <w:hyperlink w:anchor="_2s8eyo1">
        <w:r w:rsidDel="00000000" w:rsidR="00000000" w:rsidRPr="00000000">
          <w:rPr>
            <w:color w:val="000000"/>
            <w:rtl w:val="0"/>
          </w:rPr>
          <w:tab/>
          <w:t xml:space="preserve">10</w:t>
        </w:r>
      </w:hyperlink>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tabs>
          <w:tab w:val="right" w:leader="none" w:pos="9016"/>
        </w:tabs>
        <w:spacing w:after="100" w:line="276" w:lineRule="auto"/>
        <w:rPr>
          <w:color w:val="000000"/>
          <w:sz w:val="22"/>
          <w:szCs w:val="22"/>
        </w:rPr>
      </w:pPr>
      <w:hyperlink w:anchor="_17dp8vu">
        <w:r w:rsidDel="00000000" w:rsidR="00000000" w:rsidRPr="00000000">
          <w:rPr>
            <w:color w:val="0563c1"/>
            <w:u w:val="single"/>
            <w:rtl w:val="0"/>
          </w:rPr>
          <w:t xml:space="preserve">References</w:t>
        </w:r>
      </w:hyperlink>
      <w:hyperlink w:anchor="_17dp8vu">
        <w:r w:rsidDel="00000000" w:rsidR="00000000" w:rsidRPr="00000000">
          <w:rPr>
            <w:color w:val="000000"/>
            <w:rtl w:val="0"/>
          </w:rPr>
          <w:tab/>
          <w:t xml:space="preserve">11</w:t>
        </w:r>
      </w:hyperlink>
      <w:r w:rsidDel="00000000" w:rsidR="00000000" w:rsidRPr="00000000">
        <w:rPr>
          <w:rtl w:val="0"/>
        </w:rPr>
      </w:r>
    </w:p>
    <w:p w:rsidR="00000000" w:rsidDel="00000000" w:rsidP="00000000" w:rsidRDefault="00000000" w:rsidRPr="00000000" w14:paraId="00000024">
      <w:pPr>
        <w:spacing w:line="276" w:lineRule="auto"/>
        <w:rPr/>
      </w:pPr>
      <w:r w:rsidDel="00000000" w:rsidR="00000000" w:rsidRPr="00000000">
        <w:rPr>
          <w:rtl w:val="0"/>
        </w:rPr>
      </w:r>
    </w:p>
    <w:p w:rsidR="00000000" w:rsidDel="00000000" w:rsidP="00000000" w:rsidRDefault="00000000" w:rsidRPr="00000000" w14:paraId="00000025">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List of figures:</w:t>
      </w:r>
    </w:p>
    <w:p w:rsidR="00000000" w:rsidDel="00000000" w:rsidP="00000000" w:rsidRDefault="00000000" w:rsidRPr="00000000" w14:paraId="00000027">
      <w:pPr>
        <w:pBdr>
          <w:top w:space="0" w:sz="0" w:val="nil"/>
          <w:left w:space="0" w:sz="0" w:val="nil"/>
          <w:bottom w:space="0" w:sz="0" w:val="nil"/>
          <w:right w:space="0" w:sz="0" w:val="nil"/>
          <w:between w:space="0" w:sz="0" w:val="nil"/>
        </w:pBdr>
        <w:tabs>
          <w:tab w:val="right" w:leader="none" w:pos="9016"/>
        </w:tabs>
        <w:spacing w:after="0" w:line="276" w:lineRule="auto"/>
        <w:rPr>
          <w:color w:val="000000"/>
        </w:rPr>
      </w:pPr>
      <w:hyperlink w:anchor="_3rdcrjn">
        <w:r w:rsidDel="00000000" w:rsidR="00000000" w:rsidRPr="00000000">
          <w:rPr>
            <w:color w:val="0563c1"/>
            <w:u w:val="single"/>
            <w:rtl w:val="0"/>
          </w:rPr>
          <w:t xml:space="preserve">Figure 1: The Work Breakdown Structure</w:t>
        </w:r>
      </w:hyperlink>
      <w:hyperlink w:anchor="_3rdcrjn">
        <w:r w:rsidDel="00000000" w:rsidR="00000000" w:rsidRPr="00000000">
          <w:rPr>
            <w:color w:val="000000"/>
            <w:rtl w:val="0"/>
          </w:rPr>
          <w:tab/>
        </w:r>
      </w:hyperlink>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tabs>
          <w:tab w:val="right" w:leader="none" w:pos="9016"/>
        </w:tabs>
        <w:spacing w:after="0" w:line="276" w:lineRule="auto"/>
        <w:rPr>
          <w:color w:val="000000"/>
        </w:rPr>
      </w:pPr>
      <w:hyperlink w:anchor="_26in1rg">
        <w:r w:rsidDel="00000000" w:rsidR="00000000" w:rsidRPr="00000000">
          <w:rPr>
            <w:color w:val="0563c1"/>
            <w:u w:val="single"/>
            <w:rtl w:val="0"/>
          </w:rPr>
          <w:t xml:space="preserve">Figure 2: Gantt Chart</w:t>
        </w:r>
      </w:hyperlink>
      <w:hyperlink w:anchor="_26in1rg">
        <w:r w:rsidDel="00000000" w:rsidR="00000000" w:rsidRPr="00000000">
          <w:rPr>
            <w:color w:val="000000"/>
            <w:rtl w:val="0"/>
          </w:rPr>
          <w:tab/>
          <w:t xml:space="preserve">7</w:t>
        </w:r>
      </w:hyperlink>
      <w:r w:rsidDel="00000000" w:rsidR="00000000" w:rsidRPr="00000000">
        <w:rPr>
          <w:rtl w:val="0"/>
        </w:rPr>
      </w:r>
    </w:p>
    <w:p w:rsidR="00000000" w:rsidDel="00000000" w:rsidP="00000000" w:rsidRDefault="00000000" w:rsidRPr="00000000" w14:paraId="00000029">
      <w:pPr>
        <w:spacing w:line="276" w:lineRule="auto"/>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spacing w:line="259" w:lineRule="auto"/>
        <w:jc w:val="left"/>
        <w:rPr>
          <w:b w:val="1"/>
          <w:color w:val="2e75b5"/>
          <w:sz w:val="32"/>
          <w:szCs w:val="32"/>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b w:val="1"/>
        </w:rPr>
      </w:pPr>
      <w:r w:rsidDel="00000000" w:rsidR="00000000" w:rsidRPr="00000000">
        <w:rPr>
          <w:b w:val="1"/>
          <w:rtl w:val="0"/>
        </w:rPr>
        <w:t xml:space="preserve">Introduction</w:t>
      </w:r>
    </w:p>
    <w:p w:rsidR="00000000" w:rsidDel="00000000" w:rsidP="00000000" w:rsidRDefault="00000000" w:rsidRPr="00000000" w14:paraId="0000002F">
      <w:pPr>
        <w:spacing w:line="360" w:lineRule="auto"/>
        <w:rPr/>
      </w:pPr>
      <w:r w:rsidDel="00000000" w:rsidR="00000000" w:rsidRPr="00000000">
        <w:rPr>
          <w:rtl w:val="0"/>
        </w:rPr>
        <w:t xml:space="preserve">Managing projects in the workplace entails the systematic planning, execution, and oversight of tasks to achieve specific objectives within a set timeframe and budget (Burke, 2013). Successfully introducing a new product into the highly competitive food and beverage market is a difficult but essential process. The purpose of this individual report, which is named "Fuzzy Drink Launch Plan," is to present a detailed plan for managing projects in order to reduce the likelihood of future failures and maximise the likelihood of future successes. It will include project description, scope, and stakeholder engagement, Project Gantt charts, work breakdown structures, and Quad charts.</w:t>
      </w:r>
    </w:p>
    <w:p w:rsidR="00000000" w:rsidDel="00000000" w:rsidP="00000000" w:rsidRDefault="00000000" w:rsidRPr="00000000" w14:paraId="00000030">
      <w:pPr>
        <w:pStyle w:val="Heading1"/>
        <w:rPr>
          <w:b w:val="1"/>
        </w:rPr>
      </w:pPr>
      <w:bookmarkStart w:colFirst="0" w:colLast="0" w:name="_30j0zll" w:id="1"/>
      <w:bookmarkEnd w:id="1"/>
      <w:r w:rsidDel="00000000" w:rsidR="00000000" w:rsidRPr="00000000">
        <w:rPr>
          <w:b w:val="1"/>
          <w:rtl w:val="0"/>
        </w:rPr>
        <w:t xml:space="preserve">Project description</w:t>
      </w:r>
    </w:p>
    <w:p w:rsidR="00000000" w:rsidDel="00000000" w:rsidP="00000000" w:rsidRDefault="00000000" w:rsidRPr="00000000" w14:paraId="00000031">
      <w:pPr>
        <w:spacing w:line="360" w:lineRule="auto"/>
        <w:rPr/>
      </w:pPr>
      <w:r w:rsidDel="00000000" w:rsidR="00000000" w:rsidRPr="00000000">
        <w:rPr>
          <w:rtl w:val="0"/>
        </w:rPr>
        <w:t xml:space="preserve">The "Fuzzy Drink Launch Plan" is a meticulously crafted strategy aimed at propelling food and beverage companies to new heights by successfully launching a new variant of our fuzzy drink line into the market. This project is not merely a continuation of our existing product offerings, but a refined and reinvigorated initiative born from lessons learned from past launches that failed to meet sales expectations. The genesis of this project is rooted in the need to innovate and capture a more significant market share. Past shortcomings have been analysed, providing valuable insights that form the backbone of this new plan (Brewer and Dittman, 2018). Unlike previous attempts, this project will follow a more structured approach, focusing not only on product development but also on critical elements like stakeholder involvement, resource allocation, and risk analysis (Walker, 2015). The project timeline has been set, beginning with preliminary research and culminating in the product's public release. Key performance indicators have been established to track the project's success or identify areas that may require adjustment. To ensure that each phase is executed as planned, the project has been divided into various segments, each overseen the author specialising in that particular aspect. From initial planning stages through to product launch, ultimately, the plan will contribute to the project's overall success.</w:t>
      </w:r>
    </w:p>
    <w:p w:rsidR="00000000" w:rsidDel="00000000" w:rsidP="00000000" w:rsidRDefault="00000000" w:rsidRPr="00000000" w14:paraId="00000032">
      <w:pPr>
        <w:pStyle w:val="Heading1"/>
        <w:rPr>
          <w:b w:val="1"/>
        </w:rPr>
      </w:pPr>
      <w:bookmarkStart w:colFirst="0" w:colLast="0" w:name="_1fob9te" w:id="2"/>
      <w:bookmarkEnd w:id="2"/>
      <w:r w:rsidDel="00000000" w:rsidR="00000000" w:rsidRPr="00000000">
        <w:rPr>
          <w:b w:val="1"/>
          <w:rtl w:val="0"/>
        </w:rPr>
        <w:t xml:space="preserve">Project Scope</w:t>
      </w:r>
    </w:p>
    <w:p w:rsidR="00000000" w:rsidDel="00000000" w:rsidP="00000000" w:rsidRDefault="00000000" w:rsidRPr="00000000" w14:paraId="00000033">
      <w:pPr>
        <w:spacing w:line="360" w:lineRule="auto"/>
        <w:rPr/>
      </w:pPr>
      <w:r w:rsidDel="00000000" w:rsidR="00000000" w:rsidRPr="00000000">
        <w:rPr>
          <w:rtl w:val="0"/>
        </w:rPr>
        <w:t xml:space="preserve">The project scope for the "Fuzzy Drink Launch Plan" has been designed to address multiple facets critical for the successful launch of a new product in the food &amp; beverage sector. Commencing with the development of an extensive product launching plan, the project sets the stage for a meticulous and thorough approach to market entry. The importance of an extensive planning stage can't be overstated, as proper planning has been linked to higher success rates in project management (Morris, 2013).</w:t>
      </w:r>
    </w:p>
    <w:p w:rsidR="00000000" w:rsidDel="00000000" w:rsidP="00000000" w:rsidRDefault="00000000" w:rsidRPr="00000000" w14:paraId="00000034">
      <w:pPr>
        <w:spacing w:line="360" w:lineRule="auto"/>
        <w:rPr/>
      </w:pPr>
      <w:r w:rsidDel="00000000" w:rsidR="00000000" w:rsidRPr="00000000">
        <w:rPr>
          <w:rtl w:val="0"/>
        </w:rPr>
        <w:t xml:space="preserve">Subsequently, the devising of marketing and promotional plans aims to engage consumers and stakeholders effectively. In a saturated market, innovative and well-targeted marketing strategies are crucial for product differentiation (Hall, 2012). These plans are not merely adjuncts to the project but are integral components designed to resonate with the intended target audience. </w:t>
      </w:r>
    </w:p>
    <w:p w:rsidR="00000000" w:rsidDel="00000000" w:rsidP="00000000" w:rsidRDefault="00000000" w:rsidRPr="00000000" w14:paraId="00000035">
      <w:pPr>
        <w:spacing w:line="360" w:lineRule="auto"/>
        <w:rPr/>
      </w:pPr>
      <w:r w:rsidDel="00000000" w:rsidR="00000000" w:rsidRPr="00000000">
        <w:rPr>
          <w:rtl w:val="0"/>
        </w:rPr>
        <w:t xml:space="preserve">The selection of marketing channels and communication mediums further refines the approach, ensuring that the message reaches its intended audience through the most efficient and impactful routes. According to Meredith, Shafer, and Mantel Jr (2017), the choice of channels can be decisive in the project's overall efficacy.</w:t>
      </w:r>
    </w:p>
    <w:p w:rsidR="00000000" w:rsidDel="00000000" w:rsidP="00000000" w:rsidRDefault="00000000" w:rsidRPr="00000000" w14:paraId="00000036">
      <w:pPr>
        <w:spacing w:line="360" w:lineRule="auto"/>
        <w:rPr/>
      </w:pPr>
      <w:r w:rsidDel="00000000" w:rsidR="00000000" w:rsidRPr="00000000">
        <w:rPr>
          <w:rtl w:val="0"/>
        </w:rPr>
        <w:t xml:space="preserve">Management's approval of these plans ensures a cohesive strategy and mitigates the risk of any dissonance between different departments. This step also serves to allocate the requisite funds for project implementation. Fund management is a pivotal aspect of project success, given that poor financial control can easily derail even the most well-conceived plans (Harrison and Lock, 2017).</w:t>
      </w:r>
    </w:p>
    <w:p w:rsidR="00000000" w:rsidDel="00000000" w:rsidP="00000000" w:rsidRDefault="00000000" w:rsidRPr="00000000" w14:paraId="00000037">
      <w:pPr>
        <w:spacing w:line="360" w:lineRule="auto"/>
        <w:rPr/>
      </w:pPr>
      <w:r w:rsidDel="00000000" w:rsidR="00000000" w:rsidRPr="00000000">
        <w:rPr>
          <w:rtl w:val="0"/>
        </w:rPr>
        <w:t xml:space="preserve">Following approval and fund allocation, project implementation comes into play. The steps prior lay the foundation, but implementation is where theory meets practice. The effectiveness of previous stages will be assessed at this juncture.</w:t>
      </w:r>
    </w:p>
    <w:p w:rsidR="00000000" w:rsidDel="00000000" w:rsidP="00000000" w:rsidRDefault="00000000" w:rsidRPr="00000000" w14:paraId="00000038">
      <w:pPr>
        <w:spacing w:line="360" w:lineRule="auto"/>
        <w:rPr/>
      </w:pPr>
      <w:r w:rsidDel="00000000" w:rsidR="00000000" w:rsidRPr="00000000">
        <w:rPr>
          <w:rtl w:val="0"/>
        </w:rPr>
        <w:t xml:space="preserve">Disseminating information among employees not only ensures that everyone is on the same page but also fosters a sense of collective responsibility and engagement. Involving employees has been shown to be beneficial for morale and project ownership.</w:t>
      </w:r>
    </w:p>
    <w:p w:rsidR="00000000" w:rsidDel="00000000" w:rsidP="00000000" w:rsidRDefault="00000000" w:rsidRPr="00000000" w14:paraId="00000039">
      <w:pPr>
        <w:spacing w:line="360" w:lineRule="auto"/>
        <w:rPr/>
      </w:pPr>
      <w:r w:rsidDel="00000000" w:rsidR="00000000" w:rsidRPr="00000000">
        <w:rPr>
          <w:rtl w:val="0"/>
        </w:rPr>
        <w:t xml:space="preserve">Finally, project closure is a critical stage for any project, offering an opportunity to evaluate successes and failures, which is crucial for organizational learning and future projects. Overall, the scope of this project has been carefully structured to encompass all necessary elements for launching a new product successfully, ensuring a cohesive and comprehensive approach.</w:t>
      </w:r>
    </w:p>
    <w:p w:rsidR="00000000" w:rsidDel="00000000" w:rsidP="00000000" w:rsidRDefault="00000000" w:rsidRPr="00000000" w14:paraId="0000003A">
      <w:pPr>
        <w:pStyle w:val="Heading1"/>
        <w:rPr>
          <w:b w:val="1"/>
        </w:rPr>
      </w:pPr>
      <w:bookmarkStart w:colFirst="0" w:colLast="0" w:name="_3znysh7" w:id="3"/>
      <w:bookmarkEnd w:id="3"/>
      <w:r w:rsidDel="00000000" w:rsidR="00000000" w:rsidRPr="00000000">
        <w:rPr>
          <w:b w:val="1"/>
          <w:rtl w:val="0"/>
        </w:rPr>
        <w:t xml:space="preserve">Work breakdown structure (WBS)</w:t>
      </w:r>
    </w:p>
    <w:p w:rsidR="00000000" w:rsidDel="00000000" w:rsidP="00000000" w:rsidRDefault="00000000" w:rsidRPr="00000000" w14:paraId="0000003B">
      <w:pPr>
        <w:tabs>
          <w:tab w:val="left" w:leader="none" w:pos="580"/>
        </w:tabs>
        <w:spacing w:line="360" w:lineRule="auto"/>
        <w:rPr/>
      </w:pPr>
      <w:r w:rsidDel="00000000" w:rsidR="00000000" w:rsidRPr="00000000">
        <w:rPr>
          <w:rtl w:val="0"/>
        </w:rPr>
        <w:t xml:space="preserve">The Fuzzy Drink Launch Plan WBS is essential for the following 20 weeks of project execution. This WBS divides huge tasks into smaller ones to create a hierarchical framework for responsibilities and deliverables. This precision improves cost, time, and resource estimations, which helps the project meet its goals. Since the time to finish the is 20 weeks, this thorough WBS will help to stay on schedule, improve communication, and solve problems systematically.</w:t>
        <w:tab/>
      </w:r>
      <w:r w:rsidDel="00000000" w:rsidR="00000000" w:rsidRPr="00000000">
        <w:drawing>
          <wp:anchor allowOverlap="1" behindDoc="0" distB="0" distT="0" distL="114300" distR="114300" hidden="0" layoutInCell="1" locked="0" relativeHeight="0" simplePos="0">
            <wp:simplePos x="0" y="0"/>
            <wp:positionH relativeFrom="column">
              <wp:posOffset>-476248</wp:posOffset>
            </wp:positionH>
            <wp:positionV relativeFrom="paragraph">
              <wp:posOffset>1764665</wp:posOffset>
            </wp:positionV>
            <wp:extent cx="6803390" cy="2962275"/>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6803390" cy="2962275"/>
                    </a:xfrm>
                    <a:prstGeom prst="rect"/>
                    <a:ln/>
                  </pic:spPr>
                </pic:pic>
              </a:graphicData>
            </a:graphic>
          </wp:anchor>
        </w:drawing>
      </w:r>
    </w:p>
    <w:p w:rsidR="00000000" w:rsidDel="00000000" w:rsidP="00000000" w:rsidRDefault="00000000" w:rsidRPr="00000000" w14:paraId="0000003C">
      <w:pPr>
        <w:keepNext w:val="1"/>
        <w:spacing w:line="360" w:lineRule="auto"/>
        <w:jc w:val="center"/>
        <w:rPr/>
      </w:pPr>
      <w:r w:rsidDel="00000000" w:rsidR="00000000" w:rsidRPr="00000000">
        <w:rPr>
          <w:rtl w:val="0"/>
        </w:rPr>
      </w:r>
    </w:p>
    <w:p w:rsidR="00000000" w:rsidDel="00000000" w:rsidP="00000000" w:rsidRDefault="00000000" w:rsidRPr="00000000" w14:paraId="0000003D">
      <w:pPr>
        <w:pBdr>
          <w:top w:space="0" w:sz="0" w:val="nil"/>
          <w:left w:space="0" w:sz="0" w:val="nil"/>
          <w:bottom w:space="0" w:sz="0" w:val="nil"/>
          <w:right w:space="0" w:sz="0" w:val="nil"/>
          <w:between w:space="0" w:sz="0" w:val="nil"/>
        </w:pBdr>
        <w:spacing w:after="200" w:line="240" w:lineRule="auto"/>
        <w:jc w:val="center"/>
        <w:rPr>
          <w:color w:val="000000"/>
        </w:rPr>
      </w:pPr>
      <w:bookmarkStart w:colFirst="0" w:colLast="0" w:name="_3rdcrjn" w:id="4"/>
      <w:bookmarkEnd w:id="4"/>
      <w:r w:rsidDel="00000000" w:rsidR="00000000" w:rsidRPr="00000000">
        <w:rPr>
          <w:color w:val="000000"/>
          <w:rtl w:val="0"/>
        </w:rPr>
        <w:t xml:space="preserve">Figure 1: The Work Breakdown Structure</w:t>
      </w:r>
    </w:p>
    <w:p w:rsidR="00000000" w:rsidDel="00000000" w:rsidP="00000000" w:rsidRDefault="00000000" w:rsidRPr="00000000" w14:paraId="0000003E">
      <w:pPr>
        <w:spacing w:line="259" w:lineRule="auto"/>
        <w:jc w:val="left"/>
        <w:rPr>
          <w:b w:val="1"/>
          <w:color w:val="2e75b5"/>
          <w:sz w:val="32"/>
          <w:szCs w:val="32"/>
        </w:rPr>
      </w:pPr>
      <w:bookmarkStart w:colFirst="0" w:colLast="0" w:name="_2et92p0" w:id="5"/>
      <w:bookmarkEnd w:id="5"/>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b w:val="1"/>
        </w:rPr>
      </w:pPr>
      <w:r w:rsidDel="00000000" w:rsidR="00000000" w:rsidRPr="00000000">
        <w:rPr>
          <w:b w:val="1"/>
          <w:rtl w:val="0"/>
        </w:rPr>
        <w:t xml:space="preserve">Quad Chart</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40">
            <w:pPr>
              <w:spacing w:line="360" w:lineRule="auto"/>
              <w:rPr>
                <w:sz w:val="22"/>
                <w:szCs w:val="22"/>
              </w:rPr>
            </w:pPr>
            <w:r w:rsidDel="00000000" w:rsidR="00000000" w:rsidRPr="00000000">
              <w:rPr>
                <w:b w:val="1"/>
                <w:sz w:val="22"/>
                <w:szCs w:val="22"/>
                <w:rtl w:val="0"/>
              </w:rPr>
              <w:t xml:space="preserve">Quadrant 1: Project Overview</w:t>
            </w:r>
            <w:r w:rsidDel="00000000" w:rsidR="00000000" w:rsidRPr="00000000">
              <w:rPr>
                <w:rtl w:val="0"/>
              </w:rPr>
            </w:r>
          </w:p>
        </w:tc>
        <w:tc>
          <w:tcPr/>
          <w:p w:rsidR="00000000" w:rsidDel="00000000" w:rsidP="00000000" w:rsidRDefault="00000000" w:rsidRPr="00000000" w14:paraId="00000041">
            <w:pPr>
              <w:spacing w:line="360" w:lineRule="auto"/>
              <w:rPr>
                <w:sz w:val="22"/>
                <w:szCs w:val="22"/>
              </w:rPr>
            </w:pPr>
            <w:r w:rsidDel="00000000" w:rsidR="00000000" w:rsidRPr="00000000">
              <w:rPr>
                <w:b w:val="1"/>
                <w:sz w:val="22"/>
                <w:szCs w:val="22"/>
                <w:rtl w:val="0"/>
              </w:rPr>
              <w:t xml:space="preserve">Quadrant 2: Technical Details</w:t>
            </w:r>
            <w:r w:rsidDel="00000000" w:rsidR="00000000" w:rsidRPr="00000000">
              <w:rPr>
                <w:rtl w:val="0"/>
              </w:rPr>
            </w:r>
          </w:p>
        </w:tc>
      </w:tr>
      <w:tr>
        <w:trPr>
          <w:cantSplit w:val="0"/>
          <w:tblHeader w:val="0"/>
        </w:trPr>
        <w:tc>
          <w:tcPr/>
          <w:p w:rsidR="00000000" w:rsidDel="00000000" w:rsidP="00000000" w:rsidRDefault="00000000" w:rsidRPr="00000000" w14:paraId="00000042">
            <w:pPr>
              <w:spacing w:line="360" w:lineRule="auto"/>
              <w:rPr>
                <w:sz w:val="22"/>
                <w:szCs w:val="22"/>
              </w:rPr>
            </w:pPr>
            <w:r w:rsidDel="00000000" w:rsidR="00000000" w:rsidRPr="00000000">
              <w:rPr>
                <w:sz w:val="22"/>
                <w:szCs w:val="22"/>
                <w:rtl w:val="0"/>
              </w:rPr>
              <w:t xml:space="preserve">Project Title: Fuzzy Drink Launch Plan</w:t>
            </w:r>
          </w:p>
          <w:p w:rsidR="00000000" w:rsidDel="00000000" w:rsidP="00000000" w:rsidRDefault="00000000" w:rsidRPr="00000000" w14:paraId="00000043">
            <w:pPr>
              <w:spacing w:line="360" w:lineRule="auto"/>
              <w:rPr>
                <w:sz w:val="22"/>
                <w:szCs w:val="22"/>
              </w:rPr>
            </w:pPr>
            <w:r w:rsidDel="00000000" w:rsidR="00000000" w:rsidRPr="00000000">
              <w:rPr>
                <w:sz w:val="22"/>
                <w:szCs w:val="22"/>
                <w:rtl w:val="0"/>
              </w:rPr>
              <w:t xml:space="preserve">Project Manager: Touqir Hanif</w:t>
            </w:r>
          </w:p>
          <w:p w:rsidR="00000000" w:rsidDel="00000000" w:rsidP="00000000" w:rsidRDefault="00000000" w:rsidRPr="00000000" w14:paraId="00000044">
            <w:pPr>
              <w:spacing w:line="360" w:lineRule="auto"/>
              <w:rPr>
                <w:sz w:val="22"/>
                <w:szCs w:val="22"/>
              </w:rPr>
            </w:pPr>
            <w:r w:rsidDel="00000000" w:rsidR="00000000" w:rsidRPr="00000000">
              <w:rPr>
                <w:sz w:val="22"/>
                <w:szCs w:val="22"/>
                <w:rtl w:val="0"/>
              </w:rPr>
              <w:t xml:space="preserve">Objective: The core aim of this project is to successfully launch a new variant of Fuzzy Drink into the market, targeting a 15% market share within the first six months of launch.</w:t>
            </w:r>
          </w:p>
          <w:p w:rsidR="00000000" w:rsidDel="00000000" w:rsidP="00000000" w:rsidRDefault="00000000" w:rsidRPr="00000000" w14:paraId="00000045">
            <w:pPr>
              <w:spacing w:line="360" w:lineRule="auto"/>
              <w:rPr>
                <w:sz w:val="22"/>
                <w:szCs w:val="22"/>
              </w:rPr>
            </w:pPr>
            <w:r w:rsidDel="00000000" w:rsidR="00000000" w:rsidRPr="00000000">
              <w:rPr>
                <w:sz w:val="22"/>
                <w:szCs w:val="22"/>
                <w:rtl w:val="0"/>
              </w:rPr>
              <w:t xml:space="preserve">Dates: The project is slated to kick off on the 1st of July, 2024, and will run for a duration of 20 weeks, culminating in mid-November 2024.</w:t>
            </w:r>
          </w:p>
        </w:tc>
        <w:tc>
          <w:tcPr/>
          <w:p w:rsidR="00000000" w:rsidDel="00000000" w:rsidP="00000000" w:rsidRDefault="00000000" w:rsidRPr="00000000" w14:paraId="00000046">
            <w:pPr>
              <w:spacing w:line="360" w:lineRule="auto"/>
              <w:rPr>
                <w:sz w:val="22"/>
                <w:szCs w:val="22"/>
              </w:rPr>
            </w:pPr>
            <w:r w:rsidDel="00000000" w:rsidR="00000000" w:rsidRPr="00000000">
              <w:rPr>
                <w:sz w:val="22"/>
                <w:szCs w:val="22"/>
                <w:rtl w:val="0"/>
              </w:rPr>
              <w:t xml:space="preserve">Scope: This project covers everything from the initial concept and product development to the marketing campaign, distribution, and retail partnerships. Elements outside the scope include long-term maintenance of the product and international market expansion.</w:t>
            </w:r>
          </w:p>
          <w:p w:rsidR="00000000" w:rsidDel="00000000" w:rsidP="00000000" w:rsidRDefault="00000000" w:rsidRPr="00000000" w14:paraId="00000047">
            <w:pPr>
              <w:spacing w:line="360" w:lineRule="auto"/>
              <w:rPr>
                <w:sz w:val="22"/>
                <w:szCs w:val="22"/>
              </w:rPr>
            </w:pPr>
            <w:r w:rsidDel="00000000" w:rsidR="00000000" w:rsidRPr="00000000">
              <w:rPr>
                <w:sz w:val="22"/>
                <w:szCs w:val="22"/>
                <w:rtl w:val="0"/>
              </w:rPr>
              <w:t xml:space="preserve">Methodology: The project will rely on primary research, specifically through the collection of survey data from potential customers to fine-tune both the product and its marketing strategies.</w:t>
            </w:r>
          </w:p>
          <w:p w:rsidR="00000000" w:rsidDel="00000000" w:rsidP="00000000" w:rsidRDefault="00000000" w:rsidRPr="00000000" w14:paraId="00000048">
            <w:pPr>
              <w:spacing w:line="360" w:lineRule="auto"/>
              <w:rPr>
                <w:sz w:val="22"/>
                <w:szCs w:val="22"/>
              </w:rPr>
            </w:pPr>
            <w:r w:rsidDel="00000000" w:rsidR="00000000" w:rsidRPr="00000000">
              <w:rPr>
                <w:sz w:val="22"/>
                <w:szCs w:val="22"/>
                <w:rtl w:val="0"/>
              </w:rPr>
              <w:t xml:space="preserve">Deliverables: The key deliverables for this project include a finalized product formula, comprehensive marketing and promotional plans, procurement contracts for ingredients, and agreements with retail partners for shelf space.</w:t>
            </w:r>
          </w:p>
        </w:tc>
      </w:tr>
      <w:tr>
        <w:trPr>
          <w:cantSplit w:val="0"/>
          <w:tblHeader w:val="0"/>
        </w:trPr>
        <w:tc>
          <w:tcPr/>
          <w:p w:rsidR="00000000" w:rsidDel="00000000" w:rsidP="00000000" w:rsidRDefault="00000000" w:rsidRPr="00000000" w14:paraId="00000049">
            <w:pPr>
              <w:spacing w:line="360" w:lineRule="auto"/>
              <w:rPr>
                <w:sz w:val="22"/>
                <w:szCs w:val="22"/>
              </w:rPr>
            </w:pPr>
            <w:r w:rsidDel="00000000" w:rsidR="00000000" w:rsidRPr="00000000">
              <w:rPr>
                <w:b w:val="1"/>
                <w:sz w:val="22"/>
                <w:szCs w:val="22"/>
                <w:rtl w:val="0"/>
              </w:rPr>
              <w:t xml:space="preserve">Quadrant 3: Financial Overview</w:t>
            </w:r>
            <w:r w:rsidDel="00000000" w:rsidR="00000000" w:rsidRPr="00000000">
              <w:rPr>
                <w:rtl w:val="0"/>
              </w:rPr>
            </w:r>
          </w:p>
        </w:tc>
        <w:tc>
          <w:tcPr/>
          <w:p w:rsidR="00000000" w:rsidDel="00000000" w:rsidP="00000000" w:rsidRDefault="00000000" w:rsidRPr="00000000" w14:paraId="0000004A">
            <w:pPr>
              <w:spacing w:line="360" w:lineRule="auto"/>
              <w:rPr>
                <w:sz w:val="22"/>
                <w:szCs w:val="22"/>
              </w:rPr>
            </w:pPr>
            <w:r w:rsidDel="00000000" w:rsidR="00000000" w:rsidRPr="00000000">
              <w:rPr>
                <w:b w:val="1"/>
                <w:sz w:val="22"/>
                <w:szCs w:val="22"/>
                <w:rtl w:val="0"/>
              </w:rPr>
              <w:t xml:space="preserve">Quadrant 4: Status and Risks</w:t>
            </w:r>
            <w:r w:rsidDel="00000000" w:rsidR="00000000" w:rsidRPr="00000000">
              <w:rPr>
                <w:rtl w:val="0"/>
              </w:rPr>
            </w:r>
          </w:p>
        </w:tc>
      </w:tr>
      <w:tr>
        <w:trPr>
          <w:cantSplit w:val="0"/>
          <w:tblHeader w:val="0"/>
        </w:trPr>
        <w:tc>
          <w:tcPr/>
          <w:p w:rsidR="00000000" w:rsidDel="00000000" w:rsidP="00000000" w:rsidRDefault="00000000" w:rsidRPr="00000000" w14:paraId="0000004B">
            <w:pPr>
              <w:spacing w:line="360" w:lineRule="auto"/>
              <w:rPr>
                <w:sz w:val="22"/>
                <w:szCs w:val="22"/>
              </w:rPr>
            </w:pPr>
            <w:r w:rsidDel="00000000" w:rsidR="00000000" w:rsidRPr="00000000">
              <w:rPr>
                <w:sz w:val="22"/>
                <w:szCs w:val="22"/>
                <w:rtl w:val="0"/>
              </w:rPr>
              <w:t xml:space="preserve">Budget: The total budget allocated for the Fuzzy Drink Launch Plan is £78,000.</w:t>
            </w:r>
          </w:p>
          <w:p w:rsidR="00000000" w:rsidDel="00000000" w:rsidP="00000000" w:rsidRDefault="00000000" w:rsidRPr="00000000" w14:paraId="0000004C">
            <w:pPr>
              <w:spacing w:line="360" w:lineRule="auto"/>
              <w:rPr>
                <w:sz w:val="22"/>
                <w:szCs w:val="22"/>
              </w:rPr>
            </w:pPr>
            <w:r w:rsidDel="00000000" w:rsidR="00000000" w:rsidRPr="00000000">
              <w:rPr>
                <w:sz w:val="22"/>
                <w:szCs w:val="22"/>
                <w:rtl w:val="0"/>
              </w:rPr>
              <w:t xml:space="preserve">Funding Source: Funding will primarily come from the company's internal reserves, supplemented by external investment.</w:t>
            </w:r>
          </w:p>
          <w:p w:rsidR="00000000" w:rsidDel="00000000" w:rsidP="00000000" w:rsidRDefault="00000000" w:rsidRPr="00000000" w14:paraId="0000004D">
            <w:pPr>
              <w:spacing w:line="360" w:lineRule="auto"/>
              <w:rPr>
                <w:sz w:val="22"/>
                <w:szCs w:val="22"/>
              </w:rPr>
            </w:pPr>
            <w:r w:rsidDel="00000000" w:rsidR="00000000" w:rsidRPr="00000000">
              <w:rPr>
                <w:sz w:val="22"/>
                <w:szCs w:val="22"/>
                <w:rtl w:val="0"/>
              </w:rPr>
              <w:t xml:space="preserve">Financial Risks: Fluctuating costs of raw materials, and higher-than-expected marketing expenditures are primary financial risks.</w:t>
            </w:r>
          </w:p>
          <w:p w:rsidR="00000000" w:rsidDel="00000000" w:rsidP="00000000" w:rsidRDefault="00000000" w:rsidRPr="00000000" w14:paraId="0000004E">
            <w:pPr>
              <w:spacing w:line="360" w:lineRule="auto"/>
              <w:rPr>
                <w:sz w:val="22"/>
                <w:szCs w:val="22"/>
              </w:rPr>
            </w:pPr>
            <w:r w:rsidDel="00000000" w:rsidR="00000000" w:rsidRPr="00000000">
              <w:rPr>
                <w:sz w:val="22"/>
                <w:szCs w:val="22"/>
                <w:rtl w:val="0"/>
              </w:rPr>
              <w:t xml:space="preserve">Current Spend: As of now, £2,000 has been spent on initial research and development.</w:t>
            </w:r>
          </w:p>
        </w:tc>
        <w:tc>
          <w:tcPr/>
          <w:p w:rsidR="00000000" w:rsidDel="00000000" w:rsidP="00000000" w:rsidRDefault="00000000" w:rsidRPr="00000000" w14:paraId="0000004F">
            <w:pPr>
              <w:spacing w:line="360" w:lineRule="auto"/>
              <w:rPr>
                <w:sz w:val="22"/>
                <w:szCs w:val="22"/>
              </w:rPr>
            </w:pPr>
            <w:r w:rsidDel="00000000" w:rsidR="00000000" w:rsidRPr="00000000">
              <w:rPr>
                <w:sz w:val="22"/>
                <w:szCs w:val="22"/>
                <w:rtl w:val="0"/>
              </w:rPr>
              <w:t xml:space="preserve">Status: The project is currently in the initial stages, with market research underway and preliminary formula testing showing promise.</w:t>
            </w:r>
          </w:p>
          <w:p w:rsidR="00000000" w:rsidDel="00000000" w:rsidP="00000000" w:rsidRDefault="00000000" w:rsidRPr="00000000" w14:paraId="00000050">
            <w:pPr>
              <w:spacing w:line="360" w:lineRule="auto"/>
              <w:rPr>
                <w:sz w:val="22"/>
                <w:szCs w:val="22"/>
              </w:rPr>
            </w:pPr>
            <w:r w:rsidDel="00000000" w:rsidR="00000000" w:rsidRPr="00000000">
              <w:rPr>
                <w:sz w:val="22"/>
                <w:szCs w:val="22"/>
                <w:rtl w:val="0"/>
              </w:rPr>
              <w:t xml:space="preserve">Risks and Issues: Potential risks include delays in the supply chain, lack of consumer interest, and potential regulatory hurdles.</w:t>
            </w:r>
          </w:p>
          <w:p w:rsidR="00000000" w:rsidDel="00000000" w:rsidP="00000000" w:rsidRDefault="00000000" w:rsidRPr="00000000" w14:paraId="00000051">
            <w:pPr>
              <w:spacing w:line="360" w:lineRule="auto"/>
              <w:rPr>
                <w:sz w:val="22"/>
                <w:szCs w:val="22"/>
              </w:rPr>
            </w:pPr>
            <w:r w:rsidDel="00000000" w:rsidR="00000000" w:rsidRPr="00000000">
              <w:rPr>
                <w:sz w:val="22"/>
                <w:szCs w:val="22"/>
                <w:rtl w:val="0"/>
              </w:rPr>
              <w:t xml:space="preserve">Mitigation Strategies: To counter these, a plan has been made to diversify supplier base, engage in robust market testing to gauge consumer interest, and consult regulatory bodies in the early stages to avoid compliance issues.</w:t>
            </w:r>
          </w:p>
        </w:tc>
      </w:tr>
    </w:tbl>
    <w:p w:rsidR="00000000" w:rsidDel="00000000" w:rsidP="00000000" w:rsidRDefault="00000000" w:rsidRPr="00000000" w14:paraId="00000052">
      <w:pPr>
        <w:pStyle w:val="Heading1"/>
        <w:rPr>
          <w:b w:val="1"/>
        </w:rPr>
      </w:pPr>
      <w:bookmarkStart w:colFirst="0" w:colLast="0" w:name="_tyjcwt" w:id="6"/>
      <w:bookmarkEnd w:id="6"/>
      <w:r w:rsidDel="00000000" w:rsidR="00000000" w:rsidRPr="00000000">
        <w:rPr>
          <w:b w:val="1"/>
          <w:rtl w:val="0"/>
        </w:rPr>
        <w:t xml:space="preserve">Gantt Chart </w:t>
      </w:r>
    </w:p>
    <w:p w:rsidR="00000000" w:rsidDel="00000000" w:rsidP="00000000" w:rsidRDefault="00000000" w:rsidRPr="00000000" w14:paraId="00000053">
      <w:pPr>
        <w:spacing w:line="360" w:lineRule="auto"/>
        <w:rPr/>
      </w:pPr>
      <w:r w:rsidDel="00000000" w:rsidR="00000000" w:rsidRPr="00000000">
        <w:rPr>
          <w:rtl w:val="0"/>
        </w:rPr>
        <w:t xml:space="preserve">The Gantt Chart presented elucidates the timeline and interdependencies of the various tasks integral to the "Fuzzy Drink Launch Plan” (Fewings and Henjewele, 2019). Beginning with the foundational step of developing a product launch plan, it progresses through marketing strategies, channel selection, and culminates with the project's closure. Crucial junctures, such as management's approval and fund allocation, serve as checkpoints ensuring the viability of the plan at every stage. The elongated bars symbolize the extended duration some tasks demand, emphasizing their complexity. On the other hand, shorter tasks, like information dissemination, underscore their targeted nature.</w:t>
      </w:r>
      <w:r w:rsidDel="00000000" w:rsidR="00000000" w:rsidRPr="00000000">
        <w:drawing>
          <wp:anchor allowOverlap="1" behindDoc="0" distB="0" distT="0" distL="114300" distR="114300" hidden="0" layoutInCell="1" locked="0" relativeHeight="0" simplePos="0">
            <wp:simplePos x="0" y="0"/>
            <wp:positionH relativeFrom="column">
              <wp:posOffset>-504823</wp:posOffset>
            </wp:positionH>
            <wp:positionV relativeFrom="paragraph">
              <wp:posOffset>2409190</wp:posOffset>
            </wp:positionV>
            <wp:extent cx="6837680" cy="1314450"/>
            <wp:effectExtent b="0" l="0" r="0" t="0"/>
            <wp:wrapTopAndBottom distB="0" dist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6837680" cy="1314450"/>
                    </a:xfrm>
                    <a:prstGeom prst="rect"/>
                    <a:ln/>
                  </pic:spPr>
                </pic:pic>
              </a:graphicData>
            </a:graphic>
          </wp:anchor>
        </w:drawing>
      </w:r>
    </w:p>
    <w:p w:rsidR="00000000" w:rsidDel="00000000" w:rsidP="00000000" w:rsidRDefault="00000000" w:rsidRPr="00000000" w14:paraId="00000054">
      <w:pPr>
        <w:keepNext w:val="1"/>
        <w:spacing w:line="360" w:lineRule="auto"/>
        <w:rPr/>
      </w:pPr>
      <w:r w:rsidDel="00000000" w:rsidR="00000000" w:rsidRPr="00000000">
        <w:rPr>
          <w:rtl w:val="0"/>
        </w:rPr>
      </w:r>
    </w:p>
    <w:p w:rsidR="00000000" w:rsidDel="00000000" w:rsidP="00000000" w:rsidRDefault="00000000" w:rsidRPr="00000000" w14:paraId="00000055">
      <w:pPr>
        <w:pBdr>
          <w:top w:space="0" w:sz="0" w:val="nil"/>
          <w:left w:space="0" w:sz="0" w:val="nil"/>
          <w:bottom w:space="0" w:sz="0" w:val="nil"/>
          <w:right w:space="0" w:sz="0" w:val="nil"/>
          <w:between w:space="0" w:sz="0" w:val="nil"/>
        </w:pBdr>
        <w:spacing w:after="200" w:line="240" w:lineRule="auto"/>
        <w:jc w:val="center"/>
        <w:rPr>
          <w:color w:val="000000"/>
        </w:rPr>
      </w:pPr>
      <w:bookmarkStart w:colFirst="0" w:colLast="0" w:name="_26in1rg" w:id="7"/>
      <w:bookmarkEnd w:id="7"/>
      <w:r w:rsidDel="00000000" w:rsidR="00000000" w:rsidRPr="00000000">
        <w:rPr>
          <w:color w:val="000000"/>
          <w:rtl w:val="0"/>
        </w:rPr>
        <w:t xml:space="preserve">Figure 2: Gantt Chart</w:t>
      </w:r>
    </w:p>
    <w:p w:rsidR="00000000" w:rsidDel="00000000" w:rsidP="00000000" w:rsidRDefault="00000000" w:rsidRPr="00000000" w14:paraId="00000056">
      <w:pPr>
        <w:pStyle w:val="Heading1"/>
        <w:rPr>
          <w:b w:val="1"/>
        </w:rPr>
      </w:pPr>
      <w:bookmarkStart w:colFirst="0" w:colLast="0" w:name="_3dy6vkm" w:id="8"/>
      <w:bookmarkEnd w:id="8"/>
      <w:r w:rsidDel="00000000" w:rsidR="00000000" w:rsidRPr="00000000">
        <w:rPr>
          <w:b w:val="1"/>
          <w:rtl w:val="0"/>
        </w:rPr>
        <w:t xml:space="preserve">Stakeholders' involvement</w:t>
      </w:r>
    </w:p>
    <w:p w:rsidR="00000000" w:rsidDel="00000000" w:rsidP="00000000" w:rsidRDefault="00000000" w:rsidRPr="00000000" w14:paraId="00000057">
      <w:pPr>
        <w:spacing w:line="360" w:lineRule="auto"/>
        <w:rPr>
          <w:b w:val="1"/>
        </w:rPr>
      </w:pPr>
      <w:r w:rsidDel="00000000" w:rsidR="00000000" w:rsidRPr="00000000">
        <w:rPr>
          <w:b w:val="1"/>
          <w:rtl w:val="0"/>
        </w:rPr>
        <w:t xml:space="preserve">Put most importance</w:t>
      </w:r>
    </w:p>
    <w:p w:rsidR="00000000" w:rsidDel="00000000" w:rsidP="00000000" w:rsidRDefault="00000000" w:rsidRPr="00000000" w14:paraId="00000058">
      <w:pPr>
        <w:spacing w:line="360" w:lineRule="auto"/>
        <w:rPr/>
      </w:pPr>
      <w:r w:rsidDel="00000000" w:rsidR="00000000" w:rsidRPr="00000000">
        <w:rPr>
          <w:rtl w:val="0"/>
        </w:rPr>
        <w:t xml:space="preserve">The "Fuzzy Drink Launch Plan" isn't merely an internal effort; it involves an intricate web of stakeholders, each with their unique interests and levels of influence over the project's success. Among the most crucial stakeholders are customers, project implementers or employees, top management, and company owners. These groups fall under the category of 'Put Most Importance' in stakeholder management, as per the power/interest matrix tool, which is pivotal for aligning stakeholders based on their influence and interest (Kerzner, 2022).</w:t>
      </w:r>
    </w:p>
    <w:p w:rsidR="00000000" w:rsidDel="00000000" w:rsidP="00000000" w:rsidRDefault="00000000" w:rsidRPr="00000000" w14:paraId="00000059">
      <w:pPr>
        <w:spacing w:line="360" w:lineRule="auto"/>
        <w:rPr/>
      </w:pPr>
      <w:r w:rsidDel="00000000" w:rsidR="00000000" w:rsidRPr="00000000">
        <w:rPr>
          <w:rtl w:val="0"/>
        </w:rPr>
        <w:t xml:space="preserve">For customers, the strategy is to involve them in the early stages through market research and feedback loops. By aligning the product with consumer demands, the likelihood of its market acceptance is increased (Mavi and Standing, 2018). Employees, the project implementers, will be empowered through training programs and open communication channels, ensuring they have both the skill and information to execute the plan effectively. Their proactive involvement is crucial for the smooth running of project operations (Armenia et al., 2019).</w:t>
      </w:r>
    </w:p>
    <w:p w:rsidR="00000000" w:rsidDel="00000000" w:rsidP="00000000" w:rsidRDefault="00000000" w:rsidRPr="00000000" w14:paraId="0000005A">
      <w:pPr>
        <w:spacing w:line="360" w:lineRule="auto"/>
        <w:rPr/>
      </w:pPr>
      <w:r w:rsidDel="00000000" w:rsidR="00000000" w:rsidRPr="00000000">
        <w:rPr>
          <w:rtl w:val="0"/>
        </w:rPr>
        <w:t xml:space="preserve">Top management will be involved through regular briefings and approvals, giving them oversight and control over critical decision points. Their involvement ensures alignment with corporate objectives and provides the necessary resources for project implementation (Lee et al., 2018). Company owners, the ultimate stakeholders, will be kept informed through quarterly reports and will be engaged in major decisions affecting the project's financial outlook. Their vested interest ensures an extra layer of scrutiny and focus on project success (Levy, 2018).</w:t>
      </w:r>
    </w:p>
    <w:p w:rsidR="00000000" w:rsidDel="00000000" w:rsidP="00000000" w:rsidRDefault="00000000" w:rsidRPr="00000000" w14:paraId="0000005B">
      <w:pPr>
        <w:spacing w:line="360" w:lineRule="auto"/>
        <w:rPr/>
      </w:pPr>
      <w:r w:rsidDel="00000000" w:rsidR="00000000" w:rsidRPr="00000000">
        <w:rPr>
          <w:rtl w:val="0"/>
        </w:rPr>
        <w:t xml:space="preserve">Involving stakeholders in the ways described contributes to the project’s success in various manners. Customers provide direct insights into market demand, making product adjustments more precise (Gustavsson and Hallin, 2014). Engaged employees are more motivated, which enhances productivity and reduces project delays (Armenia et al., 2019). Management's active participation ensures alignment with broader corporate goals, while the owners' oversight adds an additional layer of financial accountability (Lee et al., 2018; Levy, 2018).</w:t>
      </w:r>
    </w:p>
    <w:p w:rsidR="00000000" w:rsidDel="00000000" w:rsidP="00000000" w:rsidRDefault="00000000" w:rsidRPr="00000000" w14:paraId="0000005C">
      <w:pPr>
        <w:spacing w:line="360" w:lineRule="auto"/>
        <w:rPr>
          <w:b w:val="1"/>
        </w:rPr>
      </w:pPr>
      <w:r w:rsidDel="00000000" w:rsidR="00000000" w:rsidRPr="00000000">
        <w:rPr>
          <w:b w:val="1"/>
          <w:rtl w:val="0"/>
        </w:rPr>
        <w:t xml:space="preserve">Keep satisfied</w:t>
      </w:r>
    </w:p>
    <w:p w:rsidR="00000000" w:rsidDel="00000000" w:rsidP="00000000" w:rsidRDefault="00000000" w:rsidRPr="00000000" w14:paraId="0000005D">
      <w:pPr>
        <w:spacing w:line="360" w:lineRule="auto"/>
        <w:rPr/>
      </w:pPr>
      <w:r w:rsidDel="00000000" w:rsidR="00000000" w:rsidRPr="00000000">
        <w:rPr>
          <w:rtl w:val="0"/>
        </w:rPr>
        <w:t xml:space="preserve">The group of stakeholders under the category 'Keep Satisfied,' includes Retailers, Materials and Ingredients Suppliers, Local Authorities and Regulatory Bodies, and Food Quality Controlling Authority (Kim, Chang, and Castro-Lacouture, 2020). For Retailers, the plan is to offer incentives like volume discounts or promotional materials to encourage them to prioritize the new Fuzzy Drink over competitors. In a market where shelf space is at a premium, such incentives can make a real difference.</w:t>
      </w:r>
    </w:p>
    <w:p w:rsidR="00000000" w:rsidDel="00000000" w:rsidP="00000000" w:rsidRDefault="00000000" w:rsidRPr="00000000" w14:paraId="0000005E">
      <w:pPr>
        <w:spacing w:line="360" w:lineRule="auto"/>
        <w:rPr/>
      </w:pPr>
      <w:r w:rsidDel="00000000" w:rsidR="00000000" w:rsidRPr="00000000">
        <w:rPr>
          <w:rtl w:val="0"/>
        </w:rPr>
        <w:t xml:space="preserve">Materials and Ingredients Suppliers are vital because any hiccup in the supply chain can have a cascading effect on the project's timeline and budget. Close communication and perhaps even long-term contracts can ensure a steady supply of high-quality ingredients (Ford and Lyneis, 2020). Regulatory bodies and the Food Quality Controlling Authority will be involved through proactive consultation to ensure all aspects of the product, from its composition to its packaging, meet local and national standards. Transparency and compliance are the watchwords here, backed by open channels of communication to ensure any potential issues are flagged and addressed well in advance (Kerzner, 2022).</w:t>
      </w:r>
    </w:p>
    <w:p w:rsidR="00000000" w:rsidDel="00000000" w:rsidP="00000000" w:rsidRDefault="00000000" w:rsidRPr="00000000" w14:paraId="0000005F">
      <w:pPr>
        <w:spacing w:line="360" w:lineRule="auto"/>
        <w:rPr/>
      </w:pPr>
      <w:r w:rsidDel="00000000" w:rsidR="00000000" w:rsidRPr="00000000">
        <w:rPr>
          <w:rtl w:val="0"/>
        </w:rPr>
        <w:t xml:space="preserve">The strategies for involving these 'Keep Satisfied' stakeholders are intricately designed to minimize potential risks and create a favorable environment for the Fuzzy Drink's successful launch. The inclusion of retailers through financial and promotional incentives ensures not just initial shelf space but also prime positioning, which can significantly impact sales (Kim, Chang and Castro-Lacouture, 2020). A secure relationship with suppliers creates a smooth and efficient production line, making it possible to meet market demand quickly, thereby seizing market share (Ford and Lyneis, 2020). Lastly, actively engaging with local authorities and food quality bodies ensures that the product launch doesn't hit any regulatory snags, which can not only cause delays but also negatively impact the brand's reputation (Kerzner, 2022).</w:t>
      </w:r>
    </w:p>
    <w:p w:rsidR="00000000" w:rsidDel="00000000" w:rsidP="00000000" w:rsidRDefault="00000000" w:rsidRPr="00000000" w14:paraId="00000060">
      <w:pPr>
        <w:spacing w:line="360" w:lineRule="auto"/>
        <w:rPr/>
      </w:pPr>
      <w:r w:rsidDel="00000000" w:rsidR="00000000" w:rsidRPr="00000000">
        <w:rPr>
          <w:rtl w:val="0"/>
        </w:rPr>
        <w:t xml:space="preserve">The cohesiveness of these strategies creates a holistic approach to stakeholder management, recognizing that each group's satisfaction contributes to the project’s overall chance of success. Through calculated and well-orchestrated involvement of each of these stakeholder groups, the "Fuzzy Drink Launch Plan" aims to navigate the multiple challenges that come with introducing a new product into a competitive market.</w:t>
      </w:r>
    </w:p>
    <w:p w:rsidR="00000000" w:rsidDel="00000000" w:rsidP="00000000" w:rsidRDefault="00000000" w:rsidRPr="00000000" w14:paraId="00000061">
      <w:pPr>
        <w:pStyle w:val="Heading1"/>
        <w:rPr>
          <w:b w:val="1"/>
        </w:rPr>
      </w:pPr>
      <w:bookmarkStart w:colFirst="0" w:colLast="0" w:name="_1t3h5sf" w:id="9"/>
      <w:bookmarkEnd w:id="9"/>
      <w:r w:rsidDel="00000000" w:rsidR="00000000" w:rsidRPr="00000000">
        <w:rPr>
          <w:b w:val="1"/>
          <w:rtl w:val="0"/>
        </w:rPr>
        <w:t xml:space="preserve">Allocation of resources</w:t>
      </w:r>
    </w:p>
    <w:p w:rsidR="00000000" w:rsidDel="00000000" w:rsidP="00000000" w:rsidRDefault="00000000" w:rsidRPr="00000000" w14:paraId="00000062">
      <w:pPr>
        <w:spacing w:line="360" w:lineRule="auto"/>
        <w:rPr/>
      </w:pPr>
      <w:r w:rsidDel="00000000" w:rsidR="00000000" w:rsidRPr="00000000">
        <w:rPr/>
        <w:drawing>
          <wp:inline distB="0" distT="0" distL="0" distR="0">
            <wp:extent cx="5731510" cy="2701925"/>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510" cy="2701925"/>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63">
      <w:pPr>
        <w:spacing w:line="360" w:lineRule="auto"/>
        <w:rPr/>
      </w:pPr>
      <w:r w:rsidDel="00000000" w:rsidR="00000000" w:rsidRPr="00000000">
        <w:rPr>
          <w:rtl w:val="0"/>
        </w:rPr>
        <w:t xml:space="preserve">The financial layout for the "Fuzzy Drink Launch Plan" has been judiciously mapped out, reflecting a keen understanding of the project's diverse needs. Emphasizing the pivotal role of marketing in such ventures, a generous allocation has been directed towards digital promotion and advertising, amounting to £15,000. Additionally, ensuring the dedicated involvement of the sales force, £8,000 is set aside for training and incentives. Retail partnerships, essential for a seamless product rollout, and logistics ensure the tangible product reaches the end consumer efficiently. With a contingency fund of £5,000, the plan also exhibits prudence, safeguarding against unforeseen expenses. Overall, the £78,000 allocation seems well-distributed across essential facets of the project.</w:t>
      </w:r>
    </w:p>
    <w:p w:rsidR="00000000" w:rsidDel="00000000" w:rsidP="00000000" w:rsidRDefault="00000000" w:rsidRPr="00000000" w14:paraId="00000064">
      <w:pPr>
        <w:pStyle w:val="Heading1"/>
        <w:rPr>
          <w:b w:val="1"/>
        </w:rPr>
      </w:pPr>
      <w:bookmarkStart w:colFirst="0" w:colLast="0" w:name="_4d34og8" w:id="10"/>
      <w:bookmarkEnd w:id="10"/>
      <w:r w:rsidDel="00000000" w:rsidR="00000000" w:rsidRPr="00000000">
        <w:rPr>
          <w:b w:val="1"/>
          <w:rtl w:val="0"/>
        </w:rPr>
        <w:t xml:space="preserve">Risk Analysis</w:t>
      </w:r>
    </w:p>
    <w:p w:rsidR="00000000" w:rsidDel="00000000" w:rsidP="00000000" w:rsidRDefault="00000000" w:rsidRPr="00000000" w14:paraId="00000065">
      <w:pPr>
        <w:spacing w:line="360" w:lineRule="auto"/>
        <w:rPr/>
      </w:pPr>
      <w:r w:rsidDel="00000000" w:rsidR="00000000" w:rsidRPr="00000000">
        <w:rPr>
          <w:rtl w:val="0"/>
        </w:rPr>
        <w:t xml:space="preserve">Risk analysis is an integral component of any project management effort, allowing for better preparedness and adaptive strategies (Burke, 2013). For the Fuzzy Drink launching plan, several potential risks stand out that may impact its successful execution.</w:t>
      </w:r>
    </w:p>
    <w:p w:rsidR="00000000" w:rsidDel="00000000" w:rsidP="00000000" w:rsidRDefault="00000000" w:rsidRPr="00000000" w14:paraId="00000066">
      <w:pPr>
        <w:spacing w:line="360" w:lineRule="auto"/>
        <w:rPr/>
      </w:pPr>
      <w:r w:rsidDel="00000000" w:rsidR="00000000" w:rsidRPr="00000000">
        <w:rPr>
          <w:b w:val="1"/>
          <w:rtl w:val="0"/>
        </w:rPr>
        <w:t xml:space="preserve">Market Reception Risk</w:t>
      </w:r>
      <w:r w:rsidDel="00000000" w:rsidR="00000000" w:rsidRPr="00000000">
        <w:rPr>
          <w:rtl w:val="0"/>
        </w:rPr>
        <w:t xml:space="preserve">: Even after rigorous market research, there's always a risk associated with how the target market will receive the new product (Wilson, Bhakoo and Samson, 2018). Unforeseen shifts in consumer preferences or emerging competitors might affect sales projections. To adapt, the project team should continually monitor market reactions post-launch, adjusting marketing strategies as necessary.</w:t>
      </w:r>
    </w:p>
    <w:p w:rsidR="00000000" w:rsidDel="00000000" w:rsidP="00000000" w:rsidRDefault="00000000" w:rsidRPr="00000000" w14:paraId="00000067">
      <w:pPr>
        <w:spacing w:line="360" w:lineRule="auto"/>
        <w:rPr/>
      </w:pPr>
      <w:r w:rsidDel="00000000" w:rsidR="00000000" w:rsidRPr="00000000">
        <w:rPr>
          <w:b w:val="1"/>
          <w:rtl w:val="0"/>
        </w:rPr>
        <w:t xml:space="preserve">Supply Chain Disruptions</w:t>
      </w:r>
      <w:r w:rsidDel="00000000" w:rsidR="00000000" w:rsidRPr="00000000">
        <w:rPr>
          <w:rtl w:val="0"/>
        </w:rPr>
        <w:t xml:space="preserve">: External factors like strikes, natural disasters, or global events can disrupt the supply chain, causing delays in procuring materials or delivering the product to retailers (Nicholas and Steyn, 2020). Mitigation measures include diversifying suppliers, maintaining a buffer stock, and investing in real-time supply chain monitoring systems.</w:t>
      </w:r>
    </w:p>
    <w:p w:rsidR="00000000" w:rsidDel="00000000" w:rsidP="00000000" w:rsidRDefault="00000000" w:rsidRPr="00000000" w14:paraId="00000068">
      <w:pPr>
        <w:spacing w:line="360" w:lineRule="auto"/>
        <w:rPr/>
      </w:pPr>
      <w:r w:rsidDel="00000000" w:rsidR="00000000" w:rsidRPr="00000000">
        <w:rPr>
          <w:b w:val="1"/>
          <w:rtl w:val="0"/>
        </w:rPr>
        <w:t xml:space="preserve">Regulatory and Compliance Risk</w:t>
      </w:r>
      <w:r w:rsidDel="00000000" w:rsidR="00000000" w:rsidRPr="00000000">
        <w:rPr>
          <w:rtl w:val="0"/>
        </w:rPr>
        <w:t xml:space="preserve">: Local authorities or food quality agencies might introduce new regulations, impacting production or marketing efforts (Portny and Portny, 2022). Regular liaison with these bodies and employing a dedicated compliance team will ensure the project remains within legal boundaries.</w:t>
      </w:r>
    </w:p>
    <w:p w:rsidR="00000000" w:rsidDel="00000000" w:rsidP="00000000" w:rsidRDefault="00000000" w:rsidRPr="00000000" w14:paraId="00000069">
      <w:pPr>
        <w:spacing w:line="360" w:lineRule="auto"/>
        <w:rPr/>
      </w:pPr>
      <w:r w:rsidDel="00000000" w:rsidR="00000000" w:rsidRPr="00000000">
        <w:rPr>
          <w:b w:val="1"/>
          <w:rtl w:val="0"/>
        </w:rPr>
        <w:t xml:space="preserve">Financial Risks</w:t>
      </w:r>
      <w:r w:rsidDel="00000000" w:rsidR="00000000" w:rsidRPr="00000000">
        <w:rPr>
          <w:rtl w:val="0"/>
        </w:rPr>
        <w:t xml:space="preserve">: Overruns or misallocation of the budget can jeopardize project continuity. Effective fund management, combined with regular financial audits, can provide early warnings, enabling timely corrective actions (Kerzner, 2018).</w:t>
      </w:r>
    </w:p>
    <w:p w:rsidR="00000000" w:rsidDel="00000000" w:rsidP="00000000" w:rsidRDefault="00000000" w:rsidRPr="00000000" w14:paraId="0000006A">
      <w:pPr>
        <w:spacing w:line="360" w:lineRule="auto"/>
        <w:rPr/>
      </w:pPr>
      <w:r w:rsidDel="00000000" w:rsidR="00000000" w:rsidRPr="00000000">
        <w:rPr>
          <w:b w:val="1"/>
          <w:rtl w:val="0"/>
        </w:rPr>
        <w:t xml:space="preserve">Internal Communication Gaps</w:t>
      </w:r>
      <w:r w:rsidDel="00000000" w:rsidR="00000000" w:rsidRPr="00000000">
        <w:rPr>
          <w:rtl w:val="0"/>
        </w:rPr>
        <w:t xml:space="preserve">: Miscommunication within the team can lead to errors, delays, and inefficiencies. Investing in robust internal communication tools and regular team meetings can foster clearer understanding and alignment with the project goals.</w:t>
      </w:r>
    </w:p>
    <w:p w:rsidR="00000000" w:rsidDel="00000000" w:rsidP="00000000" w:rsidRDefault="00000000" w:rsidRPr="00000000" w14:paraId="0000006B">
      <w:pPr>
        <w:spacing w:line="360" w:lineRule="auto"/>
        <w:rPr/>
      </w:pPr>
      <w:r w:rsidDel="00000000" w:rsidR="00000000" w:rsidRPr="00000000">
        <w:rPr>
          <w:b w:val="1"/>
          <w:rtl w:val="0"/>
        </w:rPr>
        <w:t xml:space="preserve">Technological Failures</w:t>
      </w:r>
      <w:r w:rsidDel="00000000" w:rsidR="00000000" w:rsidRPr="00000000">
        <w:rPr>
          <w:rtl w:val="0"/>
        </w:rPr>
        <w:t xml:space="preserve">: Dependence on technology for digital promotions means vulnerabilities to cyber-attacks or system failures. Regular system backups, cybersecurity protocols, and having a dedicated IT response team are crucial (Kerzner, 2018).</w:t>
      </w:r>
    </w:p>
    <w:p w:rsidR="00000000" w:rsidDel="00000000" w:rsidP="00000000" w:rsidRDefault="00000000" w:rsidRPr="00000000" w14:paraId="0000006C">
      <w:pPr>
        <w:spacing w:line="360" w:lineRule="auto"/>
        <w:rPr/>
      </w:pPr>
      <w:r w:rsidDel="00000000" w:rsidR="00000000" w:rsidRPr="00000000">
        <w:rPr>
          <w:rtl w:val="0"/>
        </w:rPr>
        <w:t xml:space="preserve">While risks are inevitable, their potential impact can be substantially reduced through foresight, planning, and adaptive strategies. It's imperative that the Fuzzy Drink project team remains vigilant, continuously monitors the project environment, and remains ready to pivot as necessary.</w:t>
      </w:r>
    </w:p>
    <w:p w:rsidR="00000000" w:rsidDel="00000000" w:rsidP="00000000" w:rsidRDefault="00000000" w:rsidRPr="00000000" w14:paraId="0000006D">
      <w:pPr>
        <w:pStyle w:val="Heading1"/>
        <w:rPr>
          <w:b w:val="1"/>
        </w:rPr>
      </w:pPr>
      <w:bookmarkStart w:colFirst="0" w:colLast="0" w:name="_2s8eyo1" w:id="11"/>
      <w:bookmarkEnd w:id="11"/>
      <w:r w:rsidDel="00000000" w:rsidR="00000000" w:rsidRPr="00000000">
        <w:rPr>
          <w:b w:val="1"/>
          <w:rtl w:val="0"/>
        </w:rPr>
        <w:t xml:space="preserve">Conclusion</w:t>
      </w:r>
    </w:p>
    <w:p w:rsidR="00000000" w:rsidDel="00000000" w:rsidP="00000000" w:rsidRDefault="00000000" w:rsidRPr="00000000" w14:paraId="0000006E">
      <w:pPr>
        <w:spacing w:line="360" w:lineRule="auto"/>
        <w:rPr/>
      </w:pPr>
      <w:r w:rsidDel="00000000" w:rsidR="00000000" w:rsidRPr="00000000">
        <w:rPr>
          <w:rtl w:val="0"/>
        </w:rPr>
        <w:t xml:space="preserve">The successful launch of the Fuzzy Drink requires meticulous planning, thorough risk analysis, and stakeholder engagement. The allocation of resources showcases a strategic focus on marketing and ensuring a strong supply chain, while the GANTT chart underlines a structured timeline for implementation. The identified risks, from market reception to technological vulnerabilities, serve as a reminder that unforeseen challenges may arise. However, with adaptive strategies in place, the project team is well-equipped to navigate these challenges. Ultimately, success hinges on the team's ability to remain agile, continuously monitor the market and internal dynamics, and adapt strategies accordingly. As the project moves forward, it's crucial to maintain this proactive and responsive approach.</w:t>
      </w:r>
    </w:p>
    <w:p w:rsidR="00000000" w:rsidDel="00000000" w:rsidP="00000000" w:rsidRDefault="00000000" w:rsidRPr="00000000" w14:paraId="0000006F">
      <w:pPr>
        <w:spacing w:line="259" w:lineRule="auto"/>
        <w:jc w:val="left"/>
        <w:rPr>
          <w:b w:val="1"/>
          <w:color w:val="2e75b5"/>
          <w:sz w:val="32"/>
          <w:szCs w:val="32"/>
        </w:rPr>
      </w:pPr>
      <w:bookmarkStart w:colFirst="0" w:colLast="0" w:name="_17dp8vu" w:id="12"/>
      <w:bookmarkEnd w:id="12"/>
      <w:r w:rsidDel="00000000" w:rsidR="00000000" w:rsidRPr="00000000">
        <w:br w:type="page"/>
      </w:r>
      <w:r w:rsidDel="00000000" w:rsidR="00000000" w:rsidRPr="00000000">
        <w:rPr>
          <w:rtl w:val="0"/>
        </w:rPr>
      </w:r>
    </w:p>
    <w:p w:rsidR="00000000" w:rsidDel="00000000" w:rsidP="00000000" w:rsidRDefault="00000000" w:rsidRPr="00000000" w14:paraId="00000070">
      <w:pPr>
        <w:pStyle w:val="Heading1"/>
        <w:rPr>
          <w:b w:val="1"/>
        </w:rPr>
      </w:pPr>
      <w:r w:rsidDel="00000000" w:rsidR="00000000" w:rsidRPr="00000000">
        <w:rPr>
          <w:b w:val="1"/>
          <w:rtl w:val="0"/>
        </w:rPr>
        <w:t xml:space="preserve">References</w:t>
      </w:r>
    </w:p>
    <w:p w:rsidR="00000000" w:rsidDel="00000000" w:rsidP="00000000" w:rsidRDefault="00000000" w:rsidRPr="00000000" w14:paraId="00000071">
      <w:pPr>
        <w:spacing w:line="360" w:lineRule="auto"/>
        <w:rPr>
          <w:highlight w:val="white"/>
        </w:rPr>
      </w:pPr>
      <w:bookmarkStart w:colFirst="0" w:colLast="0" w:name="_lnxbz9" w:id="13"/>
      <w:bookmarkEnd w:id="13"/>
      <w:r w:rsidDel="00000000" w:rsidR="00000000" w:rsidRPr="00000000">
        <w:rPr>
          <w:highlight w:val="white"/>
          <w:rtl w:val="0"/>
        </w:rPr>
        <w:t xml:space="preserve">Armenia, S., Dangelico, R. M., Nonino, F., and Pompei, A. (2019). Sustainable project management: A conceptualization-oriented review and a framework proposal for future studies. </w:t>
      </w:r>
      <w:r w:rsidDel="00000000" w:rsidR="00000000" w:rsidRPr="00000000">
        <w:rPr>
          <w:i w:val="1"/>
          <w:highlight w:val="white"/>
          <w:rtl w:val="0"/>
        </w:rPr>
        <w:t xml:space="preserve">Sustainability</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(9), 2664.</w:t>
      </w:r>
    </w:p>
    <w:p w:rsidR="00000000" w:rsidDel="00000000" w:rsidP="00000000" w:rsidRDefault="00000000" w:rsidRPr="00000000" w14:paraId="00000072">
      <w:pPr>
        <w:spacing w:line="360" w:lineRule="auto"/>
        <w:rPr>
          <w:highlight w:val="white"/>
        </w:rPr>
      </w:pPr>
      <w:r w:rsidDel="00000000" w:rsidR="00000000" w:rsidRPr="00000000">
        <w:rPr>
          <w:highlight w:val="white"/>
          <w:rtl w:val="0"/>
        </w:rPr>
        <w:t xml:space="preserve">Brewer, J. L., and Dittman, K. C. (2018). </w:t>
      </w:r>
      <w:r w:rsidDel="00000000" w:rsidR="00000000" w:rsidRPr="00000000">
        <w:rPr>
          <w:i w:val="1"/>
          <w:highlight w:val="white"/>
          <w:rtl w:val="0"/>
        </w:rPr>
        <w:t xml:space="preserve">Methods of IT project management</w:t>
      </w:r>
      <w:r w:rsidDel="00000000" w:rsidR="00000000" w:rsidRPr="00000000">
        <w:rPr>
          <w:highlight w:val="white"/>
          <w:rtl w:val="0"/>
        </w:rPr>
        <w:t xml:space="preserve">. Purdue University Press.</w:t>
      </w:r>
    </w:p>
    <w:p w:rsidR="00000000" w:rsidDel="00000000" w:rsidP="00000000" w:rsidRDefault="00000000" w:rsidRPr="00000000" w14:paraId="00000073">
      <w:pPr>
        <w:spacing w:line="360" w:lineRule="auto"/>
        <w:rPr>
          <w:highlight w:val="white"/>
        </w:rPr>
      </w:pPr>
      <w:r w:rsidDel="00000000" w:rsidR="00000000" w:rsidRPr="00000000">
        <w:rPr>
          <w:highlight w:val="white"/>
          <w:rtl w:val="0"/>
        </w:rPr>
        <w:t xml:space="preserve">Burke, R. (2013). </w:t>
      </w:r>
      <w:r w:rsidDel="00000000" w:rsidR="00000000" w:rsidRPr="00000000">
        <w:rPr>
          <w:i w:val="1"/>
          <w:highlight w:val="white"/>
          <w:rtl w:val="0"/>
        </w:rPr>
        <w:t xml:space="preserve">Project management: planning and control techniques</w:t>
      </w:r>
      <w:r w:rsidDel="00000000" w:rsidR="00000000" w:rsidRPr="00000000">
        <w:rPr>
          <w:highlight w:val="white"/>
          <w:rtl w:val="0"/>
        </w:rPr>
        <w:t xml:space="preserve">. John Wiley and Sons.</w:t>
      </w:r>
    </w:p>
    <w:p w:rsidR="00000000" w:rsidDel="00000000" w:rsidP="00000000" w:rsidRDefault="00000000" w:rsidRPr="00000000" w14:paraId="00000074">
      <w:pPr>
        <w:spacing w:line="360" w:lineRule="auto"/>
        <w:rPr>
          <w:highlight w:val="white"/>
        </w:rPr>
      </w:pPr>
      <w:r w:rsidDel="00000000" w:rsidR="00000000" w:rsidRPr="00000000">
        <w:rPr>
          <w:highlight w:val="white"/>
          <w:rtl w:val="0"/>
        </w:rPr>
        <w:t xml:space="preserve">Fewings, P., and Henjewele, C. (2019). </w:t>
      </w:r>
      <w:r w:rsidDel="00000000" w:rsidR="00000000" w:rsidRPr="00000000">
        <w:rPr>
          <w:i w:val="1"/>
          <w:highlight w:val="white"/>
          <w:rtl w:val="0"/>
        </w:rPr>
        <w:t xml:space="preserve">Construction project management: an integrated approach</w:t>
      </w:r>
      <w:r w:rsidDel="00000000" w:rsidR="00000000" w:rsidRPr="00000000">
        <w:rPr>
          <w:highlight w:val="white"/>
          <w:rtl w:val="0"/>
        </w:rPr>
        <w:t xml:space="preserve">. Routledge.</w:t>
      </w:r>
    </w:p>
    <w:p w:rsidR="00000000" w:rsidDel="00000000" w:rsidP="00000000" w:rsidRDefault="00000000" w:rsidRPr="00000000" w14:paraId="00000075">
      <w:pPr>
        <w:spacing w:line="360" w:lineRule="auto"/>
        <w:rPr>
          <w:highlight w:val="white"/>
        </w:rPr>
      </w:pPr>
      <w:r w:rsidDel="00000000" w:rsidR="00000000" w:rsidRPr="00000000">
        <w:rPr>
          <w:highlight w:val="white"/>
          <w:rtl w:val="0"/>
        </w:rPr>
        <w:t xml:space="preserve">Ford, D. N., and Lyneis, J. M. (2020). System dynamics applied to project management: a survey, assessment, and directions for future research. </w:t>
      </w:r>
      <w:r w:rsidDel="00000000" w:rsidR="00000000" w:rsidRPr="00000000">
        <w:rPr>
          <w:i w:val="1"/>
          <w:highlight w:val="white"/>
          <w:rtl w:val="0"/>
        </w:rPr>
        <w:t xml:space="preserve">System Dynamics: Theory and Applications</w:t>
      </w:r>
      <w:r w:rsidDel="00000000" w:rsidR="00000000" w:rsidRPr="00000000">
        <w:rPr>
          <w:highlight w:val="white"/>
          <w:rtl w:val="0"/>
        </w:rPr>
        <w:t xml:space="preserve">, 285-314.</w:t>
      </w:r>
    </w:p>
    <w:p w:rsidR="00000000" w:rsidDel="00000000" w:rsidP="00000000" w:rsidRDefault="00000000" w:rsidRPr="00000000" w14:paraId="00000076">
      <w:pPr>
        <w:spacing w:line="360" w:lineRule="auto"/>
        <w:rPr>
          <w:highlight w:val="white"/>
        </w:rPr>
      </w:pPr>
      <w:r w:rsidDel="00000000" w:rsidR="00000000" w:rsidRPr="00000000">
        <w:rPr>
          <w:highlight w:val="white"/>
          <w:rtl w:val="0"/>
        </w:rPr>
        <w:t xml:space="preserve">Gustavsson, T. K., and Hallin, A. (2014). Rethinking dichotomization: A critical perspective on the use of “hard” and “soft” in project management research. </w:t>
      </w:r>
      <w:r w:rsidDel="00000000" w:rsidR="00000000" w:rsidRPr="00000000">
        <w:rPr>
          <w:i w:val="1"/>
          <w:highlight w:val="white"/>
          <w:rtl w:val="0"/>
        </w:rPr>
        <w:t xml:space="preserve">International Journal of Project Management</w:t>
      </w:r>
      <w:r w:rsidDel="00000000" w:rsidR="00000000" w:rsidRPr="00000000">
        <w:rPr>
          <w:highlight w:val="white"/>
          <w:rtl w:val="0"/>
        </w:rPr>
        <w:t xml:space="preserve">, </w:t>
      </w:r>
      <w:r w:rsidDel="00000000" w:rsidR="00000000" w:rsidRPr="00000000">
        <w:rPr>
          <w:i w:val="1"/>
          <w:highlight w:val="white"/>
          <w:rtl w:val="0"/>
        </w:rPr>
        <w:t xml:space="preserve">32</w:t>
      </w:r>
      <w:r w:rsidDel="00000000" w:rsidR="00000000" w:rsidRPr="00000000">
        <w:rPr>
          <w:highlight w:val="white"/>
          <w:rtl w:val="0"/>
        </w:rPr>
        <w:t xml:space="preserve">(4), 568-577.</w:t>
      </w:r>
    </w:p>
    <w:p w:rsidR="00000000" w:rsidDel="00000000" w:rsidP="00000000" w:rsidRDefault="00000000" w:rsidRPr="00000000" w14:paraId="00000077">
      <w:pPr>
        <w:spacing w:line="360" w:lineRule="auto"/>
        <w:rPr>
          <w:highlight w:val="white"/>
        </w:rPr>
      </w:pPr>
      <w:r w:rsidDel="00000000" w:rsidR="00000000" w:rsidRPr="00000000">
        <w:rPr>
          <w:highlight w:val="white"/>
          <w:rtl w:val="0"/>
        </w:rPr>
        <w:t xml:space="preserve">Hall, N. G. (2012). Project management: Recent developments and research opportunities. </w:t>
      </w:r>
      <w:r w:rsidDel="00000000" w:rsidR="00000000" w:rsidRPr="00000000">
        <w:rPr>
          <w:i w:val="1"/>
          <w:highlight w:val="white"/>
          <w:rtl w:val="0"/>
        </w:rPr>
        <w:t xml:space="preserve">Journal of Systems Science and Systems Engineering</w:t>
      </w:r>
      <w:r w:rsidDel="00000000" w:rsidR="00000000" w:rsidRPr="00000000">
        <w:rPr>
          <w:highlight w:val="white"/>
          <w:rtl w:val="0"/>
        </w:rPr>
        <w:t xml:space="preserve">, </w:t>
      </w:r>
      <w:r w:rsidDel="00000000" w:rsidR="00000000" w:rsidRPr="00000000">
        <w:rPr>
          <w:i w:val="1"/>
          <w:highlight w:val="white"/>
          <w:rtl w:val="0"/>
        </w:rPr>
        <w:t xml:space="preserve">21</w:t>
      </w:r>
      <w:r w:rsidDel="00000000" w:rsidR="00000000" w:rsidRPr="00000000">
        <w:rPr>
          <w:highlight w:val="white"/>
          <w:rtl w:val="0"/>
        </w:rPr>
        <w:t xml:space="preserve">(2), 129-143.</w:t>
      </w:r>
    </w:p>
    <w:p w:rsidR="00000000" w:rsidDel="00000000" w:rsidP="00000000" w:rsidRDefault="00000000" w:rsidRPr="00000000" w14:paraId="00000078">
      <w:pPr>
        <w:spacing w:line="360" w:lineRule="auto"/>
        <w:rPr>
          <w:highlight w:val="white"/>
        </w:rPr>
      </w:pPr>
      <w:r w:rsidDel="00000000" w:rsidR="00000000" w:rsidRPr="00000000">
        <w:rPr>
          <w:highlight w:val="white"/>
          <w:rtl w:val="0"/>
        </w:rPr>
        <w:t xml:space="preserve">Harrison, F., and Lock, D. (2017). </w:t>
      </w:r>
      <w:r w:rsidDel="00000000" w:rsidR="00000000" w:rsidRPr="00000000">
        <w:rPr>
          <w:i w:val="1"/>
          <w:highlight w:val="white"/>
          <w:rtl w:val="0"/>
        </w:rPr>
        <w:t xml:space="preserve">Advanced project management: a structured approach</w:t>
      </w:r>
      <w:r w:rsidDel="00000000" w:rsidR="00000000" w:rsidRPr="00000000">
        <w:rPr>
          <w:highlight w:val="white"/>
          <w:rtl w:val="0"/>
        </w:rPr>
        <w:t xml:space="preserve">. Routledge.</w:t>
      </w:r>
    </w:p>
    <w:p w:rsidR="00000000" w:rsidDel="00000000" w:rsidP="00000000" w:rsidRDefault="00000000" w:rsidRPr="00000000" w14:paraId="00000079">
      <w:pPr>
        <w:spacing w:line="360" w:lineRule="auto"/>
        <w:rPr>
          <w:highlight w:val="white"/>
        </w:rPr>
      </w:pPr>
      <w:r w:rsidDel="00000000" w:rsidR="00000000" w:rsidRPr="00000000">
        <w:rPr>
          <w:highlight w:val="white"/>
          <w:rtl w:val="0"/>
        </w:rPr>
        <w:t xml:space="preserve">Kerzner, H. (2018). </w:t>
      </w:r>
      <w:r w:rsidDel="00000000" w:rsidR="00000000" w:rsidRPr="00000000">
        <w:rPr>
          <w:i w:val="1"/>
          <w:highlight w:val="white"/>
          <w:rtl w:val="0"/>
        </w:rPr>
        <w:t xml:space="preserve">Project management best practices: Achieving global excellence</w:t>
      </w:r>
      <w:r w:rsidDel="00000000" w:rsidR="00000000" w:rsidRPr="00000000">
        <w:rPr>
          <w:highlight w:val="white"/>
          <w:rtl w:val="0"/>
        </w:rPr>
        <w:t xml:space="preserve">. John Wiley and Sons.</w:t>
      </w:r>
    </w:p>
    <w:p w:rsidR="00000000" w:rsidDel="00000000" w:rsidP="00000000" w:rsidRDefault="00000000" w:rsidRPr="00000000" w14:paraId="0000007A">
      <w:pPr>
        <w:spacing w:line="360" w:lineRule="auto"/>
        <w:rPr>
          <w:highlight w:val="white"/>
        </w:rPr>
      </w:pPr>
      <w:r w:rsidDel="00000000" w:rsidR="00000000" w:rsidRPr="00000000">
        <w:rPr>
          <w:highlight w:val="white"/>
          <w:rtl w:val="0"/>
        </w:rPr>
        <w:t xml:space="preserve"> Kerzner, H. (2019). </w:t>
      </w:r>
      <w:r w:rsidDel="00000000" w:rsidR="00000000" w:rsidRPr="00000000">
        <w:rPr>
          <w:i w:val="1"/>
          <w:highlight w:val="white"/>
          <w:rtl w:val="0"/>
        </w:rPr>
        <w:t xml:space="preserve">Using the project management maturity model: strategic planning for project management</w:t>
      </w:r>
      <w:r w:rsidDel="00000000" w:rsidR="00000000" w:rsidRPr="00000000">
        <w:rPr>
          <w:highlight w:val="white"/>
          <w:rtl w:val="0"/>
        </w:rPr>
        <w:t xml:space="preserve">. John Wiley and Sons.</w:t>
      </w:r>
    </w:p>
    <w:p w:rsidR="00000000" w:rsidDel="00000000" w:rsidP="00000000" w:rsidRDefault="00000000" w:rsidRPr="00000000" w14:paraId="0000007B">
      <w:pPr>
        <w:spacing w:line="360" w:lineRule="auto"/>
        <w:rPr>
          <w:highlight w:val="white"/>
        </w:rPr>
      </w:pPr>
      <w:r w:rsidDel="00000000" w:rsidR="00000000" w:rsidRPr="00000000">
        <w:rPr>
          <w:highlight w:val="white"/>
          <w:rtl w:val="0"/>
        </w:rPr>
        <w:t xml:space="preserve">Kerzner, H. (2022). </w:t>
      </w:r>
      <w:r w:rsidDel="00000000" w:rsidR="00000000" w:rsidRPr="00000000">
        <w:rPr>
          <w:i w:val="1"/>
          <w:highlight w:val="white"/>
          <w:rtl w:val="0"/>
        </w:rPr>
        <w:t xml:space="preserve">Project management metrics, KPIs, and dashboards: a guide to measuring and monitoring project performance</w:t>
      </w:r>
      <w:r w:rsidDel="00000000" w:rsidR="00000000" w:rsidRPr="00000000">
        <w:rPr>
          <w:highlight w:val="white"/>
          <w:rtl w:val="0"/>
        </w:rPr>
        <w:t xml:space="preserve">. John Wiley and Sons.</w:t>
      </w:r>
    </w:p>
    <w:p w:rsidR="00000000" w:rsidDel="00000000" w:rsidP="00000000" w:rsidRDefault="00000000" w:rsidRPr="00000000" w14:paraId="0000007C">
      <w:pPr>
        <w:spacing w:line="360" w:lineRule="auto"/>
        <w:rPr>
          <w:highlight w:val="white"/>
        </w:rPr>
      </w:pPr>
      <w:r w:rsidDel="00000000" w:rsidR="00000000" w:rsidRPr="00000000">
        <w:rPr>
          <w:highlight w:val="white"/>
          <w:rtl w:val="0"/>
        </w:rPr>
        <w:t xml:space="preserve">Kim, S., Chang, S., and Castro-Lacouture, D. (2020). Dynamic modeling for analyzing impacts of skilled labor shortage on construction project management. </w:t>
      </w:r>
      <w:r w:rsidDel="00000000" w:rsidR="00000000" w:rsidRPr="00000000">
        <w:rPr>
          <w:i w:val="1"/>
          <w:highlight w:val="white"/>
          <w:rtl w:val="0"/>
        </w:rPr>
        <w:t xml:space="preserve">Journal of Management in Engineering</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(1), 04019035.</w:t>
      </w:r>
    </w:p>
    <w:p w:rsidR="00000000" w:rsidDel="00000000" w:rsidP="00000000" w:rsidRDefault="00000000" w:rsidRPr="00000000" w14:paraId="0000007D">
      <w:pPr>
        <w:spacing w:line="360" w:lineRule="auto"/>
        <w:rPr>
          <w:highlight w:val="white"/>
        </w:rPr>
      </w:pPr>
      <w:r w:rsidDel="00000000" w:rsidR="00000000" w:rsidRPr="00000000">
        <w:rPr>
          <w:highlight w:val="white"/>
          <w:rtl w:val="0"/>
        </w:rPr>
        <w:t xml:space="preserve">Lee, C. Y., Chong, H. Y., Liao, P. C., and Wang, X. (2018). Critical review of social network analysis applications in complex project management. </w:t>
      </w:r>
      <w:r w:rsidDel="00000000" w:rsidR="00000000" w:rsidRPr="00000000">
        <w:rPr>
          <w:i w:val="1"/>
          <w:highlight w:val="white"/>
          <w:rtl w:val="0"/>
        </w:rPr>
        <w:t xml:space="preserve">Journal of management in engineering</w:t>
      </w:r>
      <w:r w:rsidDel="00000000" w:rsidR="00000000" w:rsidRPr="00000000">
        <w:rPr>
          <w:highlight w:val="white"/>
          <w:rtl w:val="0"/>
        </w:rPr>
        <w:t xml:space="preserve">, </w:t>
      </w:r>
      <w:r w:rsidDel="00000000" w:rsidR="00000000" w:rsidRPr="00000000">
        <w:rPr>
          <w:i w:val="1"/>
          <w:highlight w:val="white"/>
          <w:rtl w:val="0"/>
        </w:rPr>
        <w:t xml:space="preserve">34</w:t>
      </w:r>
      <w:r w:rsidDel="00000000" w:rsidR="00000000" w:rsidRPr="00000000">
        <w:rPr>
          <w:highlight w:val="white"/>
          <w:rtl w:val="0"/>
        </w:rPr>
        <w:t xml:space="preserve">(2), 04017061.</w:t>
      </w:r>
    </w:p>
    <w:p w:rsidR="00000000" w:rsidDel="00000000" w:rsidP="00000000" w:rsidRDefault="00000000" w:rsidRPr="00000000" w14:paraId="0000007E">
      <w:pPr>
        <w:spacing w:line="360" w:lineRule="auto"/>
        <w:rPr>
          <w:highlight w:val="white"/>
        </w:rPr>
      </w:pPr>
      <w:r w:rsidDel="00000000" w:rsidR="00000000" w:rsidRPr="00000000">
        <w:rPr>
          <w:highlight w:val="white"/>
          <w:rtl w:val="0"/>
        </w:rPr>
        <w:t xml:space="preserve">Levy, S. M. (2018). </w:t>
      </w:r>
      <w:r w:rsidDel="00000000" w:rsidR="00000000" w:rsidRPr="00000000">
        <w:rPr>
          <w:i w:val="1"/>
          <w:highlight w:val="white"/>
          <w:rtl w:val="0"/>
        </w:rPr>
        <w:t xml:space="preserve">Project management in construction</w:t>
      </w:r>
      <w:r w:rsidDel="00000000" w:rsidR="00000000" w:rsidRPr="00000000">
        <w:rPr>
          <w:highlight w:val="white"/>
          <w:rtl w:val="0"/>
        </w:rPr>
        <w:t xml:space="preserve">. McGraw-Hill Education.</w:t>
      </w:r>
    </w:p>
    <w:p w:rsidR="00000000" w:rsidDel="00000000" w:rsidP="00000000" w:rsidRDefault="00000000" w:rsidRPr="00000000" w14:paraId="0000007F">
      <w:pPr>
        <w:spacing w:line="360" w:lineRule="auto"/>
        <w:rPr>
          <w:highlight w:val="white"/>
        </w:rPr>
      </w:pPr>
      <w:r w:rsidDel="00000000" w:rsidR="00000000" w:rsidRPr="00000000">
        <w:rPr>
          <w:highlight w:val="white"/>
          <w:rtl w:val="0"/>
        </w:rPr>
        <w:t xml:space="preserve">Mavi, R. K., and Standing, C. (2018). Critical success factors of sustainable project management in construction: A fuzzy DEMATEL-ANP approach. </w:t>
      </w:r>
      <w:r w:rsidDel="00000000" w:rsidR="00000000" w:rsidRPr="00000000">
        <w:rPr>
          <w:i w:val="1"/>
          <w:highlight w:val="white"/>
          <w:rtl w:val="0"/>
        </w:rPr>
        <w:t xml:space="preserve">Journal of cleaner production</w:t>
      </w:r>
      <w:r w:rsidDel="00000000" w:rsidR="00000000" w:rsidRPr="00000000">
        <w:rPr>
          <w:highlight w:val="white"/>
          <w:rtl w:val="0"/>
        </w:rPr>
        <w:t xml:space="preserve">, </w:t>
      </w:r>
      <w:r w:rsidDel="00000000" w:rsidR="00000000" w:rsidRPr="00000000">
        <w:rPr>
          <w:i w:val="1"/>
          <w:highlight w:val="white"/>
          <w:rtl w:val="0"/>
        </w:rPr>
        <w:t xml:space="preserve">194</w:t>
      </w:r>
      <w:r w:rsidDel="00000000" w:rsidR="00000000" w:rsidRPr="00000000">
        <w:rPr>
          <w:highlight w:val="white"/>
          <w:rtl w:val="0"/>
        </w:rPr>
        <w:t xml:space="preserve">, 751-765.</w:t>
      </w:r>
    </w:p>
    <w:p w:rsidR="00000000" w:rsidDel="00000000" w:rsidP="00000000" w:rsidRDefault="00000000" w:rsidRPr="00000000" w14:paraId="00000080">
      <w:pPr>
        <w:spacing w:line="360" w:lineRule="auto"/>
        <w:rPr>
          <w:highlight w:val="white"/>
        </w:rPr>
      </w:pPr>
      <w:r w:rsidDel="00000000" w:rsidR="00000000" w:rsidRPr="00000000">
        <w:rPr>
          <w:highlight w:val="white"/>
          <w:rtl w:val="0"/>
        </w:rPr>
        <w:t xml:space="preserve">Meredith, J. R., Shafer, S. M., and Mantel Jr, S. J. (2017). </w:t>
      </w:r>
      <w:r w:rsidDel="00000000" w:rsidR="00000000" w:rsidRPr="00000000">
        <w:rPr>
          <w:i w:val="1"/>
          <w:highlight w:val="white"/>
          <w:rtl w:val="0"/>
        </w:rPr>
        <w:t xml:space="preserve">Project management: a strategic managerial approach</w:t>
      </w:r>
      <w:r w:rsidDel="00000000" w:rsidR="00000000" w:rsidRPr="00000000">
        <w:rPr>
          <w:highlight w:val="white"/>
          <w:rtl w:val="0"/>
        </w:rPr>
        <w:t xml:space="preserve">. John Wiley and Sons.</w:t>
      </w:r>
    </w:p>
    <w:p w:rsidR="00000000" w:rsidDel="00000000" w:rsidP="00000000" w:rsidRDefault="00000000" w:rsidRPr="00000000" w14:paraId="00000081">
      <w:pPr>
        <w:spacing w:line="360" w:lineRule="auto"/>
        <w:rPr>
          <w:highlight w:val="white"/>
        </w:rPr>
      </w:pPr>
      <w:r w:rsidDel="00000000" w:rsidR="00000000" w:rsidRPr="00000000">
        <w:rPr>
          <w:highlight w:val="white"/>
          <w:rtl w:val="0"/>
        </w:rPr>
        <w:t xml:space="preserve">Morris, P. W. (2013). </w:t>
      </w:r>
      <w:r w:rsidDel="00000000" w:rsidR="00000000" w:rsidRPr="00000000">
        <w:rPr>
          <w:i w:val="1"/>
          <w:highlight w:val="white"/>
          <w:rtl w:val="0"/>
        </w:rPr>
        <w:t xml:space="preserve">Reconstructing project management</w:t>
      </w:r>
      <w:r w:rsidDel="00000000" w:rsidR="00000000" w:rsidRPr="00000000">
        <w:rPr>
          <w:highlight w:val="white"/>
          <w:rtl w:val="0"/>
        </w:rPr>
        <w:t xml:space="preserve">. John Wiley and Sons.</w:t>
      </w:r>
    </w:p>
    <w:p w:rsidR="00000000" w:rsidDel="00000000" w:rsidP="00000000" w:rsidRDefault="00000000" w:rsidRPr="00000000" w14:paraId="00000082">
      <w:pPr>
        <w:spacing w:line="360" w:lineRule="auto"/>
        <w:rPr>
          <w:highlight w:val="white"/>
        </w:rPr>
      </w:pPr>
      <w:r w:rsidDel="00000000" w:rsidR="00000000" w:rsidRPr="00000000">
        <w:rPr>
          <w:highlight w:val="white"/>
          <w:rtl w:val="0"/>
        </w:rPr>
        <w:t xml:space="preserve">Nicholas, J. M., and Steyn, H. (2020). </w:t>
      </w:r>
      <w:r w:rsidDel="00000000" w:rsidR="00000000" w:rsidRPr="00000000">
        <w:rPr>
          <w:i w:val="1"/>
          <w:highlight w:val="white"/>
          <w:rtl w:val="0"/>
        </w:rPr>
        <w:t xml:space="preserve">Project management for engineering, business and technology</w:t>
      </w:r>
      <w:r w:rsidDel="00000000" w:rsidR="00000000" w:rsidRPr="00000000">
        <w:rPr>
          <w:highlight w:val="white"/>
          <w:rtl w:val="0"/>
        </w:rPr>
        <w:t xml:space="preserve">. Routledge.</w:t>
      </w:r>
    </w:p>
    <w:p w:rsidR="00000000" w:rsidDel="00000000" w:rsidP="00000000" w:rsidRDefault="00000000" w:rsidRPr="00000000" w14:paraId="00000083">
      <w:pPr>
        <w:spacing w:line="360" w:lineRule="auto"/>
        <w:rPr>
          <w:highlight w:val="white"/>
        </w:rPr>
      </w:pPr>
      <w:r w:rsidDel="00000000" w:rsidR="00000000" w:rsidRPr="00000000">
        <w:rPr>
          <w:highlight w:val="white"/>
          <w:rtl w:val="0"/>
        </w:rPr>
        <w:t xml:space="preserve">Portny, J. L., and Portny, S. E. (2022). </w:t>
      </w:r>
      <w:r w:rsidDel="00000000" w:rsidR="00000000" w:rsidRPr="00000000">
        <w:rPr>
          <w:i w:val="1"/>
          <w:highlight w:val="white"/>
          <w:rtl w:val="0"/>
        </w:rPr>
        <w:t xml:space="preserve">Project management for dummies</w:t>
      </w:r>
      <w:r w:rsidDel="00000000" w:rsidR="00000000" w:rsidRPr="00000000">
        <w:rPr>
          <w:highlight w:val="white"/>
          <w:rtl w:val="0"/>
        </w:rPr>
        <w:t xml:space="preserve">. John Wiley and Sons.</w:t>
      </w:r>
    </w:p>
    <w:p w:rsidR="00000000" w:rsidDel="00000000" w:rsidP="00000000" w:rsidRDefault="00000000" w:rsidRPr="00000000" w14:paraId="00000084">
      <w:pPr>
        <w:spacing w:line="360" w:lineRule="auto"/>
        <w:rPr>
          <w:highlight w:val="white"/>
        </w:rPr>
      </w:pPr>
      <w:r w:rsidDel="00000000" w:rsidR="00000000" w:rsidRPr="00000000">
        <w:rPr>
          <w:highlight w:val="white"/>
          <w:rtl w:val="0"/>
        </w:rPr>
        <w:t xml:space="preserve">Walker, A. (2015). </w:t>
      </w:r>
      <w:r w:rsidDel="00000000" w:rsidR="00000000" w:rsidRPr="00000000">
        <w:rPr>
          <w:i w:val="1"/>
          <w:highlight w:val="white"/>
          <w:rtl w:val="0"/>
        </w:rPr>
        <w:t xml:space="preserve">Project management in construction</w:t>
      </w:r>
      <w:r w:rsidDel="00000000" w:rsidR="00000000" w:rsidRPr="00000000">
        <w:rPr>
          <w:highlight w:val="white"/>
          <w:rtl w:val="0"/>
        </w:rPr>
        <w:t xml:space="preserve">. John Wiley and Sons.</w:t>
      </w:r>
    </w:p>
    <w:p w:rsidR="00000000" w:rsidDel="00000000" w:rsidP="00000000" w:rsidRDefault="00000000" w:rsidRPr="00000000" w14:paraId="00000085">
      <w:pPr>
        <w:spacing w:line="360" w:lineRule="auto"/>
        <w:rPr>
          <w:highlight w:val="white"/>
        </w:rPr>
      </w:pPr>
      <w:r w:rsidDel="00000000" w:rsidR="00000000" w:rsidRPr="00000000">
        <w:rPr>
          <w:highlight w:val="white"/>
          <w:rtl w:val="0"/>
        </w:rPr>
        <w:t xml:space="preserve">Wilson, K. B., Bhakoo, V., and Samson, D. (2018). Crowdsourcing: A contemporary form of project management with linkages to open innovation and novel operations. </w:t>
      </w:r>
      <w:r w:rsidDel="00000000" w:rsidR="00000000" w:rsidRPr="00000000">
        <w:rPr>
          <w:i w:val="1"/>
          <w:highlight w:val="white"/>
          <w:rtl w:val="0"/>
        </w:rPr>
        <w:t xml:space="preserve">International Journal of Operations and Production Management</w:t>
      </w:r>
      <w:r w:rsidDel="00000000" w:rsidR="00000000" w:rsidRPr="00000000">
        <w:rPr>
          <w:highlight w:val="white"/>
          <w:rtl w:val="0"/>
        </w:rPr>
        <w:t xml:space="preserve">.</w:t>
      </w:r>
    </w:p>
    <w:sectPr>
      <w:footerReference r:id="rId9"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6">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7">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pPr>
    <w:rPr>
      <w:color w:val="2e75b5"/>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