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olor w:val="4472C4" w:themeColor="accent1"/>
          <w:sz w:val="24"/>
          <w:lang w:val="en-GB" w:eastAsia="en-US"/>
        </w:rPr>
        <w:id w:val="-1465803835"/>
        <w:docPartObj>
          <w:docPartGallery w:val="Cover Pages"/>
          <w:docPartUnique/>
        </w:docPartObj>
      </w:sdtPr>
      <w:sdtEndPr>
        <w:rPr>
          <w:color w:val="auto"/>
        </w:rPr>
      </w:sdtEndPr>
      <w:sdtContent>
        <w:p w14:paraId="7052EE65" w14:textId="07FEC828" w:rsidR="00D35542" w:rsidRDefault="00D35542">
          <w:pPr>
            <w:pStyle w:val="NoSpacing"/>
            <w:spacing w:before="1540" w:after="240"/>
            <w:jc w:val="center"/>
            <w:rPr>
              <w:color w:val="4472C4" w:themeColor="accent1"/>
            </w:rPr>
          </w:pPr>
          <w:r>
            <w:rPr>
              <w:noProof/>
              <w:color w:val="4472C4" w:themeColor="accent1"/>
            </w:rPr>
            <w:drawing>
              <wp:inline distT="0" distB="0" distL="0" distR="0" wp14:anchorId="1BBFEE20" wp14:editId="2D1EF447">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CDC921E60770544D948A7B2CAC754032"/>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890850A" w14:textId="709DAE4D" w:rsidR="00D35542" w:rsidRDefault="00D35542">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LCBB5000 DATA HANDLING AND BUSINESS INTELLIGENCE A2</w:t>
              </w:r>
            </w:p>
          </w:sdtContent>
        </w:sdt>
        <w:sdt>
          <w:sdtPr>
            <w:rPr>
              <w:color w:val="4472C4" w:themeColor="accent1"/>
              <w:sz w:val="28"/>
              <w:szCs w:val="28"/>
            </w:rPr>
            <w:alias w:val="Subtitle"/>
            <w:tag w:val=""/>
            <w:id w:val="328029620"/>
            <w:placeholder>
              <w:docPart w:val="1D2BEF8C0B505542B050A7F0825A2746"/>
            </w:placeholder>
            <w:dataBinding w:prefixMappings="xmlns:ns0='http://purl.org/dc/elements/1.1/' xmlns:ns1='http://schemas.openxmlformats.org/package/2006/metadata/core-properties' " w:xpath="/ns1:coreProperties[1]/ns0:subject[1]" w:storeItemID="{6C3C8BC8-F283-45AE-878A-BAB7291924A1}"/>
            <w:text/>
          </w:sdtPr>
          <w:sdtEndPr/>
          <w:sdtContent>
            <w:p w14:paraId="1B4C9D49" w14:textId="6E17341B" w:rsidR="00D35542" w:rsidRDefault="00D35542">
              <w:pPr>
                <w:pStyle w:val="NoSpacing"/>
                <w:jc w:val="center"/>
                <w:rPr>
                  <w:color w:val="4472C4" w:themeColor="accent1"/>
                  <w:sz w:val="28"/>
                  <w:szCs w:val="28"/>
                </w:rPr>
              </w:pPr>
              <w:r>
                <w:rPr>
                  <w:color w:val="4472C4" w:themeColor="accent1"/>
                  <w:sz w:val="28"/>
                  <w:szCs w:val="28"/>
                </w:rPr>
                <w:t>Module Leader:</w:t>
              </w:r>
              <w:r w:rsidR="00860C8C">
                <w:rPr>
                  <w:color w:val="4472C4" w:themeColor="accent1"/>
                  <w:sz w:val="28"/>
                  <w:szCs w:val="28"/>
                </w:rPr>
                <w:t xml:space="preserve"> JOY BOTU</w:t>
              </w:r>
            </w:p>
          </w:sdtContent>
        </w:sdt>
        <w:p w14:paraId="653ACC63" w14:textId="77777777" w:rsidR="00D35542" w:rsidRDefault="00D35542">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178E198B" wp14:editId="4176A37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0A34AF94" w14:textId="5AE4CEC9" w:rsidR="00D35542" w:rsidRDefault="00D35542">
                                    <w:pPr>
                                      <w:pStyle w:val="NoSpacing"/>
                                      <w:spacing w:after="40"/>
                                      <w:jc w:val="center"/>
                                      <w:rPr>
                                        <w:caps/>
                                        <w:color w:val="4472C4" w:themeColor="accent1"/>
                                        <w:sz w:val="28"/>
                                        <w:szCs w:val="28"/>
                                      </w:rPr>
                                    </w:pPr>
                                    <w:r>
                                      <w:rPr>
                                        <w:caps/>
                                        <w:color w:val="4472C4" w:themeColor="accent1"/>
                                        <w:sz w:val="28"/>
                                        <w:szCs w:val="28"/>
                                      </w:rPr>
                                      <w:t>student id:</w:t>
                                    </w:r>
                                    <w:r w:rsidR="00860C8C">
                                      <w:rPr>
                                        <w:caps/>
                                        <w:color w:val="4472C4" w:themeColor="accent1"/>
                                        <w:sz w:val="28"/>
                                        <w:szCs w:val="28"/>
                                      </w:rPr>
                                      <w:t>1918702</w:t>
                                    </w:r>
                                  </w:p>
                                </w:sdtContent>
                              </w:sdt>
                              <w:p w14:paraId="1E78D788" w14:textId="4A9ACC8B" w:rsidR="00D35542" w:rsidRDefault="007372C2" w:rsidP="00D35542">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D35542">
                                      <w:rPr>
                                        <w:caps/>
                                        <w:color w:val="4472C4" w:themeColor="accent1"/>
                                      </w:rPr>
                                      <w:t>student name:</w:t>
                                    </w:r>
                                  </w:sdtContent>
                                </w:sdt>
                                <w:r w:rsidR="00860C8C">
                                  <w:rPr>
                                    <w:caps/>
                                    <w:color w:val="4472C4" w:themeColor="accent1"/>
                                  </w:rPr>
                                  <w:t xml:space="preserve"> IRINA NACHEVA</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78E198B"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0A34AF94" w14:textId="5AE4CEC9" w:rsidR="00D35542" w:rsidRDefault="00D35542">
                              <w:pPr>
                                <w:pStyle w:val="NoSpacing"/>
                                <w:spacing w:after="40"/>
                                <w:jc w:val="center"/>
                                <w:rPr>
                                  <w:caps/>
                                  <w:color w:val="4472C4" w:themeColor="accent1"/>
                                  <w:sz w:val="28"/>
                                  <w:szCs w:val="28"/>
                                </w:rPr>
                              </w:pPr>
                              <w:r>
                                <w:rPr>
                                  <w:caps/>
                                  <w:color w:val="4472C4" w:themeColor="accent1"/>
                                  <w:sz w:val="28"/>
                                  <w:szCs w:val="28"/>
                                </w:rPr>
                                <w:t>student id:</w:t>
                              </w:r>
                              <w:r w:rsidR="00860C8C">
                                <w:rPr>
                                  <w:caps/>
                                  <w:color w:val="4472C4" w:themeColor="accent1"/>
                                  <w:sz w:val="28"/>
                                  <w:szCs w:val="28"/>
                                </w:rPr>
                                <w:t>1918702</w:t>
                              </w:r>
                            </w:p>
                          </w:sdtContent>
                        </w:sdt>
                        <w:p w14:paraId="1E78D788" w14:textId="4A9ACC8B" w:rsidR="00D35542" w:rsidRDefault="007372C2" w:rsidP="00D35542">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D35542">
                                <w:rPr>
                                  <w:caps/>
                                  <w:color w:val="4472C4" w:themeColor="accent1"/>
                                </w:rPr>
                                <w:t>student name:</w:t>
                              </w:r>
                            </w:sdtContent>
                          </w:sdt>
                          <w:r w:rsidR="00860C8C">
                            <w:rPr>
                              <w:caps/>
                              <w:color w:val="4472C4" w:themeColor="accent1"/>
                            </w:rPr>
                            <w:t xml:space="preserve"> IRINA NACHEVA</w:t>
                          </w:r>
                        </w:p>
                      </w:txbxContent>
                    </v:textbox>
                    <w10:wrap anchorx="margin" anchory="page"/>
                  </v:shape>
                </w:pict>
              </mc:Fallback>
            </mc:AlternateContent>
          </w:r>
          <w:r>
            <w:rPr>
              <w:noProof/>
              <w:color w:val="4472C4" w:themeColor="accent1"/>
            </w:rPr>
            <w:drawing>
              <wp:inline distT="0" distB="0" distL="0" distR="0" wp14:anchorId="7F6AE2E0" wp14:editId="428E9DD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7F66AF3" w14:textId="7F26E4B3" w:rsidR="00D35542" w:rsidRDefault="00D35542">
          <w:pPr>
            <w:spacing w:after="0" w:line="240" w:lineRule="auto"/>
          </w:pPr>
          <w:r>
            <w:br w:type="page"/>
          </w:r>
        </w:p>
      </w:sdtContent>
    </w:sdt>
    <w:sdt>
      <w:sdtPr>
        <w:rPr>
          <w:rFonts w:ascii="Arial" w:eastAsiaTheme="minorHAnsi" w:hAnsi="Arial" w:cstheme="minorBidi"/>
          <w:b w:val="0"/>
          <w:bCs w:val="0"/>
          <w:color w:val="auto"/>
          <w:sz w:val="24"/>
          <w:szCs w:val="22"/>
          <w:lang w:val="en-GB"/>
        </w:rPr>
        <w:id w:val="-1135864379"/>
        <w:docPartObj>
          <w:docPartGallery w:val="Table of Contents"/>
          <w:docPartUnique/>
        </w:docPartObj>
      </w:sdtPr>
      <w:sdtEndPr>
        <w:rPr>
          <w:noProof/>
        </w:rPr>
      </w:sdtEndPr>
      <w:sdtContent>
        <w:p w14:paraId="7DB44807" w14:textId="2E7F2120" w:rsidR="00156711" w:rsidRDefault="00156711">
          <w:pPr>
            <w:pStyle w:val="TOCHeading"/>
          </w:pPr>
          <w:r>
            <w:t>Table of Contents</w:t>
          </w:r>
        </w:p>
        <w:p w14:paraId="3A1240A5" w14:textId="306A1FC1" w:rsidR="00156711" w:rsidRDefault="00156711">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03344417" w:history="1">
            <w:r w:rsidRPr="00900167">
              <w:rPr>
                <w:rStyle w:val="Hyperlink"/>
                <w:noProof/>
              </w:rPr>
              <w:t>Introduction</w:t>
            </w:r>
            <w:r>
              <w:rPr>
                <w:noProof/>
                <w:webHidden/>
              </w:rPr>
              <w:tab/>
            </w:r>
            <w:r>
              <w:rPr>
                <w:noProof/>
                <w:webHidden/>
              </w:rPr>
              <w:fldChar w:fldCharType="begin"/>
            </w:r>
            <w:r>
              <w:rPr>
                <w:noProof/>
                <w:webHidden/>
              </w:rPr>
              <w:instrText xml:space="preserve"> PAGEREF _Toc103344417 \h </w:instrText>
            </w:r>
            <w:r>
              <w:rPr>
                <w:noProof/>
                <w:webHidden/>
              </w:rPr>
            </w:r>
            <w:r>
              <w:rPr>
                <w:noProof/>
                <w:webHidden/>
              </w:rPr>
              <w:fldChar w:fldCharType="separate"/>
            </w:r>
            <w:r>
              <w:rPr>
                <w:noProof/>
                <w:webHidden/>
              </w:rPr>
              <w:t>2</w:t>
            </w:r>
            <w:r>
              <w:rPr>
                <w:noProof/>
                <w:webHidden/>
              </w:rPr>
              <w:fldChar w:fldCharType="end"/>
            </w:r>
          </w:hyperlink>
        </w:p>
        <w:p w14:paraId="6946DCB2" w14:textId="30A32F4F" w:rsidR="00156711" w:rsidRDefault="007372C2">
          <w:pPr>
            <w:pStyle w:val="TOC1"/>
            <w:tabs>
              <w:tab w:val="right" w:leader="dot" w:pos="9016"/>
            </w:tabs>
            <w:rPr>
              <w:noProof/>
            </w:rPr>
          </w:pPr>
          <w:hyperlink w:anchor="_Toc103344418" w:history="1">
            <w:r w:rsidR="00156711" w:rsidRPr="00900167">
              <w:rPr>
                <w:rStyle w:val="Hyperlink"/>
                <w:noProof/>
              </w:rPr>
              <w:t>Part 1</w:t>
            </w:r>
            <w:r w:rsidR="00156711">
              <w:rPr>
                <w:noProof/>
                <w:webHidden/>
              </w:rPr>
              <w:tab/>
            </w:r>
            <w:r w:rsidR="00156711">
              <w:rPr>
                <w:noProof/>
                <w:webHidden/>
              </w:rPr>
              <w:fldChar w:fldCharType="begin"/>
            </w:r>
            <w:r w:rsidR="00156711">
              <w:rPr>
                <w:noProof/>
                <w:webHidden/>
              </w:rPr>
              <w:instrText xml:space="preserve"> PAGEREF _Toc103344418 \h </w:instrText>
            </w:r>
            <w:r w:rsidR="00156711">
              <w:rPr>
                <w:noProof/>
                <w:webHidden/>
              </w:rPr>
            </w:r>
            <w:r w:rsidR="00156711">
              <w:rPr>
                <w:noProof/>
                <w:webHidden/>
              </w:rPr>
              <w:fldChar w:fldCharType="separate"/>
            </w:r>
            <w:r w:rsidR="00156711">
              <w:rPr>
                <w:noProof/>
                <w:webHidden/>
              </w:rPr>
              <w:t>2</w:t>
            </w:r>
            <w:r w:rsidR="00156711">
              <w:rPr>
                <w:noProof/>
                <w:webHidden/>
              </w:rPr>
              <w:fldChar w:fldCharType="end"/>
            </w:r>
          </w:hyperlink>
        </w:p>
        <w:p w14:paraId="5E8D81F0" w14:textId="46F433C3" w:rsidR="00156711" w:rsidRDefault="007372C2">
          <w:pPr>
            <w:pStyle w:val="TOC1"/>
            <w:tabs>
              <w:tab w:val="right" w:leader="dot" w:pos="9016"/>
            </w:tabs>
            <w:rPr>
              <w:noProof/>
            </w:rPr>
          </w:pPr>
          <w:hyperlink w:anchor="_Toc103344419" w:history="1">
            <w:r w:rsidR="00156711" w:rsidRPr="00900167">
              <w:rPr>
                <w:rStyle w:val="Hyperlink"/>
                <w:noProof/>
              </w:rPr>
              <w:t>Part 2</w:t>
            </w:r>
            <w:r w:rsidR="00156711">
              <w:rPr>
                <w:noProof/>
                <w:webHidden/>
              </w:rPr>
              <w:tab/>
            </w:r>
            <w:r w:rsidR="00156711">
              <w:rPr>
                <w:noProof/>
                <w:webHidden/>
              </w:rPr>
              <w:fldChar w:fldCharType="begin"/>
            </w:r>
            <w:r w:rsidR="00156711">
              <w:rPr>
                <w:noProof/>
                <w:webHidden/>
              </w:rPr>
              <w:instrText xml:space="preserve"> PAGEREF _Toc103344419 \h </w:instrText>
            </w:r>
            <w:r w:rsidR="00156711">
              <w:rPr>
                <w:noProof/>
                <w:webHidden/>
              </w:rPr>
            </w:r>
            <w:r w:rsidR="00156711">
              <w:rPr>
                <w:noProof/>
                <w:webHidden/>
              </w:rPr>
              <w:fldChar w:fldCharType="separate"/>
            </w:r>
            <w:r w:rsidR="00156711">
              <w:rPr>
                <w:noProof/>
                <w:webHidden/>
              </w:rPr>
              <w:t>5</w:t>
            </w:r>
            <w:r w:rsidR="00156711">
              <w:rPr>
                <w:noProof/>
                <w:webHidden/>
              </w:rPr>
              <w:fldChar w:fldCharType="end"/>
            </w:r>
          </w:hyperlink>
        </w:p>
        <w:p w14:paraId="75BEB5E4" w14:textId="606724FB" w:rsidR="00156711" w:rsidRDefault="007372C2">
          <w:pPr>
            <w:pStyle w:val="TOC1"/>
            <w:tabs>
              <w:tab w:val="right" w:leader="dot" w:pos="9016"/>
            </w:tabs>
            <w:rPr>
              <w:noProof/>
            </w:rPr>
          </w:pPr>
          <w:hyperlink w:anchor="_Toc103344420" w:history="1">
            <w:r w:rsidR="00156711" w:rsidRPr="00900167">
              <w:rPr>
                <w:rStyle w:val="Hyperlink"/>
                <w:noProof/>
              </w:rPr>
              <w:t>References</w:t>
            </w:r>
            <w:r w:rsidR="00156711">
              <w:rPr>
                <w:noProof/>
                <w:webHidden/>
              </w:rPr>
              <w:tab/>
            </w:r>
            <w:r w:rsidR="00156711">
              <w:rPr>
                <w:noProof/>
                <w:webHidden/>
              </w:rPr>
              <w:fldChar w:fldCharType="begin"/>
            </w:r>
            <w:r w:rsidR="00156711">
              <w:rPr>
                <w:noProof/>
                <w:webHidden/>
              </w:rPr>
              <w:instrText xml:space="preserve"> PAGEREF _Toc103344420 \h </w:instrText>
            </w:r>
            <w:r w:rsidR="00156711">
              <w:rPr>
                <w:noProof/>
                <w:webHidden/>
              </w:rPr>
            </w:r>
            <w:r w:rsidR="00156711">
              <w:rPr>
                <w:noProof/>
                <w:webHidden/>
              </w:rPr>
              <w:fldChar w:fldCharType="separate"/>
            </w:r>
            <w:r w:rsidR="00156711">
              <w:rPr>
                <w:noProof/>
                <w:webHidden/>
              </w:rPr>
              <w:t>8</w:t>
            </w:r>
            <w:r w:rsidR="00156711">
              <w:rPr>
                <w:noProof/>
                <w:webHidden/>
              </w:rPr>
              <w:fldChar w:fldCharType="end"/>
            </w:r>
          </w:hyperlink>
        </w:p>
        <w:p w14:paraId="083C2D2E" w14:textId="7002979C" w:rsidR="00156711" w:rsidRDefault="00156711">
          <w:r>
            <w:rPr>
              <w:b/>
              <w:bCs/>
              <w:noProof/>
            </w:rPr>
            <w:fldChar w:fldCharType="end"/>
          </w:r>
        </w:p>
      </w:sdtContent>
    </w:sdt>
    <w:p w14:paraId="32F01724" w14:textId="3BAE9089" w:rsidR="00D35542" w:rsidRDefault="00D35542"/>
    <w:p w14:paraId="32EBAA7E" w14:textId="77777777" w:rsidR="00D35542" w:rsidRDefault="00D35542">
      <w:pPr>
        <w:spacing w:after="0" w:line="240" w:lineRule="auto"/>
      </w:pPr>
      <w:r>
        <w:br w:type="page"/>
      </w:r>
    </w:p>
    <w:p w14:paraId="0A38AF6D" w14:textId="726E007C" w:rsidR="00FE6EE1" w:rsidRDefault="00D35542" w:rsidP="00D35542">
      <w:pPr>
        <w:pStyle w:val="Heading1"/>
      </w:pPr>
      <w:bookmarkStart w:id="0" w:name="_Toc103344417"/>
      <w:r>
        <w:lastRenderedPageBreak/>
        <w:t>Introduction</w:t>
      </w:r>
      <w:bookmarkEnd w:id="0"/>
    </w:p>
    <w:p w14:paraId="01157FAD" w14:textId="18FE6CD6" w:rsidR="00D35542" w:rsidRDefault="004E7E9C">
      <w:r>
        <w:t xml:space="preserve">The purpose of this report is to apply software for data handling and analysing business intelligence metrics through the use of Excel, pivot tables especially, and other forms to analyse crime rate in the first part of the report and ice cream flavour preference for students in the second part of the report. There is also provided analysis for the use of SSPS and Excel including advantages and disadvantages of each and which model would be more preferable for analytics use in cases such as the context of ice cream flavour analysis and crime rate analysis. </w:t>
      </w:r>
    </w:p>
    <w:p w14:paraId="2A82BB7C" w14:textId="73A201BD" w:rsidR="00D35542" w:rsidRDefault="00D35542" w:rsidP="00D35542">
      <w:pPr>
        <w:pStyle w:val="Heading1"/>
      </w:pPr>
      <w:bookmarkStart w:id="1" w:name="_Toc103344418"/>
      <w:r>
        <w:t>Part 1</w:t>
      </w:r>
      <w:bookmarkEnd w:id="1"/>
    </w:p>
    <w:p w14:paraId="2929B21D" w14:textId="7EE597CE" w:rsidR="004E7E9C" w:rsidRDefault="004E7E9C" w:rsidP="004E7E9C">
      <w:r>
        <w:t>This first part looks at the potential correlation between high unemployment in younger and older people and how this may impact the increase or decrease of crime rate in the area of the United Kingdom. The data collected is provided through a case study Excel file and the interpretation of results is provided below including the first tables with the original figures.</w:t>
      </w:r>
    </w:p>
    <w:p w14:paraId="48FDBC96" w14:textId="18E9B5A0" w:rsidR="004E7E9C" w:rsidRDefault="004E7E9C" w:rsidP="004E7E9C">
      <w:r>
        <w:rPr>
          <w:noProof/>
        </w:rPr>
        <w:drawing>
          <wp:inline distT="0" distB="0" distL="0" distR="0" wp14:anchorId="58E97A97" wp14:editId="6EAC444B">
            <wp:extent cx="5613400" cy="2971800"/>
            <wp:effectExtent l="0" t="0" r="0" b="0"/>
            <wp:docPr id="1"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613400" cy="2971800"/>
                    </a:xfrm>
                    <a:prstGeom prst="rect">
                      <a:avLst/>
                    </a:prstGeom>
                  </pic:spPr>
                </pic:pic>
              </a:graphicData>
            </a:graphic>
          </wp:inline>
        </w:drawing>
      </w:r>
    </w:p>
    <w:p w14:paraId="684ED8C3" w14:textId="2C63DFB8" w:rsidR="004E7E9C" w:rsidRDefault="004E7E9C" w:rsidP="001B543F">
      <w:pPr>
        <w:pStyle w:val="ListParagraph"/>
        <w:numPr>
          <w:ilvl w:val="0"/>
          <w:numId w:val="1"/>
        </w:numPr>
      </w:pPr>
      <w:r>
        <w:t>The red colour represents the number of individuals who have a form of secondary and higher education.</w:t>
      </w:r>
    </w:p>
    <w:p w14:paraId="692961AB" w14:textId="16259A69" w:rsidR="004E7E9C" w:rsidRDefault="004E7E9C" w:rsidP="001B543F">
      <w:pPr>
        <w:pStyle w:val="ListParagraph"/>
        <w:numPr>
          <w:ilvl w:val="0"/>
          <w:numId w:val="1"/>
        </w:numPr>
      </w:pPr>
      <w:r>
        <w:t>The green colour represents the total number of individuals included in the group for labour force.</w:t>
      </w:r>
    </w:p>
    <w:p w14:paraId="3BA16884" w14:textId="5E8BA3A7" w:rsidR="004E7E9C" w:rsidRDefault="004E7E9C" w:rsidP="001B543F">
      <w:pPr>
        <w:pStyle w:val="ListParagraph"/>
        <w:numPr>
          <w:ilvl w:val="0"/>
          <w:numId w:val="1"/>
        </w:numPr>
      </w:pPr>
      <w:r>
        <w:t>The blue colour represents the total number of individuals who are young and unemployed.</w:t>
      </w:r>
    </w:p>
    <w:p w14:paraId="300288B8" w14:textId="4EDA5893" w:rsidR="004E7E9C" w:rsidRDefault="004E7E9C" w:rsidP="001B543F">
      <w:pPr>
        <w:pStyle w:val="ListParagraph"/>
        <w:numPr>
          <w:ilvl w:val="0"/>
          <w:numId w:val="1"/>
        </w:numPr>
      </w:pPr>
      <w:r>
        <w:t>The orange colour represents the total number of individuals who commit crimes.</w:t>
      </w:r>
    </w:p>
    <w:p w14:paraId="2984ECBA" w14:textId="2F4995F9" w:rsidR="004E7E9C" w:rsidRDefault="004E7E9C" w:rsidP="001B543F">
      <w:pPr>
        <w:pStyle w:val="ListParagraph"/>
        <w:numPr>
          <w:ilvl w:val="0"/>
          <w:numId w:val="1"/>
        </w:numPr>
      </w:pPr>
      <w:r>
        <w:t>The light blue colour represents the individuals with total wage figure which is above the minimal standard.</w:t>
      </w:r>
    </w:p>
    <w:p w14:paraId="64F30C94" w14:textId="749C5958" w:rsidR="004E7E9C" w:rsidRDefault="004E7E9C" w:rsidP="001B543F">
      <w:pPr>
        <w:pStyle w:val="ListParagraph"/>
        <w:numPr>
          <w:ilvl w:val="0"/>
          <w:numId w:val="1"/>
        </w:numPr>
      </w:pPr>
      <w:r>
        <w:t xml:space="preserve">The last colour on the furthest right represented as Brown shows the sum total of the individuals who have </w:t>
      </w:r>
      <w:r w:rsidR="001B543F">
        <w:t>which is below the minimal standard.</w:t>
      </w:r>
    </w:p>
    <w:p w14:paraId="2D1C7151" w14:textId="68298C8B" w:rsidR="001B543F" w:rsidRDefault="001B543F" w:rsidP="004E7E9C">
      <w:r>
        <w:lastRenderedPageBreak/>
        <w:t>The analysis of the graph is provided in the table below including all of the figures to approximation which have been used:</w:t>
      </w:r>
    </w:p>
    <w:tbl>
      <w:tblPr>
        <w:tblStyle w:val="GridTable4-Accent1"/>
        <w:tblW w:w="9947" w:type="dxa"/>
        <w:tblLook w:val="04A0" w:firstRow="1" w:lastRow="0" w:firstColumn="1" w:lastColumn="0" w:noHBand="0" w:noVBand="1"/>
      </w:tblPr>
      <w:tblGrid>
        <w:gridCol w:w="951"/>
        <w:gridCol w:w="1178"/>
        <w:gridCol w:w="1113"/>
        <w:gridCol w:w="1557"/>
        <w:gridCol w:w="1640"/>
        <w:gridCol w:w="1103"/>
        <w:gridCol w:w="1227"/>
        <w:gridCol w:w="1178"/>
      </w:tblGrid>
      <w:tr w:rsidR="001B543F" w14:paraId="0698F9C7" w14:textId="77777777" w:rsidTr="001B543F">
        <w:trPr>
          <w:cnfStyle w:val="100000000000" w:firstRow="1" w:lastRow="0" w:firstColumn="0" w:lastColumn="0" w:oddVBand="0" w:evenVBand="0" w:oddHBand="0" w:evenHBand="0" w:firstRowFirstColumn="0" w:firstRowLastColumn="0" w:lastRowFirstColumn="0" w:lastRowLastColumn="0"/>
          <w:trHeight w:val="1880"/>
        </w:trPr>
        <w:tc>
          <w:tcPr>
            <w:cnfStyle w:val="001000000000" w:firstRow="0" w:lastRow="0" w:firstColumn="1" w:lastColumn="0" w:oddVBand="0" w:evenVBand="0" w:oddHBand="0" w:evenHBand="0" w:firstRowFirstColumn="0" w:firstRowLastColumn="0" w:lastRowFirstColumn="0" w:lastRowLastColumn="0"/>
            <w:tcW w:w="911" w:type="dxa"/>
          </w:tcPr>
          <w:p w14:paraId="012AD556" w14:textId="495F6179" w:rsidR="001B543F" w:rsidRPr="001B543F" w:rsidRDefault="001B543F" w:rsidP="004E7E9C">
            <w:pPr>
              <w:rPr>
                <w:sz w:val="22"/>
                <w:szCs w:val="21"/>
              </w:rPr>
            </w:pPr>
            <w:r w:rsidRPr="001B543F">
              <w:rPr>
                <w:sz w:val="22"/>
                <w:szCs w:val="21"/>
              </w:rPr>
              <w:t>The row label</w:t>
            </w:r>
          </w:p>
        </w:tc>
        <w:tc>
          <w:tcPr>
            <w:tcW w:w="1185" w:type="dxa"/>
          </w:tcPr>
          <w:p w14:paraId="634702BB" w14:textId="0C9EBD00" w:rsidR="001B543F" w:rsidRPr="001B543F" w:rsidRDefault="001B543F" w:rsidP="004E7E9C">
            <w:pPr>
              <w:cnfStyle w:val="100000000000" w:firstRow="1" w:lastRow="0" w:firstColumn="0" w:lastColumn="0" w:oddVBand="0" w:evenVBand="0" w:oddHBand="0" w:evenHBand="0" w:firstRowFirstColumn="0" w:firstRowLastColumn="0" w:lastRowFirstColumn="0" w:lastRowLastColumn="0"/>
              <w:rPr>
                <w:sz w:val="22"/>
                <w:szCs w:val="21"/>
              </w:rPr>
            </w:pPr>
            <w:r w:rsidRPr="001B543F">
              <w:rPr>
                <w:sz w:val="22"/>
                <w:szCs w:val="21"/>
              </w:rPr>
              <w:t>The total estimate of crime rate</w:t>
            </w:r>
          </w:p>
        </w:tc>
        <w:tc>
          <w:tcPr>
            <w:tcW w:w="1121" w:type="dxa"/>
          </w:tcPr>
          <w:p w14:paraId="3640AC82" w14:textId="6E2F6787" w:rsidR="001B543F" w:rsidRPr="001B543F" w:rsidRDefault="001B543F" w:rsidP="004E7E9C">
            <w:pPr>
              <w:cnfStyle w:val="100000000000" w:firstRow="1" w:lastRow="0" w:firstColumn="0" w:lastColumn="0" w:oddVBand="0" w:evenVBand="0" w:oddHBand="0" w:evenHBand="0" w:firstRowFirstColumn="0" w:firstRowLastColumn="0" w:lastRowFirstColumn="0" w:lastRowLastColumn="0"/>
              <w:rPr>
                <w:sz w:val="22"/>
                <w:szCs w:val="21"/>
              </w:rPr>
            </w:pPr>
            <w:r w:rsidRPr="001B543F">
              <w:rPr>
                <w:sz w:val="22"/>
                <w:szCs w:val="21"/>
              </w:rPr>
              <w:t>The total number of males</w:t>
            </w:r>
          </w:p>
        </w:tc>
        <w:tc>
          <w:tcPr>
            <w:tcW w:w="1561" w:type="dxa"/>
          </w:tcPr>
          <w:p w14:paraId="6A26BDBB" w14:textId="33E07657" w:rsidR="001B543F" w:rsidRPr="001B543F" w:rsidRDefault="001B543F" w:rsidP="004E7E9C">
            <w:pPr>
              <w:cnfStyle w:val="100000000000" w:firstRow="1" w:lastRow="0" w:firstColumn="0" w:lastColumn="0" w:oddVBand="0" w:evenVBand="0" w:oddHBand="0" w:evenHBand="0" w:firstRowFirstColumn="0" w:firstRowLastColumn="0" w:lastRowFirstColumn="0" w:lastRowLastColumn="0"/>
              <w:rPr>
                <w:sz w:val="22"/>
                <w:szCs w:val="21"/>
              </w:rPr>
            </w:pPr>
            <w:r w:rsidRPr="001B543F">
              <w:rPr>
                <w:sz w:val="22"/>
                <w:szCs w:val="21"/>
              </w:rPr>
              <w:t>The total number of young unemployed individuals</w:t>
            </w:r>
          </w:p>
        </w:tc>
        <w:tc>
          <w:tcPr>
            <w:tcW w:w="1642" w:type="dxa"/>
          </w:tcPr>
          <w:p w14:paraId="6B49AC36" w14:textId="66CEC1B9" w:rsidR="001B543F" w:rsidRPr="001B543F" w:rsidRDefault="001B543F" w:rsidP="004E7E9C">
            <w:pPr>
              <w:cnfStyle w:val="100000000000" w:firstRow="1" w:lastRow="0" w:firstColumn="0" w:lastColumn="0" w:oddVBand="0" w:evenVBand="0" w:oddHBand="0" w:evenHBand="0" w:firstRowFirstColumn="0" w:firstRowLastColumn="0" w:lastRowFirstColumn="0" w:lastRowLastColumn="0"/>
              <w:rPr>
                <w:sz w:val="22"/>
                <w:szCs w:val="21"/>
              </w:rPr>
            </w:pPr>
            <w:r w:rsidRPr="001B543F">
              <w:rPr>
                <w:sz w:val="22"/>
                <w:szCs w:val="21"/>
              </w:rPr>
              <w:t>The total percentage of high employability for young people</w:t>
            </w:r>
          </w:p>
        </w:tc>
        <w:tc>
          <w:tcPr>
            <w:tcW w:w="1112" w:type="dxa"/>
          </w:tcPr>
          <w:p w14:paraId="0460886F" w14:textId="3DFAB899" w:rsidR="001B543F" w:rsidRPr="001B543F" w:rsidRDefault="001B543F" w:rsidP="004E7E9C">
            <w:pPr>
              <w:cnfStyle w:val="100000000000" w:firstRow="1" w:lastRow="0" w:firstColumn="0" w:lastColumn="0" w:oddVBand="0" w:evenVBand="0" w:oddHBand="0" w:evenHBand="0" w:firstRowFirstColumn="0" w:firstRowLastColumn="0" w:lastRowFirstColumn="0" w:lastRowLastColumn="0"/>
              <w:rPr>
                <w:sz w:val="22"/>
                <w:szCs w:val="21"/>
              </w:rPr>
            </w:pPr>
            <w:r w:rsidRPr="001B543F">
              <w:rPr>
                <w:sz w:val="22"/>
                <w:szCs w:val="21"/>
              </w:rPr>
              <w:t>Total amount of wage</w:t>
            </w:r>
          </w:p>
        </w:tc>
        <w:tc>
          <w:tcPr>
            <w:tcW w:w="1230" w:type="dxa"/>
          </w:tcPr>
          <w:p w14:paraId="065EC4B2" w14:textId="08ADB934" w:rsidR="001B543F" w:rsidRPr="001B543F" w:rsidRDefault="001B543F" w:rsidP="004E7E9C">
            <w:pPr>
              <w:cnfStyle w:val="100000000000" w:firstRow="1" w:lastRow="0" w:firstColumn="0" w:lastColumn="0" w:oddVBand="0" w:evenVBand="0" w:oddHBand="0" w:evenHBand="0" w:firstRowFirstColumn="0" w:firstRowLastColumn="0" w:lastRowFirstColumn="0" w:lastRowLastColumn="0"/>
              <w:rPr>
                <w:sz w:val="22"/>
                <w:szCs w:val="21"/>
              </w:rPr>
            </w:pPr>
            <w:r w:rsidRPr="001B543F">
              <w:rPr>
                <w:sz w:val="22"/>
                <w:szCs w:val="21"/>
              </w:rPr>
              <w:t>Total amount of wage below the minimum standard</w:t>
            </w:r>
          </w:p>
        </w:tc>
        <w:tc>
          <w:tcPr>
            <w:tcW w:w="1185" w:type="dxa"/>
          </w:tcPr>
          <w:p w14:paraId="7CACA73E" w14:textId="65E240B1" w:rsidR="001B543F" w:rsidRPr="001B543F" w:rsidRDefault="001B543F" w:rsidP="004E7E9C">
            <w:pPr>
              <w:cnfStyle w:val="100000000000" w:firstRow="1" w:lastRow="0" w:firstColumn="0" w:lastColumn="0" w:oddVBand="0" w:evenVBand="0" w:oddHBand="0" w:evenHBand="0" w:firstRowFirstColumn="0" w:firstRowLastColumn="0" w:lastRowFirstColumn="0" w:lastRowLastColumn="0"/>
              <w:rPr>
                <w:sz w:val="22"/>
                <w:szCs w:val="21"/>
              </w:rPr>
            </w:pPr>
            <w:r w:rsidRPr="001B543F">
              <w:rPr>
                <w:sz w:val="22"/>
                <w:szCs w:val="21"/>
              </w:rPr>
              <w:t>Total estimate of crime rate</w:t>
            </w:r>
          </w:p>
        </w:tc>
      </w:tr>
      <w:tr w:rsidR="001B543F" w14:paraId="2939182C" w14:textId="77777777" w:rsidTr="001B543F">
        <w:trPr>
          <w:cnfStyle w:val="000000100000" w:firstRow="0" w:lastRow="0" w:firstColumn="0" w:lastColumn="0" w:oddVBand="0" w:evenVBand="0" w:oddHBand="1" w:evenHBand="0" w:firstRowFirstColumn="0" w:firstRowLastColumn="0" w:lastRowFirstColumn="0" w:lastRowLastColumn="0"/>
          <w:trHeight w:val="410"/>
        </w:trPr>
        <w:tc>
          <w:tcPr>
            <w:cnfStyle w:val="001000000000" w:firstRow="0" w:lastRow="0" w:firstColumn="1" w:lastColumn="0" w:oddVBand="0" w:evenVBand="0" w:oddHBand="0" w:evenHBand="0" w:firstRowFirstColumn="0" w:firstRowLastColumn="0" w:lastRowFirstColumn="0" w:lastRowLastColumn="0"/>
            <w:tcW w:w="911" w:type="dxa"/>
          </w:tcPr>
          <w:p w14:paraId="35B2EB56" w14:textId="20884121" w:rsidR="001B543F" w:rsidRPr="001B543F" w:rsidRDefault="001B543F" w:rsidP="004E7E9C">
            <w:pPr>
              <w:rPr>
                <w:sz w:val="22"/>
                <w:szCs w:val="21"/>
              </w:rPr>
            </w:pPr>
            <w:r>
              <w:rPr>
                <w:sz w:val="22"/>
                <w:szCs w:val="21"/>
              </w:rPr>
              <w:t>0</w:t>
            </w:r>
          </w:p>
        </w:tc>
        <w:tc>
          <w:tcPr>
            <w:tcW w:w="1185" w:type="dxa"/>
          </w:tcPr>
          <w:p w14:paraId="2BFB03E2" w14:textId="3E571F64" w:rsidR="001B543F" w:rsidRPr="001B543F" w:rsidRDefault="001B543F" w:rsidP="004E7E9C">
            <w:pPr>
              <w:cnfStyle w:val="000000100000" w:firstRow="0" w:lastRow="0" w:firstColumn="0" w:lastColumn="0" w:oddVBand="0" w:evenVBand="0" w:oddHBand="1" w:evenHBand="0" w:firstRowFirstColumn="0" w:firstRowLastColumn="0" w:lastRowFirstColumn="0" w:lastRowLastColumn="0"/>
              <w:rPr>
                <w:sz w:val="22"/>
                <w:szCs w:val="21"/>
              </w:rPr>
            </w:pPr>
            <w:r>
              <w:rPr>
                <w:sz w:val="22"/>
                <w:szCs w:val="21"/>
              </w:rPr>
              <w:t>3221.1</w:t>
            </w:r>
          </w:p>
        </w:tc>
        <w:tc>
          <w:tcPr>
            <w:tcW w:w="1121" w:type="dxa"/>
          </w:tcPr>
          <w:p w14:paraId="57D0AD12" w14:textId="761FD5D4" w:rsidR="001B543F" w:rsidRPr="001B543F" w:rsidRDefault="001B543F" w:rsidP="004E7E9C">
            <w:pPr>
              <w:cnfStyle w:val="000000100000" w:firstRow="0" w:lastRow="0" w:firstColumn="0" w:lastColumn="0" w:oddVBand="0" w:evenVBand="0" w:oddHBand="1" w:evenHBand="0" w:firstRowFirstColumn="0" w:firstRowLastColumn="0" w:lastRowFirstColumn="0" w:lastRowLastColumn="0"/>
              <w:rPr>
                <w:sz w:val="22"/>
                <w:szCs w:val="21"/>
              </w:rPr>
            </w:pPr>
            <w:r>
              <w:rPr>
                <w:sz w:val="22"/>
                <w:szCs w:val="21"/>
              </w:rPr>
              <w:t>30678</w:t>
            </w:r>
          </w:p>
        </w:tc>
        <w:tc>
          <w:tcPr>
            <w:tcW w:w="1561" w:type="dxa"/>
          </w:tcPr>
          <w:p w14:paraId="7B8C7FAD" w14:textId="1F8CBB4A" w:rsidR="001B543F" w:rsidRPr="001B543F" w:rsidRDefault="001B543F" w:rsidP="004E7E9C">
            <w:pPr>
              <w:cnfStyle w:val="000000100000" w:firstRow="0" w:lastRow="0" w:firstColumn="0" w:lastColumn="0" w:oddVBand="0" w:evenVBand="0" w:oddHBand="1" w:evenHBand="0" w:firstRowFirstColumn="0" w:firstRowLastColumn="0" w:lastRowFirstColumn="0" w:lastRowLastColumn="0"/>
              <w:rPr>
                <w:sz w:val="22"/>
                <w:szCs w:val="21"/>
              </w:rPr>
            </w:pPr>
            <w:r>
              <w:rPr>
                <w:sz w:val="22"/>
                <w:szCs w:val="21"/>
              </w:rPr>
              <w:t>3028</w:t>
            </w:r>
          </w:p>
        </w:tc>
        <w:tc>
          <w:tcPr>
            <w:tcW w:w="1642" w:type="dxa"/>
          </w:tcPr>
          <w:p w14:paraId="580AFE84" w14:textId="2E200F60" w:rsidR="001B543F" w:rsidRPr="001B543F" w:rsidRDefault="001B543F" w:rsidP="004E7E9C">
            <w:pPr>
              <w:cnfStyle w:val="000000100000" w:firstRow="0" w:lastRow="0" w:firstColumn="0" w:lastColumn="0" w:oddVBand="0" w:evenVBand="0" w:oddHBand="1" w:evenHBand="0" w:firstRowFirstColumn="0" w:firstRowLastColumn="0" w:lastRowFirstColumn="0" w:lastRowLastColumn="0"/>
              <w:rPr>
                <w:sz w:val="22"/>
                <w:szCs w:val="21"/>
              </w:rPr>
            </w:pPr>
            <w:r>
              <w:rPr>
                <w:sz w:val="22"/>
                <w:szCs w:val="21"/>
              </w:rPr>
              <w:t>14</w:t>
            </w:r>
          </w:p>
        </w:tc>
        <w:tc>
          <w:tcPr>
            <w:tcW w:w="1112" w:type="dxa"/>
          </w:tcPr>
          <w:p w14:paraId="38D2F2BC" w14:textId="2DA243C9" w:rsidR="001B543F" w:rsidRPr="001B543F" w:rsidRDefault="001B543F" w:rsidP="004E7E9C">
            <w:pPr>
              <w:cnfStyle w:val="000000100000" w:firstRow="0" w:lastRow="0" w:firstColumn="0" w:lastColumn="0" w:oddVBand="0" w:evenVBand="0" w:oddHBand="1" w:evenHBand="0" w:firstRowFirstColumn="0" w:firstRowLastColumn="0" w:lastRowFirstColumn="0" w:lastRowLastColumn="0"/>
              <w:rPr>
                <w:sz w:val="22"/>
                <w:szCs w:val="21"/>
              </w:rPr>
            </w:pPr>
            <w:r>
              <w:rPr>
                <w:sz w:val="22"/>
                <w:szCs w:val="21"/>
              </w:rPr>
              <w:t>17641</w:t>
            </w:r>
          </w:p>
        </w:tc>
        <w:tc>
          <w:tcPr>
            <w:tcW w:w="1230" w:type="dxa"/>
          </w:tcPr>
          <w:p w14:paraId="0FB6D58A" w14:textId="0513269D" w:rsidR="001B543F" w:rsidRPr="001B543F" w:rsidRDefault="001B543F" w:rsidP="004E7E9C">
            <w:pPr>
              <w:cnfStyle w:val="000000100000" w:firstRow="0" w:lastRow="0" w:firstColumn="0" w:lastColumn="0" w:oddVBand="0" w:evenVBand="0" w:oddHBand="1" w:evenHBand="0" w:firstRowFirstColumn="0" w:firstRowLastColumn="0" w:lastRowFirstColumn="0" w:lastRowLastColumn="0"/>
              <w:rPr>
                <w:sz w:val="22"/>
                <w:szCs w:val="21"/>
              </w:rPr>
            </w:pPr>
            <w:r>
              <w:rPr>
                <w:sz w:val="22"/>
                <w:szCs w:val="21"/>
              </w:rPr>
              <w:t>5366</w:t>
            </w:r>
          </w:p>
        </w:tc>
        <w:tc>
          <w:tcPr>
            <w:tcW w:w="1185" w:type="dxa"/>
          </w:tcPr>
          <w:p w14:paraId="742ACE4B" w14:textId="78EA9C40" w:rsidR="001B543F" w:rsidRPr="001B543F" w:rsidRDefault="001B543F" w:rsidP="004E7E9C">
            <w:pPr>
              <w:cnfStyle w:val="000000100000" w:firstRow="0" w:lastRow="0" w:firstColumn="0" w:lastColumn="0" w:oddVBand="0" w:evenVBand="0" w:oddHBand="1" w:evenHBand="0" w:firstRowFirstColumn="0" w:firstRowLastColumn="0" w:lastRowFirstColumn="0" w:lastRowLastColumn="0"/>
              <w:rPr>
                <w:sz w:val="22"/>
                <w:szCs w:val="21"/>
              </w:rPr>
            </w:pPr>
            <w:r>
              <w:rPr>
                <w:sz w:val="22"/>
                <w:szCs w:val="21"/>
              </w:rPr>
              <w:t>3188.9</w:t>
            </w:r>
          </w:p>
        </w:tc>
      </w:tr>
      <w:tr w:rsidR="001B543F" w14:paraId="3D8B3960" w14:textId="77777777" w:rsidTr="001B543F">
        <w:trPr>
          <w:trHeight w:val="410"/>
        </w:trPr>
        <w:tc>
          <w:tcPr>
            <w:cnfStyle w:val="001000000000" w:firstRow="0" w:lastRow="0" w:firstColumn="1" w:lastColumn="0" w:oddVBand="0" w:evenVBand="0" w:oddHBand="0" w:evenHBand="0" w:firstRowFirstColumn="0" w:firstRowLastColumn="0" w:lastRowFirstColumn="0" w:lastRowLastColumn="0"/>
            <w:tcW w:w="911" w:type="dxa"/>
          </w:tcPr>
          <w:p w14:paraId="0E610C74" w14:textId="26376322" w:rsidR="001B543F" w:rsidRPr="001B543F" w:rsidRDefault="001B543F" w:rsidP="004E7E9C">
            <w:pPr>
              <w:rPr>
                <w:sz w:val="22"/>
                <w:szCs w:val="21"/>
              </w:rPr>
            </w:pPr>
            <w:r>
              <w:rPr>
                <w:sz w:val="22"/>
                <w:szCs w:val="21"/>
              </w:rPr>
              <w:t>1</w:t>
            </w:r>
          </w:p>
        </w:tc>
        <w:tc>
          <w:tcPr>
            <w:tcW w:w="1185" w:type="dxa"/>
          </w:tcPr>
          <w:p w14:paraId="3C278805" w14:textId="03EEA159" w:rsidR="001B543F" w:rsidRPr="001B543F" w:rsidRDefault="001B543F" w:rsidP="004E7E9C">
            <w:pPr>
              <w:cnfStyle w:val="000000000000" w:firstRow="0" w:lastRow="0" w:firstColumn="0" w:lastColumn="0" w:oddVBand="0" w:evenVBand="0" w:oddHBand="0" w:evenHBand="0" w:firstRowFirstColumn="0" w:firstRowLastColumn="0" w:lastRowFirstColumn="0" w:lastRowLastColumn="0"/>
              <w:rPr>
                <w:sz w:val="22"/>
                <w:szCs w:val="21"/>
              </w:rPr>
            </w:pPr>
            <w:r>
              <w:rPr>
                <w:sz w:val="22"/>
                <w:szCs w:val="21"/>
              </w:rPr>
              <w:t>1610.9</w:t>
            </w:r>
          </w:p>
        </w:tc>
        <w:tc>
          <w:tcPr>
            <w:tcW w:w="1121" w:type="dxa"/>
          </w:tcPr>
          <w:p w14:paraId="539A0567" w14:textId="5A89C3D1" w:rsidR="001B543F" w:rsidRPr="001B543F" w:rsidRDefault="001B543F" w:rsidP="004E7E9C">
            <w:pPr>
              <w:cnfStyle w:val="000000000000" w:firstRow="0" w:lastRow="0" w:firstColumn="0" w:lastColumn="0" w:oddVBand="0" w:evenVBand="0" w:oddHBand="0" w:evenHBand="0" w:firstRowFirstColumn="0" w:firstRowLastColumn="0" w:lastRowFirstColumn="0" w:lastRowLastColumn="0"/>
              <w:rPr>
                <w:sz w:val="22"/>
                <w:szCs w:val="21"/>
              </w:rPr>
            </w:pPr>
            <w:r>
              <w:rPr>
                <w:sz w:val="22"/>
                <w:szCs w:val="21"/>
              </w:rPr>
              <w:t>15524</w:t>
            </w:r>
          </w:p>
        </w:tc>
        <w:tc>
          <w:tcPr>
            <w:tcW w:w="1561" w:type="dxa"/>
          </w:tcPr>
          <w:p w14:paraId="56CE153C" w14:textId="6D74334C" w:rsidR="001B543F" w:rsidRPr="001B543F" w:rsidRDefault="001B543F" w:rsidP="004E7E9C">
            <w:pPr>
              <w:cnfStyle w:val="000000000000" w:firstRow="0" w:lastRow="0" w:firstColumn="0" w:lastColumn="0" w:oddVBand="0" w:evenVBand="0" w:oddHBand="0" w:evenHBand="0" w:firstRowFirstColumn="0" w:firstRowLastColumn="0" w:lastRowFirstColumn="0" w:lastRowLastColumn="0"/>
              <w:rPr>
                <w:sz w:val="22"/>
                <w:szCs w:val="21"/>
              </w:rPr>
            </w:pPr>
            <w:r>
              <w:rPr>
                <w:sz w:val="22"/>
                <w:szCs w:val="21"/>
              </w:rPr>
              <w:t>1459</w:t>
            </w:r>
          </w:p>
        </w:tc>
        <w:tc>
          <w:tcPr>
            <w:tcW w:w="1642" w:type="dxa"/>
          </w:tcPr>
          <w:p w14:paraId="3B119050" w14:textId="1EFAA886" w:rsidR="001B543F" w:rsidRPr="001B543F" w:rsidRDefault="001B543F" w:rsidP="004E7E9C">
            <w:pPr>
              <w:cnfStyle w:val="000000000000" w:firstRow="0" w:lastRow="0" w:firstColumn="0" w:lastColumn="0" w:oddVBand="0" w:evenVBand="0" w:oddHBand="0" w:evenHBand="0" w:firstRowFirstColumn="0" w:firstRowLastColumn="0" w:lastRowFirstColumn="0" w:lastRowLastColumn="0"/>
              <w:rPr>
                <w:sz w:val="22"/>
                <w:szCs w:val="21"/>
              </w:rPr>
            </w:pPr>
            <w:r>
              <w:rPr>
                <w:sz w:val="22"/>
                <w:szCs w:val="21"/>
              </w:rPr>
              <w:t>1</w:t>
            </w:r>
          </w:p>
        </w:tc>
        <w:tc>
          <w:tcPr>
            <w:tcW w:w="1112" w:type="dxa"/>
          </w:tcPr>
          <w:p w14:paraId="2BDA2E05" w14:textId="29019F80" w:rsidR="001B543F" w:rsidRPr="001B543F" w:rsidRDefault="001B543F" w:rsidP="004E7E9C">
            <w:pPr>
              <w:cnfStyle w:val="000000000000" w:firstRow="0" w:lastRow="0" w:firstColumn="0" w:lastColumn="0" w:oddVBand="0" w:evenVBand="0" w:oddHBand="0" w:evenHBand="0" w:firstRowFirstColumn="0" w:firstRowLastColumn="0" w:lastRowFirstColumn="0" w:lastRowLastColumn="0"/>
              <w:rPr>
                <w:sz w:val="22"/>
                <w:szCs w:val="21"/>
              </w:rPr>
            </w:pPr>
            <w:r>
              <w:rPr>
                <w:sz w:val="22"/>
                <w:szCs w:val="21"/>
              </w:rPr>
              <w:t>7052</w:t>
            </w:r>
          </w:p>
        </w:tc>
        <w:tc>
          <w:tcPr>
            <w:tcW w:w="1230" w:type="dxa"/>
          </w:tcPr>
          <w:p w14:paraId="6C24514D" w14:textId="7B5EFAF8" w:rsidR="001B543F" w:rsidRPr="001B543F" w:rsidRDefault="001B543F" w:rsidP="004E7E9C">
            <w:pPr>
              <w:cnfStyle w:val="000000000000" w:firstRow="0" w:lastRow="0" w:firstColumn="0" w:lastColumn="0" w:oddVBand="0" w:evenVBand="0" w:oddHBand="0" w:evenHBand="0" w:firstRowFirstColumn="0" w:firstRowLastColumn="0" w:lastRowFirstColumn="0" w:lastRowLastColumn="0"/>
              <w:rPr>
                <w:sz w:val="22"/>
                <w:szCs w:val="21"/>
              </w:rPr>
            </w:pPr>
            <w:r>
              <w:rPr>
                <w:sz w:val="22"/>
                <w:szCs w:val="21"/>
              </w:rPr>
              <w:t>3752</w:t>
            </w:r>
          </w:p>
        </w:tc>
        <w:tc>
          <w:tcPr>
            <w:tcW w:w="1185" w:type="dxa"/>
          </w:tcPr>
          <w:p w14:paraId="484FEEDC" w14:textId="7F16A2F8" w:rsidR="001B543F" w:rsidRPr="001B543F" w:rsidRDefault="001B543F" w:rsidP="004E7E9C">
            <w:pPr>
              <w:cnfStyle w:val="000000000000" w:firstRow="0" w:lastRow="0" w:firstColumn="0" w:lastColumn="0" w:oddVBand="0" w:evenVBand="0" w:oddHBand="0" w:evenHBand="0" w:firstRowFirstColumn="0" w:firstRowLastColumn="0" w:lastRowFirstColumn="0" w:lastRowLastColumn="0"/>
              <w:rPr>
                <w:sz w:val="22"/>
                <w:szCs w:val="21"/>
              </w:rPr>
            </w:pPr>
            <w:r>
              <w:rPr>
                <w:sz w:val="22"/>
                <w:szCs w:val="21"/>
              </w:rPr>
              <w:t>1608.4</w:t>
            </w:r>
          </w:p>
        </w:tc>
      </w:tr>
      <w:tr w:rsidR="001B543F" w14:paraId="5B83CB9C" w14:textId="77777777" w:rsidTr="001B543F">
        <w:trPr>
          <w:cnfStyle w:val="000000100000" w:firstRow="0" w:lastRow="0" w:firstColumn="0" w:lastColumn="0" w:oddVBand="0" w:evenVBand="0" w:oddHBand="1" w:evenHBand="0" w:firstRowFirstColumn="0" w:firstRowLastColumn="0" w:lastRowFirstColumn="0" w:lastRowLastColumn="0"/>
          <w:trHeight w:val="395"/>
        </w:trPr>
        <w:tc>
          <w:tcPr>
            <w:cnfStyle w:val="001000000000" w:firstRow="0" w:lastRow="0" w:firstColumn="1" w:lastColumn="0" w:oddVBand="0" w:evenVBand="0" w:oddHBand="0" w:evenHBand="0" w:firstRowFirstColumn="0" w:firstRowLastColumn="0" w:lastRowFirstColumn="0" w:lastRowLastColumn="0"/>
            <w:tcW w:w="911" w:type="dxa"/>
          </w:tcPr>
          <w:p w14:paraId="2124EE58" w14:textId="055FD462" w:rsidR="001B543F" w:rsidRPr="001B543F" w:rsidRDefault="001B543F" w:rsidP="004E7E9C">
            <w:pPr>
              <w:rPr>
                <w:sz w:val="22"/>
                <w:szCs w:val="21"/>
              </w:rPr>
            </w:pPr>
            <w:r>
              <w:rPr>
                <w:sz w:val="22"/>
                <w:szCs w:val="21"/>
              </w:rPr>
              <w:t>TOTAL</w:t>
            </w:r>
          </w:p>
        </w:tc>
        <w:tc>
          <w:tcPr>
            <w:tcW w:w="1185" w:type="dxa"/>
          </w:tcPr>
          <w:p w14:paraId="20D870F9" w14:textId="6C45B00F" w:rsidR="001B543F" w:rsidRPr="001B543F" w:rsidRDefault="001B543F" w:rsidP="004E7E9C">
            <w:pPr>
              <w:cnfStyle w:val="000000100000" w:firstRow="0" w:lastRow="0" w:firstColumn="0" w:lastColumn="0" w:oddVBand="0" w:evenVBand="0" w:oddHBand="1" w:evenHBand="0" w:firstRowFirstColumn="0" w:firstRowLastColumn="0" w:lastRowFirstColumn="0" w:lastRowLastColumn="0"/>
              <w:rPr>
                <w:b/>
                <w:bCs/>
                <w:sz w:val="22"/>
                <w:szCs w:val="21"/>
              </w:rPr>
            </w:pPr>
            <w:r w:rsidRPr="001B543F">
              <w:rPr>
                <w:b/>
                <w:bCs/>
                <w:sz w:val="22"/>
                <w:szCs w:val="21"/>
              </w:rPr>
              <w:t>4832</w:t>
            </w:r>
          </w:p>
        </w:tc>
        <w:tc>
          <w:tcPr>
            <w:tcW w:w="1121" w:type="dxa"/>
          </w:tcPr>
          <w:p w14:paraId="2A72D37B" w14:textId="3B0A5074" w:rsidR="001B543F" w:rsidRPr="001B543F" w:rsidRDefault="001B543F" w:rsidP="004E7E9C">
            <w:pPr>
              <w:cnfStyle w:val="000000100000" w:firstRow="0" w:lastRow="0" w:firstColumn="0" w:lastColumn="0" w:oddVBand="0" w:evenVBand="0" w:oddHBand="1" w:evenHBand="0" w:firstRowFirstColumn="0" w:firstRowLastColumn="0" w:lastRowFirstColumn="0" w:lastRowLastColumn="0"/>
              <w:rPr>
                <w:b/>
                <w:bCs/>
                <w:sz w:val="22"/>
                <w:szCs w:val="21"/>
              </w:rPr>
            </w:pPr>
            <w:r w:rsidRPr="001B543F">
              <w:rPr>
                <w:b/>
                <w:bCs/>
                <w:sz w:val="22"/>
                <w:szCs w:val="21"/>
              </w:rPr>
              <w:t>46202</w:t>
            </w:r>
          </w:p>
        </w:tc>
        <w:tc>
          <w:tcPr>
            <w:tcW w:w="1561" w:type="dxa"/>
          </w:tcPr>
          <w:p w14:paraId="1227D30E" w14:textId="1985295E" w:rsidR="001B543F" w:rsidRPr="001B543F" w:rsidRDefault="001B543F" w:rsidP="004E7E9C">
            <w:pPr>
              <w:cnfStyle w:val="000000100000" w:firstRow="0" w:lastRow="0" w:firstColumn="0" w:lastColumn="0" w:oddVBand="0" w:evenVBand="0" w:oddHBand="1" w:evenHBand="0" w:firstRowFirstColumn="0" w:firstRowLastColumn="0" w:lastRowFirstColumn="0" w:lastRowLastColumn="0"/>
              <w:rPr>
                <w:b/>
                <w:bCs/>
                <w:sz w:val="22"/>
                <w:szCs w:val="21"/>
              </w:rPr>
            </w:pPr>
            <w:r w:rsidRPr="001B543F">
              <w:rPr>
                <w:b/>
                <w:bCs/>
                <w:sz w:val="22"/>
                <w:szCs w:val="21"/>
              </w:rPr>
              <w:t>4487</w:t>
            </w:r>
          </w:p>
        </w:tc>
        <w:tc>
          <w:tcPr>
            <w:tcW w:w="1642" w:type="dxa"/>
          </w:tcPr>
          <w:p w14:paraId="1CD86A7F" w14:textId="0E83E90F" w:rsidR="001B543F" w:rsidRPr="001B543F" w:rsidRDefault="001B543F" w:rsidP="004E7E9C">
            <w:pPr>
              <w:cnfStyle w:val="000000100000" w:firstRow="0" w:lastRow="0" w:firstColumn="0" w:lastColumn="0" w:oddVBand="0" w:evenVBand="0" w:oddHBand="1" w:evenHBand="0" w:firstRowFirstColumn="0" w:firstRowLastColumn="0" w:lastRowFirstColumn="0" w:lastRowLastColumn="0"/>
              <w:rPr>
                <w:b/>
                <w:bCs/>
                <w:sz w:val="22"/>
                <w:szCs w:val="21"/>
              </w:rPr>
            </w:pPr>
            <w:r w:rsidRPr="001B543F">
              <w:rPr>
                <w:b/>
                <w:bCs/>
                <w:sz w:val="22"/>
                <w:szCs w:val="21"/>
              </w:rPr>
              <w:t>15</w:t>
            </w:r>
          </w:p>
        </w:tc>
        <w:tc>
          <w:tcPr>
            <w:tcW w:w="1112" w:type="dxa"/>
          </w:tcPr>
          <w:p w14:paraId="357A5CA2" w14:textId="339FA1B1" w:rsidR="001B543F" w:rsidRPr="001B543F" w:rsidRDefault="001B543F" w:rsidP="004E7E9C">
            <w:pPr>
              <w:cnfStyle w:val="000000100000" w:firstRow="0" w:lastRow="0" w:firstColumn="0" w:lastColumn="0" w:oddVBand="0" w:evenVBand="0" w:oddHBand="1" w:evenHBand="0" w:firstRowFirstColumn="0" w:firstRowLastColumn="0" w:lastRowFirstColumn="0" w:lastRowLastColumn="0"/>
              <w:rPr>
                <w:b/>
                <w:bCs/>
                <w:sz w:val="22"/>
                <w:szCs w:val="21"/>
              </w:rPr>
            </w:pPr>
            <w:r w:rsidRPr="001B543F">
              <w:rPr>
                <w:b/>
                <w:bCs/>
                <w:sz w:val="22"/>
                <w:szCs w:val="21"/>
              </w:rPr>
              <w:t>24693</w:t>
            </w:r>
          </w:p>
        </w:tc>
        <w:tc>
          <w:tcPr>
            <w:tcW w:w="1230" w:type="dxa"/>
          </w:tcPr>
          <w:p w14:paraId="32408C2B" w14:textId="5A1A954E" w:rsidR="001B543F" w:rsidRPr="001B543F" w:rsidRDefault="001B543F" w:rsidP="004E7E9C">
            <w:pPr>
              <w:cnfStyle w:val="000000100000" w:firstRow="0" w:lastRow="0" w:firstColumn="0" w:lastColumn="0" w:oddVBand="0" w:evenVBand="0" w:oddHBand="1" w:evenHBand="0" w:firstRowFirstColumn="0" w:firstRowLastColumn="0" w:lastRowFirstColumn="0" w:lastRowLastColumn="0"/>
              <w:rPr>
                <w:b/>
                <w:bCs/>
                <w:sz w:val="22"/>
                <w:szCs w:val="21"/>
              </w:rPr>
            </w:pPr>
            <w:r w:rsidRPr="001B543F">
              <w:rPr>
                <w:b/>
                <w:bCs/>
                <w:sz w:val="22"/>
                <w:szCs w:val="21"/>
              </w:rPr>
              <w:t>9118</w:t>
            </w:r>
          </w:p>
        </w:tc>
        <w:tc>
          <w:tcPr>
            <w:tcW w:w="1185" w:type="dxa"/>
          </w:tcPr>
          <w:p w14:paraId="714E14E0" w14:textId="22FAD0A6" w:rsidR="001B543F" w:rsidRPr="001B543F" w:rsidRDefault="001B543F" w:rsidP="004E7E9C">
            <w:pPr>
              <w:cnfStyle w:val="000000100000" w:firstRow="0" w:lastRow="0" w:firstColumn="0" w:lastColumn="0" w:oddVBand="0" w:evenVBand="0" w:oddHBand="1" w:evenHBand="0" w:firstRowFirstColumn="0" w:firstRowLastColumn="0" w:lastRowFirstColumn="0" w:lastRowLastColumn="0"/>
              <w:rPr>
                <w:b/>
                <w:bCs/>
                <w:sz w:val="22"/>
                <w:szCs w:val="21"/>
              </w:rPr>
            </w:pPr>
            <w:r w:rsidRPr="001B543F">
              <w:rPr>
                <w:b/>
                <w:bCs/>
                <w:sz w:val="22"/>
                <w:szCs w:val="21"/>
              </w:rPr>
              <w:t>4797.3</w:t>
            </w:r>
          </w:p>
        </w:tc>
      </w:tr>
    </w:tbl>
    <w:p w14:paraId="524C36DB" w14:textId="77777777" w:rsidR="001B543F" w:rsidRDefault="001B543F" w:rsidP="004E7E9C"/>
    <w:p w14:paraId="1415337F" w14:textId="7864D7BD" w:rsidR="00682C61" w:rsidRDefault="00682C61" w:rsidP="00682C61">
      <w:r>
        <w:t xml:space="preserve">The information involves the design of the data to be shared with others. Henceforth, as indicated by </w:t>
      </w:r>
      <w:r w:rsidR="00775DF4" w:rsidRPr="00775DF4">
        <w:t>Cleff</w:t>
      </w:r>
      <w:r w:rsidR="00775DF4">
        <w:t xml:space="preserve"> (</w:t>
      </w:r>
      <w:r w:rsidR="00775DF4" w:rsidRPr="00775DF4">
        <w:t>2014)</w:t>
      </w:r>
      <w:r w:rsidR="00775DF4">
        <w:t xml:space="preserve"> </w:t>
      </w:r>
      <w:r>
        <w:t xml:space="preserve">care for information is necessary to ensure the reliability of information (for this situation business information), as it is prone to concerns about the welfare, maintenance and classification of business information. Proper organization of information care can also lead to consequences with powerful and accessible capacity, recovery and disposal of information. In addition, information is paramount in business, as investigating information can help businesses determine customer behavior, improve independent direction, market diversions, and detect a company's arrival (return on investment) from its promotion efforts. According to </w:t>
      </w:r>
      <w:r w:rsidR="00775DF4" w:rsidRPr="00775DF4">
        <w:t>Chudoba, Hauser and Olsen</w:t>
      </w:r>
      <w:r w:rsidR="00775DF4">
        <w:t xml:space="preserve"> (</w:t>
      </w:r>
      <w:r w:rsidR="00775DF4" w:rsidRPr="00775DF4">
        <w:t>2011</w:t>
      </w:r>
      <w:r>
        <w:t xml:space="preserve">), information should be relevant while </w:t>
      </w:r>
      <w:r w:rsidR="00775DF4">
        <w:t>analysing</w:t>
      </w:r>
      <w:r>
        <w:t xml:space="preserve"> for business purposes to understand customers, market scope and opposition, as business results and efficiency rely entirely on information research.</w:t>
      </w:r>
    </w:p>
    <w:p w14:paraId="0C655CE1" w14:textId="53B6FA2B" w:rsidR="00682C61" w:rsidRDefault="00682C61" w:rsidP="00682C61">
      <w:r>
        <w:t>The verification of the information was performed on MS Succeed, using appropriate general measurements, including the calculation of standard insights, ie. mean, mean, mode, range and standard deviation. The findings were also presented by visual presentation through diagrams and outlines to further reflect the findings. By presenting information, fragments of information that require consideration can be effectively distinguished</w:t>
      </w:r>
      <w:r w:rsidR="00775DF4">
        <w:t xml:space="preserve">. </w:t>
      </w:r>
      <w:r>
        <w:t>Nowadays, proficiency in accounting depends on the basic calculation sheet to the various risk asset classification programming (eg SAP). This product helps accountants decipher the result (</w:t>
      </w:r>
      <w:r w:rsidR="00775DF4">
        <w:t>Shmueli, 2018).</w:t>
      </w:r>
    </w:p>
    <w:p w14:paraId="27A8D561" w14:textId="756BBB17" w:rsidR="00682C61" w:rsidRDefault="00682C61" w:rsidP="00682C61">
      <w:r>
        <w:t xml:space="preserve">The explanation for this is the discount rate between 1 and 9%, but it reached 10% in 2010. The higher discount rate reduces the share of the benefits of transaction revenue. This condition and the dubious circumstance facing the crime rate are further discussed </w:t>
      </w:r>
      <w:r w:rsidR="00775DF4">
        <w:t>by</w:t>
      </w:r>
      <w:r>
        <w:t xml:space="preserve"> </w:t>
      </w:r>
      <w:r w:rsidR="00775DF4">
        <w:t>Shmueli (2018</w:t>
      </w:r>
      <w:r>
        <w:t xml:space="preserve">). However, the focus was on assessing the impact of transactions on benefits. The investigation found that the issue of reducing compensation rates in avant-garde economies has come to the fore and has been </w:t>
      </w:r>
      <w:r>
        <w:lastRenderedPageBreak/>
        <w:t xml:space="preserve">successful, given the need to halt the progress of wrongdoing and stagnation and crisis. These trends are usually </w:t>
      </w:r>
      <w:r w:rsidR="00775DF4">
        <w:t>analysed</w:t>
      </w:r>
      <w:r>
        <w:t xml:space="preserve"> within the framework of Keynesian, post-Keynesian. As the amount of compensation is only one of the various reasons for the complexity and propensity of private enterprises to emergency, communist perspectives, various explanations, including the problem of underutilization, the anarchic nature of free enterprise and lack of reserves, absurd financialization and more</w:t>
      </w:r>
      <w:r w:rsidR="00775DF4">
        <w:t>.</w:t>
      </w:r>
    </w:p>
    <w:p w14:paraId="130EBDD3" w14:textId="135A76D0" w:rsidR="00682C61" w:rsidRDefault="00682C61" w:rsidP="00682C61">
      <w:r>
        <w:t xml:space="preserve">The rotation shown in </w:t>
      </w:r>
      <w:r w:rsidR="00775DF4">
        <w:t>the table</w:t>
      </w:r>
      <w:r>
        <w:t xml:space="preserve"> above deciphers the number of transactions and benefits divided into different customer parts and item classes in the Superstore. With the help of the table, understanding the use of elements in different locales and provinces is easy. The customers of the supermarket are divided into corporate, workspace, private company and buyer. Nevertheless, the benefits of buyer's furniture and corporate innovation in general contrast sharply with the benefits of corporate furniture, buyer's innovation and corporate office supplies. In addition, this pivot table shows the relationship between the benefits of customer sections.</w:t>
      </w:r>
    </w:p>
    <w:p w14:paraId="0C32EDB2" w14:textId="6A23BAB4" w:rsidR="00CE5371" w:rsidRDefault="00682C61" w:rsidP="00682C61">
      <w:r>
        <w:t>The crime rate has the potential to increase for compensated people who like to buy items and administrations for their homes, corporate organizations that profit from items for use in the workplace, and workspaces for representatives who work remotely. From the investigation it can be said that the furniture they buy from the buyers is something bought by a large part of the customers during the specified period of time. Then office supplies are in second place and workspace is in third place. Thus, to ensure that it is also important to outline how crime rates in general will be a common and critical problem for younger people, who face many more problems, especially if they do not have parental control or support. They can compete with applicants, the administration must ensure that they constantly change these elements in accordance with the changing or changing requirements and inclinations of their clients, so that their clients can feel a sense of commitment and respect and change the elements with its imperative critique.</w:t>
      </w:r>
    </w:p>
    <w:p w14:paraId="22BF1DB6" w14:textId="77777777" w:rsidR="00682C61" w:rsidRDefault="00682C61" w:rsidP="00682C61">
      <w:r>
        <w:t>In any case, independent company furniture and home furniture are the two items that are not sold properly; thus, these two regions need to be improved to ensure the nature of the administrations and the elements.</w:t>
      </w:r>
    </w:p>
    <w:p w14:paraId="18E38930" w14:textId="7337F5E0" w:rsidR="00682C61" w:rsidRDefault="00682C61" w:rsidP="00682C61">
      <w:r>
        <w:t xml:space="preserve">The provided table characterizes the amount requested by buyers in the different fragments and by different areas and regions. For example, there are more than 400 </w:t>
      </w:r>
      <w:r w:rsidR="00775DF4">
        <w:t>individuals assessed in the UK</w:t>
      </w:r>
      <w:r>
        <w:t>. various items, but in general, this shows that corporate office supplies require higher requirements. On the other hand, the buyer's office supplies are in second place in demand. For the Atlantic region, interest in office supplies for buyers is undeniable.</w:t>
      </w:r>
    </w:p>
    <w:p w14:paraId="5240C040" w14:textId="2B3EA69E" w:rsidR="00CE5371" w:rsidRDefault="00682C61" w:rsidP="00CE5371">
      <w:r>
        <w:t xml:space="preserve">On the other hand, interest in consumables for </w:t>
      </w:r>
      <w:r w:rsidR="00775DF4">
        <w:t>crime</w:t>
      </w:r>
      <w:r>
        <w:t xml:space="preserve"> in the United Kingdom is somewhere in the range of 15 and 40, but ranks second in demand in this area. Besides, if we assume that we are deciphering the part of the area, the corporate </w:t>
      </w:r>
      <w:r>
        <w:lastRenderedPageBreak/>
        <w:t>and office consumables for buyers were something similar. If we assume that we connect the requested amount and the benefit, it is seen that the higher the amount of the request, the greater the benefit. For example, corporate office supplies are required as an exception. Subsequently, the advantage for this item and part in each of the premises and territories deciphers the most remarkable level of benefit.</w:t>
      </w:r>
    </w:p>
    <w:p w14:paraId="7D1071A3" w14:textId="4D31E1D6" w:rsidR="00D35542" w:rsidRDefault="00D35542" w:rsidP="00D35542">
      <w:pPr>
        <w:pStyle w:val="Heading1"/>
      </w:pPr>
      <w:bookmarkStart w:id="2" w:name="_Toc103344419"/>
      <w:r>
        <w:t>Part 2</w:t>
      </w:r>
      <w:bookmarkEnd w:id="2"/>
    </w:p>
    <w:p w14:paraId="0DB19E18" w14:textId="1C74B80F" w:rsidR="00406761" w:rsidRDefault="00180852" w:rsidP="00406761">
      <w:r>
        <w:t>This is the second part of the report is looking at assessment firstly on the flavours that students prefer and analysing the differences that occur in the choices of males and females. The other section of this part of the report will look at the use of SSPS and Excel in terms of advantages and disadvantages and the techniques applied.</w:t>
      </w:r>
    </w:p>
    <w:p w14:paraId="44C5DDBB" w14:textId="78EB5C13" w:rsidR="00180852" w:rsidRDefault="00180852" w:rsidP="00406761">
      <w:r>
        <w:t>Analysing mould is a common type of occurrence which is usually expressed as a percentage and will be applied in analysing how students respond to their preferences or ice cream</w:t>
      </w:r>
      <w:r w:rsidR="00775DF4">
        <w:t xml:space="preserve"> (Peter, 2020)</w:t>
      </w:r>
      <w:r>
        <w:t>. Their choices do not depend on the rate of occurrence and this is why they can choose to get the vanilla flavour when we look at the latent variable. On the other hand, there is a multi model distribution which is also referred to as a buy model distribution and can be used for organisational structure of characterisation in the case of using more than two modes. Uniform distribution is a lack of a method in clear definition.</w:t>
      </w:r>
    </w:p>
    <w:p w14:paraId="5FF3CB57" w14:textId="154F56F8" w:rsidR="00180852" w:rsidRDefault="00180852" w:rsidP="00406761">
      <w:r>
        <w:t>When the results are interpreted in accordance to the case study context table provided from Excel, it is seen that no more than 1% of individuals actually indicated that the vanilla ice cream flavour is their favourite one.</w:t>
      </w:r>
    </w:p>
    <w:p w14:paraId="1FC81C9F" w14:textId="1A5FC418" w:rsidR="00180852" w:rsidRDefault="00180852" w:rsidP="00406761">
      <w:r>
        <w:t>Vanilla – 1</w:t>
      </w:r>
    </w:p>
    <w:p w14:paraId="40C8B46C" w14:textId="7A7B0867" w:rsidR="00180852" w:rsidRDefault="00180852" w:rsidP="00406761">
      <w:r>
        <w:t>Chocolate – 2</w:t>
      </w:r>
    </w:p>
    <w:p w14:paraId="1BA9372B" w14:textId="61034654" w:rsidR="00180852" w:rsidRDefault="00180852" w:rsidP="00406761">
      <w:r>
        <w:t>Strawberry – 3</w:t>
      </w:r>
    </w:p>
    <w:p w14:paraId="65E214E8" w14:textId="00EF36D7" w:rsidR="00180852" w:rsidRDefault="00180852" w:rsidP="00406761">
      <w:r>
        <w:t xml:space="preserve">There are only female students from the provided contextual table in the Excel file and their total number is 109. There are no male participants in this research. There is a distribution therefore of 100% of female students and there is only one female student that chose vanilla as their favourite ice cream flavour. </w:t>
      </w:r>
    </w:p>
    <w:p w14:paraId="7417848F" w14:textId="6E32A3D4" w:rsidR="00180852" w:rsidRDefault="00180852" w:rsidP="00406761">
      <w:r>
        <w:t>In terms of analysing the mean and median for the participants include it in the research for flavours such as strawberry and chocolate, it is first important to mention that the main is the average and the median is the statistical middle</w:t>
      </w:r>
      <w:r w:rsidR="00775DF4">
        <w:t xml:space="preserve"> (Peter, 2020)</w:t>
      </w:r>
      <w:r>
        <w:t xml:space="preserve">. </w:t>
      </w:r>
      <w:r w:rsidR="00662AA4">
        <w:t>There are only ratio variables or interval variables which can be applied to calculate the mean in the research and the majority of the data originates from the mean since it is a good measure of individual observation for each participant. It is also important to state that there is a larger preference over analysing mean rather than the median since it is more quickly responded to. The results are provided below:</w:t>
      </w:r>
    </w:p>
    <w:p w14:paraId="63F2ECA5" w14:textId="6C3B2B64" w:rsidR="00662AA4" w:rsidRDefault="00662AA4" w:rsidP="00406761">
      <w:r>
        <w:lastRenderedPageBreak/>
        <w:t>Mean – 1.815</w:t>
      </w:r>
    </w:p>
    <w:p w14:paraId="34FC898C" w14:textId="6611C728" w:rsidR="00662AA4" w:rsidRDefault="00662AA4" w:rsidP="00406761">
      <w:r>
        <w:t>Standard Error – 0.061</w:t>
      </w:r>
    </w:p>
    <w:p w14:paraId="53123760" w14:textId="13412CCC" w:rsidR="00662AA4" w:rsidRDefault="00662AA4" w:rsidP="00406761">
      <w:r>
        <w:t>Median – 2</w:t>
      </w:r>
    </w:p>
    <w:p w14:paraId="5025D935" w14:textId="17CC74F8" w:rsidR="00662AA4" w:rsidRDefault="00662AA4" w:rsidP="00406761">
      <w:r>
        <w:t>Mode – 1</w:t>
      </w:r>
    </w:p>
    <w:p w14:paraId="4C1070A0" w14:textId="5B5CE886" w:rsidR="00662AA4" w:rsidRDefault="00662AA4" w:rsidP="00406761">
      <w:r>
        <w:t>Standard Deviation – 0.857</w:t>
      </w:r>
    </w:p>
    <w:p w14:paraId="16514894" w14:textId="16FCBD0F" w:rsidR="00662AA4" w:rsidRPr="00406761" w:rsidRDefault="00662AA4" w:rsidP="00406761">
      <w:r>
        <w:t>The results provided are to 3 decimal points.</w:t>
      </w:r>
    </w:p>
    <w:p w14:paraId="4C728535" w14:textId="1168CFD9" w:rsidR="00662AA4" w:rsidRDefault="00662AA4" w:rsidP="00662AA4">
      <w:r>
        <w:t xml:space="preserve">This part of the study shows compelling insights. Expressive measurements are used to characterize the information displayed, insofar as the numbers address information removed for testing. It is also useful to easily find out what measure of the part is feasible for the study </w:t>
      </w:r>
      <w:r w:rsidR="00775DF4" w:rsidRPr="00775DF4">
        <w:t>(Sanders, 2014)</w:t>
      </w:r>
      <w:r w:rsidR="00775DF4">
        <w:t xml:space="preserve">. </w:t>
      </w:r>
      <w:r>
        <w:t>Clear insights include two sections, one is the focal tilt and the other is the distraction. Our attention is focused on the focal tilt. This part of the review fragments the face into two parts.</w:t>
      </w:r>
    </w:p>
    <w:p w14:paraId="606D16EC" w14:textId="77777777" w:rsidR="00662AA4" w:rsidRDefault="00662AA4" w:rsidP="00662AA4">
      <w:r>
        <w:t>Grouping is not the same as AI techniques, as it focuses on characteristic design, divisions, and information details. In this way, the contrast between the information in one group and the information from another cluster is simple. Nevertheless, the information and its approval and verification of the address provide the prerequisite for decrypting the information. The grouping study gives a study scale that is between -1 and +1. +1 means that the information in one group matches the information in another group.</w:t>
      </w:r>
    </w:p>
    <w:p w14:paraId="54153F50" w14:textId="5252F120" w:rsidR="00662AA4" w:rsidRDefault="00662AA4" w:rsidP="00662AA4">
      <w:r>
        <w:t xml:space="preserve">In addition, the grouping of information is fundamental, as a huge amount of information is integrated in the example, which is different in the emphasis </w:t>
      </w:r>
      <w:r w:rsidR="00156711" w:rsidRPr="00156711">
        <w:t>(Lu, 2020)</w:t>
      </w:r>
      <w:r>
        <w:t xml:space="preserve">. Subsequently, we establish the estimate of the average coefficient within the outlined measure in order to assess the quality of the group for one group in order to </w:t>
      </w:r>
      <w:r w:rsidR="00D441B7">
        <w:t>analyse</w:t>
      </w:r>
      <w:r>
        <w:t xml:space="preserve"> it. The quality of grouping somewhere in the range of 0.5 and 1 refers to the great quality of the group, below </w:t>
      </w:r>
      <w:r w:rsidR="00D441B7">
        <w:t>1</w:t>
      </w:r>
      <w:r>
        <w:t>, but above 0.2 refers to the good quality of the group; however, below 0.</w:t>
      </w:r>
      <w:r w:rsidR="00D441B7">
        <w:t>5</w:t>
      </w:r>
      <w:r>
        <w:t xml:space="preserve"> the low quality group is shown, which suggests that the information in one group does not match the information in another group. From the study done, it can be said that the quality of the group falls within </w:t>
      </w:r>
      <w:r w:rsidR="00D441B7">
        <w:t>1</w:t>
      </w:r>
      <w:r>
        <w:t xml:space="preserve"> which ensures that the announced information about the proposed study is reliable and legitimate.</w:t>
      </w:r>
    </w:p>
    <w:p w14:paraId="4E2AC943" w14:textId="77777777" w:rsidR="00662AA4" w:rsidRDefault="00662AA4" w:rsidP="00662AA4">
      <w:r>
        <w:t>Techniques for information digging and its models:</w:t>
      </w:r>
    </w:p>
    <w:p w14:paraId="5A77EA14" w14:textId="168D093D" w:rsidR="00662AA4" w:rsidRDefault="00662AA4" w:rsidP="00662AA4">
      <w:r>
        <w:t xml:space="preserve">In order to separate information from a wide range of populations, it is important to understand the relationship and information design. For this reason, the process of extracting information is an intriguing and valuable thing for scientists and information experts. In any case, accurate retrieval of information is important on the grounds that it achieves the expected total revenue, manageability of performance, alleviates risk factors in achieving the objectives and the appropriate location of blunders and extortion. Various strategies help organizations remove research </w:t>
      </w:r>
      <w:r>
        <w:lastRenderedPageBreak/>
        <w:t xml:space="preserve">information. Information Dissemination (KDD) is a cycle that extracts relevant data for research purposes. Information retrieval is an important part of KDD </w:t>
      </w:r>
      <w:r w:rsidR="00156711" w:rsidRPr="00156711">
        <w:t>(Lu, 2020)</w:t>
      </w:r>
      <w:r w:rsidR="00156711">
        <w:t xml:space="preserve">. </w:t>
      </w:r>
      <w:r>
        <w:t>Methods of retrieving information include clearing information, the following examples, affiliation, grouping, recurrence, prognosis, and sequential example.</w:t>
      </w:r>
    </w:p>
    <w:p w14:paraId="455BD9D5" w14:textId="77777777" w:rsidR="00662AA4" w:rsidRDefault="00662AA4" w:rsidP="00662AA4">
      <w:r>
        <w:t>1. The following example</w:t>
      </w:r>
    </w:p>
    <w:p w14:paraId="6FC08EAD" w14:textId="3C3F6AE2" w:rsidR="00662AA4" w:rsidRDefault="00662AA4" w:rsidP="00662AA4">
      <w:r>
        <w:t xml:space="preserve">The following example is a basic information retrieval design that is valuable for distinguishing and following examples in information. Monitoring and recognizing information is crucial for assessing future business performance </w:t>
      </w:r>
      <w:r w:rsidR="00156711" w:rsidRPr="00156711">
        <w:t>(Al-Hashami, 2014)</w:t>
      </w:r>
      <w:r w:rsidR="00156711">
        <w:t xml:space="preserve">. </w:t>
      </w:r>
      <w:r>
        <w:t>For example, Coronavirus has an adverse effect on the stock exchange. Therefore, the corporate share requires internal and external research of past models and examples and their tracking while investing resources in financial exchange.</w:t>
      </w:r>
    </w:p>
    <w:p w14:paraId="492E7BEE" w14:textId="77777777" w:rsidR="00662AA4" w:rsidRDefault="00662AA4" w:rsidP="00662AA4">
      <w:r>
        <w:t>2. Grouping and relapse</w:t>
      </w:r>
    </w:p>
    <w:p w14:paraId="175547AF" w14:textId="6C82FDBB" w:rsidR="00662AA4" w:rsidRDefault="00662AA4" w:rsidP="00662AA4">
      <w:r>
        <w:t xml:space="preserve">The method of extracting information such as grouping and relapse is an important model of the cycle. This strategy is used to study the information and decipher the SPSS assistance when accessing the model. For example, the transfer of endeavors and the identification of objects is done in groups to analyze fragments of information. On the other hand, relapse is the actual apparatus that connects the dependent variable due to the other variable, which is free. Basically, relapse takes a digital set of data and promotes a math recipe that matches the data. For example, a study was conducted on the island of Kish to measure the development of the study data set and to extract geological information according to this information retrieval procedure </w:t>
      </w:r>
      <w:r w:rsidR="00156711" w:rsidRPr="00156711">
        <w:t>(Al-Hashami, 2014)</w:t>
      </w:r>
      <w:r w:rsidR="00156711">
        <w:t xml:space="preserve">. </w:t>
      </w:r>
    </w:p>
    <w:p w14:paraId="3DABBF78" w14:textId="77777777" w:rsidR="00662AA4" w:rsidRDefault="00662AA4" w:rsidP="00662AA4">
      <w:r>
        <w:t>3. SPSS against Excel</w:t>
      </w:r>
    </w:p>
    <w:p w14:paraId="478BFFEE" w14:textId="1DD27657" w:rsidR="00662AA4" w:rsidRDefault="00662AA4" w:rsidP="00662AA4">
      <w:r w:rsidRPr="00662AA4">
        <w:t xml:space="preserve">The exchange of data from speculative chemistry studies to SPSS is prohibited. The SAV configuration makes the way to download, control and share data great and basic. Using the SAV plan, SPSS configures and imports the appropriate variable names, variable varieties, titles, and value names, making the relationship much less difficult for researchers. Convincingly, SPSS </w:t>
      </w:r>
      <w:r w:rsidR="00156711">
        <w:t xml:space="preserve">is used </w:t>
      </w:r>
      <w:r w:rsidRPr="00662AA4">
        <w:t xml:space="preserve">when </w:t>
      </w:r>
      <w:r w:rsidR="00156711">
        <w:t>researchers</w:t>
      </w:r>
      <w:r w:rsidRPr="00662AA4">
        <w:t xml:space="preserve"> need a flexible, flexible way to deal with extremely detailed even the most unusual educational assortments </w:t>
      </w:r>
      <w:r w:rsidR="00156711" w:rsidRPr="00156711">
        <w:t>(Al-Hashami, 2014)</w:t>
      </w:r>
      <w:r w:rsidR="00156711">
        <w:t xml:space="preserve"> </w:t>
      </w:r>
      <w:r w:rsidRPr="00662AA4">
        <w:t>This allows researchers to have experience in what they like, to perceive projects, to make sensible models and to reach learned conclusions. In addition, SPSS is a key tool that relies on measurable information research.</w:t>
      </w:r>
    </w:p>
    <w:p w14:paraId="3B1439B3" w14:textId="6390E71F" w:rsidR="00CE5371" w:rsidRDefault="00CE5371" w:rsidP="00CE5371"/>
    <w:p w14:paraId="48FF75B7" w14:textId="77777777" w:rsidR="002B2D5F" w:rsidRDefault="002B2D5F" w:rsidP="00CE5371"/>
    <w:p w14:paraId="40625B61" w14:textId="78F2A004" w:rsidR="00D35542" w:rsidRDefault="00D35542" w:rsidP="00D35542">
      <w:pPr>
        <w:pStyle w:val="Heading1"/>
      </w:pPr>
      <w:bookmarkStart w:id="3" w:name="_Toc103344420"/>
      <w:r>
        <w:lastRenderedPageBreak/>
        <w:t>References</w:t>
      </w:r>
      <w:bookmarkEnd w:id="3"/>
    </w:p>
    <w:p w14:paraId="1AF6C4C0" w14:textId="5A261C3C" w:rsidR="00156711" w:rsidRDefault="00156711">
      <w:r w:rsidRPr="00156711">
        <w:t xml:space="preserve">Al-Hashami, Z. (2014). Range of outputs precise of digits rounding in SPSS and MS Excel. </w:t>
      </w:r>
      <w:r w:rsidRPr="00156711">
        <w:rPr>
          <w:i/>
          <w:iCs/>
        </w:rPr>
        <w:t>Journal of Advanced Computer Science &amp; Technology</w:t>
      </w:r>
      <w:r w:rsidRPr="00156711">
        <w:t>, 3(</w:t>
      </w:r>
      <w:r w:rsidRPr="00156711">
        <w:rPr>
          <w:b/>
          <w:bCs/>
        </w:rPr>
        <w:t>2</w:t>
      </w:r>
      <w:r w:rsidRPr="00156711">
        <w:t xml:space="preserve">), p.154. </w:t>
      </w:r>
    </w:p>
    <w:p w14:paraId="2A80125E" w14:textId="3088FE19" w:rsidR="00775DF4" w:rsidRDefault="00775DF4">
      <w:r w:rsidRPr="00775DF4">
        <w:t xml:space="preserve">Chudoba, K., Hauser, K. and Olsen, D. (2011). Teaching Tools For Data Analysis. </w:t>
      </w:r>
      <w:r w:rsidRPr="00156711">
        <w:rPr>
          <w:i/>
          <w:iCs/>
        </w:rPr>
        <w:t>International Journal of Management &amp; Information Systems (IJMIS)</w:t>
      </w:r>
      <w:r w:rsidRPr="00775DF4">
        <w:t>, [online] 14(</w:t>
      </w:r>
      <w:r w:rsidRPr="00156711">
        <w:rPr>
          <w:b/>
          <w:bCs/>
        </w:rPr>
        <w:t>3</w:t>
      </w:r>
      <w:r w:rsidRPr="00775DF4">
        <w:t xml:space="preserve">). </w:t>
      </w:r>
      <w:r w:rsidR="00156711">
        <w:t xml:space="preserve">Available from: </w:t>
      </w:r>
      <w:r w:rsidRPr="00775DF4">
        <w:t>doi:10.19030/ijmis.v14i3.837.</w:t>
      </w:r>
      <w:r w:rsidR="00156711">
        <w:t xml:space="preserve"> [Accessed: 07/05/2022].</w:t>
      </w:r>
    </w:p>
    <w:p w14:paraId="0EF1A534" w14:textId="3BC31DC6" w:rsidR="00D35542" w:rsidRDefault="00775DF4">
      <w:r w:rsidRPr="00775DF4">
        <w:t>Cleff, T. (2014). Exploratory Data Analysis in Business and Economics.</w:t>
      </w:r>
      <w:r w:rsidR="00156711" w:rsidRPr="00156711">
        <w:t xml:space="preserve"> </w:t>
      </w:r>
      <w:r w:rsidR="00156711" w:rsidRPr="00156711">
        <w:rPr>
          <w:i/>
          <w:iCs/>
        </w:rPr>
        <w:t>Cham: Springer International Publishing</w:t>
      </w:r>
      <w:r w:rsidRPr="00775DF4">
        <w:t xml:space="preserve"> [online]. </w:t>
      </w:r>
      <w:r w:rsidR="00156711">
        <w:t xml:space="preserve">Available from: </w:t>
      </w:r>
      <w:r w:rsidRPr="00775DF4">
        <w:t>doi:10.1007/978-3-319-01517-0.</w:t>
      </w:r>
      <w:r w:rsidR="00156711">
        <w:t xml:space="preserve"> [Accessed: 07/05/2022].</w:t>
      </w:r>
    </w:p>
    <w:p w14:paraId="3A3D17F3" w14:textId="1C628CDB" w:rsidR="00156711" w:rsidRDefault="00156711">
      <w:r w:rsidRPr="00156711">
        <w:t xml:space="preserve">Lu, J. (2020). Data Analytics Research-Informed Teaching in a Digital Technologies Curriculum. </w:t>
      </w:r>
      <w:r w:rsidRPr="00156711">
        <w:rPr>
          <w:i/>
          <w:iCs/>
        </w:rPr>
        <w:t>INFORMS Transactions on Education</w:t>
      </w:r>
      <w:r w:rsidRPr="00156711">
        <w:t>, 20(</w:t>
      </w:r>
      <w:r w:rsidRPr="00156711">
        <w:rPr>
          <w:b/>
          <w:bCs/>
        </w:rPr>
        <w:t>2</w:t>
      </w:r>
      <w:r w:rsidRPr="00156711">
        <w:t>), pp.57–72. doi:10.1287/ited.2019.0215.</w:t>
      </w:r>
    </w:p>
    <w:p w14:paraId="1FBEFAFF" w14:textId="62BF26B7" w:rsidR="00775DF4" w:rsidRDefault="00775DF4">
      <w:r w:rsidRPr="00775DF4">
        <w:t xml:space="preserve">Peter, B. (2020). </w:t>
      </w:r>
      <w:r w:rsidRPr="00156711">
        <w:rPr>
          <w:i/>
          <w:iCs/>
        </w:rPr>
        <w:t xml:space="preserve">DATA MINING FOR BUSINESS </w:t>
      </w:r>
      <w:r w:rsidR="00156711" w:rsidRPr="00156711">
        <w:rPr>
          <w:i/>
          <w:iCs/>
        </w:rPr>
        <w:t>ANALYTICS:</w:t>
      </w:r>
      <w:r w:rsidRPr="00156711">
        <w:rPr>
          <w:i/>
          <w:iCs/>
        </w:rPr>
        <w:t xml:space="preserve"> concepts, techniques and applications in python</w:t>
      </w:r>
      <w:r w:rsidRPr="00775DF4">
        <w:t>. S.L.: Wiley-Blackwell.</w:t>
      </w:r>
    </w:p>
    <w:p w14:paraId="21F69C67" w14:textId="751EB580" w:rsidR="00775DF4" w:rsidRDefault="00775DF4">
      <w:r w:rsidRPr="00775DF4">
        <w:t xml:space="preserve">Sanders, N.R. (2014). </w:t>
      </w:r>
      <w:r w:rsidRPr="00156711">
        <w:rPr>
          <w:i/>
          <w:iCs/>
        </w:rPr>
        <w:t xml:space="preserve">Big data driven supply chain </w:t>
      </w:r>
      <w:r w:rsidR="00156711" w:rsidRPr="00156711">
        <w:rPr>
          <w:i/>
          <w:iCs/>
        </w:rPr>
        <w:t>management:</w:t>
      </w:r>
      <w:r w:rsidRPr="00156711">
        <w:rPr>
          <w:i/>
          <w:iCs/>
        </w:rPr>
        <w:t xml:space="preserve"> a framework for implementing analytics and turning information into intelligence</w:t>
      </w:r>
      <w:r w:rsidRPr="00775DF4">
        <w:t>. Upper Saddle River, N.J.: Pearson Education</w:t>
      </w:r>
      <w:r>
        <w:t>.</w:t>
      </w:r>
    </w:p>
    <w:p w14:paraId="31AB13F9" w14:textId="66C8D0F6" w:rsidR="00775DF4" w:rsidRDefault="00775DF4">
      <w:r w:rsidRPr="00775DF4">
        <w:t>Shmueli</w:t>
      </w:r>
      <w:r>
        <w:t>, G.</w:t>
      </w:r>
      <w:r w:rsidRPr="00775DF4">
        <w:t xml:space="preserve"> (2018). </w:t>
      </w:r>
      <w:r w:rsidRPr="00156711">
        <w:rPr>
          <w:i/>
          <w:iCs/>
        </w:rPr>
        <w:t xml:space="preserve">Data mining for business </w:t>
      </w:r>
      <w:r w:rsidR="00156711" w:rsidRPr="00156711">
        <w:rPr>
          <w:i/>
          <w:iCs/>
        </w:rPr>
        <w:t>analytics:</w:t>
      </w:r>
      <w:r w:rsidRPr="00156711">
        <w:rPr>
          <w:i/>
          <w:iCs/>
        </w:rPr>
        <w:t xml:space="preserve"> Concepts, techniques, and applications in R</w:t>
      </w:r>
      <w:r w:rsidRPr="00775DF4">
        <w:t>. Hoboken, New Jersey: John Wiley &amp; Sons, Inc.</w:t>
      </w:r>
    </w:p>
    <w:p w14:paraId="3953C793" w14:textId="77777777" w:rsidR="00D35542" w:rsidRDefault="00D35542"/>
    <w:sectPr w:rsidR="00D35542" w:rsidSect="00D35542">
      <w:footerReference w:type="even" r:id="rId12"/>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4096AA" w14:textId="77777777" w:rsidR="007372C2" w:rsidRDefault="007372C2" w:rsidP="00D35542">
      <w:pPr>
        <w:spacing w:after="0" w:line="240" w:lineRule="auto"/>
      </w:pPr>
      <w:r>
        <w:separator/>
      </w:r>
    </w:p>
  </w:endnote>
  <w:endnote w:type="continuationSeparator" w:id="0">
    <w:p w14:paraId="22244DD3" w14:textId="77777777" w:rsidR="007372C2" w:rsidRDefault="007372C2" w:rsidP="00D355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97327192"/>
      <w:docPartObj>
        <w:docPartGallery w:val="Page Numbers (Bottom of Page)"/>
        <w:docPartUnique/>
      </w:docPartObj>
    </w:sdtPr>
    <w:sdtEndPr>
      <w:rPr>
        <w:rStyle w:val="PageNumber"/>
      </w:rPr>
    </w:sdtEndPr>
    <w:sdtContent>
      <w:p w14:paraId="173D2985" w14:textId="4CE51805" w:rsidR="00D35542" w:rsidRDefault="00D35542" w:rsidP="0001798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0805B59" w14:textId="77777777" w:rsidR="00D35542" w:rsidRDefault="00D35542" w:rsidP="00D3554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42782482"/>
      <w:docPartObj>
        <w:docPartGallery w:val="Page Numbers (Bottom of Page)"/>
        <w:docPartUnique/>
      </w:docPartObj>
    </w:sdtPr>
    <w:sdtEndPr>
      <w:rPr>
        <w:rStyle w:val="PageNumber"/>
      </w:rPr>
    </w:sdtEndPr>
    <w:sdtContent>
      <w:p w14:paraId="0DC2B93E" w14:textId="1FD0FCC9" w:rsidR="00D35542" w:rsidRDefault="00D35542" w:rsidP="0001798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39106E8" w14:textId="77777777" w:rsidR="00D35542" w:rsidRDefault="00D35542" w:rsidP="00D3554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52B654" w14:textId="77777777" w:rsidR="007372C2" w:rsidRDefault="007372C2" w:rsidP="00D35542">
      <w:pPr>
        <w:spacing w:after="0" w:line="240" w:lineRule="auto"/>
      </w:pPr>
      <w:r>
        <w:separator/>
      </w:r>
    </w:p>
  </w:footnote>
  <w:footnote w:type="continuationSeparator" w:id="0">
    <w:p w14:paraId="728E64F7" w14:textId="77777777" w:rsidR="007372C2" w:rsidRDefault="007372C2" w:rsidP="00D355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9773CA"/>
    <w:multiLevelType w:val="hybridMultilevel"/>
    <w:tmpl w:val="BBBA4F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261139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5542"/>
    <w:rsid w:val="00156711"/>
    <w:rsid w:val="00180852"/>
    <w:rsid w:val="001B543F"/>
    <w:rsid w:val="002B2D5F"/>
    <w:rsid w:val="00406761"/>
    <w:rsid w:val="004E7E9C"/>
    <w:rsid w:val="004F20E3"/>
    <w:rsid w:val="00523011"/>
    <w:rsid w:val="005433BA"/>
    <w:rsid w:val="005F43D6"/>
    <w:rsid w:val="00662AA4"/>
    <w:rsid w:val="00682C61"/>
    <w:rsid w:val="007372C2"/>
    <w:rsid w:val="00775DF4"/>
    <w:rsid w:val="007A3D60"/>
    <w:rsid w:val="00860C8C"/>
    <w:rsid w:val="00AF233C"/>
    <w:rsid w:val="00CE5371"/>
    <w:rsid w:val="00D14E60"/>
    <w:rsid w:val="00D35542"/>
    <w:rsid w:val="00D441B7"/>
    <w:rsid w:val="00EB0A82"/>
    <w:rsid w:val="00F801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7CCD93"/>
  <w15:chartTrackingRefBased/>
  <w15:docId w15:val="{C07A5D51-A8A5-2348-A887-D4AC5CC095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D3554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35542"/>
    <w:rPr>
      <w:rFonts w:eastAsiaTheme="minorEastAsia"/>
      <w:sz w:val="22"/>
      <w:szCs w:val="22"/>
      <w:lang w:val="en-US" w:eastAsia="zh-CN"/>
    </w:rPr>
  </w:style>
  <w:style w:type="character" w:customStyle="1" w:styleId="NoSpacingChar">
    <w:name w:val="No Spacing Char"/>
    <w:basedOn w:val="DefaultParagraphFont"/>
    <w:link w:val="NoSpacing"/>
    <w:uiPriority w:val="1"/>
    <w:rsid w:val="00D35542"/>
    <w:rPr>
      <w:rFonts w:eastAsiaTheme="minorEastAsia"/>
      <w:sz w:val="22"/>
      <w:szCs w:val="22"/>
      <w:lang w:val="en-US" w:eastAsia="zh-CN"/>
    </w:rPr>
  </w:style>
  <w:style w:type="paragraph" w:styleId="Footer">
    <w:name w:val="footer"/>
    <w:basedOn w:val="Normal"/>
    <w:link w:val="FooterChar"/>
    <w:uiPriority w:val="99"/>
    <w:unhideWhenUsed/>
    <w:rsid w:val="00D355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5542"/>
    <w:rPr>
      <w:rFonts w:ascii="Arial" w:hAnsi="Arial"/>
      <w:szCs w:val="22"/>
    </w:rPr>
  </w:style>
  <w:style w:type="character" w:styleId="PageNumber">
    <w:name w:val="page number"/>
    <w:basedOn w:val="DefaultParagraphFont"/>
    <w:uiPriority w:val="99"/>
    <w:semiHidden/>
    <w:unhideWhenUsed/>
    <w:rsid w:val="00D35542"/>
  </w:style>
  <w:style w:type="character" w:customStyle="1" w:styleId="Heading1Char">
    <w:name w:val="Heading 1 Char"/>
    <w:basedOn w:val="DefaultParagraphFont"/>
    <w:link w:val="Heading1"/>
    <w:uiPriority w:val="9"/>
    <w:rsid w:val="00D35542"/>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1B543F"/>
    <w:pPr>
      <w:ind w:left="720"/>
      <w:contextualSpacing/>
    </w:pPr>
  </w:style>
  <w:style w:type="table" w:styleId="TableGrid">
    <w:name w:val="Table Grid"/>
    <w:basedOn w:val="TableNormal"/>
    <w:uiPriority w:val="39"/>
    <w:rsid w:val="001B543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1B543F"/>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TOCHeading">
    <w:name w:val="TOC Heading"/>
    <w:basedOn w:val="Heading1"/>
    <w:next w:val="Normal"/>
    <w:uiPriority w:val="39"/>
    <w:unhideWhenUsed/>
    <w:qFormat/>
    <w:rsid w:val="00156711"/>
    <w:pPr>
      <w:spacing w:before="480"/>
      <w:outlineLvl w:val="9"/>
    </w:pPr>
    <w:rPr>
      <w:b/>
      <w:bCs/>
      <w:sz w:val="28"/>
      <w:szCs w:val="28"/>
      <w:lang w:val="en-US"/>
    </w:rPr>
  </w:style>
  <w:style w:type="paragraph" w:styleId="TOC1">
    <w:name w:val="toc 1"/>
    <w:basedOn w:val="Normal"/>
    <w:next w:val="Normal"/>
    <w:autoRedefine/>
    <w:uiPriority w:val="39"/>
    <w:unhideWhenUsed/>
    <w:rsid w:val="00156711"/>
    <w:pPr>
      <w:spacing w:before="120" w:after="0"/>
    </w:pPr>
    <w:rPr>
      <w:rFonts w:asciiTheme="minorHAnsi" w:hAnsiTheme="minorHAnsi" w:cstheme="minorHAnsi"/>
      <w:b/>
      <w:bCs/>
      <w:i/>
      <w:iCs/>
      <w:szCs w:val="24"/>
    </w:rPr>
  </w:style>
  <w:style w:type="character" w:styleId="Hyperlink">
    <w:name w:val="Hyperlink"/>
    <w:basedOn w:val="DefaultParagraphFont"/>
    <w:uiPriority w:val="99"/>
    <w:unhideWhenUsed/>
    <w:rsid w:val="00156711"/>
    <w:rPr>
      <w:color w:val="0563C1" w:themeColor="hyperlink"/>
      <w:u w:val="single"/>
    </w:rPr>
  </w:style>
  <w:style w:type="paragraph" w:styleId="TOC2">
    <w:name w:val="toc 2"/>
    <w:basedOn w:val="Normal"/>
    <w:next w:val="Normal"/>
    <w:autoRedefine/>
    <w:uiPriority w:val="39"/>
    <w:semiHidden/>
    <w:unhideWhenUsed/>
    <w:rsid w:val="00156711"/>
    <w:pPr>
      <w:spacing w:before="120" w:after="0"/>
      <w:ind w:left="240"/>
    </w:pPr>
    <w:rPr>
      <w:rFonts w:asciiTheme="minorHAnsi" w:hAnsiTheme="minorHAnsi" w:cstheme="minorHAnsi"/>
      <w:b/>
      <w:bCs/>
      <w:sz w:val="22"/>
    </w:rPr>
  </w:style>
  <w:style w:type="paragraph" w:styleId="TOC3">
    <w:name w:val="toc 3"/>
    <w:basedOn w:val="Normal"/>
    <w:next w:val="Normal"/>
    <w:autoRedefine/>
    <w:uiPriority w:val="39"/>
    <w:semiHidden/>
    <w:unhideWhenUsed/>
    <w:rsid w:val="00156711"/>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156711"/>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156711"/>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156711"/>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156711"/>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156711"/>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156711"/>
    <w:pPr>
      <w:spacing w:after="0"/>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glossaryDocument" Target="glossary/document.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DC921E60770544D948A7B2CAC754032"/>
        <w:category>
          <w:name w:val="General"/>
          <w:gallery w:val="placeholder"/>
        </w:category>
        <w:types>
          <w:type w:val="bbPlcHdr"/>
        </w:types>
        <w:behaviors>
          <w:behavior w:val="content"/>
        </w:behaviors>
        <w:guid w:val="{7B038E70-7B92-5E4E-8D96-E0DBB1714E9D}"/>
      </w:docPartPr>
      <w:docPartBody>
        <w:p w:rsidR="00DA516F" w:rsidRDefault="00173CEF" w:rsidP="00173CEF">
          <w:pPr>
            <w:pStyle w:val="CDC921E60770544D948A7B2CAC754032"/>
          </w:pPr>
          <w:r>
            <w:rPr>
              <w:rFonts w:asciiTheme="majorHAnsi" w:eastAsiaTheme="majorEastAsia" w:hAnsiTheme="majorHAnsi" w:cstheme="majorBidi"/>
              <w:caps/>
              <w:color w:val="4472C4" w:themeColor="accent1"/>
              <w:sz w:val="80"/>
              <w:szCs w:val="80"/>
            </w:rPr>
            <w:t>[Document title]</w:t>
          </w:r>
        </w:p>
      </w:docPartBody>
    </w:docPart>
    <w:docPart>
      <w:docPartPr>
        <w:name w:val="1D2BEF8C0B505542B050A7F0825A2746"/>
        <w:category>
          <w:name w:val="General"/>
          <w:gallery w:val="placeholder"/>
        </w:category>
        <w:types>
          <w:type w:val="bbPlcHdr"/>
        </w:types>
        <w:behaviors>
          <w:behavior w:val="content"/>
        </w:behaviors>
        <w:guid w:val="{27114F8D-72D8-BA4E-8132-D06F93B15C18}"/>
      </w:docPartPr>
      <w:docPartBody>
        <w:p w:rsidR="00DA516F" w:rsidRDefault="00173CEF" w:rsidP="00173CEF">
          <w:pPr>
            <w:pStyle w:val="1D2BEF8C0B505542B050A7F0825A2746"/>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3CEF"/>
    <w:rsid w:val="00173CEF"/>
    <w:rsid w:val="00282B28"/>
    <w:rsid w:val="00484F48"/>
    <w:rsid w:val="00BA1FEC"/>
    <w:rsid w:val="00DA516F"/>
    <w:rsid w:val="00DD00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DC921E60770544D948A7B2CAC754032">
    <w:name w:val="CDC921E60770544D948A7B2CAC754032"/>
    <w:rsid w:val="00173CEF"/>
  </w:style>
  <w:style w:type="paragraph" w:customStyle="1" w:styleId="1D2BEF8C0B505542B050A7F0825A2746">
    <w:name w:val="1D2BEF8C0B505542B050A7F0825A2746"/>
    <w:rsid w:val="00173CE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id:1918702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60C08CA-669F-3A41-A730-4B480747F7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2487</Words>
  <Characters>14176</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LCBB5000 DATA HANDLING AND BUSINESS INTELLIGENCE A2</vt:lpstr>
    </vt:vector>
  </TitlesOfParts>
  <Company>student name:</Company>
  <LinksUpToDate>false</LinksUpToDate>
  <CharactersWithSpaces>16630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LCBB5000 DATA HANDLING AND BUSINESS INTELLIGENCE A2</dc:title>
  <dc:subject>Module Leader: JOY BOTU</dc:subject>
  <dc:creator>Dari-Anna A Kuseva</dc:creator>
  <cp:keywords/>
  <dc:description/>
  <cp:lastModifiedBy>Irina Nacheva</cp:lastModifiedBy>
  <cp:revision>4</cp:revision>
  <dcterms:created xsi:type="dcterms:W3CDTF">2022-05-13T17:39:00Z</dcterms:created>
  <dcterms:modified xsi:type="dcterms:W3CDTF">2022-05-13T17:41:00Z</dcterms:modified>
</cp:coreProperties>
</file>