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47228197"/>
        <w:docPartObj>
          <w:docPartGallery w:val="Cover Pages"/>
          <w:docPartUnique/>
        </w:docPartObj>
      </w:sdtPr>
      <w:sdtEndPr/>
      <w:sdtContent>
        <w:p w14:paraId="4CBE1719" w14:textId="09E2342A" w:rsidR="00050F10" w:rsidRDefault="00050F10"/>
        <w:p w14:paraId="063EC45A" w14:textId="0CC6987E" w:rsidR="00050F10" w:rsidRDefault="00DA603F">
          <w:r>
            <w:rPr>
              <w:noProof/>
            </w:rPr>
            <mc:AlternateContent>
              <mc:Choice Requires="wps">
                <w:drawing>
                  <wp:anchor distT="0" distB="0" distL="182880" distR="182880" simplePos="0" relativeHeight="251660288" behindDoc="0" locked="0" layoutInCell="1" allowOverlap="1" wp14:anchorId="4D21E465" wp14:editId="1D16BFBE">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981575" cy="1362710"/>
                    <wp:effectExtent l="0" t="0" r="0" b="0"/>
                    <wp:wrapSquare wrapText="bothSides"/>
                    <wp:docPr id="6952010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981575" cy="13627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D0517B" w14:textId="7926FD85" w:rsidR="00050F10" w:rsidRDefault="00F326FC">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050F10">
                                      <w:rPr>
                                        <w:color w:val="4472C4" w:themeColor="accent1"/>
                                        <w:sz w:val="72"/>
                                        <w:szCs w:val="72"/>
                                      </w:rPr>
                                      <w:t>Scenario Question Rework</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4D2DF09" w14:textId="435944D2" w:rsidR="00050F10" w:rsidRDefault="00050F10">
                                    <w:pPr>
                                      <w:pStyle w:val="NoSpacing"/>
                                      <w:spacing w:before="40" w:after="40"/>
                                      <w:rPr>
                                        <w:caps/>
                                        <w:color w:val="1F4E79" w:themeColor="accent5" w:themeShade="80"/>
                                        <w:sz w:val="28"/>
                                        <w:szCs w:val="28"/>
                                      </w:rPr>
                                    </w:pPr>
                                    <w:r>
                                      <w:rPr>
                                        <w:caps/>
                                        <w:color w:val="1F4E79" w:themeColor="accent5" w:themeShade="80"/>
                                        <w:sz w:val="28"/>
                                        <w:szCs w:val="28"/>
                                      </w:rPr>
                                      <w:t>Criminal law – bmpl4009</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8C31FC8" w14:textId="524A23C7" w:rsidR="00050F10" w:rsidRDefault="00050F10">
                                    <w:pPr>
                                      <w:pStyle w:val="NoSpacing"/>
                                      <w:spacing w:before="80" w:after="40"/>
                                      <w:rPr>
                                        <w:caps/>
                                        <w:color w:val="5B9BD5" w:themeColor="accent5"/>
                                        <w:sz w:val="24"/>
                                        <w:szCs w:val="24"/>
                                      </w:rPr>
                                    </w:pPr>
                                    <w:r>
                                      <w:rPr>
                                        <w:caps/>
                                        <w:color w:val="5B9BD5" w:themeColor="accent5"/>
                                        <w:sz w:val="24"/>
                                        <w:szCs w:val="24"/>
                                      </w:rPr>
                                      <w:t>Nicoleta secara 2214822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4D21E465" id="_x0000_t202" coordsize="21600,21600" o:spt="202" path="m,l,21600r21600,l21600,xe">
                    <v:stroke joinstyle="miter"/>
                    <v:path gradientshapeok="t" o:connecttype="rect"/>
                  </v:shapetype>
                  <v:shape id="Text Box 2" o:spid="_x0000_s1026" type="#_x0000_t202" style="position:absolute;margin-left:0;margin-top:0;width:392.25pt;height:107.3pt;z-index:251660288;visibility:visible;mso-wrap-style:square;mso-width-percent:0;mso-height-percent:350;mso-left-percent:77;mso-top-percent:540;mso-wrap-distance-left:14.4pt;mso-wrap-distance-top:0;mso-wrap-distance-right:14.4pt;mso-wrap-distance-bottom:0;mso-position-horizontal-relative:margin;mso-position-vertical-relative:page;mso-width-percent: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oIccQIAAEcFAAAOAAAAZHJzL2Uyb0RvYy54bWysVE1v2zAMvQ/YfxB0Xx2368eMOkWWosOA&#10;oC2WDj0rspQYlUVNYmJnv36UbCdDt0uHXWRaeqTIx0dd33SNYTvlQw225PnJhDNlJVS1XZf8+9Pd&#10;hyvOAgpbCQNWlXyvAr+Zvn933bpCncIGTKU8oyA2FK0r+QbRFVkW5EY1IpyAU5YONfhGIP36dVZ5&#10;0VL0xmSnk8lF1oKvnAepQqDd2/6QT1N8rZXEB62DQmZKTrlhWn1aV3HNpteiWHvhNrUc0hD/kEUj&#10;akuXHkLdChRs6+s/QjW19BBA44mEJgOta6lSDVRNPnlVzXIjnEq1EDnBHWgK/y+svN8t3aNn2H2G&#10;jhqYighuAfIlEDdZ60IxYCKnoQiEjoV22jfxSyUwciRu9wc+VYdM0ubHT1f5+eU5Z5LO8rOL08s8&#10;MZ4d3Z0P+EVBw6JRck8NSymI3SJgTEAUIyTeZuGuNiY1zVjWlvzi7HySHA4n5GFsxKrU/iHMMfVk&#10;4d6oiDH2m9KsrlIFcSMJT82NZztBkhFSKot5lEmKS+iI0pTEWxwH/DGrtzj3dYw3g8WDc1Nb8H3H&#10;4rwc065expR1jx86Gfq6IwXYrTqqKporqPYkAQ/9dAQn72rqxkIEfBSexoGaSyOOD7RoA8Q6DBZn&#10;G/A//7Yf8aRSOuWspfEqefixFV5xZr5a0m+cxdHwo7EaDbtt5kD05/R4OJlMcvBoRlN7aJ5p8mfx&#10;FjoSVtJdJcfRnGM/5PRySDWbJRBNnBO4sEsnR6VHbT11z8K7QYBI2r2HcfBE8UqHPTYJxc22SGpM&#10;Ij2yOBBN05oUM7ws8Tn4/T+hju/f9BcAAAD//wMAUEsDBBQABgAIAAAAIQAcFuA02wAAAAUBAAAP&#10;AAAAZHJzL2Rvd25yZXYueG1sTI/NTsMwEITvSLyDtUjcqJMqhDbEqVARnCH8SNy28RJH2Osodtv0&#10;7TFc4LLSaEYz39ab2VlxoCkMnhXkiwwEcef1wL2C15eHqxWIEJE1Ws+k4EQBNs35WY2V9kd+pkMb&#10;e5FKOFSowMQ4VlKGzpDDsPAjcfI+/eQwJjn1Uk94TOXOymWWldLhwGnB4EhbQ91Xu3cK3tf2pIv8&#10;DbdPvH68b8sP7cyo1OXFfHcLItIc/8Lwg5/QoUlMO79nHYRVkB6Jvzd5N6viGsROwTIvSpBNLf/T&#10;N98AAAD//wMAUEsBAi0AFAAGAAgAAAAhALaDOJL+AAAA4QEAABMAAAAAAAAAAAAAAAAAAAAAAFtD&#10;b250ZW50X1R5cGVzXS54bWxQSwECLQAUAAYACAAAACEAOP0h/9YAAACUAQAACwAAAAAAAAAAAAAA&#10;AAAvAQAAX3JlbHMvLnJlbHNQSwECLQAUAAYACAAAACEAaTaCHHECAABHBQAADgAAAAAAAAAAAAAA&#10;AAAuAgAAZHJzL2Uyb0RvYy54bWxQSwECLQAUAAYACAAAACEAHBbgNNsAAAAFAQAADwAAAAAAAAAA&#10;AAAAAADLBAAAZHJzL2Rvd25yZXYueG1sUEsFBgAAAAAEAAQA8wAAANMFAAAAAA==&#10;" filled="f" stroked="f" strokeweight=".5pt">
                    <v:textbox style="mso-fit-shape-to-text:t" inset="0,0,0,0">
                      <w:txbxContent>
                        <w:p w14:paraId="7AD0517B" w14:textId="7926FD85" w:rsidR="00050F10" w:rsidRDefault="00F326FC">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050F10">
                                <w:rPr>
                                  <w:color w:val="4472C4" w:themeColor="accent1"/>
                                  <w:sz w:val="72"/>
                                  <w:szCs w:val="72"/>
                                </w:rPr>
                                <w:t>Scenario Question Rework</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4D2DF09" w14:textId="435944D2" w:rsidR="00050F10" w:rsidRDefault="00050F10">
                              <w:pPr>
                                <w:pStyle w:val="NoSpacing"/>
                                <w:spacing w:before="40" w:after="40"/>
                                <w:rPr>
                                  <w:caps/>
                                  <w:color w:val="1F4E79" w:themeColor="accent5" w:themeShade="80"/>
                                  <w:sz w:val="28"/>
                                  <w:szCs w:val="28"/>
                                </w:rPr>
                              </w:pPr>
                              <w:r>
                                <w:rPr>
                                  <w:caps/>
                                  <w:color w:val="1F4E79" w:themeColor="accent5" w:themeShade="80"/>
                                  <w:sz w:val="28"/>
                                  <w:szCs w:val="28"/>
                                </w:rPr>
                                <w:t>Criminal law – bmpl4009</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8C31FC8" w14:textId="524A23C7" w:rsidR="00050F10" w:rsidRDefault="00050F10">
                              <w:pPr>
                                <w:pStyle w:val="NoSpacing"/>
                                <w:spacing w:before="80" w:after="40"/>
                                <w:rPr>
                                  <w:caps/>
                                  <w:color w:val="5B9BD5" w:themeColor="accent5"/>
                                  <w:sz w:val="24"/>
                                  <w:szCs w:val="24"/>
                                </w:rPr>
                              </w:pPr>
                              <w:r>
                                <w:rPr>
                                  <w:caps/>
                                  <w:color w:val="5B9BD5" w:themeColor="accent5"/>
                                  <w:sz w:val="24"/>
                                  <w:szCs w:val="24"/>
                                </w:rPr>
                                <w:t>Nicoleta secara 2214822</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16F92C9" wp14:editId="680180B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74675" cy="1044575"/>
                    <wp:effectExtent l="0" t="0" r="0" b="0"/>
                    <wp:wrapNone/>
                    <wp:docPr id="51372856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74675" cy="104457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22F97171" w14:textId="48F8A1BF" w:rsidR="00050F10" w:rsidRDefault="00050F10">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16F92C9" id="Rectangle 1" o:spid="_x0000_s1027" style="position:absolute;margin-left:-5.95pt;margin-top:0;width:45.25pt;height:82.2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LlDgAIAAGcFAAAOAAAAZHJzL2Uyb0RvYy54bWysVN9r2zAQfh/sfxB6X+yEph2mTgkpGYPQ&#10;lrWlz4osxWayTpOU2Nlfv5PkuKEtexjzg9D9+u70+e6ub/pWkYOwrgFd0ukkp0RoDlWjdyV9flp/&#10;+UqJ80xXTIEWJT0KR28Wnz9dd6YQM6hBVcISBNGu6ExJa+9NkWWO16JlbgJGaDRKsC3zKNpdVlnW&#10;IXqrslmeX2Yd2MpY4MI51N4mI11EfCkF9/dSOuGJKinW5uNp47kNZ7a4ZsXOMlM3fCiD/UMVLWs0&#10;Jh2hbplnZG+bd1Btwy04kH7Coc1AyoaL+AZ8zTR/85rHmhkR34LkODPS5P4fLL87PJoHG0p3ZgP8&#10;pyMaVjXTO7F0BunDnxpIyjrjitE5CG4I66VtQzi+hfSR2ONIrOg94aicX11cXs0p4Wia5hcXcxQC&#10;KCtO0cY6/01AS8KlpBYzRz7ZYeN8cj25hGRKh1PDulEqWYMmFpnqihX6oxLJ+4eQpKmwkllEje0l&#10;VsqSA8PGYJwL7afJVLNKJPU8x2+oc4yIVSuNgAFZYv4RewAIrfseO1U5+IdQEbtzDM7/VlgKHiNi&#10;ZtB+DG4bDfYjAIWvGjIn/xNJiZrAku+3PXIz/Oeg2UJ1fLDEQpoWZ/i6wb+yYc4/MIvjgYOEI+/v&#10;8ZAKupLCcKOkBvv7I33wx65FKyUdjltJ3a89s4IS9V1jP2NLzMJ8ngv2XNieC3rfrgB/3BSXi+Hx&#10;isHWq9NVWmhfcDMsQ1Y0Mc0xd0m3p+vKpyWAm4WL5TI64UQa5jf60fAAHVgOPffUvzBrhsb02NJ3&#10;cBpMVrzpz+QbIjUs9x5kE5v3ldWBf5zm2EjD5gnr4lyOXq/7cfEHAAD//wMAUEsDBBQABgAIAAAA&#10;IQCO94sG2QAAAAQBAAAPAAAAZHJzL2Rvd25yZXYueG1sTI9LT8MwEITvSP0P1lbiRm2qpECIU1VI&#10;SBy4UB7i6MZLHBGvo9h58O9ZuMBlpNWMZr4t94vvxIRDbANpuNwoEEh1sC01Gl6e7y+uQcRkyJou&#10;EGr4wgj7anVWmsKGmZ5wOqZGcAnFwmhwKfWFlLF26E3chB6JvY8weJP4HBppBzNzue/kVqmd9KYl&#10;XnCmxzuH9edx9Bqm8WHOrmKWJ0f27R1fx0c1o9bn6+VwCyLhkv7C8IPP6FAx0ymMZKPoNPAj6VfZ&#10;u1E5iBNndlkOsirlf/jqGwAA//8DAFBLAQItABQABgAIAAAAIQC2gziS/gAAAOEBAAATAAAAAAAA&#10;AAAAAAAAAAAAAABbQ29udGVudF9UeXBlc10ueG1sUEsBAi0AFAAGAAgAAAAhADj9If/WAAAAlAEA&#10;AAsAAAAAAAAAAAAAAAAALwEAAF9yZWxzLy5yZWxzUEsBAi0AFAAGAAgAAAAhAKkEuUOAAgAAZwUA&#10;AA4AAAAAAAAAAAAAAAAALgIAAGRycy9lMm9Eb2MueG1sUEsBAi0AFAAGAAgAAAAhAI73iwbZAAAA&#10;BAEAAA8AAAAAAAAAAAAAAAAA2gQAAGRycy9kb3ducmV2LnhtbFBLBQYAAAAABAAEAPMAAADgBQAA&#10;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22F97171" w14:textId="48F8A1BF" w:rsidR="00050F10" w:rsidRDefault="00050F10">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rsidR="00050F10">
            <w:br w:type="page"/>
          </w:r>
        </w:p>
      </w:sdtContent>
    </w:sdt>
    <w:p w14:paraId="66DDE586" w14:textId="59684B44" w:rsidR="002221EF" w:rsidRDefault="007731A1">
      <w:r>
        <w:lastRenderedPageBreak/>
        <w:t xml:space="preserve">Carla’s case presents a complex legal scenario involving allegations of causing serious injuries to her husband Jamie by stabbing him in the chest. </w:t>
      </w:r>
      <w:r w:rsidR="00742E6D">
        <w:t>This report</w:t>
      </w:r>
      <w:r w:rsidR="002E16D4">
        <w:t xml:space="preserve"> examines Carla’s potential criminal liability under the United Kingdom law, focusing on the offence of causing grievous bodily harm (GBH) with intent </w:t>
      </w:r>
      <w:r w:rsidR="00060A5A">
        <w:t xml:space="preserve">as </w:t>
      </w:r>
      <w:r w:rsidR="00CA326A">
        <w:t>defined under Section 18 of the Offences Against the Person Act 1861 (OAPA 1861). The report also explor</w:t>
      </w:r>
      <w:r w:rsidR="007B1D0E">
        <w:t xml:space="preserve">es the elements of the offence, Carla’s state of mind, potential defences, and relevant case law to provide a comprehensive analysis of </w:t>
      </w:r>
      <w:r w:rsidR="00D610FF">
        <w:t xml:space="preserve">Carla’s potential criminal liability. </w:t>
      </w:r>
    </w:p>
    <w:p w14:paraId="177EE0DA" w14:textId="6C0805F0" w:rsidR="00D9622A" w:rsidRDefault="00D610FF">
      <w:r>
        <w:t>Under Section 18 of the OAPA 1</w:t>
      </w:r>
      <w:r w:rsidR="001C591E">
        <w:t>861, an offence is committed if a person unlawfully and maliciously</w:t>
      </w:r>
      <w:r w:rsidR="00B95C9C">
        <w:t>:</w:t>
      </w:r>
    </w:p>
    <w:p w14:paraId="12F1147E" w14:textId="77777777" w:rsidR="00B95C9C" w:rsidRDefault="001C591E" w:rsidP="00D9622A">
      <w:pPr>
        <w:pStyle w:val="ListParagraph"/>
        <w:numPr>
          <w:ilvl w:val="0"/>
          <w:numId w:val="1"/>
        </w:numPr>
      </w:pPr>
      <w:r>
        <w:t xml:space="preserve">causes </w:t>
      </w:r>
      <w:r w:rsidR="005C3970">
        <w:t>grievous</w:t>
      </w:r>
      <w:r>
        <w:t xml:space="preserve"> bodily </w:t>
      </w:r>
      <w:r w:rsidR="00742649">
        <w:t xml:space="preserve">harm to another person </w:t>
      </w:r>
    </w:p>
    <w:p w14:paraId="062420D3" w14:textId="07CFB104" w:rsidR="00D610FF" w:rsidRDefault="00742649" w:rsidP="00D9622A">
      <w:pPr>
        <w:pStyle w:val="ListParagraph"/>
        <w:numPr>
          <w:ilvl w:val="0"/>
          <w:numId w:val="1"/>
        </w:numPr>
      </w:pPr>
      <w:r>
        <w:t>with intent to cause grievous bodily harm</w:t>
      </w:r>
    </w:p>
    <w:p w14:paraId="2B615B91" w14:textId="4E9B6B4E" w:rsidR="0095454B" w:rsidRDefault="0095454B" w:rsidP="0095454B">
      <w:r>
        <w:t>There are four methods of Committing Section 18 Offence</w:t>
      </w:r>
      <w:r w:rsidR="00C353DF">
        <w:t xml:space="preserve">, which are causing GBH with intent, wounding with intent to cause GBH, unlawfully and maliciously wounding or inflicting GBH with intent to resist arrest and assault with intent to rob. </w:t>
      </w:r>
      <w:r w:rsidR="0011216F">
        <w:t xml:space="preserve">Causing GBH with intent </w:t>
      </w:r>
      <w:r w:rsidR="009173E2">
        <w:t xml:space="preserve">involves </w:t>
      </w:r>
      <w:r w:rsidR="00530326">
        <w:t xml:space="preserve">causing GBH which includes serious injuries such as broken bones, substantial cuts, or internal injuries to another person with the specific intent to cause such harm. In this case, the intent must be to inflict serious </w:t>
      </w:r>
      <w:r w:rsidR="00F3047A">
        <w:t xml:space="preserve">injury rather than mere harm or discomfort. </w:t>
      </w:r>
      <w:r w:rsidR="00C64EA5">
        <w:t xml:space="preserve">Wounding with the intent to cause GBH focuses on intentionally causing a wound representing an injury breaking the continuity of the skin with the specific intent to inflict significant GBH. Unlike the broader category of causing GBH, </w:t>
      </w:r>
      <w:r w:rsidR="00710915">
        <w:t>which combines various forms of serious harm, this method focuses specifically</w:t>
      </w:r>
      <w:r w:rsidR="00EC76DC">
        <w:t xml:space="preserve"> on the act of wounding as the means of causing harm. Unlawfully and maliciously wounding on inflicting GBH with intent to resist arrest involves intentionally causing GBH or a wound to resist or prevent </w:t>
      </w:r>
      <w:r w:rsidR="00107743">
        <w:t>the lawful apprehension or detention of any person. It applies in situation where harm is inflicted in an attempt to evade lawful arrest or detention. Finally, assault with intent to rob refers to assaulting with the intent to steal from the person or put them in fear of being immediately subjected to forceful theft.</w:t>
      </w:r>
    </w:p>
    <w:p w14:paraId="660C0C27" w14:textId="53DAF716" w:rsidR="00107743" w:rsidRDefault="00107743" w:rsidP="0095454B">
      <w:r>
        <w:t xml:space="preserve">The method of wounding with the intent to cause significant GBH under Section 18 is significant because it specifies that the offender must intent not only to cause a wound but also to cause GBH of a serious nature. This distinction is important as it differentiates from less serious forms of harm and required a higher level of intent focused specifically on inflicting substantial injury. </w:t>
      </w:r>
      <w:r w:rsidR="00677B3D">
        <w:t xml:space="preserve">In Carla’s case, if it is alleged </w:t>
      </w:r>
      <w:r w:rsidR="00B37D16">
        <w:t xml:space="preserve">that she committed a Section 18 offence by wounding Jamie with the intent to cause significant GBH, the prosecution would need to demonstrate that Carla intentionally caused a wound and that her specific intent was to inflict serious bodily harm on Jamie. </w:t>
      </w:r>
    </w:p>
    <w:p w14:paraId="37870D5B" w14:textId="1CA0657F" w:rsidR="00B95C9C" w:rsidRDefault="00B95C9C" w:rsidP="00B95C9C">
      <w:r>
        <w:t>The Actus Reus (Physical Act)</w:t>
      </w:r>
      <w:r w:rsidR="00C41C42">
        <w:t xml:space="preserve"> is represented by Carla’s act of stabbing Jamie in the chest resulting in serious injuries</w:t>
      </w:r>
      <w:r w:rsidR="00414333">
        <w:t xml:space="preserve">. GBH under this section includes injuries that </w:t>
      </w:r>
      <w:r w:rsidR="00FE70EE">
        <w:t>endanger</w:t>
      </w:r>
      <w:r w:rsidR="00414333">
        <w:t xml:space="preserve"> life or cause serious harm, which stabbing </w:t>
      </w:r>
      <w:r w:rsidR="00FE70EE">
        <w:t xml:space="preserve">to the chest typically fulfils. </w:t>
      </w:r>
    </w:p>
    <w:p w14:paraId="6F1804B9" w14:textId="72E14DD4" w:rsidR="00FE70EE" w:rsidRDefault="00FE70EE" w:rsidP="00B95C9C">
      <w:r>
        <w:t xml:space="preserve">On the other side, </w:t>
      </w:r>
      <w:r w:rsidR="00BA6558">
        <w:t>Mens Rea (Intent) is represent</w:t>
      </w:r>
      <w:r w:rsidR="000A7C65">
        <w:t xml:space="preserve">ed by the prosecution that must prove that Carla had the specific intent to cause </w:t>
      </w:r>
      <w:r w:rsidR="006F28EF">
        <w:t xml:space="preserve">grievous bodily harm. This requires showing that Carla intended to cause serious harm to Jamie, knowing that her actions would likely result in grievous bodily harm. </w:t>
      </w:r>
    </w:p>
    <w:p w14:paraId="424DFE82" w14:textId="0402E3BC" w:rsidR="00E75C7F" w:rsidRDefault="00B37D16" w:rsidP="00B95C9C">
      <w:r>
        <w:t>Given that Jamie sustained serious injuries from the stabbing, this fact strengthens the case for a charge under Section 18. Serious injuries such as those resulting from a stabbing to the chest typically constitute GBH, as they involve substantial risk to life or long-term health consequences. Therefore, t</w:t>
      </w:r>
      <w:r w:rsidR="001B3A32">
        <w:t xml:space="preserve">he severity of Jamie’s injuries will be crucial in determining the gravity of the offence and potential sentencing. </w:t>
      </w:r>
    </w:p>
    <w:p w14:paraId="15977412" w14:textId="48FF2A5D" w:rsidR="00F0712B" w:rsidRDefault="00F0712B" w:rsidP="00B95C9C">
      <w:r>
        <w:t xml:space="preserve">Proving Carla’s intent to cause grievous bodily harm is essential for the prosecution. Intent can be inferred from the nature of the act and surrounding circumstances, such as the use of a knife and the location of the wound. Carla’s emotional state and any provocations preceding the incident may also be considered in assessing her intent. </w:t>
      </w:r>
    </w:p>
    <w:p w14:paraId="05303072" w14:textId="77777777" w:rsidR="00253162" w:rsidRDefault="00722BB0" w:rsidP="00B95C9C">
      <w:r>
        <w:t xml:space="preserve">There are two main </w:t>
      </w:r>
      <w:r w:rsidR="00B37D16">
        <w:t>defences t</w:t>
      </w:r>
      <w:r w:rsidR="009A0F3C">
        <w:t>h</w:t>
      </w:r>
      <w:r w:rsidR="00B37D16">
        <w:t xml:space="preserve">at Carla can use in </w:t>
      </w:r>
      <w:r w:rsidR="009A0F3C">
        <w:t xml:space="preserve">this situation, which are the lack of intent and the self-defence. If Carla will opt for the lack of intent defence, she could argue that she did not intend to cause serious harm to Jamie but acted impulsively or under extreme emotional distress. On the other hand, if Carla will choose </w:t>
      </w:r>
      <w:r w:rsidR="00335097">
        <w:t>the self-defence route, evidence must be brought forward that can suggest that Carla acted in self-defence or to protect herself from Jamie, and this could mitigate her</w:t>
      </w:r>
      <w:r w:rsidR="00253162">
        <w:t xml:space="preserve"> liability under Section 18.</w:t>
      </w:r>
    </w:p>
    <w:p w14:paraId="32CE65A8" w14:textId="153011E6" w:rsidR="00722BB0" w:rsidRDefault="00424DD7" w:rsidP="00B95C9C">
      <w:r>
        <w:t>There are two main cases that are relevant to Carla’s situation: R</w:t>
      </w:r>
      <w:r w:rsidR="00382F91">
        <w:t xml:space="preserve"> v. Burstow; R v. Ireland [1997] 3 WLR 534 and </w:t>
      </w:r>
      <w:r w:rsidR="00316A31">
        <w:t>R. v. Savage [1991] 4 All ER 698</w:t>
      </w:r>
      <w:r w:rsidR="00382F91">
        <w:t xml:space="preserve">. </w:t>
      </w:r>
      <w:r w:rsidR="005876EF">
        <w:t xml:space="preserve">In the case of </w:t>
      </w:r>
      <w:r w:rsidR="005876EF">
        <w:t>R v. Burstow; R v. Ireland [1997] 3 WLR 534</w:t>
      </w:r>
      <w:r w:rsidR="005876EF">
        <w:t>, the House of Lords held that psychiatric injury could constitute GBH, broadening the interpretation of harm under Section 18. While not directly invo</w:t>
      </w:r>
      <w:r w:rsidR="002C1266">
        <w:t xml:space="preserve">lving </w:t>
      </w:r>
      <w:r w:rsidR="00316A31">
        <w:t>physical</w:t>
      </w:r>
      <w:r w:rsidR="002C1266">
        <w:t xml:space="preserve"> injury, it highlights the expansive definition of harm in similar legal context. </w:t>
      </w:r>
      <w:r w:rsidR="00316A31">
        <w:t xml:space="preserve">On the other hand, </w:t>
      </w:r>
      <w:r w:rsidR="00316A31">
        <w:t>R. v. Savage [1991] 4 All ER 698</w:t>
      </w:r>
      <w:r w:rsidR="00316A31">
        <w:t xml:space="preserve"> </w:t>
      </w:r>
      <w:r w:rsidR="00F33210">
        <w:t>distinguishes between intent to cause harm</w:t>
      </w:r>
      <w:r w:rsidR="005D3383">
        <w:t xml:space="preserve"> and specific intent to cause serious harm required for Section 18. It provides guidance on the mental element necessary for proving Section 18 offences. </w:t>
      </w:r>
    </w:p>
    <w:p w14:paraId="17217CDD" w14:textId="2220E0A5" w:rsidR="00591BCD" w:rsidRDefault="00591BCD" w:rsidP="00B95C9C">
      <w:r>
        <w:t xml:space="preserve">Carla’s case aligns with the relevant cases of </w:t>
      </w:r>
      <w:r>
        <w:t>R v. Burstow; R v. Ireland [1997] 3 WLR 534 and R. v. Savage [1991] 4 All ER 698</w:t>
      </w:r>
      <w:r w:rsidR="00F35A27">
        <w:t xml:space="preserve"> in several critical aspects. In </w:t>
      </w:r>
      <w:r w:rsidR="00F205B0">
        <w:t xml:space="preserve">R v. Burstow, since the House of Lords clarified that GBH could </w:t>
      </w:r>
      <w:r w:rsidR="003F7344">
        <w:t>include not only psychical injury but also severe psychological harm. While</w:t>
      </w:r>
      <w:r w:rsidR="00E600D1">
        <w:t xml:space="preserve"> Carla’s case primarily involves psychical injury, the principle highlights the broad interpretation of harm</w:t>
      </w:r>
      <w:r w:rsidR="00BD0101">
        <w:t xml:space="preserve">. Similarly, in R v. Savage, the distinction between intent to cause harm and specific </w:t>
      </w:r>
      <w:r w:rsidR="00851D52">
        <w:t>intent to cause serious harm is mandatory. For Carla, this delimitation is crucial as the prosecution must establish</w:t>
      </w:r>
      <w:r w:rsidR="006D56E4">
        <w:t xml:space="preserve"> her specific intent to inflict GBH on Jamie through her actions. These cases provide a framework for </w:t>
      </w:r>
      <w:r w:rsidR="00814CB3">
        <w:t>understanding</w:t>
      </w:r>
      <w:r w:rsidR="006D56E4">
        <w:t xml:space="preserve"> the mental element required for proving Section 18 offences, </w:t>
      </w:r>
      <w:r w:rsidR="008A1255">
        <w:t>gui</w:t>
      </w:r>
      <w:r w:rsidR="00496C2E">
        <w:t xml:space="preserve">ding the assessment of Carla’s intent and the severity of Jamie’s injuries in determining her potential criminal liability under UK law. </w:t>
      </w:r>
      <w:r w:rsidR="00851D52">
        <w:t xml:space="preserve"> </w:t>
      </w:r>
    </w:p>
    <w:p w14:paraId="37750F26" w14:textId="7032F5CD" w:rsidR="00814CB3" w:rsidRDefault="007D3681" w:rsidP="00B95C9C">
      <w:r>
        <w:t xml:space="preserve">In conclusion, Carla’s case presents a nuanced legal challenge under UK law, focusing on allegations that she caused serious injuries to her husband Jamie by stabbing him in the chest. The analysis has explored Carla’s </w:t>
      </w:r>
      <w:r w:rsidR="005B582E">
        <w:t xml:space="preserve">potential criminal liability under Section 18 of the Offences Against the Person Act 1861, </w:t>
      </w:r>
      <w:r w:rsidR="00860466">
        <w:t xml:space="preserve">highlighting the elements of actus reus and mens rea required for such an offence. Her liability hinges on proving that she unlawfully and maliciously caused grievous </w:t>
      </w:r>
      <w:r w:rsidR="00D0550A">
        <w:t xml:space="preserve">bodily harm with specific intent, a threshold that demands careful scrutiny of her actions and state of mind at the time of the incident. </w:t>
      </w:r>
      <w:r w:rsidR="00587445">
        <w:t xml:space="preserve">Moreover, the application of relevant case laws, such as </w:t>
      </w:r>
      <w:r w:rsidR="00587445">
        <w:t>of R v. Burstow; R v. Ireland [1997] 3 WLR 534 and R. v. Savage [1991] 4 All ER 698</w:t>
      </w:r>
      <w:r w:rsidR="00587445">
        <w:t xml:space="preserve"> provide critical insight. </w:t>
      </w:r>
      <w:r w:rsidR="00B0583F">
        <w:t>Th</w:t>
      </w:r>
      <w:r w:rsidR="00325BB2">
        <w:t xml:space="preserve">ese cases illustrate the broad interpretation of harm under Section 18 and clarify the distinction between general intent to cause harm and specific intent to cause serious bodily harm. Carla’s case aligns with these precedents, particularly in assessing her intent and the severity of Jamie’s injuries, essential factors in determining her criminal liability. </w:t>
      </w:r>
    </w:p>
    <w:p w14:paraId="141265EE" w14:textId="1B76EFEA" w:rsidR="00E604B3" w:rsidRDefault="00E9173C" w:rsidP="00B95C9C">
      <w:r>
        <w:t>To strengthen Carla’s defence and navigate the legal comple</w:t>
      </w:r>
      <w:r w:rsidR="00E604B3">
        <w:t xml:space="preserve">xities effectively, several recommendations are crucial such as </w:t>
      </w:r>
      <w:r w:rsidR="002E77FA">
        <w:t>legal</w:t>
      </w:r>
      <w:r w:rsidR="00E604B3">
        <w:t xml:space="preserve"> representation, evidence collection</w:t>
      </w:r>
      <w:r w:rsidR="002E77FA">
        <w:t xml:space="preserve">, psychological assessment and preparation for legal proceedings. </w:t>
      </w:r>
      <w:r w:rsidR="00093797">
        <w:t xml:space="preserve">For the legal representation, Carla should retain experienced legal counsel specialising in criminal law to provide expert guidance throughout </w:t>
      </w:r>
      <w:r w:rsidR="00A1789B">
        <w:t xml:space="preserve">her case. A knowledgeable solicitor in Section 18 offences can </w:t>
      </w:r>
      <w:r w:rsidR="009B026D">
        <w:t xml:space="preserve">help create a stronger defence strategy. At the same time, gathering </w:t>
      </w:r>
      <w:r w:rsidR="00683A62">
        <w:t xml:space="preserve">comprehensive evidence, including witness statements, medical reports detailing Jamie’s injuries, and any relevant communications or provocations leading up to the incident is essential. This evidence will </w:t>
      </w:r>
      <w:r w:rsidR="00852E99">
        <w:t>demonstrate Carla’s version of events and support her defence against the charges. At the same time, given the po</w:t>
      </w:r>
      <w:r w:rsidR="00824BA7">
        <w:t xml:space="preserve">tential impact of emotional distress on Carla’s actions, a psychological assessment by a forensic psychologist can provide valuable insights into her state of mind at the time of the incident. </w:t>
      </w:r>
      <w:r w:rsidR="004112D6">
        <w:t xml:space="preserve">Finally, Carla should prepare for legal proceedings, including pre-trial preparation, court appearances, and potential negotiations with the prosecutions. </w:t>
      </w:r>
    </w:p>
    <w:p w14:paraId="46711329" w14:textId="7B0140A5" w:rsidR="00451DD8" w:rsidRDefault="00451DD8" w:rsidP="00B95C9C">
      <w:r>
        <w:t xml:space="preserve">In summary, while Carla’s case presents significant challenges, adherence to these recommendations can </w:t>
      </w:r>
      <w:r w:rsidR="00150013">
        <w:t>enhance</w:t>
      </w:r>
      <w:r>
        <w:t xml:space="preserve"> her prospects in addressing the charges against her under UK law. </w:t>
      </w:r>
    </w:p>
    <w:p w14:paraId="51CFC4F0" w14:textId="358CD48A" w:rsidR="00150013" w:rsidRPr="005730D3" w:rsidRDefault="00150013" w:rsidP="00B95C9C">
      <w:pPr>
        <w:rPr>
          <w:b/>
          <w:bCs/>
        </w:rPr>
      </w:pPr>
      <w:r w:rsidRPr="005730D3">
        <w:rPr>
          <w:b/>
          <w:bCs/>
        </w:rPr>
        <w:t>Reference List</w:t>
      </w:r>
    </w:p>
    <w:p w14:paraId="2AED56E8" w14:textId="3B547C77" w:rsidR="00FA3837" w:rsidRDefault="00FA3837" w:rsidP="00B95C9C">
      <w:r>
        <w:t>Burstow [1997]</w:t>
      </w:r>
      <w:r w:rsidR="00BC1ECB">
        <w:t xml:space="preserve"> 3 WLR 534</w:t>
      </w:r>
      <w:r w:rsidR="003B3562">
        <w:t xml:space="preserve">. Available at: </w:t>
      </w:r>
      <w:hyperlink r:id="rId6" w:history="1">
        <w:r w:rsidR="003B3562" w:rsidRPr="009A0B57">
          <w:rPr>
            <w:rStyle w:val="Hyperlink"/>
          </w:rPr>
          <w:t>https://publications.parliament.uk/pa/ld199798/ldjudgmt/jd970724/irland01.htm</w:t>
        </w:r>
      </w:hyperlink>
      <w:r w:rsidR="003B3562">
        <w:t xml:space="preserve"> (Accessed</w:t>
      </w:r>
      <w:r w:rsidR="005730D3">
        <w:t xml:space="preserve">: </w:t>
      </w:r>
      <w:r w:rsidR="003B3562">
        <w:t>17 July 2024).</w:t>
      </w:r>
    </w:p>
    <w:p w14:paraId="2052A333" w14:textId="62D1F76C" w:rsidR="00150013" w:rsidRDefault="00B77CAD" w:rsidP="00B95C9C">
      <w:r>
        <w:t xml:space="preserve">Offences </w:t>
      </w:r>
      <w:r w:rsidR="00BC1ECB">
        <w:t>A</w:t>
      </w:r>
      <w:r>
        <w:t xml:space="preserve">gainst the </w:t>
      </w:r>
      <w:r w:rsidR="00BC1ECB">
        <w:t>P</w:t>
      </w:r>
      <w:r>
        <w:t xml:space="preserve">erson </w:t>
      </w:r>
      <w:r w:rsidR="00BC1ECB">
        <w:t>A</w:t>
      </w:r>
      <w:r>
        <w:t xml:space="preserve">ct </w:t>
      </w:r>
      <w:r w:rsidR="00BC1ECB">
        <w:t>1861, c. 100.</w:t>
      </w:r>
      <w:r>
        <w:t xml:space="preserve"> Available at: </w:t>
      </w:r>
      <w:hyperlink r:id="rId7" w:history="1">
        <w:r w:rsidRPr="009A0B57">
          <w:rPr>
            <w:rStyle w:val="Hyperlink"/>
          </w:rPr>
          <w:t>https://www.legislation.gov.uk/ukpga/Vict/24-25/100/contents</w:t>
        </w:r>
      </w:hyperlink>
      <w:r>
        <w:t xml:space="preserve"> (Accessed</w:t>
      </w:r>
      <w:r w:rsidR="005730D3">
        <w:t>:</w:t>
      </w:r>
      <w:r>
        <w:t xml:space="preserve"> 17 July 2024).</w:t>
      </w:r>
    </w:p>
    <w:p w14:paraId="7497BAC3" w14:textId="2DA34D92" w:rsidR="00BC1ECB" w:rsidRDefault="00BC1ECB" w:rsidP="00B95C9C">
      <w:r>
        <w:t>R v. Savage [1991] 4 A</w:t>
      </w:r>
      <w:r w:rsidR="00A472E4">
        <w:t>ll</w:t>
      </w:r>
      <w:r>
        <w:t xml:space="preserve"> ER 698. </w:t>
      </w:r>
    </w:p>
    <w:p w14:paraId="56509A9E" w14:textId="77777777" w:rsidR="00B77CAD" w:rsidRDefault="00B77CAD" w:rsidP="00B95C9C"/>
    <w:sectPr w:rsidR="00B77CAD" w:rsidSect="0058065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62D4AB5"/>
    <w:multiLevelType w:val="hybridMultilevel"/>
    <w:tmpl w:val="947CF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86583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F10"/>
    <w:rsid w:val="00050F10"/>
    <w:rsid w:val="00060A5A"/>
    <w:rsid w:val="00075340"/>
    <w:rsid w:val="00084018"/>
    <w:rsid w:val="00092070"/>
    <w:rsid w:val="00093797"/>
    <w:rsid w:val="000A7C65"/>
    <w:rsid w:val="000B2263"/>
    <w:rsid w:val="000D4226"/>
    <w:rsid w:val="000E2932"/>
    <w:rsid w:val="00107743"/>
    <w:rsid w:val="0011216F"/>
    <w:rsid w:val="001250FA"/>
    <w:rsid w:val="00130564"/>
    <w:rsid w:val="001451C1"/>
    <w:rsid w:val="00150013"/>
    <w:rsid w:val="0015293F"/>
    <w:rsid w:val="001546EC"/>
    <w:rsid w:val="00182693"/>
    <w:rsid w:val="001B3A32"/>
    <w:rsid w:val="001C591E"/>
    <w:rsid w:val="002221EF"/>
    <w:rsid w:val="00230BF7"/>
    <w:rsid w:val="00231990"/>
    <w:rsid w:val="00253162"/>
    <w:rsid w:val="0028569D"/>
    <w:rsid w:val="002C1266"/>
    <w:rsid w:val="002E16D4"/>
    <w:rsid w:val="002E77FA"/>
    <w:rsid w:val="002F0770"/>
    <w:rsid w:val="00316A31"/>
    <w:rsid w:val="00325BB2"/>
    <w:rsid w:val="00335097"/>
    <w:rsid w:val="00376216"/>
    <w:rsid w:val="00382F91"/>
    <w:rsid w:val="00385879"/>
    <w:rsid w:val="00385925"/>
    <w:rsid w:val="00391207"/>
    <w:rsid w:val="003B3562"/>
    <w:rsid w:val="003E7DD1"/>
    <w:rsid w:val="003F7344"/>
    <w:rsid w:val="004112D6"/>
    <w:rsid w:val="004128B4"/>
    <w:rsid w:val="00414333"/>
    <w:rsid w:val="004176D5"/>
    <w:rsid w:val="00424DD7"/>
    <w:rsid w:val="004364C0"/>
    <w:rsid w:val="00445257"/>
    <w:rsid w:val="00445A0E"/>
    <w:rsid w:val="00451DD8"/>
    <w:rsid w:val="004766F6"/>
    <w:rsid w:val="00481D83"/>
    <w:rsid w:val="00496C2E"/>
    <w:rsid w:val="004A6296"/>
    <w:rsid w:val="004F3B96"/>
    <w:rsid w:val="00522962"/>
    <w:rsid w:val="00530326"/>
    <w:rsid w:val="005378D7"/>
    <w:rsid w:val="00556C3A"/>
    <w:rsid w:val="00556FA8"/>
    <w:rsid w:val="005730D3"/>
    <w:rsid w:val="0058065E"/>
    <w:rsid w:val="00587445"/>
    <w:rsid w:val="005876EF"/>
    <w:rsid w:val="00591BCD"/>
    <w:rsid w:val="0059288D"/>
    <w:rsid w:val="005B582E"/>
    <w:rsid w:val="005C3970"/>
    <w:rsid w:val="005D3383"/>
    <w:rsid w:val="005F1584"/>
    <w:rsid w:val="00634136"/>
    <w:rsid w:val="006741C6"/>
    <w:rsid w:val="00677B3D"/>
    <w:rsid w:val="00683A62"/>
    <w:rsid w:val="006A2E64"/>
    <w:rsid w:val="006D3891"/>
    <w:rsid w:val="006D56E4"/>
    <w:rsid w:val="006E5B61"/>
    <w:rsid w:val="006F28EF"/>
    <w:rsid w:val="006F6A8B"/>
    <w:rsid w:val="00710915"/>
    <w:rsid w:val="0071399B"/>
    <w:rsid w:val="00722BB0"/>
    <w:rsid w:val="00742649"/>
    <w:rsid w:val="00742E6D"/>
    <w:rsid w:val="00752D3C"/>
    <w:rsid w:val="00764A5E"/>
    <w:rsid w:val="007731A1"/>
    <w:rsid w:val="00773D15"/>
    <w:rsid w:val="007B1D0E"/>
    <w:rsid w:val="007D3681"/>
    <w:rsid w:val="00814CB3"/>
    <w:rsid w:val="00824BA7"/>
    <w:rsid w:val="00825FAF"/>
    <w:rsid w:val="0084390C"/>
    <w:rsid w:val="00851D52"/>
    <w:rsid w:val="00852E99"/>
    <w:rsid w:val="00860466"/>
    <w:rsid w:val="008A1255"/>
    <w:rsid w:val="0091056A"/>
    <w:rsid w:val="009173E2"/>
    <w:rsid w:val="00917688"/>
    <w:rsid w:val="009179C5"/>
    <w:rsid w:val="00922151"/>
    <w:rsid w:val="0095454B"/>
    <w:rsid w:val="00961F47"/>
    <w:rsid w:val="009A0F3C"/>
    <w:rsid w:val="009B026D"/>
    <w:rsid w:val="00A1789B"/>
    <w:rsid w:val="00A472E4"/>
    <w:rsid w:val="00A56ECA"/>
    <w:rsid w:val="00A70BF2"/>
    <w:rsid w:val="00A94D58"/>
    <w:rsid w:val="00B02749"/>
    <w:rsid w:val="00B0583F"/>
    <w:rsid w:val="00B25271"/>
    <w:rsid w:val="00B37D16"/>
    <w:rsid w:val="00B628AC"/>
    <w:rsid w:val="00B77CAD"/>
    <w:rsid w:val="00B95C9C"/>
    <w:rsid w:val="00BA2858"/>
    <w:rsid w:val="00BA6558"/>
    <w:rsid w:val="00BC1ECB"/>
    <w:rsid w:val="00BD0101"/>
    <w:rsid w:val="00BE2A5D"/>
    <w:rsid w:val="00C108AD"/>
    <w:rsid w:val="00C13D01"/>
    <w:rsid w:val="00C353DF"/>
    <w:rsid w:val="00C41C42"/>
    <w:rsid w:val="00C63527"/>
    <w:rsid w:val="00C64EA5"/>
    <w:rsid w:val="00CA326A"/>
    <w:rsid w:val="00CB6916"/>
    <w:rsid w:val="00CC52D7"/>
    <w:rsid w:val="00CD1EF5"/>
    <w:rsid w:val="00D0550A"/>
    <w:rsid w:val="00D06940"/>
    <w:rsid w:val="00D06A9C"/>
    <w:rsid w:val="00D610FF"/>
    <w:rsid w:val="00D9622A"/>
    <w:rsid w:val="00D9637D"/>
    <w:rsid w:val="00DA603F"/>
    <w:rsid w:val="00DA6AB1"/>
    <w:rsid w:val="00E02C24"/>
    <w:rsid w:val="00E206AC"/>
    <w:rsid w:val="00E34F7C"/>
    <w:rsid w:val="00E44D07"/>
    <w:rsid w:val="00E457AA"/>
    <w:rsid w:val="00E600D1"/>
    <w:rsid w:val="00E604B3"/>
    <w:rsid w:val="00E66592"/>
    <w:rsid w:val="00E75C7F"/>
    <w:rsid w:val="00E76B01"/>
    <w:rsid w:val="00E9173C"/>
    <w:rsid w:val="00E92873"/>
    <w:rsid w:val="00E951B3"/>
    <w:rsid w:val="00EC76DC"/>
    <w:rsid w:val="00F0712B"/>
    <w:rsid w:val="00F205B0"/>
    <w:rsid w:val="00F3047A"/>
    <w:rsid w:val="00F326FC"/>
    <w:rsid w:val="00F33210"/>
    <w:rsid w:val="00F35A27"/>
    <w:rsid w:val="00F41117"/>
    <w:rsid w:val="00F41CCD"/>
    <w:rsid w:val="00F623F5"/>
    <w:rsid w:val="00F90297"/>
    <w:rsid w:val="00FA3837"/>
    <w:rsid w:val="00FB269C"/>
    <w:rsid w:val="00FE7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92165"/>
  <w15:docId w15:val="{137A9056-863B-49C0-B512-6EB2D2AE1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50F1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0F10"/>
    <w:rPr>
      <w:rFonts w:eastAsiaTheme="minorEastAsia"/>
      <w:lang w:val="en-US"/>
    </w:rPr>
  </w:style>
  <w:style w:type="character" w:styleId="Hyperlink">
    <w:name w:val="Hyperlink"/>
    <w:basedOn w:val="DefaultParagraphFont"/>
    <w:uiPriority w:val="99"/>
    <w:unhideWhenUsed/>
    <w:rsid w:val="0059288D"/>
    <w:rPr>
      <w:color w:val="0563C1" w:themeColor="hyperlink"/>
      <w:u w:val="single"/>
    </w:rPr>
  </w:style>
  <w:style w:type="character" w:styleId="UnresolvedMention">
    <w:name w:val="Unresolved Mention"/>
    <w:basedOn w:val="DefaultParagraphFont"/>
    <w:uiPriority w:val="99"/>
    <w:semiHidden/>
    <w:unhideWhenUsed/>
    <w:rsid w:val="0059288D"/>
    <w:rPr>
      <w:color w:val="605E5C"/>
      <w:shd w:val="clear" w:color="auto" w:fill="E1DFDD"/>
    </w:rPr>
  </w:style>
  <w:style w:type="paragraph" w:styleId="ListParagraph">
    <w:name w:val="List Paragraph"/>
    <w:basedOn w:val="Normal"/>
    <w:uiPriority w:val="34"/>
    <w:qFormat/>
    <w:rsid w:val="00D962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legislation.gov.uk/ukpga/Vict/24-25/100/conten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publications.parliament.uk/pa/ld199798/ldjudgmt/jd970724/irland01.htm"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1392</Words>
  <Characters>7941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Scenario Question Rework</dc:title>
  <dc:subject>Criminal law – bmpl4009</dc:subject>
  <dc:creator>Nicoleta secara 2214822</dc:creator>
  <cp:keywords/>
  <dc:description/>
  <cp:lastModifiedBy>Alina Culea</cp:lastModifiedBy>
  <cp:revision>2</cp:revision>
  <dcterms:created xsi:type="dcterms:W3CDTF">2024-07-19T13:14:00Z</dcterms:created>
  <dcterms:modified xsi:type="dcterms:W3CDTF">2024-07-19T13:14:00Z</dcterms:modified>
</cp:coreProperties>
</file>