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169E4D9" wp14:paraId="5894062D" wp14:textId="68B43CD4">
      <w:pPr>
        <w:spacing w:after="165" w:line="360" w:lineRule="auto"/>
        <w:rPr>
          <w:rFonts w:ascii="Tahoma" w:hAnsi="Tahoma" w:eastAsia="Tahoma" w:cs="Tahoma"/>
          <w:noProof w:val="0"/>
          <w:color w:val="000000" w:themeColor="text1" w:themeTint="FF" w:themeShade="FF"/>
          <w:sz w:val="40"/>
          <w:szCs w:val="40"/>
          <w:lang w:val="en-US"/>
        </w:rPr>
      </w:pPr>
      <w:r w:rsidR="59DD83D0">
        <w:drawing>
          <wp:inline xmlns:wp14="http://schemas.microsoft.com/office/word/2010/wordprocessingDrawing" wp14:editId="0E828C91" wp14:anchorId="2FEA2EE2">
            <wp:extent cx="2210108" cy="743054"/>
            <wp:effectExtent l="0" t="0" r="0" b="0"/>
            <wp:docPr id="1362381428"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2381428" name=""/>
                    <pic:cNvPicPr/>
                  </pic:nvPicPr>
                  <pic:blipFill>
                    <a:blip xmlns:r="http://schemas.openxmlformats.org/officeDocument/2006/relationships" r:embed="rId687197578">
                      <a:extLst>
                        <a:ext xmlns:a="http://schemas.openxmlformats.org/drawingml/2006/main" uri="{28A0092B-C50C-407E-A947-70E740481C1C}">
                          <a14:useLocalDpi xmlns:a14="http://schemas.microsoft.com/office/drawing/2010/main" val="0"/>
                        </a:ext>
                      </a:extLst>
                    </a:blip>
                    <a:stretch>
                      <a:fillRect/>
                    </a:stretch>
                  </pic:blipFill>
                  <pic:spPr>
                    <a:xfrm>
                      <a:off x="0" y="0"/>
                      <a:ext cx="2210108" cy="743054"/>
                    </a:xfrm>
                    <a:prstGeom prst="rect">
                      <a:avLst/>
                    </a:prstGeom>
                  </pic:spPr>
                </pic:pic>
              </a:graphicData>
            </a:graphic>
          </wp:inline>
        </w:drawing>
      </w:r>
    </w:p>
    <w:p xmlns:wp14="http://schemas.microsoft.com/office/word/2010/wordml" w:rsidP="1169E4D9" wp14:paraId="42ABD5B9" wp14:textId="07395D96">
      <w:pPr>
        <w:spacing w:after="165" w:line="360" w:lineRule="auto"/>
        <w:jc w:val="center"/>
        <w:rPr>
          <w:rFonts w:ascii="Tahoma" w:hAnsi="Tahoma" w:eastAsia="Tahoma" w:cs="Tahoma"/>
          <w:noProof w:val="0"/>
          <w:color w:val="000000" w:themeColor="text1" w:themeTint="FF" w:themeShade="FF"/>
          <w:sz w:val="40"/>
          <w:szCs w:val="40"/>
          <w:lang w:val="en-US"/>
        </w:rPr>
      </w:pPr>
      <w:r w:rsidRPr="1169E4D9" w:rsidR="59DD83D0">
        <w:rPr>
          <w:rFonts w:ascii="Tahoma" w:hAnsi="Tahoma" w:eastAsia="Tahoma" w:cs="Tahoma"/>
          <w:noProof w:val="0"/>
          <w:color w:val="000000" w:themeColor="text1" w:themeTint="FF" w:themeShade="FF"/>
          <w:sz w:val="40"/>
          <w:szCs w:val="40"/>
          <w:lang w:val="en-GB"/>
        </w:rPr>
        <w:t>Applied Leadership and Management in the Workplace</w:t>
      </w:r>
      <w:r>
        <w:br/>
      </w:r>
      <w:r w:rsidRPr="1169E4D9" w:rsidR="59DD83D0">
        <w:rPr>
          <w:rFonts w:ascii="Tahoma" w:hAnsi="Tahoma" w:eastAsia="Tahoma" w:cs="Tahoma"/>
          <w:noProof w:val="0"/>
          <w:color w:val="000000" w:themeColor="text1" w:themeTint="FF" w:themeShade="FF"/>
          <w:sz w:val="40"/>
          <w:szCs w:val="40"/>
          <w:lang w:val="en-GB"/>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446"/>
        <w:gridCol w:w="6064"/>
      </w:tblGrid>
      <w:tr w:rsidR="1169E4D9" w:rsidTr="31DBD837" w14:paraId="3904A1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448A3474" w14:textId="61100C4D">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Student Name: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1169E4D9" w:rsidRDefault="1169E4D9" w14:paraId="74C1603E" w14:textId="1900381C">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Scott Morgan</w:t>
            </w:r>
          </w:p>
        </w:tc>
      </w:tr>
      <w:tr w:rsidR="1169E4D9" w:rsidTr="31DBD837" w14:paraId="67E20AB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6C30D6C1" w14:textId="78ACA0D0">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Student Number:</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1169E4D9" w:rsidRDefault="1169E4D9" w14:paraId="6CD1CCA7" w14:textId="7BDFFCE9">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2319551</w:t>
            </w:r>
          </w:p>
        </w:tc>
      </w:tr>
      <w:tr w:rsidR="1169E4D9" w:rsidTr="31DBD837" w14:paraId="4D4B55A4">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36087F9D" w14:textId="63185584">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Module No:</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31DBD837" w:rsidRDefault="1169E4D9" w14:paraId="2C347888" w14:textId="13FC7C56">
            <w:pPr>
              <w:spacing w:before="120" w:after="120" w:line="360" w:lineRule="auto"/>
              <w:rPr>
                <w:rFonts w:ascii="Tahoma" w:hAnsi="Tahoma" w:eastAsia="Tahoma" w:cs="Tahoma"/>
                <w:sz w:val="32"/>
                <w:szCs w:val="32"/>
                <w:lang w:val="en-GB"/>
              </w:rPr>
            </w:pPr>
            <w:r w:rsidRPr="31DBD837" w:rsidR="1169E4D9">
              <w:rPr>
                <w:rFonts w:ascii="Tahoma" w:hAnsi="Tahoma" w:eastAsia="Tahoma" w:cs="Tahoma"/>
                <w:sz w:val="32"/>
                <w:szCs w:val="32"/>
                <w:lang w:val="en-GB"/>
              </w:rPr>
              <w:t>BMSK501</w:t>
            </w:r>
            <w:r w:rsidRPr="31DBD837" w:rsidR="7972CDE0">
              <w:rPr>
                <w:rFonts w:ascii="Tahoma" w:hAnsi="Tahoma" w:eastAsia="Tahoma" w:cs="Tahoma"/>
                <w:sz w:val="32"/>
                <w:szCs w:val="32"/>
                <w:lang w:val="en-GB"/>
              </w:rPr>
              <w:t>2</w:t>
            </w:r>
          </w:p>
        </w:tc>
      </w:tr>
      <w:tr w:rsidR="1169E4D9" w:rsidTr="31DBD837" w14:paraId="07C4FDF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47DC01A8" w14:textId="475DE272">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Module Title: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6876CEF" w:rsidP="31DBD837" w:rsidRDefault="36876CEF" w14:paraId="034B4CC7" w14:textId="0D5C07B1">
            <w:pPr>
              <w:pStyle w:val="Normal"/>
              <w:suppressLineNumbers w:val="0"/>
              <w:bidi w:val="0"/>
              <w:spacing w:before="120" w:beforeAutospacing="off" w:after="120" w:afterAutospacing="off" w:line="360" w:lineRule="auto"/>
              <w:ind w:left="0" w:right="0"/>
              <w:jc w:val="left"/>
            </w:pPr>
            <w:r w:rsidRPr="31DBD837" w:rsidR="78F16DD6">
              <w:rPr>
                <w:rFonts w:ascii="Tahoma" w:hAnsi="Tahoma" w:eastAsia="Tahoma" w:cs="Tahoma"/>
                <w:sz w:val="32"/>
                <w:szCs w:val="32"/>
                <w:lang w:val="en-GB"/>
              </w:rPr>
              <w:t>Understanding and Engaging in the Customer Experience</w:t>
            </w:r>
          </w:p>
        </w:tc>
      </w:tr>
    </w:tbl>
    <w:p xmlns:wp14="http://schemas.microsoft.com/office/word/2010/wordml" w:rsidP="1169E4D9" wp14:paraId="28C6D2DC" wp14:textId="4C824981">
      <w:pPr>
        <w:rPr>
          <w:rFonts w:ascii="Calibri" w:hAnsi="Calibri" w:eastAsia="Calibri" w:cs="Calibri"/>
          <w:noProof w:val="0"/>
          <w:sz w:val="22"/>
          <w:szCs w:val="22"/>
          <w:lang w:val="en-US"/>
        </w:rPr>
      </w:pPr>
    </w:p>
    <w:p xmlns:wp14="http://schemas.microsoft.com/office/word/2010/wordml" w:rsidP="1169E4D9" wp14:paraId="4A30AC19" wp14:textId="12D3EDE4">
      <w:pPr>
        <w:rPr>
          <w:rFonts w:ascii="Calibri" w:hAnsi="Calibri" w:eastAsia="Calibri" w:cs="Calibri"/>
          <w:noProof w:val="0"/>
          <w:sz w:val="22"/>
          <w:szCs w:val="22"/>
          <w:lang w:val="en-US"/>
        </w:rPr>
      </w:pPr>
    </w:p>
    <w:p xmlns:wp14="http://schemas.microsoft.com/office/word/2010/wordml" w:rsidP="1169E4D9" wp14:paraId="0990F6BF" wp14:textId="5D24E4B2">
      <w:pPr>
        <w:rPr>
          <w:rFonts w:ascii="Calibri" w:hAnsi="Calibri" w:eastAsia="Calibri" w:cs="Calibri"/>
          <w:noProof w:val="0"/>
          <w:sz w:val="22"/>
          <w:szCs w:val="22"/>
          <w:lang w:val="en-US"/>
        </w:rPr>
      </w:pPr>
    </w:p>
    <w:p xmlns:wp14="http://schemas.microsoft.com/office/word/2010/wordml" w:rsidP="1169E4D9" wp14:paraId="18E72619" wp14:textId="3273879B">
      <w:pPr>
        <w:rPr>
          <w:rFonts w:ascii="Calibri" w:hAnsi="Calibri" w:eastAsia="Calibri" w:cs="Calibri"/>
          <w:noProof w:val="0"/>
          <w:sz w:val="22"/>
          <w:szCs w:val="22"/>
          <w:lang w:val="en-US"/>
        </w:rPr>
      </w:pPr>
    </w:p>
    <w:p xmlns:wp14="http://schemas.microsoft.com/office/word/2010/wordml" w:rsidP="1169E4D9" wp14:paraId="0830787E" wp14:textId="57F0B96D">
      <w:pPr>
        <w:rPr>
          <w:rFonts w:ascii="Calibri" w:hAnsi="Calibri" w:eastAsia="Calibri" w:cs="Calibri"/>
          <w:noProof w:val="0"/>
          <w:sz w:val="22"/>
          <w:szCs w:val="22"/>
          <w:lang w:val="en-US"/>
        </w:rPr>
      </w:pPr>
    </w:p>
    <w:p xmlns:wp14="http://schemas.microsoft.com/office/word/2010/wordml" w:rsidP="1169E4D9" wp14:paraId="7164CC1A" wp14:textId="1E2E06F1">
      <w:pPr>
        <w:rPr>
          <w:rFonts w:ascii="Calibri" w:hAnsi="Calibri" w:eastAsia="Calibri" w:cs="Calibri"/>
          <w:noProof w:val="0"/>
          <w:sz w:val="22"/>
          <w:szCs w:val="22"/>
          <w:lang w:val="en-US"/>
        </w:rPr>
      </w:pPr>
    </w:p>
    <w:p xmlns:wp14="http://schemas.microsoft.com/office/word/2010/wordml" w:rsidP="1169E4D9" wp14:paraId="3D17A5DA" wp14:textId="55FB572C">
      <w:pPr>
        <w:rPr>
          <w:rFonts w:ascii="Calibri" w:hAnsi="Calibri" w:eastAsia="Calibri" w:cs="Calibri"/>
          <w:noProof w:val="0"/>
          <w:sz w:val="22"/>
          <w:szCs w:val="22"/>
          <w:lang w:val="en-US"/>
        </w:rPr>
      </w:pPr>
    </w:p>
    <w:p xmlns:wp14="http://schemas.microsoft.com/office/word/2010/wordml" w:rsidP="1169E4D9" wp14:paraId="161AB9CF" wp14:textId="6E6956F7">
      <w:pPr>
        <w:rPr>
          <w:rFonts w:ascii="Calibri" w:hAnsi="Calibri" w:eastAsia="Calibri" w:cs="Calibri"/>
          <w:noProof w:val="0"/>
          <w:sz w:val="22"/>
          <w:szCs w:val="22"/>
          <w:lang w:val="en-US"/>
        </w:rPr>
      </w:pPr>
    </w:p>
    <w:p xmlns:wp14="http://schemas.microsoft.com/office/word/2010/wordml" w:rsidP="1169E4D9" wp14:paraId="45A98E63" wp14:textId="749D4454">
      <w:pPr>
        <w:rPr>
          <w:rFonts w:ascii="Calibri" w:hAnsi="Calibri" w:eastAsia="Calibri" w:cs="Calibri"/>
          <w:noProof w:val="0"/>
          <w:sz w:val="22"/>
          <w:szCs w:val="22"/>
          <w:lang w:val="en-US"/>
        </w:rPr>
      </w:pPr>
    </w:p>
    <w:p xmlns:wp14="http://schemas.microsoft.com/office/word/2010/wordml" w:rsidP="1169E4D9" wp14:paraId="53345C8A" wp14:textId="06E2A934">
      <w:pPr>
        <w:rPr>
          <w:rFonts w:ascii="Calibri" w:hAnsi="Calibri" w:eastAsia="Calibri" w:cs="Calibri"/>
          <w:noProof w:val="0"/>
          <w:sz w:val="22"/>
          <w:szCs w:val="22"/>
          <w:lang w:val="en-US"/>
        </w:rPr>
      </w:pPr>
    </w:p>
    <w:p xmlns:wp14="http://schemas.microsoft.com/office/word/2010/wordml" w:rsidP="1169E4D9" wp14:paraId="5182D164" wp14:textId="2881BEA9">
      <w:pPr>
        <w:rPr>
          <w:rFonts w:ascii="Calibri" w:hAnsi="Calibri" w:eastAsia="Calibri" w:cs="Calibri"/>
          <w:noProof w:val="0"/>
          <w:sz w:val="22"/>
          <w:szCs w:val="22"/>
          <w:lang w:val="en-US"/>
        </w:rPr>
      </w:pPr>
    </w:p>
    <w:p xmlns:wp14="http://schemas.microsoft.com/office/word/2010/wordml" w:rsidP="1169E4D9" wp14:paraId="6B0269EA" wp14:textId="42FDE232">
      <w:pPr>
        <w:rPr>
          <w:rFonts w:ascii="Calibri" w:hAnsi="Calibri" w:eastAsia="Calibri" w:cs="Calibri"/>
          <w:noProof w:val="0"/>
          <w:sz w:val="22"/>
          <w:szCs w:val="22"/>
          <w:lang w:val="en-US"/>
        </w:rPr>
      </w:pPr>
      <w:r w:rsidRPr="001DFC05" w:rsidR="59DD83D0">
        <w:rPr>
          <w:rFonts w:ascii="Calibri" w:hAnsi="Calibri" w:eastAsia="Calibri" w:cs="Calibri"/>
          <w:noProof w:val="0"/>
          <w:sz w:val="22"/>
          <w:szCs w:val="22"/>
          <w:lang w:val="en-GB"/>
        </w:rPr>
        <w:t xml:space="preserve">I acknowledge the use of ChatGPT, </w:t>
      </w:r>
      <w:r w:rsidRPr="001DFC05" w:rsidR="6729D4B4">
        <w:rPr>
          <w:rFonts w:ascii="Calibri" w:hAnsi="Calibri" w:eastAsia="Calibri" w:cs="Calibri"/>
          <w:noProof w:val="0"/>
          <w:sz w:val="22"/>
          <w:szCs w:val="22"/>
          <w:lang w:val="en-GB"/>
        </w:rPr>
        <w:t>Gemini</w:t>
      </w:r>
      <w:r w:rsidRPr="001DFC05" w:rsidR="59DD83D0">
        <w:rPr>
          <w:rFonts w:ascii="Calibri" w:hAnsi="Calibri" w:eastAsia="Calibri" w:cs="Calibri"/>
          <w:noProof w:val="0"/>
          <w:sz w:val="22"/>
          <w:szCs w:val="22"/>
          <w:lang w:val="en-GB"/>
        </w:rPr>
        <w:t xml:space="preserve"> and Grammarly</w:t>
      </w:r>
      <w:r w:rsidRPr="001DFC05" w:rsidR="2E9E9F12">
        <w:rPr>
          <w:rFonts w:ascii="Calibri" w:hAnsi="Calibri" w:eastAsia="Calibri" w:cs="Calibri"/>
          <w:noProof w:val="0"/>
          <w:sz w:val="22"/>
          <w:szCs w:val="22"/>
          <w:lang w:val="en-GB"/>
        </w:rPr>
        <w:t xml:space="preserve"> </w:t>
      </w:r>
      <w:r w:rsidRPr="001DFC05" w:rsidR="59DD83D0">
        <w:rPr>
          <w:rFonts w:ascii="Calibri" w:hAnsi="Calibri" w:eastAsia="Calibri" w:cs="Calibri"/>
          <w:noProof w:val="0"/>
          <w:sz w:val="22"/>
          <w:szCs w:val="22"/>
          <w:lang w:val="en-GB"/>
        </w:rPr>
        <w:t>to support my research using the following prompts:</w:t>
      </w:r>
    </w:p>
    <w:p xmlns:wp14="http://schemas.microsoft.com/office/word/2010/wordml" w:rsidP="785DB312" wp14:paraId="324A8929" wp14:textId="324A8A0B">
      <w:pPr>
        <w:pStyle w:val="ListParagraph"/>
        <w:numPr>
          <w:ilvl w:val="0"/>
          <w:numId w:val="1"/>
        </w:numPr>
        <w:rPr>
          <w:rFonts w:ascii="Calibri" w:hAnsi="Calibri" w:eastAsia="Calibri" w:cs="Calibri"/>
          <w:noProof w:val="0"/>
          <w:sz w:val="22"/>
          <w:szCs w:val="22"/>
          <w:lang w:val="en-GB"/>
        </w:rPr>
      </w:pPr>
      <w:r w:rsidRPr="001DFC05" w:rsidR="59DD83D0">
        <w:rPr>
          <w:rFonts w:ascii="Calibri" w:hAnsi="Calibri" w:eastAsia="Calibri" w:cs="Calibri"/>
          <w:noProof w:val="0"/>
          <w:sz w:val="22"/>
          <w:szCs w:val="22"/>
          <w:lang w:val="en-GB"/>
        </w:rPr>
        <w:t xml:space="preserve">Please provide me with a template following the criteria provided </w:t>
      </w:r>
      <w:r w:rsidRPr="001DFC05" w:rsidR="0F1F000C">
        <w:rPr>
          <w:rFonts w:ascii="Calibri" w:hAnsi="Calibri" w:eastAsia="Calibri" w:cs="Calibri"/>
          <w:noProof w:val="0"/>
          <w:sz w:val="22"/>
          <w:szCs w:val="22"/>
          <w:lang w:val="en-GB"/>
        </w:rPr>
        <w:t>to</w:t>
      </w:r>
      <w:r w:rsidRPr="001DFC05" w:rsidR="59DD83D0">
        <w:rPr>
          <w:rFonts w:ascii="Calibri" w:hAnsi="Calibri" w:eastAsia="Calibri" w:cs="Calibri"/>
          <w:noProof w:val="0"/>
          <w:sz w:val="22"/>
          <w:szCs w:val="22"/>
          <w:lang w:val="en-GB"/>
        </w:rPr>
        <w:t xml:space="preserve"> create a report on </w:t>
      </w:r>
      <w:r w:rsidRPr="001DFC05" w:rsidR="50AC9511">
        <w:rPr>
          <w:rFonts w:ascii="Calibri" w:hAnsi="Calibri" w:eastAsia="Calibri" w:cs="Calibri"/>
          <w:noProof w:val="0"/>
          <w:sz w:val="22"/>
          <w:szCs w:val="22"/>
          <w:lang w:val="en-GB"/>
        </w:rPr>
        <w:t>Knowledge management</w:t>
      </w:r>
      <w:r w:rsidRPr="001DFC05" w:rsidR="59DD83D0">
        <w:rPr>
          <w:rFonts w:ascii="Calibri" w:hAnsi="Calibri" w:eastAsia="Calibri" w:cs="Calibri"/>
          <w:noProof w:val="0"/>
          <w:sz w:val="22"/>
          <w:szCs w:val="22"/>
          <w:lang w:val="en-GB"/>
        </w:rPr>
        <w:t>.</w:t>
      </w:r>
    </w:p>
    <w:p xmlns:wp14="http://schemas.microsoft.com/office/word/2010/wordml" w:rsidP="001DFC05" wp14:paraId="583552C6" wp14:textId="20AE645E">
      <w:pPr>
        <w:pStyle w:val="ListParagraph"/>
        <w:numPr>
          <w:ilvl w:val="0"/>
          <w:numId w:val="1"/>
        </w:numPr>
        <w:rPr>
          <w:rFonts w:ascii="Calibri" w:hAnsi="Calibri" w:eastAsia="Calibri" w:cs="Calibri"/>
          <w:noProof w:val="0"/>
          <w:sz w:val="24"/>
          <w:szCs w:val="24"/>
          <w:lang w:val="en-US"/>
        </w:rPr>
      </w:pPr>
      <w:r w:rsidRPr="001DFC05" w:rsidR="59DD83D0">
        <w:rPr>
          <w:rFonts w:ascii="Calibri" w:hAnsi="Calibri" w:eastAsia="Calibri" w:cs="Calibri"/>
          <w:noProof w:val="0"/>
          <w:sz w:val="22"/>
          <w:szCs w:val="22"/>
          <w:lang w:val="en-GB"/>
        </w:rPr>
        <w:t xml:space="preserve">Please help me to </w:t>
      </w:r>
      <w:r w:rsidRPr="001DFC05" w:rsidR="58F0398E">
        <w:rPr>
          <w:rFonts w:ascii="Calibri" w:hAnsi="Calibri" w:eastAsia="Calibri" w:cs="Calibri"/>
          <w:noProof w:val="0"/>
          <w:sz w:val="22"/>
          <w:szCs w:val="22"/>
          <w:lang w:val="en-GB"/>
        </w:rPr>
        <w:t>APA 7</w:t>
      </w:r>
      <w:r w:rsidRPr="001DFC05" w:rsidR="59DD83D0">
        <w:rPr>
          <w:rFonts w:ascii="Calibri" w:hAnsi="Calibri" w:eastAsia="Calibri" w:cs="Calibri"/>
          <w:noProof w:val="0"/>
          <w:sz w:val="22"/>
          <w:szCs w:val="22"/>
          <w:lang w:val="en-GB"/>
        </w:rPr>
        <w:t xml:space="preserve"> reference my references.</w:t>
      </w:r>
    </w:p>
    <w:p xmlns:wp14="http://schemas.microsoft.com/office/word/2010/wordml" w:rsidP="001DFC05" wp14:paraId="0FA9CD41" wp14:textId="7B90C2E1">
      <w:pPr>
        <w:pStyle w:val="ListParagraph"/>
        <w:numPr>
          <w:ilvl w:val="0"/>
          <w:numId w:val="1"/>
        </w:numPr>
        <w:rPr>
          <w:rFonts w:ascii="Calibri" w:hAnsi="Calibri" w:eastAsia="Calibri" w:cs="Calibri"/>
          <w:noProof w:val="0"/>
          <w:color w:val="000000" w:themeColor="text1" w:themeTint="FF" w:themeShade="FF"/>
          <w:sz w:val="24"/>
          <w:szCs w:val="24"/>
          <w:lang w:val="en-US"/>
        </w:rPr>
      </w:pPr>
      <w:r w:rsidRPr="001DFC05" w:rsidR="59DD83D0">
        <w:rPr>
          <w:rFonts w:ascii="Calibri" w:hAnsi="Calibri" w:eastAsia="Calibri" w:cs="Calibri"/>
          <w:noProof w:val="0"/>
          <w:color w:val="000000" w:themeColor="text1" w:themeTint="FF" w:themeShade="FF"/>
          <w:sz w:val="22"/>
          <w:szCs w:val="22"/>
          <w:lang w:val="en-GB"/>
        </w:rPr>
        <w:t xml:space="preserve">Please review the attached report and check for </w:t>
      </w:r>
      <w:r w:rsidRPr="001DFC05" w:rsidR="23369550">
        <w:rPr>
          <w:rFonts w:ascii="Calibri" w:hAnsi="Calibri" w:eastAsia="Calibri" w:cs="Calibri"/>
          <w:noProof w:val="0"/>
          <w:color w:val="000000" w:themeColor="text1" w:themeTint="FF" w:themeShade="FF"/>
          <w:sz w:val="22"/>
          <w:szCs w:val="22"/>
          <w:lang w:val="en-GB"/>
        </w:rPr>
        <w:t>grammar</w:t>
      </w:r>
      <w:r w:rsidRPr="001DFC05" w:rsidR="59DD83D0">
        <w:rPr>
          <w:rFonts w:ascii="Calibri" w:hAnsi="Calibri" w:eastAsia="Calibri" w:cs="Calibri"/>
          <w:noProof w:val="0"/>
          <w:color w:val="000000" w:themeColor="text1" w:themeTint="FF" w:themeShade="FF"/>
          <w:sz w:val="22"/>
          <w:szCs w:val="22"/>
          <w:lang w:val="en-GB"/>
        </w:rPr>
        <w:t xml:space="preserve">, spelling, </w:t>
      </w:r>
      <w:r w:rsidRPr="001DFC05" w:rsidR="59DD83D0">
        <w:rPr>
          <w:rFonts w:ascii="Calibri" w:hAnsi="Calibri" w:eastAsia="Calibri" w:cs="Calibri"/>
          <w:noProof w:val="0"/>
          <w:color w:val="000000" w:themeColor="text1" w:themeTint="FF" w:themeShade="FF"/>
          <w:sz w:val="22"/>
          <w:szCs w:val="22"/>
          <w:lang w:val="en-GB"/>
        </w:rPr>
        <w:t>formatting</w:t>
      </w:r>
      <w:r w:rsidRPr="001DFC05" w:rsidR="59DD83D0">
        <w:rPr>
          <w:rFonts w:ascii="Calibri" w:hAnsi="Calibri" w:eastAsia="Calibri" w:cs="Calibri"/>
          <w:noProof w:val="0"/>
          <w:color w:val="000000" w:themeColor="text1" w:themeTint="FF" w:themeShade="FF"/>
          <w:sz w:val="22"/>
          <w:szCs w:val="22"/>
          <w:lang w:val="en-GB"/>
        </w:rPr>
        <w:t xml:space="preserve"> and general structure. Please highlight areas where I can improve the flow, write more </w:t>
      </w:r>
      <w:r w:rsidRPr="001DFC05" w:rsidR="2ADE6044">
        <w:rPr>
          <w:rFonts w:ascii="Calibri" w:hAnsi="Calibri" w:eastAsia="Calibri" w:cs="Calibri"/>
          <w:noProof w:val="0"/>
          <w:color w:val="000000" w:themeColor="text1" w:themeTint="FF" w:themeShade="FF"/>
          <w:sz w:val="22"/>
          <w:szCs w:val="22"/>
          <w:lang w:val="en-GB"/>
        </w:rPr>
        <w:t xml:space="preserve">concisely, </w:t>
      </w:r>
      <w:r w:rsidRPr="001DFC05" w:rsidR="3D258EA0">
        <w:rPr>
          <w:rFonts w:ascii="Calibri" w:hAnsi="Calibri" w:eastAsia="Calibri" w:cs="Calibri"/>
          <w:noProof w:val="0"/>
          <w:color w:val="000000" w:themeColor="text1" w:themeTint="FF" w:themeShade="FF"/>
          <w:sz w:val="22"/>
          <w:szCs w:val="22"/>
          <w:lang w:val="en-GB"/>
        </w:rPr>
        <w:t>contextualise</w:t>
      </w:r>
      <w:r w:rsidRPr="001DFC05" w:rsidR="59DD83D0">
        <w:rPr>
          <w:rFonts w:ascii="Calibri" w:hAnsi="Calibri" w:eastAsia="Calibri" w:cs="Calibri"/>
          <w:noProof w:val="0"/>
          <w:color w:val="000000" w:themeColor="text1" w:themeTint="FF" w:themeShade="FF"/>
          <w:sz w:val="22"/>
          <w:szCs w:val="22"/>
          <w:lang w:val="en-GB"/>
        </w:rPr>
        <w:t xml:space="preserve"> and add in critical elements. Please could you look to </w:t>
      </w:r>
      <w:r w:rsidRPr="001DFC05" w:rsidR="442C29B7">
        <w:rPr>
          <w:rFonts w:ascii="Calibri" w:hAnsi="Calibri" w:eastAsia="Calibri" w:cs="Calibri"/>
          <w:noProof w:val="0"/>
          <w:color w:val="000000" w:themeColor="text1" w:themeTint="FF" w:themeShade="FF"/>
          <w:sz w:val="22"/>
          <w:szCs w:val="22"/>
          <w:lang w:val="en-GB"/>
        </w:rPr>
        <w:t>identify</w:t>
      </w:r>
      <w:r w:rsidRPr="001DFC05" w:rsidR="442C29B7">
        <w:rPr>
          <w:rFonts w:ascii="Calibri" w:hAnsi="Calibri" w:eastAsia="Calibri" w:cs="Calibri"/>
          <w:noProof w:val="0"/>
          <w:color w:val="000000" w:themeColor="text1" w:themeTint="FF" w:themeShade="FF"/>
          <w:sz w:val="22"/>
          <w:szCs w:val="22"/>
          <w:lang w:val="en-GB"/>
        </w:rPr>
        <w:t xml:space="preserve"> </w:t>
      </w:r>
      <w:r w:rsidRPr="001DFC05" w:rsidR="59DD83D0">
        <w:rPr>
          <w:rFonts w:ascii="Calibri" w:hAnsi="Calibri" w:eastAsia="Calibri" w:cs="Calibri"/>
          <w:noProof w:val="0"/>
          <w:color w:val="000000" w:themeColor="text1" w:themeTint="FF" w:themeShade="FF"/>
          <w:sz w:val="22"/>
          <w:szCs w:val="22"/>
          <w:lang w:val="en-GB"/>
        </w:rPr>
        <w:t xml:space="preserve">any gaps where I need to add a source to support the </w:t>
      </w:r>
      <w:r w:rsidRPr="001DFC05" w:rsidR="7D8B40D9">
        <w:rPr>
          <w:rFonts w:ascii="Calibri" w:hAnsi="Calibri" w:eastAsia="Calibri" w:cs="Calibri"/>
          <w:noProof w:val="0"/>
          <w:color w:val="000000" w:themeColor="text1" w:themeTint="FF" w:themeShade="FF"/>
          <w:sz w:val="22"/>
          <w:szCs w:val="22"/>
          <w:lang w:val="en-GB"/>
        </w:rPr>
        <w:t>writing?</w:t>
      </w:r>
      <w:r w:rsidRPr="001DFC05" w:rsidR="59DD83D0">
        <w:rPr>
          <w:rFonts w:ascii="Calibri" w:hAnsi="Calibri" w:eastAsia="Calibri" w:cs="Calibri"/>
          <w:noProof w:val="0"/>
          <w:color w:val="000000" w:themeColor="text1" w:themeTint="FF" w:themeShade="FF"/>
          <w:sz w:val="22"/>
          <w:szCs w:val="22"/>
          <w:lang w:val="en-GB"/>
        </w:rPr>
        <w:t xml:space="preserve"> </w:t>
      </w:r>
      <w:r w:rsidRPr="001DFC05" w:rsidR="502E88C9">
        <w:rPr>
          <w:rFonts w:ascii="Calibri" w:hAnsi="Calibri" w:eastAsia="Calibri" w:cs="Calibri"/>
          <w:noProof w:val="0"/>
          <w:color w:val="000000" w:themeColor="text1" w:themeTint="FF" w:themeShade="FF"/>
          <w:sz w:val="22"/>
          <w:szCs w:val="22"/>
          <w:lang w:val="en-GB"/>
        </w:rPr>
        <w:t>Please,</w:t>
      </w:r>
      <w:r w:rsidRPr="001DFC05" w:rsidR="59DD83D0">
        <w:rPr>
          <w:rFonts w:ascii="Calibri" w:hAnsi="Calibri" w:eastAsia="Calibri" w:cs="Calibri"/>
          <w:noProof w:val="0"/>
          <w:color w:val="000000" w:themeColor="text1" w:themeTint="FF" w:themeShade="FF"/>
          <w:sz w:val="22"/>
          <w:szCs w:val="22"/>
          <w:lang w:val="en-GB"/>
        </w:rPr>
        <w:t xml:space="preserve"> can you also check citations are included within the reference list and vice </w:t>
      </w:r>
      <w:r w:rsidRPr="001DFC05" w:rsidR="45FB2B39">
        <w:rPr>
          <w:rFonts w:ascii="Calibri" w:hAnsi="Calibri" w:eastAsia="Calibri" w:cs="Calibri"/>
          <w:noProof w:val="0"/>
          <w:color w:val="000000" w:themeColor="text1" w:themeTint="FF" w:themeShade="FF"/>
          <w:sz w:val="22"/>
          <w:szCs w:val="22"/>
          <w:lang w:val="en-GB"/>
        </w:rPr>
        <w:t>versa?</w:t>
      </w:r>
      <w:r w:rsidRPr="001DFC05" w:rsidR="59DD83D0">
        <w:rPr>
          <w:rFonts w:ascii="Calibri" w:hAnsi="Calibri" w:eastAsia="Calibri" w:cs="Calibri"/>
          <w:noProof w:val="0"/>
          <w:color w:val="000000" w:themeColor="text1" w:themeTint="FF" w:themeShade="FF"/>
          <w:sz w:val="22"/>
          <w:szCs w:val="22"/>
          <w:lang w:val="en-GB"/>
        </w:rPr>
        <w:t xml:space="preserve"> additionally, please highlight any errors with my citations and reference list </w:t>
      </w:r>
      <w:r w:rsidRPr="001DFC05" w:rsidR="59DD83D0">
        <w:rPr>
          <w:rFonts w:ascii="Calibri" w:hAnsi="Calibri" w:eastAsia="Calibri" w:cs="Calibri"/>
          <w:noProof w:val="0"/>
          <w:color w:val="000000" w:themeColor="text1" w:themeTint="FF" w:themeShade="FF"/>
          <w:sz w:val="22"/>
          <w:szCs w:val="22"/>
          <w:lang w:val="en-GB"/>
        </w:rPr>
        <w:t xml:space="preserve">in accordance </w:t>
      </w:r>
      <w:r w:rsidRPr="001DFC05" w:rsidR="50728194">
        <w:rPr>
          <w:rFonts w:ascii="Calibri" w:hAnsi="Calibri" w:eastAsia="Calibri" w:cs="Calibri"/>
          <w:noProof w:val="0"/>
          <w:color w:val="000000" w:themeColor="text1" w:themeTint="FF" w:themeShade="FF"/>
          <w:sz w:val="22"/>
          <w:szCs w:val="22"/>
          <w:lang w:val="en-GB"/>
        </w:rPr>
        <w:t>with</w:t>
      </w:r>
      <w:r w:rsidRPr="001DFC05" w:rsidR="59DD83D0">
        <w:rPr>
          <w:rFonts w:ascii="Calibri" w:hAnsi="Calibri" w:eastAsia="Calibri" w:cs="Calibri"/>
          <w:noProof w:val="0"/>
          <w:color w:val="000000" w:themeColor="text1" w:themeTint="FF" w:themeShade="FF"/>
          <w:sz w:val="22"/>
          <w:szCs w:val="22"/>
          <w:lang w:val="en-GB"/>
        </w:rPr>
        <w:t xml:space="preserve"> </w:t>
      </w:r>
      <w:r w:rsidRPr="001DFC05" w:rsidR="0DD5450A">
        <w:rPr>
          <w:rFonts w:ascii="Calibri" w:hAnsi="Calibri" w:eastAsia="Calibri" w:cs="Calibri"/>
          <w:noProof w:val="0"/>
          <w:color w:val="000000" w:themeColor="text1" w:themeTint="FF" w:themeShade="FF"/>
          <w:sz w:val="22"/>
          <w:szCs w:val="22"/>
          <w:lang w:val="en-GB"/>
        </w:rPr>
        <w:t>APA 7.</w:t>
      </w:r>
    </w:p>
    <w:p xmlns:wp14="http://schemas.microsoft.com/office/word/2010/wordml" w:rsidP="1169E4D9" wp14:paraId="3CB25FE4" wp14:textId="39E1BBDC">
      <w:pPr>
        <w:rPr>
          <w:rFonts w:ascii="Arial" w:hAnsi="Arial" w:eastAsia="Arial" w:cs="Arial"/>
          <w:noProof w:val="0"/>
          <w:sz w:val="22"/>
          <w:szCs w:val="22"/>
          <w:lang w:val="en-US"/>
        </w:rPr>
      </w:pPr>
      <w:r w:rsidRPr="001DFC05" w:rsidR="59DD83D0">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001DFC05" w:rsidR="59DD83D0">
        <w:rPr>
          <w:rFonts w:ascii="Calibri" w:hAnsi="Calibri" w:eastAsia="Calibri" w:cs="Calibri"/>
          <w:noProof w:val="0"/>
          <w:sz w:val="22"/>
          <w:szCs w:val="22"/>
          <w:lang w:val="en-GB"/>
        </w:rPr>
        <w:t>notes</w:t>
      </w:r>
      <w:r w:rsidRPr="001DFC05" w:rsidR="59DD83D0">
        <w:rPr>
          <w:rFonts w:ascii="Calibri" w:hAnsi="Calibri" w:eastAsia="Calibri" w:cs="Calibri"/>
          <w:noProof w:val="0"/>
          <w:sz w:val="22"/>
          <w:szCs w:val="22"/>
          <w:lang w:val="en-GB"/>
        </w:rPr>
        <w:t xml:space="preserve"> and other resources I have used </w:t>
      </w:r>
      <w:r w:rsidRPr="001DFC05" w:rsidR="6321201E">
        <w:rPr>
          <w:rFonts w:ascii="Calibri" w:hAnsi="Calibri" w:eastAsia="Calibri" w:cs="Calibri"/>
          <w:noProof w:val="0"/>
          <w:sz w:val="22"/>
          <w:szCs w:val="22"/>
          <w:lang w:val="en-GB"/>
        </w:rPr>
        <w:t xml:space="preserve">before </w:t>
      </w:r>
      <w:r w:rsidRPr="001DFC05" w:rsidR="59DD83D0">
        <w:rPr>
          <w:rFonts w:ascii="Calibri" w:hAnsi="Calibri" w:eastAsia="Calibri" w:cs="Calibri"/>
          <w:noProof w:val="0"/>
          <w:sz w:val="22"/>
          <w:szCs w:val="22"/>
          <w:lang w:val="en-GB"/>
        </w:rPr>
        <w:t xml:space="preserve">and after the use of AI </w:t>
      </w:r>
      <w:r w:rsidRPr="001DFC05" w:rsidR="10FDF112">
        <w:rPr>
          <w:rFonts w:ascii="Calibri" w:hAnsi="Calibri" w:eastAsia="Calibri" w:cs="Calibri"/>
          <w:noProof w:val="0"/>
          <w:sz w:val="22"/>
          <w:szCs w:val="22"/>
          <w:lang w:val="en-GB"/>
        </w:rPr>
        <w:t>tools,</w:t>
      </w:r>
      <w:r w:rsidRPr="001DFC05" w:rsidR="59DD83D0">
        <w:rPr>
          <w:rFonts w:ascii="Calibri" w:hAnsi="Calibri" w:eastAsia="Calibri" w:cs="Calibri"/>
          <w:noProof w:val="0"/>
          <w:sz w:val="22"/>
          <w:szCs w:val="22"/>
          <w:lang w:val="en-GB"/>
        </w:rPr>
        <w:t xml:space="preserve"> which I may be asked to produce in evidence</w:t>
      </w:r>
      <w:r w:rsidRPr="001DFC05" w:rsidR="59DD83D0">
        <w:rPr>
          <w:rFonts w:ascii="Calibri" w:hAnsi="Calibri" w:eastAsia="Calibri" w:cs="Calibri"/>
          <w:noProof w:val="0"/>
          <w:sz w:val="22"/>
          <w:szCs w:val="22"/>
          <w:lang w:val="en-GB"/>
        </w:rPr>
        <w:t>.</w:t>
      </w:r>
      <w:r w:rsidRPr="001DFC05" w:rsidR="59DD83D0">
        <w:rPr>
          <w:rFonts w:ascii="Arial" w:hAnsi="Arial" w:eastAsia="Arial" w:cs="Arial"/>
          <w:noProof w:val="0"/>
          <w:sz w:val="22"/>
          <w:szCs w:val="22"/>
          <w:lang w:val="en-GB"/>
        </w:rPr>
        <w:t xml:space="preserve"> </w:t>
      </w:r>
      <w:r w:rsidRPr="001DFC05" w:rsidR="59DD83D0">
        <w:rPr>
          <w:rFonts w:ascii="Calibri" w:hAnsi="Calibri" w:eastAsia="Calibri" w:cs="Calibri"/>
          <w:noProof w:val="0"/>
          <w:sz w:val="22"/>
          <w:szCs w:val="22"/>
          <w:lang w:val="en-GB"/>
        </w:rPr>
        <w:t xml:space="preserve"> </w:t>
      </w:r>
    </w:p>
    <w:p w:rsidR="001DFC05" w:rsidP="001DFC05" w:rsidRDefault="001DFC05" w14:paraId="6D13B2AA" w14:textId="2C7B606F">
      <w:pPr>
        <w:rPr>
          <w:rFonts w:ascii="Calibri" w:hAnsi="Calibri" w:eastAsia="Calibri" w:cs="Calibri"/>
          <w:noProof w:val="0"/>
          <w:sz w:val="22"/>
          <w:szCs w:val="22"/>
          <w:lang w:val="en-GB"/>
        </w:rPr>
      </w:pPr>
    </w:p>
    <w:sdt>
      <w:sdtPr>
        <w:id w:val="768304650"/>
        <w:docPartObj>
          <w:docPartGallery w:val="Table of Contents"/>
          <w:docPartUnique/>
        </w:docPartObj>
      </w:sdtPr>
      <w:sdtContent>
        <w:p w:rsidR="001DFC05" w:rsidP="001DFC05" w:rsidRDefault="001DFC05" w14:paraId="7F00DCD3" w14:textId="6D3D1B08">
          <w:pPr>
            <w:pStyle w:val="TOC1"/>
            <w:tabs>
              <w:tab w:val="right" w:leader="dot" w:pos="9360"/>
            </w:tabs>
            <w:bidi w:val="0"/>
            <w:rPr>
              <w:rStyle w:val="Hyperlink"/>
            </w:rPr>
          </w:pPr>
          <w:r>
            <w:fldChar w:fldCharType="begin"/>
          </w:r>
          <w:r>
            <w:instrText xml:space="preserve">TOC \o "1-9" \z \u \h</w:instrText>
          </w:r>
          <w:r>
            <w:fldChar w:fldCharType="separate"/>
          </w:r>
          <w:hyperlink w:anchor="_Toc1373983586">
            <w:r w:rsidRPr="001DFC05" w:rsidR="001DFC05">
              <w:rPr>
                <w:rStyle w:val="Hyperlink"/>
              </w:rPr>
              <w:t>1. Introduction</w:t>
            </w:r>
            <w:r>
              <w:tab/>
            </w:r>
            <w:r>
              <w:fldChar w:fldCharType="begin"/>
            </w:r>
            <w:r>
              <w:instrText xml:space="preserve">PAGEREF _Toc1373983586 \h</w:instrText>
            </w:r>
            <w:r>
              <w:fldChar w:fldCharType="separate"/>
            </w:r>
            <w:r w:rsidRPr="001DFC05" w:rsidR="001DFC05">
              <w:rPr>
                <w:rStyle w:val="Hyperlink"/>
              </w:rPr>
              <w:t>2</w:t>
            </w:r>
            <w:r>
              <w:fldChar w:fldCharType="end"/>
            </w:r>
          </w:hyperlink>
        </w:p>
        <w:p w:rsidR="001DFC05" w:rsidP="001DFC05" w:rsidRDefault="001DFC05" w14:paraId="7D6B8709" w14:textId="4FFF266E">
          <w:pPr>
            <w:pStyle w:val="TOC1"/>
            <w:tabs>
              <w:tab w:val="right" w:leader="dot" w:pos="9360"/>
            </w:tabs>
            <w:bidi w:val="0"/>
            <w:rPr>
              <w:rStyle w:val="Hyperlink"/>
            </w:rPr>
          </w:pPr>
          <w:hyperlink w:anchor="_Toc602321304">
            <w:r w:rsidRPr="001DFC05" w:rsidR="001DFC05">
              <w:rPr>
                <w:rStyle w:val="Hyperlink"/>
              </w:rPr>
              <w:t>2. Critical Understanding of Quality Processes</w:t>
            </w:r>
            <w:r>
              <w:tab/>
            </w:r>
            <w:r>
              <w:fldChar w:fldCharType="begin"/>
            </w:r>
            <w:r>
              <w:instrText xml:space="preserve">PAGEREF _Toc602321304 \h</w:instrText>
            </w:r>
            <w:r>
              <w:fldChar w:fldCharType="separate"/>
            </w:r>
            <w:r w:rsidRPr="001DFC05" w:rsidR="001DFC05">
              <w:rPr>
                <w:rStyle w:val="Hyperlink"/>
              </w:rPr>
              <w:t>3</w:t>
            </w:r>
            <w:r>
              <w:fldChar w:fldCharType="end"/>
            </w:r>
          </w:hyperlink>
        </w:p>
        <w:p w:rsidR="001DFC05" w:rsidP="001DFC05" w:rsidRDefault="001DFC05" w14:paraId="38739B72" w14:textId="3F706CC3">
          <w:pPr>
            <w:pStyle w:val="TOC2"/>
            <w:tabs>
              <w:tab w:val="right" w:leader="dot" w:pos="9360"/>
            </w:tabs>
            <w:bidi w:val="0"/>
            <w:rPr>
              <w:rStyle w:val="Hyperlink"/>
            </w:rPr>
          </w:pPr>
          <w:hyperlink w:anchor="_Toc105753559">
            <w:r w:rsidRPr="001DFC05" w:rsidR="001DFC05">
              <w:rPr>
                <w:rStyle w:val="Hyperlink"/>
              </w:rPr>
              <w:t>2.1 Customer Relationship Management and CRM Systems</w:t>
            </w:r>
            <w:r>
              <w:tab/>
            </w:r>
            <w:r>
              <w:fldChar w:fldCharType="begin"/>
            </w:r>
            <w:r>
              <w:instrText xml:space="preserve">PAGEREF _Toc105753559 \h</w:instrText>
            </w:r>
            <w:r>
              <w:fldChar w:fldCharType="separate"/>
            </w:r>
            <w:r w:rsidRPr="001DFC05" w:rsidR="001DFC05">
              <w:rPr>
                <w:rStyle w:val="Hyperlink"/>
              </w:rPr>
              <w:t>3</w:t>
            </w:r>
            <w:r>
              <w:fldChar w:fldCharType="end"/>
            </w:r>
          </w:hyperlink>
        </w:p>
        <w:p w:rsidR="001DFC05" w:rsidP="001DFC05" w:rsidRDefault="001DFC05" w14:paraId="3C8157BC" w14:textId="09255420">
          <w:pPr>
            <w:pStyle w:val="TOC2"/>
            <w:tabs>
              <w:tab w:val="right" w:leader="dot" w:pos="9360"/>
            </w:tabs>
            <w:bidi w:val="0"/>
            <w:rPr>
              <w:rStyle w:val="Hyperlink"/>
            </w:rPr>
          </w:pPr>
          <w:hyperlink w:anchor="_Toc769466818">
            <w:r w:rsidRPr="001DFC05" w:rsidR="001DFC05">
              <w:rPr>
                <w:rStyle w:val="Hyperlink"/>
              </w:rPr>
              <w:t>2.2 The Juran Model and the Seven Customer Experience Imperatives</w:t>
            </w:r>
            <w:r>
              <w:tab/>
            </w:r>
            <w:r>
              <w:fldChar w:fldCharType="begin"/>
            </w:r>
            <w:r>
              <w:instrText xml:space="preserve">PAGEREF _Toc769466818 \h</w:instrText>
            </w:r>
            <w:r>
              <w:fldChar w:fldCharType="separate"/>
            </w:r>
            <w:r w:rsidRPr="001DFC05" w:rsidR="001DFC05">
              <w:rPr>
                <w:rStyle w:val="Hyperlink"/>
              </w:rPr>
              <w:t>4</w:t>
            </w:r>
            <w:r>
              <w:fldChar w:fldCharType="end"/>
            </w:r>
          </w:hyperlink>
        </w:p>
        <w:p w:rsidR="001DFC05" w:rsidP="001DFC05" w:rsidRDefault="001DFC05" w14:paraId="5B77977F" w14:textId="3FE2B6C5">
          <w:pPr>
            <w:pStyle w:val="TOC1"/>
            <w:tabs>
              <w:tab w:val="right" w:leader="dot" w:pos="9360"/>
            </w:tabs>
            <w:bidi w:val="0"/>
            <w:rPr>
              <w:rStyle w:val="Hyperlink"/>
            </w:rPr>
          </w:pPr>
          <w:hyperlink w:anchor="_Toc896928148">
            <w:r w:rsidRPr="001DFC05" w:rsidR="001DFC05">
              <w:rPr>
                <w:rStyle w:val="Hyperlink"/>
              </w:rPr>
              <w:t>3. Analysing the Customer's Experience</w:t>
            </w:r>
            <w:r>
              <w:tab/>
            </w:r>
            <w:r>
              <w:fldChar w:fldCharType="begin"/>
            </w:r>
            <w:r>
              <w:instrText xml:space="preserve">PAGEREF _Toc896928148 \h</w:instrText>
            </w:r>
            <w:r>
              <w:fldChar w:fldCharType="separate"/>
            </w:r>
            <w:r w:rsidRPr="001DFC05" w:rsidR="001DFC05">
              <w:rPr>
                <w:rStyle w:val="Hyperlink"/>
              </w:rPr>
              <w:t>4</w:t>
            </w:r>
            <w:r>
              <w:fldChar w:fldCharType="end"/>
            </w:r>
          </w:hyperlink>
        </w:p>
        <w:p w:rsidR="001DFC05" w:rsidP="001DFC05" w:rsidRDefault="001DFC05" w14:paraId="78C12953" w14:textId="7449C691">
          <w:pPr>
            <w:pStyle w:val="TOC2"/>
            <w:tabs>
              <w:tab w:val="right" w:leader="dot" w:pos="9360"/>
            </w:tabs>
            <w:bidi w:val="0"/>
            <w:rPr>
              <w:rStyle w:val="Hyperlink"/>
            </w:rPr>
          </w:pPr>
          <w:hyperlink w:anchor="_Toc2013617521">
            <w:r w:rsidRPr="001DFC05" w:rsidR="001DFC05">
              <w:rPr>
                <w:rStyle w:val="Hyperlink"/>
              </w:rPr>
              <w:t>3.1 Mapping the Learner Journey in Hospitality Apprenticeships</w:t>
            </w:r>
            <w:r>
              <w:tab/>
            </w:r>
            <w:r>
              <w:fldChar w:fldCharType="begin"/>
            </w:r>
            <w:r>
              <w:instrText xml:space="preserve">PAGEREF _Toc2013617521 \h</w:instrText>
            </w:r>
            <w:r>
              <w:fldChar w:fldCharType="separate"/>
            </w:r>
            <w:r w:rsidRPr="001DFC05" w:rsidR="001DFC05">
              <w:rPr>
                <w:rStyle w:val="Hyperlink"/>
              </w:rPr>
              <w:t>4</w:t>
            </w:r>
            <w:r>
              <w:fldChar w:fldCharType="end"/>
            </w:r>
          </w:hyperlink>
        </w:p>
        <w:p w:rsidR="001DFC05" w:rsidP="001DFC05" w:rsidRDefault="001DFC05" w14:paraId="6ADDEEDC" w14:textId="7259A18E">
          <w:pPr>
            <w:pStyle w:val="TOC2"/>
            <w:tabs>
              <w:tab w:val="right" w:leader="dot" w:pos="9360"/>
            </w:tabs>
            <w:bidi w:val="0"/>
            <w:rPr>
              <w:rStyle w:val="Hyperlink"/>
            </w:rPr>
          </w:pPr>
          <w:hyperlink w:anchor="_Toc1995158299">
            <w:r w:rsidRPr="001DFC05" w:rsidR="001DFC05">
              <w:rPr>
                <w:rStyle w:val="Hyperlink"/>
              </w:rPr>
              <w:t>3.2 Managing the Customer Needs, Expectations and Satisfactions</w:t>
            </w:r>
            <w:r>
              <w:tab/>
            </w:r>
            <w:r>
              <w:fldChar w:fldCharType="begin"/>
            </w:r>
            <w:r>
              <w:instrText xml:space="preserve">PAGEREF _Toc1995158299 \h</w:instrText>
            </w:r>
            <w:r>
              <w:fldChar w:fldCharType="separate"/>
            </w:r>
            <w:r w:rsidRPr="001DFC05" w:rsidR="001DFC05">
              <w:rPr>
                <w:rStyle w:val="Hyperlink"/>
              </w:rPr>
              <w:t>4</w:t>
            </w:r>
            <w:r>
              <w:fldChar w:fldCharType="end"/>
            </w:r>
          </w:hyperlink>
        </w:p>
        <w:p w:rsidR="001DFC05" w:rsidP="001DFC05" w:rsidRDefault="001DFC05" w14:paraId="757C71E3" w14:textId="3E9C67E0">
          <w:pPr>
            <w:pStyle w:val="TOC1"/>
            <w:tabs>
              <w:tab w:val="right" w:leader="dot" w:pos="9360"/>
            </w:tabs>
            <w:bidi w:val="0"/>
            <w:rPr>
              <w:rStyle w:val="Hyperlink"/>
            </w:rPr>
          </w:pPr>
          <w:hyperlink w:anchor="_Toc739961114">
            <w:r w:rsidRPr="001DFC05" w:rsidR="001DFC05">
              <w:rPr>
                <w:rStyle w:val="Hyperlink"/>
              </w:rPr>
              <w:t>4.Critically Evaluate Customer Relationship Management</w:t>
            </w:r>
            <w:r>
              <w:tab/>
            </w:r>
            <w:r>
              <w:fldChar w:fldCharType="begin"/>
            </w:r>
            <w:r>
              <w:instrText xml:space="preserve">PAGEREF _Toc739961114 \h</w:instrText>
            </w:r>
            <w:r>
              <w:fldChar w:fldCharType="separate"/>
            </w:r>
            <w:r w:rsidRPr="001DFC05" w:rsidR="001DFC05">
              <w:rPr>
                <w:rStyle w:val="Hyperlink"/>
              </w:rPr>
              <w:t>4</w:t>
            </w:r>
            <w:r>
              <w:fldChar w:fldCharType="end"/>
            </w:r>
          </w:hyperlink>
        </w:p>
        <w:p w:rsidR="001DFC05" w:rsidP="001DFC05" w:rsidRDefault="001DFC05" w14:paraId="5F8166E2" w14:textId="6855BED1">
          <w:pPr>
            <w:pStyle w:val="TOC2"/>
            <w:tabs>
              <w:tab w:val="right" w:leader="dot" w:pos="9360"/>
            </w:tabs>
            <w:bidi w:val="0"/>
            <w:rPr>
              <w:rStyle w:val="Hyperlink"/>
            </w:rPr>
          </w:pPr>
          <w:hyperlink w:anchor="_Toc828979891">
            <w:r w:rsidRPr="001DFC05" w:rsidR="001DFC05">
              <w:rPr>
                <w:rStyle w:val="Hyperlink"/>
              </w:rPr>
              <w:t>4.1 Brand Loyalty vs Customer Loyalty in Work-Based Learning</w:t>
            </w:r>
            <w:r>
              <w:tab/>
            </w:r>
            <w:r>
              <w:fldChar w:fldCharType="begin"/>
            </w:r>
            <w:r>
              <w:instrText xml:space="preserve">PAGEREF _Toc828979891 \h</w:instrText>
            </w:r>
            <w:r>
              <w:fldChar w:fldCharType="separate"/>
            </w:r>
            <w:r w:rsidRPr="001DFC05" w:rsidR="001DFC05">
              <w:rPr>
                <w:rStyle w:val="Hyperlink"/>
              </w:rPr>
              <w:t>4</w:t>
            </w:r>
            <w:r>
              <w:fldChar w:fldCharType="end"/>
            </w:r>
          </w:hyperlink>
        </w:p>
        <w:p w:rsidR="001DFC05" w:rsidP="001DFC05" w:rsidRDefault="001DFC05" w14:paraId="1834CB1E" w14:textId="23F151F5">
          <w:pPr>
            <w:pStyle w:val="TOC2"/>
            <w:tabs>
              <w:tab w:val="right" w:leader="dot" w:pos="9360"/>
            </w:tabs>
            <w:bidi w:val="0"/>
            <w:rPr>
              <w:rStyle w:val="Hyperlink"/>
            </w:rPr>
          </w:pPr>
          <w:hyperlink w:anchor="_Toc1913322944">
            <w:r w:rsidRPr="001DFC05" w:rsidR="001DFC05">
              <w:rPr>
                <w:rStyle w:val="Hyperlink"/>
              </w:rPr>
              <w:t>4.2 Competitions, Tailored Support, Long-Term Targets and Future Goals to Increase Retention</w:t>
            </w:r>
            <w:r>
              <w:tab/>
            </w:r>
            <w:r>
              <w:fldChar w:fldCharType="begin"/>
            </w:r>
            <w:r>
              <w:instrText xml:space="preserve">PAGEREF _Toc1913322944 \h</w:instrText>
            </w:r>
            <w:r>
              <w:fldChar w:fldCharType="separate"/>
            </w:r>
            <w:r w:rsidRPr="001DFC05" w:rsidR="001DFC05">
              <w:rPr>
                <w:rStyle w:val="Hyperlink"/>
              </w:rPr>
              <w:t>4</w:t>
            </w:r>
            <w:r>
              <w:fldChar w:fldCharType="end"/>
            </w:r>
          </w:hyperlink>
        </w:p>
        <w:p w:rsidR="001DFC05" w:rsidP="001DFC05" w:rsidRDefault="001DFC05" w14:paraId="660C9C7D" w14:textId="68F4D5C2">
          <w:pPr>
            <w:pStyle w:val="TOC1"/>
            <w:tabs>
              <w:tab w:val="right" w:leader="dot" w:pos="9360"/>
            </w:tabs>
            <w:bidi w:val="0"/>
            <w:rPr>
              <w:rStyle w:val="Hyperlink"/>
            </w:rPr>
          </w:pPr>
          <w:hyperlink w:anchor="_Toc315106679">
            <w:r w:rsidRPr="001DFC05" w:rsidR="001DFC05">
              <w:rPr>
                <w:rStyle w:val="Hyperlink"/>
              </w:rPr>
              <w:t>5. Conclusion</w:t>
            </w:r>
            <w:r>
              <w:tab/>
            </w:r>
            <w:r>
              <w:fldChar w:fldCharType="begin"/>
            </w:r>
            <w:r>
              <w:instrText xml:space="preserve">PAGEREF _Toc315106679 \h</w:instrText>
            </w:r>
            <w:r>
              <w:fldChar w:fldCharType="separate"/>
            </w:r>
            <w:r w:rsidRPr="001DFC05" w:rsidR="001DFC05">
              <w:rPr>
                <w:rStyle w:val="Hyperlink"/>
              </w:rPr>
              <w:t>4</w:t>
            </w:r>
            <w:r>
              <w:fldChar w:fldCharType="end"/>
            </w:r>
          </w:hyperlink>
        </w:p>
        <w:p w:rsidR="001DFC05" w:rsidP="001DFC05" w:rsidRDefault="001DFC05" w14:paraId="25EBD752" w14:textId="3334E964">
          <w:pPr>
            <w:pStyle w:val="TOC1"/>
            <w:tabs>
              <w:tab w:val="right" w:leader="dot" w:pos="9360"/>
            </w:tabs>
            <w:bidi w:val="0"/>
            <w:rPr>
              <w:rStyle w:val="Hyperlink"/>
            </w:rPr>
          </w:pPr>
          <w:hyperlink w:anchor="_Toc1200853316">
            <w:r w:rsidRPr="001DFC05" w:rsidR="001DFC05">
              <w:rPr>
                <w:rStyle w:val="Hyperlink"/>
              </w:rPr>
              <w:t>6. References</w:t>
            </w:r>
            <w:r>
              <w:tab/>
            </w:r>
            <w:r>
              <w:fldChar w:fldCharType="begin"/>
            </w:r>
            <w:r>
              <w:instrText xml:space="preserve">PAGEREF _Toc1200853316 \h</w:instrText>
            </w:r>
            <w:r>
              <w:fldChar w:fldCharType="separate"/>
            </w:r>
            <w:r w:rsidRPr="001DFC05" w:rsidR="001DFC05">
              <w:rPr>
                <w:rStyle w:val="Hyperlink"/>
              </w:rPr>
              <w:t>4</w:t>
            </w:r>
            <w:r>
              <w:fldChar w:fldCharType="end"/>
            </w:r>
          </w:hyperlink>
          <w:r>
            <w:fldChar w:fldCharType="end"/>
          </w:r>
        </w:p>
      </w:sdtContent>
    </w:sdt>
    <w:p w:rsidR="001DFC05" w:rsidP="001DFC05" w:rsidRDefault="001DFC05" w14:paraId="7798B861" w14:textId="0A37B871">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w:rsidR="001DFC05" w:rsidP="001DFC05" w:rsidRDefault="001DFC05" w14:paraId="06129D03" w14:textId="44E4DF44">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w:rsidR="001DFC05" w:rsidP="001DFC05" w:rsidRDefault="001DFC05" w14:paraId="01D58E1B" w14:textId="4E1E1ECA">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w:rsidR="001DFC05" w:rsidP="001DFC05" w:rsidRDefault="001DFC05" w14:paraId="5BF5A492" w14:textId="234D362D">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w:rsidR="001DFC05" w:rsidP="001DFC05" w:rsidRDefault="001DFC05" w14:paraId="5347F57A" w14:textId="26C2E7EE">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xmlns:wp14="http://schemas.microsoft.com/office/word/2010/wordml" w:rsidP="4E8BE5FC" wp14:paraId="17D78199" wp14:textId="405DF4E1">
      <w:pPr>
        <w:pStyle w:val="Heading1"/>
        <w:keepNext w:val="1"/>
        <w:keepLines w:val="1"/>
        <w:spacing w:before="0" w:beforeAutospacing="off" w:after="0"/>
        <w:rPr>
          <w:rFonts w:ascii="Calibri" w:hAnsi="Calibri" w:eastAsia="Calibri" w:cs="Calibri"/>
          <w:noProof w:val="0"/>
          <w:color w:val="auto"/>
          <w:sz w:val="32"/>
          <w:szCs w:val="32"/>
          <w:lang w:val="en-US"/>
        </w:rPr>
      </w:pPr>
      <w:bookmarkStart w:name="_Toc1373983586" w:id="1717824483"/>
      <w:r w:rsidRPr="001DFC05" w:rsidR="037417F4">
        <w:rPr>
          <w:rFonts w:ascii="Calibri" w:hAnsi="Calibri" w:eastAsia="Calibri" w:cs="Calibri"/>
          <w:noProof w:val="0"/>
          <w:color w:val="auto"/>
          <w:sz w:val="32"/>
          <w:szCs w:val="32"/>
          <w:lang w:val="en-GB"/>
        </w:rPr>
        <w:t>1. Introduction</w:t>
      </w:r>
      <w:bookmarkEnd w:id="1717824483"/>
      <w:r w:rsidRPr="001DFC05" w:rsidR="037417F4">
        <w:rPr>
          <w:rFonts w:ascii="Calibri" w:hAnsi="Calibri" w:eastAsia="Calibri" w:cs="Calibri"/>
          <w:noProof w:val="0"/>
          <w:color w:val="auto"/>
          <w:sz w:val="32"/>
          <w:szCs w:val="32"/>
          <w:lang w:val="en-GB"/>
        </w:rPr>
        <w:t xml:space="preserve"> </w:t>
      </w:r>
      <w:r w:rsidRPr="001DFC05" w:rsidR="037417F4">
        <w:rPr>
          <w:rFonts w:ascii="Calibri" w:hAnsi="Calibri" w:eastAsia="Calibri" w:cs="Calibri"/>
          <w:noProof w:val="0"/>
          <w:color w:val="auto"/>
          <w:sz w:val="32"/>
          <w:szCs w:val="32"/>
          <w:lang w:val="en-GB"/>
        </w:rPr>
        <w:t xml:space="preserve"> </w:t>
      </w:r>
    </w:p>
    <w:p w:rsidR="01CA9E44" w:rsidP="001DFC05" w:rsidRDefault="01CA9E44" w14:paraId="5254040B" w14:textId="585B33A1">
      <w:pPr>
        <w:keepNext w:val="0"/>
        <w:keepLines w:val="0"/>
        <w:spacing w:before="0" w:beforeAutospacing="off" w:after="0" w:afterAutospacing="off" w:line="360" w:lineRule="auto"/>
        <w:ind w:firstLine="0"/>
        <w:jc w:val="both"/>
        <w:rPr>
          <w:rFonts w:ascii="Calibri" w:hAnsi="Calibri" w:eastAsia="Calibri" w:cs="Calibri"/>
          <w:noProof w:val="0"/>
          <w:color w:val="172B4D"/>
          <w:sz w:val="22"/>
          <w:szCs w:val="22"/>
          <w:lang w:val="en-GB"/>
        </w:rPr>
      </w:pPr>
      <w:r w:rsidRPr="001DFC05" w:rsidR="698DC8B9">
        <w:rPr>
          <w:rFonts w:ascii="Calibri" w:hAnsi="Calibri" w:eastAsia="Calibri" w:cs="Calibri"/>
          <w:noProof w:val="0"/>
          <w:color w:val="172B4D"/>
          <w:sz w:val="22"/>
          <w:szCs w:val="22"/>
          <w:lang w:val="en-GB"/>
        </w:rPr>
        <w:t>Cambrian Training Company (CTC) is currently the leading work-based learning (WBL) provider in Wales.</w:t>
      </w:r>
      <w:r w:rsidRPr="001DFC05" w:rsidR="655EEA0E">
        <w:rPr>
          <w:rFonts w:ascii="Calibri" w:hAnsi="Calibri" w:eastAsia="Calibri" w:cs="Calibri"/>
          <w:noProof w:val="0"/>
          <w:color w:val="172B4D"/>
          <w:sz w:val="22"/>
          <w:szCs w:val="22"/>
          <w:lang w:val="en-GB"/>
        </w:rPr>
        <w:t xml:space="preserve"> CTC's</w:t>
      </w:r>
      <w:r w:rsidRPr="001DFC05" w:rsidR="698DC8B9">
        <w:rPr>
          <w:rFonts w:ascii="Calibri" w:hAnsi="Calibri" w:eastAsia="Calibri" w:cs="Calibri"/>
          <w:noProof w:val="0"/>
          <w:color w:val="172B4D"/>
          <w:sz w:val="22"/>
          <w:szCs w:val="22"/>
          <w:lang w:val="en-GB"/>
        </w:rPr>
        <w:t xml:space="preserve"> main customer focus </w:t>
      </w:r>
      <w:r w:rsidRPr="001DFC05" w:rsidR="02175A20">
        <w:rPr>
          <w:rFonts w:ascii="Calibri" w:hAnsi="Calibri" w:eastAsia="Calibri" w:cs="Calibri"/>
          <w:noProof w:val="0"/>
          <w:color w:val="172B4D"/>
          <w:sz w:val="22"/>
          <w:szCs w:val="22"/>
          <w:lang w:val="en-GB"/>
        </w:rPr>
        <w:t>is</w:t>
      </w:r>
      <w:r w:rsidRPr="001DFC05" w:rsidR="698DC8B9">
        <w:rPr>
          <w:rFonts w:ascii="Calibri" w:hAnsi="Calibri" w:eastAsia="Calibri" w:cs="Calibri"/>
          <w:noProof w:val="0"/>
          <w:color w:val="172B4D"/>
          <w:sz w:val="22"/>
          <w:szCs w:val="22"/>
          <w:lang w:val="en-GB"/>
        </w:rPr>
        <w:t xml:space="preserve"> the learners and employers. The learners obtain the qualification and gain knowledge and capabilities for the role they are </w:t>
      </w:r>
      <w:r w:rsidRPr="001DFC05" w:rsidR="6C77A9F4">
        <w:rPr>
          <w:rFonts w:ascii="Calibri" w:hAnsi="Calibri" w:eastAsia="Calibri" w:cs="Calibri"/>
          <w:noProof w:val="0"/>
          <w:color w:val="172B4D"/>
          <w:sz w:val="22"/>
          <w:szCs w:val="22"/>
          <w:lang w:val="en-GB"/>
        </w:rPr>
        <w:t>in and</w:t>
      </w:r>
      <w:r w:rsidRPr="001DFC05" w:rsidR="698DC8B9">
        <w:rPr>
          <w:rFonts w:ascii="Calibri" w:hAnsi="Calibri" w:eastAsia="Calibri" w:cs="Calibri"/>
          <w:noProof w:val="0"/>
          <w:color w:val="172B4D"/>
          <w:sz w:val="22"/>
          <w:szCs w:val="22"/>
          <w:lang w:val="en-GB"/>
        </w:rPr>
        <w:t xml:space="preserve"> where they want to be. Employers come to us for skilled staff through apprenticeship pathways. Effective management of information and knowledge is key within CTC to remain compliant with the Welsh Government and </w:t>
      </w:r>
      <w:r w:rsidRPr="001DFC05" w:rsidR="698DC8B9">
        <w:rPr>
          <w:rFonts w:ascii="Calibri" w:hAnsi="Calibri" w:eastAsia="Calibri" w:cs="Calibri"/>
          <w:noProof w:val="0"/>
          <w:color w:val="172B4D"/>
          <w:sz w:val="22"/>
          <w:szCs w:val="22"/>
          <w:lang w:val="en-GB"/>
        </w:rPr>
        <w:t>maintain</w:t>
      </w:r>
      <w:r w:rsidRPr="001DFC05" w:rsidR="698DC8B9">
        <w:rPr>
          <w:rFonts w:ascii="Calibri" w:hAnsi="Calibri" w:eastAsia="Calibri" w:cs="Calibri"/>
          <w:noProof w:val="0"/>
          <w:color w:val="172B4D"/>
          <w:sz w:val="22"/>
          <w:szCs w:val="22"/>
          <w:lang w:val="en-GB"/>
        </w:rPr>
        <w:t xml:space="preserve"> a reputation that prides itself on efficiency. This report will critically examine how CTC leverages knowledge and information management (KIM) principles to enhance the customer experience through structured quality systems, learner engagement, and relationship management. </w:t>
      </w:r>
      <w:r>
        <w:br/>
      </w:r>
      <w:r w:rsidRPr="001DFC05" w:rsidR="698DC8B9">
        <w:rPr>
          <w:rFonts w:ascii="Calibri" w:hAnsi="Calibri" w:eastAsia="Calibri" w:cs="Calibri"/>
          <w:noProof w:val="0"/>
          <w:color w:val="172B4D"/>
          <w:sz w:val="22"/>
          <w:szCs w:val="22"/>
          <w:lang w:val="en-GB"/>
        </w:rPr>
        <w:t>In the hospitality department of CTC, there is a team of 18 fully qualified Training Officers (TOs), all of</w:t>
      </w:r>
      <w:r w:rsidRPr="001DFC05" w:rsidR="37C13C76">
        <w:rPr>
          <w:rFonts w:ascii="Calibri" w:hAnsi="Calibri" w:eastAsia="Calibri" w:cs="Calibri"/>
          <w:noProof w:val="0"/>
          <w:color w:val="172B4D"/>
          <w:sz w:val="22"/>
          <w:szCs w:val="22"/>
          <w:lang w:val="en-GB"/>
        </w:rPr>
        <w:t xml:space="preserve"> whom</w:t>
      </w:r>
      <w:r w:rsidRPr="001DFC05" w:rsidR="698DC8B9">
        <w:rPr>
          <w:rFonts w:ascii="Calibri" w:hAnsi="Calibri" w:eastAsia="Calibri" w:cs="Calibri"/>
          <w:noProof w:val="0"/>
          <w:color w:val="172B4D"/>
          <w:sz w:val="22"/>
          <w:szCs w:val="22"/>
          <w:lang w:val="en-GB"/>
        </w:rPr>
        <w:t xml:space="preserve"> have experience and knowledge of the field. Their responsibilities extend </w:t>
      </w:r>
      <w:r w:rsidRPr="001DFC05" w:rsidR="5DE6C3E9">
        <w:rPr>
          <w:rFonts w:ascii="Calibri" w:hAnsi="Calibri" w:eastAsia="Calibri" w:cs="Calibri"/>
          <w:noProof w:val="0"/>
          <w:color w:val="172B4D"/>
          <w:sz w:val="22"/>
          <w:szCs w:val="22"/>
          <w:lang w:val="en-GB"/>
        </w:rPr>
        <w:t>to</w:t>
      </w:r>
      <w:r w:rsidRPr="001DFC05" w:rsidR="698DC8B9">
        <w:rPr>
          <w:rFonts w:ascii="Calibri" w:hAnsi="Calibri" w:eastAsia="Calibri" w:cs="Calibri"/>
          <w:noProof w:val="0"/>
          <w:color w:val="172B4D"/>
          <w:sz w:val="22"/>
          <w:szCs w:val="22"/>
          <w:lang w:val="en-GB"/>
        </w:rPr>
        <w:t xml:space="preserve"> ensuring compliance and engagement standards during learner interactions, including a 61-day meeting cycle and pre-planned sessions with employer involvement for consistent and purposeful employer engagement. Recent updates to learner nomination processes now involve initial assessments by employer managers, alongside monthly employer engagement meetings to review progress and </w:t>
      </w:r>
      <w:r w:rsidRPr="001DFC05" w:rsidR="698DC8B9">
        <w:rPr>
          <w:rFonts w:ascii="Calibri" w:hAnsi="Calibri" w:eastAsia="Calibri" w:cs="Calibri"/>
          <w:noProof w:val="0"/>
          <w:color w:val="172B4D"/>
          <w:sz w:val="22"/>
          <w:szCs w:val="22"/>
          <w:lang w:val="en-GB"/>
        </w:rPr>
        <w:t>identify</w:t>
      </w:r>
      <w:r w:rsidRPr="001DFC05" w:rsidR="698DC8B9">
        <w:rPr>
          <w:rFonts w:ascii="Calibri" w:hAnsi="Calibri" w:eastAsia="Calibri" w:cs="Calibri"/>
          <w:noProof w:val="0"/>
          <w:color w:val="172B4D"/>
          <w:sz w:val="22"/>
          <w:szCs w:val="22"/>
          <w:lang w:val="en-GB"/>
        </w:rPr>
        <w:t xml:space="preserve"> learners at risk and how they can help the learners further. These operational procedures contribute to the practical application of </w:t>
      </w:r>
      <w:r w:rsidRPr="001DFC05" w:rsidR="498D2338">
        <w:rPr>
          <w:rFonts w:ascii="Calibri" w:hAnsi="Calibri" w:eastAsia="Calibri" w:cs="Calibri"/>
          <w:noProof w:val="0"/>
          <w:color w:val="172B4D"/>
          <w:sz w:val="22"/>
          <w:szCs w:val="22"/>
          <w:lang w:val="en-GB"/>
        </w:rPr>
        <w:t>blue-sky</w:t>
      </w:r>
      <w:r w:rsidRPr="001DFC05" w:rsidR="698DC8B9">
        <w:rPr>
          <w:rFonts w:ascii="Calibri" w:hAnsi="Calibri" w:eastAsia="Calibri" w:cs="Calibri"/>
          <w:noProof w:val="0"/>
          <w:color w:val="172B4D"/>
          <w:sz w:val="22"/>
          <w:szCs w:val="22"/>
          <w:lang w:val="en-GB"/>
        </w:rPr>
        <w:t xml:space="preserve"> thinking</w:t>
      </w:r>
      <w:r w:rsidRPr="001DFC05" w:rsidR="698DC8B9">
        <w:rPr>
          <w:rFonts w:ascii="Calibri" w:hAnsi="Calibri" w:eastAsia="Calibri" w:cs="Calibri"/>
          <w:noProof w:val="0"/>
          <w:color w:val="172B4D"/>
          <w:sz w:val="22"/>
          <w:szCs w:val="22"/>
          <w:lang w:val="en-GB"/>
        </w:rPr>
        <w:t xml:space="preserve"> to ensure a successful delivery and learner </w:t>
      </w:r>
      <w:r w:rsidRPr="001DFC05" w:rsidR="30293FF1">
        <w:rPr>
          <w:rFonts w:ascii="Calibri" w:hAnsi="Calibri" w:eastAsia="Calibri" w:cs="Calibri"/>
          <w:noProof w:val="0"/>
          <w:color w:val="172B4D"/>
          <w:sz w:val="22"/>
          <w:szCs w:val="22"/>
          <w:lang w:val="en-GB"/>
        </w:rPr>
        <w:t>completion.</w:t>
      </w:r>
      <w:r>
        <w:br/>
      </w:r>
      <w:r w:rsidRPr="001DFC05" w:rsidR="698DC8B9">
        <w:rPr>
          <w:rFonts w:ascii="Calibri" w:hAnsi="Calibri" w:eastAsia="Calibri" w:cs="Calibri"/>
          <w:noProof w:val="0"/>
          <w:color w:val="172B4D"/>
          <w:sz w:val="22"/>
          <w:szCs w:val="22"/>
          <w:lang w:val="en-GB"/>
        </w:rPr>
        <w:t xml:space="preserve">Drawing upon established theories and models of knowledge management, this report will first examine CTC's internal quality processes, evaluating how they contribute to the </w:t>
      </w:r>
      <w:r w:rsidRPr="001DFC05" w:rsidR="3E1A27C0">
        <w:rPr>
          <w:rFonts w:ascii="Calibri" w:hAnsi="Calibri" w:eastAsia="Calibri" w:cs="Calibri"/>
          <w:noProof w:val="0"/>
          <w:color w:val="172B4D"/>
          <w:sz w:val="22"/>
          <w:szCs w:val="22"/>
          <w:lang w:val="en-GB"/>
        </w:rPr>
        <w:t>organisation's</w:t>
      </w:r>
      <w:r w:rsidRPr="001DFC05" w:rsidR="698DC8B9">
        <w:rPr>
          <w:rFonts w:ascii="Calibri" w:hAnsi="Calibri" w:eastAsia="Calibri" w:cs="Calibri"/>
          <w:noProof w:val="0"/>
          <w:color w:val="172B4D"/>
          <w:sz w:val="22"/>
          <w:szCs w:val="22"/>
          <w:lang w:val="en-GB"/>
        </w:rPr>
        <w:t xml:space="preserve"> knowledge assets and their effective management. This report will then analyse the learner's journey from induction to achievement, map the current </w:t>
      </w:r>
      <w:r w:rsidRPr="001DFC05" w:rsidR="698DC8B9">
        <w:rPr>
          <w:rFonts w:ascii="Calibri" w:hAnsi="Calibri" w:eastAsia="Calibri" w:cs="Calibri"/>
          <w:noProof w:val="0"/>
          <w:color w:val="172B4D"/>
          <w:sz w:val="22"/>
          <w:szCs w:val="22"/>
          <w:lang w:val="en-GB"/>
        </w:rPr>
        <w:t>processes</w:t>
      </w:r>
      <w:r w:rsidRPr="001DFC05" w:rsidR="698DC8B9">
        <w:rPr>
          <w:rFonts w:ascii="Calibri" w:hAnsi="Calibri" w:eastAsia="Calibri" w:cs="Calibri"/>
          <w:noProof w:val="0"/>
          <w:color w:val="172B4D"/>
          <w:sz w:val="22"/>
          <w:szCs w:val="22"/>
          <w:lang w:val="en-GB"/>
        </w:rPr>
        <w:t xml:space="preserve"> and assess how CTC addresses customer needs, </w:t>
      </w:r>
      <w:r w:rsidRPr="001DFC05" w:rsidR="698DC8B9">
        <w:rPr>
          <w:rFonts w:ascii="Calibri" w:hAnsi="Calibri" w:eastAsia="Calibri" w:cs="Calibri"/>
          <w:noProof w:val="0"/>
          <w:color w:val="172B4D"/>
          <w:sz w:val="22"/>
          <w:szCs w:val="22"/>
          <w:lang w:val="en-GB"/>
        </w:rPr>
        <w:t>expectations</w:t>
      </w:r>
      <w:r w:rsidRPr="001DFC05" w:rsidR="698DC8B9">
        <w:rPr>
          <w:rFonts w:ascii="Calibri" w:hAnsi="Calibri" w:eastAsia="Calibri" w:cs="Calibri"/>
          <w:noProof w:val="0"/>
          <w:color w:val="172B4D"/>
          <w:sz w:val="22"/>
          <w:szCs w:val="22"/>
          <w:lang w:val="en-GB"/>
        </w:rPr>
        <w:t xml:space="preserve"> and satisfactions through its approach to information sharing and support. Finally, the report will critically evaluate the strategies employed to build and sustain customer relationships in a WBL setting, comparing brand loyalty to customer </w:t>
      </w:r>
      <w:r w:rsidRPr="001DFC05" w:rsidR="698DC8B9">
        <w:rPr>
          <w:rFonts w:ascii="Calibri" w:hAnsi="Calibri" w:eastAsia="Calibri" w:cs="Calibri"/>
          <w:noProof w:val="0"/>
          <w:color w:val="172B4D"/>
          <w:sz w:val="22"/>
          <w:szCs w:val="22"/>
          <w:lang w:val="en-GB"/>
        </w:rPr>
        <w:t>loyalty</w:t>
      </w:r>
      <w:r w:rsidRPr="001DFC05" w:rsidR="698DC8B9">
        <w:rPr>
          <w:rFonts w:ascii="Calibri" w:hAnsi="Calibri" w:eastAsia="Calibri" w:cs="Calibri"/>
          <w:noProof w:val="0"/>
          <w:color w:val="172B4D"/>
          <w:sz w:val="22"/>
          <w:szCs w:val="22"/>
          <w:lang w:val="en-GB"/>
        </w:rPr>
        <w:t xml:space="preserve"> and reviewing the impact of initiatives such as competitions, personalised 1-to-1 support, and long-term retention strategies from a knowledge-sharing and retention perspective.</w:t>
      </w:r>
    </w:p>
    <w:p xmlns:wp14="http://schemas.microsoft.com/office/word/2010/wordml" w:rsidP="4E8BE5FC" wp14:paraId="4C18CD7A" wp14:textId="162A8CED">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bookmarkStart w:name="_Toc602321304" w:id="252969492"/>
      <w:r w:rsidRPr="001DFC05" w:rsidR="59DD83D0">
        <w:rPr>
          <w:rFonts w:ascii="Calibri" w:hAnsi="Calibri" w:eastAsia="Calibri" w:cs="Calibri"/>
          <w:noProof w:val="0"/>
          <w:color w:val="auto"/>
          <w:sz w:val="32"/>
          <w:szCs w:val="32"/>
          <w:lang w:val="en-GB"/>
        </w:rPr>
        <w:t>2.</w:t>
      </w:r>
      <w:r w:rsidRPr="001DFC05" w:rsidR="7D6C308B">
        <w:rPr>
          <w:rFonts w:ascii="Calibri" w:hAnsi="Calibri" w:eastAsia="Calibri" w:cs="Calibri"/>
          <w:noProof w:val="0"/>
          <w:color w:val="auto"/>
          <w:sz w:val="32"/>
          <w:szCs w:val="32"/>
          <w:lang w:val="en-GB"/>
        </w:rPr>
        <w:t xml:space="preserve"> Critical Understanding of Quality Processes</w:t>
      </w:r>
      <w:bookmarkEnd w:id="252969492"/>
    </w:p>
    <w:p xmlns:wp14="http://schemas.microsoft.com/office/word/2010/wordml" w:rsidP="4E8BE5FC" wp14:paraId="3E926D9B" wp14:textId="04E3D759">
      <w:pPr>
        <w:pStyle w:val="Heading2"/>
        <w:keepNext w:val="0"/>
        <w:keepLines w:val="0"/>
        <w:spacing w:before="0" w:beforeAutospacing="off" w:after="0" w:line="360" w:lineRule="auto"/>
        <w:ind w:firstLine="0"/>
        <w:jc w:val="both"/>
        <w:rPr>
          <w:rFonts w:ascii="Calibri" w:hAnsi="Calibri" w:eastAsia="Calibri" w:cs="Calibri"/>
          <w:noProof w:val="0"/>
          <w:color w:val="auto"/>
          <w:sz w:val="28"/>
          <w:szCs w:val="28"/>
          <w:lang w:val="en-GB"/>
        </w:rPr>
      </w:pPr>
      <w:bookmarkStart w:name="_Toc105753559" w:id="1636720474"/>
      <w:r w:rsidRPr="001DFC05" w:rsidR="037417F4">
        <w:rPr>
          <w:rFonts w:ascii="Calibri" w:hAnsi="Calibri" w:eastAsia="Calibri" w:cs="Calibri"/>
          <w:noProof w:val="0"/>
          <w:color w:val="auto"/>
          <w:sz w:val="28"/>
          <w:szCs w:val="28"/>
          <w:lang w:val="en-GB"/>
        </w:rPr>
        <w:t>2.1</w:t>
      </w:r>
      <w:r w:rsidRPr="001DFC05" w:rsidR="57D105A0">
        <w:rPr>
          <w:rFonts w:ascii="Calibri" w:hAnsi="Calibri" w:eastAsia="Calibri" w:cs="Calibri"/>
          <w:noProof w:val="0"/>
          <w:color w:val="auto"/>
          <w:sz w:val="28"/>
          <w:szCs w:val="28"/>
          <w:lang w:val="en-GB"/>
        </w:rPr>
        <w:t xml:space="preserve"> Customer Relationship Management and CRM Systems</w:t>
      </w:r>
      <w:bookmarkEnd w:id="1636720474"/>
    </w:p>
    <w:p w:rsidR="4FF5C18E" w:rsidP="001DFC05" w:rsidRDefault="4FF5C18E" w14:paraId="42302099" w14:textId="10F615F0">
      <w:pPr>
        <w:spacing w:after="0" w:afterAutospacing="off" w:line="360" w:lineRule="auto"/>
        <w:ind w:firstLine="0"/>
        <w:jc w:val="both"/>
        <w:rPr>
          <w:rFonts w:ascii="Calibri" w:hAnsi="Calibri" w:eastAsia="Calibri" w:cs="Calibri"/>
          <w:noProof w:val="0"/>
          <w:color w:val="172B4D"/>
          <w:sz w:val="22"/>
          <w:szCs w:val="22"/>
          <w:lang w:val="en-GB"/>
        </w:rPr>
      </w:pPr>
      <w:r w:rsidRPr="001DFC05" w:rsidR="4FF5C18E">
        <w:rPr>
          <w:rFonts w:ascii="Calibri" w:hAnsi="Calibri" w:eastAsia="Calibri" w:cs="Calibri"/>
          <w:noProof w:val="0"/>
          <w:color w:val="172B4D"/>
          <w:sz w:val="22"/>
          <w:szCs w:val="22"/>
          <w:lang w:val="en-GB"/>
        </w:rPr>
        <w:t xml:space="preserve">Customer Relationship Management (CRM) refers to “all activities, strategies and technologies which companies use to manage interactions with current and potential customers” (Kulpa, 2017, p. 43). WBL, CRM systems are fundamental for training providers, helping them to manage, track and review learner progress and employer involvement. At CTC, CRM serves as </w:t>
      </w:r>
      <w:r w:rsidRPr="001DFC05" w:rsidR="4FF5C18E">
        <w:rPr>
          <w:rFonts w:ascii="Calibri" w:hAnsi="Calibri" w:eastAsia="Calibri" w:cs="Calibri"/>
          <w:noProof w:val="0"/>
          <w:color w:val="172B4D"/>
          <w:sz w:val="22"/>
          <w:szCs w:val="22"/>
          <w:lang w:val="en-GB"/>
        </w:rPr>
        <w:t>an important tool</w:t>
      </w:r>
      <w:r w:rsidRPr="001DFC05" w:rsidR="4FF5C18E">
        <w:rPr>
          <w:rFonts w:ascii="Calibri" w:hAnsi="Calibri" w:eastAsia="Calibri" w:cs="Calibri"/>
          <w:noProof w:val="0"/>
          <w:color w:val="172B4D"/>
          <w:sz w:val="22"/>
          <w:szCs w:val="22"/>
          <w:lang w:val="en-GB"/>
        </w:rPr>
        <w:t xml:space="preserve"> for quality assurance and is the beating heart for knowledge and </w:t>
      </w:r>
      <w:r w:rsidRPr="001DFC05" w:rsidR="34FFD686">
        <w:rPr>
          <w:rFonts w:ascii="Calibri" w:hAnsi="Calibri" w:eastAsia="Calibri" w:cs="Calibri"/>
          <w:noProof w:val="0"/>
          <w:color w:val="172B4D"/>
          <w:sz w:val="22"/>
          <w:szCs w:val="22"/>
          <w:lang w:val="en-GB"/>
        </w:rPr>
        <w:t>information.</w:t>
      </w:r>
      <w:r>
        <w:br/>
      </w:r>
      <w:r>
        <w:tab/>
      </w:r>
      <w:r w:rsidRPr="001DFC05" w:rsidR="4FF5C18E">
        <w:rPr>
          <w:rFonts w:ascii="Calibri" w:hAnsi="Calibri" w:eastAsia="Calibri" w:cs="Calibri"/>
          <w:noProof w:val="0"/>
          <w:color w:val="172B4D"/>
          <w:sz w:val="22"/>
          <w:szCs w:val="22"/>
          <w:lang w:val="en-GB"/>
        </w:rPr>
        <w:t xml:space="preserve">CTC's digital CRM system for the Hospitality Department training is Cognisoft Yeti. This system exemplifies how organisational knowledge is both stored and retrieved, offering TOs and managers immediate, live insights into learners and employers across Wales. Having sound knowledge of CRM systems like Yeti allows the team to </w:t>
      </w:r>
      <w:r w:rsidRPr="001DFC05" w:rsidR="3DA22119">
        <w:rPr>
          <w:rFonts w:ascii="Calibri" w:hAnsi="Calibri" w:eastAsia="Calibri" w:cs="Calibri"/>
          <w:noProof w:val="0"/>
          <w:color w:val="172B4D"/>
          <w:sz w:val="22"/>
          <w:szCs w:val="22"/>
          <w:lang w:val="en-GB"/>
        </w:rPr>
        <w:t>centralise</w:t>
      </w:r>
      <w:r w:rsidRPr="001DFC05" w:rsidR="4FF5C18E">
        <w:rPr>
          <w:rFonts w:ascii="Calibri" w:hAnsi="Calibri" w:eastAsia="Calibri" w:cs="Calibri"/>
          <w:noProof w:val="0"/>
          <w:color w:val="172B4D"/>
          <w:sz w:val="22"/>
          <w:szCs w:val="22"/>
          <w:lang w:val="en-GB"/>
        </w:rPr>
        <w:t xml:space="preserve"> data and help make key business decisions. For example, Yeti has a "Days since last seen" report which allows TOs to </w:t>
      </w:r>
      <w:r w:rsidRPr="001DFC05" w:rsidR="4FF5C18E">
        <w:rPr>
          <w:rFonts w:ascii="Calibri" w:hAnsi="Calibri" w:eastAsia="Calibri" w:cs="Calibri"/>
          <w:noProof w:val="0"/>
          <w:color w:val="172B4D"/>
          <w:sz w:val="22"/>
          <w:szCs w:val="22"/>
          <w:lang w:val="en-GB"/>
        </w:rPr>
        <w:t>identify</w:t>
      </w:r>
      <w:r w:rsidRPr="001DFC05" w:rsidR="4FF5C18E">
        <w:rPr>
          <w:rFonts w:ascii="Calibri" w:hAnsi="Calibri" w:eastAsia="Calibri" w:cs="Calibri"/>
          <w:noProof w:val="0"/>
          <w:color w:val="172B4D"/>
          <w:sz w:val="22"/>
          <w:szCs w:val="22"/>
          <w:lang w:val="en-GB"/>
        </w:rPr>
        <w:t xml:space="preserve"> learners who are coming up to their </w:t>
      </w:r>
      <w:r w:rsidRPr="001DFC05" w:rsidR="4092D2A0">
        <w:rPr>
          <w:rFonts w:ascii="Calibri" w:hAnsi="Calibri" w:eastAsia="Calibri" w:cs="Calibri"/>
          <w:noProof w:val="0"/>
          <w:color w:val="172B4D"/>
          <w:sz w:val="22"/>
          <w:szCs w:val="22"/>
          <w:lang w:val="en-GB"/>
        </w:rPr>
        <w:t>61-day</w:t>
      </w:r>
      <w:r w:rsidRPr="001DFC05" w:rsidR="4FF5C18E">
        <w:rPr>
          <w:rFonts w:ascii="Calibri" w:hAnsi="Calibri" w:eastAsia="Calibri" w:cs="Calibri"/>
          <w:noProof w:val="0"/>
          <w:color w:val="172B4D"/>
          <w:sz w:val="22"/>
          <w:szCs w:val="22"/>
          <w:lang w:val="en-GB"/>
        </w:rPr>
        <w:t xml:space="preserve"> review or have passed. Having this report is crucial for a TO because if the learner is over 61 </w:t>
      </w:r>
      <w:r w:rsidRPr="001DFC05" w:rsidR="183D98A1">
        <w:rPr>
          <w:rFonts w:ascii="Calibri" w:hAnsi="Calibri" w:eastAsia="Calibri" w:cs="Calibri"/>
          <w:noProof w:val="0"/>
          <w:color w:val="172B4D"/>
          <w:sz w:val="22"/>
          <w:szCs w:val="22"/>
          <w:lang w:val="en-GB"/>
        </w:rPr>
        <w:t>days,</w:t>
      </w:r>
      <w:r w:rsidRPr="001DFC05" w:rsidR="4FF5C18E">
        <w:rPr>
          <w:rFonts w:ascii="Calibri" w:hAnsi="Calibri" w:eastAsia="Calibri" w:cs="Calibri"/>
          <w:noProof w:val="0"/>
          <w:color w:val="172B4D"/>
          <w:sz w:val="22"/>
          <w:szCs w:val="22"/>
          <w:lang w:val="en-GB"/>
        </w:rPr>
        <w:t xml:space="preserve"> then the learner </w:t>
      </w:r>
      <w:r w:rsidRPr="001DFC05" w:rsidR="4FF5C18E">
        <w:rPr>
          <w:rFonts w:ascii="Calibri" w:hAnsi="Calibri" w:eastAsia="Calibri" w:cs="Calibri"/>
          <w:noProof w:val="0"/>
          <w:color w:val="172B4D"/>
          <w:sz w:val="22"/>
          <w:szCs w:val="22"/>
          <w:lang w:val="en-GB"/>
        </w:rPr>
        <w:t>isn't</w:t>
      </w:r>
      <w:r w:rsidRPr="001DFC05" w:rsidR="4FF5C18E">
        <w:rPr>
          <w:rFonts w:ascii="Calibri" w:hAnsi="Calibri" w:eastAsia="Calibri" w:cs="Calibri"/>
          <w:noProof w:val="0"/>
          <w:color w:val="172B4D"/>
          <w:sz w:val="22"/>
          <w:szCs w:val="22"/>
          <w:lang w:val="en-GB"/>
        </w:rPr>
        <w:t xml:space="preserve"> generating any funding from the Welsh Government. Yeti uses a </w:t>
      </w:r>
      <w:r w:rsidRPr="001DFC05" w:rsidR="73958E42">
        <w:rPr>
          <w:rFonts w:ascii="Calibri" w:hAnsi="Calibri" w:eastAsia="Calibri" w:cs="Calibri"/>
          <w:noProof w:val="0"/>
          <w:color w:val="172B4D"/>
          <w:sz w:val="22"/>
          <w:szCs w:val="22"/>
          <w:lang w:val="en-GB"/>
        </w:rPr>
        <w:t>colour-coding</w:t>
      </w:r>
      <w:r w:rsidRPr="001DFC05" w:rsidR="4FF5C18E">
        <w:rPr>
          <w:rFonts w:ascii="Calibri" w:hAnsi="Calibri" w:eastAsia="Calibri" w:cs="Calibri"/>
          <w:noProof w:val="0"/>
          <w:color w:val="172B4D"/>
          <w:sz w:val="22"/>
          <w:szCs w:val="22"/>
          <w:lang w:val="en-GB"/>
        </w:rPr>
        <w:t xml:space="preserve"> system (green for on-time, red for overdue) to </w:t>
      </w:r>
      <w:r w:rsidRPr="001DFC05" w:rsidR="4FF5C18E">
        <w:rPr>
          <w:rFonts w:ascii="Calibri" w:hAnsi="Calibri" w:eastAsia="Calibri" w:cs="Calibri"/>
          <w:noProof w:val="0"/>
          <w:color w:val="172B4D"/>
          <w:sz w:val="22"/>
          <w:szCs w:val="22"/>
          <w:lang w:val="en-GB"/>
        </w:rPr>
        <w:t>indicate</w:t>
      </w:r>
      <w:r w:rsidRPr="001DFC05" w:rsidR="4FF5C18E">
        <w:rPr>
          <w:rFonts w:ascii="Calibri" w:hAnsi="Calibri" w:eastAsia="Calibri" w:cs="Calibri"/>
          <w:noProof w:val="0"/>
          <w:color w:val="172B4D"/>
          <w:sz w:val="22"/>
          <w:szCs w:val="22"/>
          <w:lang w:val="en-GB"/>
        </w:rPr>
        <w:t xml:space="preserve"> days since the last visit. This visual aid guides TOs in prioritising learner visits. As good as this system is, this data can be misleading. for example, a learner could have been seen, but for whatever </w:t>
      </w:r>
      <w:r w:rsidRPr="001DFC05" w:rsidR="58139B42">
        <w:rPr>
          <w:rFonts w:ascii="Calibri" w:hAnsi="Calibri" w:eastAsia="Calibri" w:cs="Calibri"/>
          <w:noProof w:val="0"/>
          <w:color w:val="172B4D"/>
          <w:sz w:val="22"/>
          <w:szCs w:val="22"/>
          <w:lang w:val="en-GB"/>
        </w:rPr>
        <w:t>reason,</w:t>
      </w:r>
      <w:r w:rsidRPr="001DFC05" w:rsidR="4FF5C18E">
        <w:rPr>
          <w:rFonts w:ascii="Calibri" w:hAnsi="Calibri" w:eastAsia="Calibri" w:cs="Calibri"/>
          <w:noProof w:val="0"/>
          <w:color w:val="172B4D"/>
          <w:sz w:val="22"/>
          <w:szCs w:val="22"/>
          <w:lang w:val="en-GB"/>
        </w:rPr>
        <w:t xml:space="preserve"> the employer or the learner </w:t>
      </w:r>
      <w:r w:rsidRPr="001DFC05" w:rsidR="4FF5C18E">
        <w:rPr>
          <w:rFonts w:ascii="Calibri" w:hAnsi="Calibri" w:eastAsia="Calibri" w:cs="Calibri"/>
          <w:noProof w:val="0"/>
          <w:color w:val="172B4D"/>
          <w:sz w:val="22"/>
          <w:szCs w:val="22"/>
          <w:lang w:val="en-GB"/>
        </w:rPr>
        <w:t>hasn't</w:t>
      </w:r>
      <w:r w:rsidRPr="001DFC05" w:rsidR="4FF5C18E">
        <w:rPr>
          <w:rFonts w:ascii="Calibri" w:hAnsi="Calibri" w:eastAsia="Calibri" w:cs="Calibri"/>
          <w:noProof w:val="0"/>
          <w:color w:val="172B4D"/>
          <w:sz w:val="22"/>
          <w:szCs w:val="22"/>
          <w:lang w:val="en-GB"/>
        </w:rPr>
        <w:t xml:space="preserve"> signed the progress review. If this is the </w:t>
      </w:r>
      <w:r w:rsidRPr="001DFC05" w:rsidR="3A4BB72D">
        <w:rPr>
          <w:rFonts w:ascii="Calibri" w:hAnsi="Calibri" w:eastAsia="Calibri" w:cs="Calibri"/>
          <w:noProof w:val="0"/>
          <w:color w:val="172B4D"/>
          <w:sz w:val="22"/>
          <w:szCs w:val="22"/>
          <w:lang w:val="en-GB"/>
        </w:rPr>
        <w:t>case,</w:t>
      </w:r>
      <w:r w:rsidRPr="001DFC05" w:rsidR="4FF5C18E">
        <w:rPr>
          <w:rFonts w:ascii="Calibri" w:hAnsi="Calibri" w:eastAsia="Calibri" w:cs="Calibri"/>
          <w:noProof w:val="0"/>
          <w:color w:val="172B4D"/>
          <w:sz w:val="22"/>
          <w:szCs w:val="22"/>
          <w:lang w:val="en-GB"/>
        </w:rPr>
        <w:t xml:space="preserve"> the </w:t>
      </w:r>
      <w:r w:rsidRPr="001DFC05" w:rsidR="04CA71E3">
        <w:rPr>
          <w:rFonts w:ascii="Calibri" w:hAnsi="Calibri" w:eastAsia="Calibri" w:cs="Calibri"/>
          <w:noProof w:val="0"/>
          <w:color w:val="172B4D"/>
          <w:sz w:val="22"/>
          <w:szCs w:val="22"/>
          <w:lang w:val="en-GB"/>
        </w:rPr>
        <w:t>learner's</w:t>
      </w:r>
      <w:r w:rsidRPr="001DFC05" w:rsidR="4FF5C18E">
        <w:rPr>
          <w:rFonts w:ascii="Calibri" w:hAnsi="Calibri" w:eastAsia="Calibri" w:cs="Calibri"/>
          <w:noProof w:val="0"/>
          <w:color w:val="172B4D"/>
          <w:sz w:val="22"/>
          <w:szCs w:val="22"/>
          <w:lang w:val="en-GB"/>
        </w:rPr>
        <w:t xml:space="preserve"> visit </w:t>
      </w:r>
      <w:r w:rsidRPr="001DFC05" w:rsidR="4FF5C18E">
        <w:rPr>
          <w:rFonts w:ascii="Calibri" w:hAnsi="Calibri" w:eastAsia="Calibri" w:cs="Calibri"/>
          <w:noProof w:val="0"/>
          <w:color w:val="172B4D"/>
          <w:sz w:val="22"/>
          <w:szCs w:val="22"/>
          <w:lang w:val="en-GB"/>
        </w:rPr>
        <w:t>won't</w:t>
      </w:r>
      <w:r w:rsidRPr="001DFC05" w:rsidR="4FF5C18E">
        <w:rPr>
          <w:rFonts w:ascii="Calibri" w:hAnsi="Calibri" w:eastAsia="Calibri" w:cs="Calibri"/>
          <w:noProof w:val="0"/>
          <w:color w:val="172B4D"/>
          <w:sz w:val="22"/>
          <w:szCs w:val="22"/>
          <w:lang w:val="en-GB"/>
        </w:rPr>
        <w:t xml:space="preserve"> drop down to 0 days. It is part of CTC standards that TOs don't leave the placement until the progress review has been signed by both learner and employer, but this can be challenging because a learner or employer may have to go back to the floor and in turn will forget to sign the </w:t>
      </w:r>
      <w:r w:rsidRPr="001DFC05" w:rsidR="3E1B8B9A">
        <w:rPr>
          <w:rFonts w:ascii="Calibri" w:hAnsi="Calibri" w:eastAsia="Calibri" w:cs="Calibri"/>
          <w:noProof w:val="0"/>
          <w:color w:val="172B4D"/>
          <w:sz w:val="22"/>
          <w:szCs w:val="22"/>
          <w:lang w:val="en-GB"/>
        </w:rPr>
        <w:t>review,</w:t>
      </w:r>
      <w:r w:rsidRPr="001DFC05" w:rsidR="4FF5C18E">
        <w:rPr>
          <w:rFonts w:ascii="Calibri" w:hAnsi="Calibri" w:eastAsia="Calibri" w:cs="Calibri"/>
          <w:noProof w:val="0"/>
          <w:color w:val="172B4D"/>
          <w:sz w:val="22"/>
          <w:szCs w:val="22"/>
          <w:lang w:val="en-GB"/>
        </w:rPr>
        <w:t xml:space="preserve"> and the TO could be going from Newport to Milford Haven. There are examples like this that prove there should be another CRM in place to show that a learner has been seen but the review has not been signed, this way there will be </w:t>
      </w:r>
      <w:r w:rsidRPr="001DFC05" w:rsidR="5575CA4E">
        <w:rPr>
          <w:rFonts w:ascii="Calibri" w:hAnsi="Calibri" w:eastAsia="Calibri" w:cs="Calibri"/>
          <w:noProof w:val="0"/>
          <w:color w:val="172B4D"/>
          <w:sz w:val="22"/>
          <w:szCs w:val="22"/>
          <w:lang w:val="en-GB"/>
        </w:rPr>
        <w:t>clarity,</w:t>
      </w:r>
      <w:r w:rsidRPr="001DFC05" w:rsidR="4FF5C18E">
        <w:rPr>
          <w:rFonts w:ascii="Calibri" w:hAnsi="Calibri" w:eastAsia="Calibri" w:cs="Calibri"/>
          <w:noProof w:val="0"/>
          <w:color w:val="172B4D"/>
          <w:sz w:val="22"/>
          <w:szCs w:val="22"/>
          <w:lang w:val="en-GB"/>
        </w:rPr>
        <w:t xml:space="preserve"> </w:t>
      </w:r>
      <w:r w:rsidRPr="001DFC05" w:rsidR="226B34E4">
        <w:rPr>
          <w:rFonts w:ascii="Calibri" w:hAnsi="Calibri" w:eastAsia="Calibri" w:cs="Calibri"/>
          <w:noProof w:val="0"/>
          <w:color w:val="172B4D"/>
          <w:sz w:val="22"/>
          <w:szCs w:val="22"/>
          <w:lang w:val="en-GB"/>
        </w:rPr>
        <w:t>and it</w:t>
      </w:r>
      <w:r w:rsidRPr="001DFC05" w:rsidR="4FF5C18E">
        <w:rPr>
          <w:rFonts w:ascii="Calibri" w:hAnsi="Calibri" w:eastAsia="Calibri" w:cs="Calibri"/>
          <w:noProof w:val="0"/>
          <w:color w:val="172B4D"/>
          <w:sz w:val="22"/>
          <w:szCs w:val="22"/>
          <w:lang w:val="en-GB"/>
        </w:rPr>
        <w:t xml:space="preserve"> can</w:t>
      </w:r>
      <w:r w:rsidRPr="001DFC05" w:rsidR="58B176DA">
        <w:rPr>
          <w:rFonts w:ascii="Calibri" w:hAnsi="Calibri" w:eastAsia="Calibri" w:cs="Calibri"/>
          <w:noProof w:val="0"/>
          <w:color w:val="172B4D"/>
          <w:sz w:val="22"/>
          <w:szCs w:val="22"/>
          <w:lang w:val="en-GB"/>
        </w:rPr>
        <w:t xml:space="preserve"> weed</w:t>
      </w:r>
      <w:r w:rsidRPr="001DFC05" w:rsidR="4FF5C18E">
        <w:rPr>
          <w:rFonts w:ascii="Calibri" w:hAnsi="Calibri" w:eastAsia="Calibri" w:cs="Calibri"/>
          <w:noProof w:val="0"/>
          <w:color w:val="172B4D"/>
          <w:sz w:val="22"/>
          <w:szCs w:val="22"/>
          <w:lang w:val="en-GB"/>
        </w:rPr>
        <w:t xml:space="preserve"> out the learners or employers who are consistently not signing reviews. </w:t>
      </w:r>
      <w:r>
        <w:br/>
      </w:r>
      <w:r>
        <w:tab/>
      </w:r>
      <w:r w:rsidRPr="001DFC05" w:rsidR="4FF5C18E">
        <w:rPr>
          <w:rFonts w:ascii="Calibri" w:hAnsi="Calibri" w:eastAsia="Calibri" w:cs="Calibri"/>
          <w:noProof w:val="0"/>
          <w:color w:val="172B4D"/>
          <w:sz w:val="22"/>
          <w:szCs w:val="22"/>
          <w:lang w:val="en-GB"/>
        </w:rPr>
        <w:t xml:space="preserve">For quality assurance, it significantly aids CTC in planning processes and provides essential evidence for internal reviews, learner inductions and external audits. All learner details, including visit history, induction status and confidential notes, are securely </w:t>
      </w:r>
      <w:r w:rsidRPr="001DFC05" w:rsidR="4FF5C18E">
        <w:rPr>
          <w:rFonts w:ascii="Calibri" w:hAnsi="Calibri" w:eastAsia="Calibri" w:cs="Calibri"/>
          <w:noProof w:val="0"/>
          <w:color w:val="172B4D"/>
          <w:sz w:val="22"/>
          <w:szCs w:val="22"/>
          <w:lang w:val="en-GB"/>
        </w:rPr>
        <w:t>maintained</w:t>
      </w:r>
      <w:r w:rsidRPr="001DFC05" w:rsidR="4FF5C18E">
        <w:rPr>
          <w:rFonts w:ascii="Calibri" w:hAnsi="Calibri" w:eastAsia="Calibri" w:cs="Calibri"/>
          <w:noProof w:val="0"/>
          <w:color w:val="172B4D"/>
          <w:sz w:val="22"/>
          <w:szCs w:val="22"/>
          <w:lang w:val="en-GB"/>
        </w:rPr>
        <w:t xml:space="preserve"> on a website protected by two-factor authentication, ensuring privacy, </w:t>
      </w:r>
      <w:r w:rsidRPr="001DFC05" w:rsidR="4FF5C18E">
        <w:rPr>
          <w:rFonts w:ascii="Calibri" w:hAnsi="Calibri" w:eastAsia="Calibri" w:cs="Calibri"/>
          <w:noProof w:val="0"/>
          <w:color w:val="172B4D"/>
          <w:sz w:val="22"/>
          <w:szCs w:val="22"/>
          <w:lang w:val="en-GB"/>
        </w:rPr>
        <w:t>accuracy</w:t>
      </w:r>
      <w:r w:rsidRPr="001DFC05" w:rsidR="4FF5C18E">
        <w:rPr>
          <w:rFonts w:ascii="Calibri" w:hAnsi="Calibri" w:eastAsia="Calibri" w:cs="Calibri"/>
          <w:noProof w:val="0"/>
          <w:color w:val="172B4D"/>
          <w:sz w:val="22"/>
          <w:szCs w:val="22"/>
          <w:lang w:val="en-GB"/>
        </w:rPr>
        <w:t xml:space="preserve"> and accessibility of sensitive information. This aligns with modern data security practices crucial for customer data management (Fadina, 2025). Before quality checks, the HBU can generate detailed reports on aspects such as learner engagement and visit frequency, highlighting any areas needing immediate attention. This proactive approach allows the HBU to </w:t>
      </w:r>
      <w:r w:rsidRPr="001DFC05" w:rsidR="4FF5C18E">
        <w:rPr>
          <w:rFonts w:ascii="Calibri" w:hAnsi="Calibri" w:eastAsia="Calibri" w:cs="Calibri"/>
          <w:noProof w:val="0"/>
          <w:color w:val="172B4D"/>
          <w:sz w:val="22"/>
          <w:szCs w:val="22"/>
          <w:lang w:val="en-GB"/>
        </w:rPr>
        <w:t>identify</w:t>
      </w:r>
      <w:r w:rsidRPr="001DFC05" w:rsidR="4FF5C18E">
        <w:rPr>
          <w:rFonts w:ascii="Calibri" w:hAnsi="Calibri" w:eastAsia="Calibri" w:cs="Calibri"/>
          <w:noProof w:val="0"/>
          <w:color w:val="172B4D"/>
          <w:sz w:val="22"/>
          <w:szCs w:val="22"/>
          <w:lang w:val="en-GB"/>
        </w:rPr>
        <w:t xml:space="preserve"> and rectify issues before they </w:t>
      </w:r>
      <w:r w:rsidRPr="001DFC05" w:rsidR="0DAFDA7C">
        <w:rPr>
          <w:rFonts w:ascii="Calibri" w:hAnsi="Calibri" w:eastAsia="Calibri" w:cs="Calibri"/>
          <w:noProof w:val="0"/>
          <w:color w:val="172B4D"/>
          <w:sz w:val="22"/>
          <w:szCs w:val="22"/>
          <w:lang w:val="en-GB"/>
        </w:rPr>
        <w:t>escalate</w:t>
      </w:r>
      <w:r w:rsidRPr="001DFC05" w:rsidR="4FF5C18E">
        <w:rPr>
          <w:rFonts w:ascii="Calibri" w:hAnsi="Calibri" w:eastAsia="Calibri" w:cs="Calibri"/>
          <w:noProof w:val="0"/>
          <w:color w:val="172B4D"/>
          <w:sz w:val="22"/>
          <w:szCs w:val="22"/>
          <w:lang w:val="en-GB"/>
        </w:rPr>
        <w:t>.</w:t>
      </w:r>
      <w:r>
        <w:br/>
      </w:r>
      <w:r>
        <w:tab/>
      </w:r>
      <w:r w:rsidRPr="001DFC05" w:rsidR="4FF5C18E">
        <w:rPr>
          <w:rFonts w:ascii="Calibri" w:hAnsi="Calibri" w:eastAsia="Calibri" w:cs="Calibri"/>
          <w:noProof w:val="0"/>
          <w:color w:val="172B4D"/>
          <w:sz w:val="22"/>
          <w:szCs w:val="22"/>
          <w:lang w:val="en-GB"/>
        </w:rPr>
        <w:t>The CRM’s integral role in early intervention is a way of using knowledge to</w:t>
      </w:r>
      <w:r w:rsidRPr="001DFC05" w:rsidR="4A0352A9">
        <w:rPr>
          <w:rFonts w:ascii="Calibri" w:hAnsi="Calibri" w:eastAsia="Calibri" w:cs="Calibri"/>
          <w:noProof w:val="0"/>
          <w:color w:val="172B4D"/>
          <w:sz w:val="22"/>
          <w:szCs w:val="22"/>
          <w:lang w:val="en-GB"/>
        </w:rPr>
        <w:t xml:space="preserve"> </w:t>
      </w:r>
      <w:r w:rsidRPr="001DFC05" w:rsidR="4FF5C18E">
        <w:rPr>
          <w:rFonts w:ascii="Calibri" w:hAnsi="Calibri" w:eastAsia="Calibri" w:cs="Calibri"/>
          <w:noProof w:val="0"/>
          <w:color w:val="172B4D"/>
          <w:sz w:val="22"/>
          <w:szCs w:val="22"/>
          <w:lang w:val="en-GB"/>
        </w:rPr>
        <w:t xml:space="preserve">solve </w:t>
      </w:r>
      <w:r w:rsidRPr="001DFC05" w:rsidR="6FF41541">
        <w:rPr>
          <w:rFonts w:ascii="Calibri" w:hAnsi="Calibri" w:eastAsia="Calibri" w:cs="Calibri"/>
          <w:noProof w:val="0"/>
          <w:color w:val="172B4D"/>
          <w:sz w:val="22"/>
          <w:szCs w:val="22"/>
          <w:lang w:val="en-GB"/>
        </w:rPr>
        <w:t>problems</w:t>
      </w:r>
      <w:r w:rsidRPr="001DFC05" w:rsidR="4FF5C18E">
        <w:rPr>
          <w:rFonts w:ascii="Calibri" w:hAnsi="Calibri" w:eastAsia="Calibri" w:cs="Calibri"/>
          <w:noProof w:val="0"/>
          <w:color w:val="172B4D"/>
          <w:sz w:val="22"/>
          <w:szCs w:val="22"/>
          <w:lang w:val="en-GB"/>
        </w:rPr>
        <w:t xml:space="preserve"> effectively. Should a learner stop contact or show signs of struggling with progress, the system automatically flags this as a risk. This swift, automated alert enables TOs to respond quickly by contacting the learner, scheduling a review, or engaging employers for support in meetings. This support is a key retention strategy in educational settings (EAB, 2025). The system also promotes fairness by </w:t>
      </w:r>
      <w:r w:rsidRPr="001DFC05" w:rsidR="4FF5C18E">
        <w:rPr>
          <w:rFonts w:ascii="Calibri" w:hAnsi="Calibri" w:eastAsia="Calibri" w:cs="Calibri"/>
          <w:noProof w:val="0"/>
          <w:color w:val="172B4D"/>
          <w:sz w:val="22"/>
          <w:szCs w:val="22"/>
          <w:lang w:val="en-GB"/>
        </w:rPr>
        <w:t>identifying</w:t>
      </w:r>
      <w:r w:rsidRPr="001DFC05" w:rsidR="4FF5C18E">
        <w:rPr>
          <w:rFonts w:ascii="Calibri" w:hAnsi="Calibri" w:eastAsia="Calibri" w:cs="Calibri"/>
          <w:noProof w:val="0"/>
          <w:color w:val="172B4D"/>
          <w:sz w:val="22"/>
          <w:szCs w:val="22"/>
          <w:lang w:val="en-GB"/>
        </w:rPr>
        <w:t xml:space="preserve"> learners who may </w:t>
      </w:r>
      <w:r w:rsidRPr="001DFC05" w:rsidR="4FF5C18E">
        <w:rPr>
          <w:rFonts w:ascii="Calibri" w:hAnsi="Calibri" w:eastAsia="Calibri" w:cs="Calibri"/>
          <w:noProof w:val="0"/>
          <w:color w:val="172B4D"/>
          <w:sz w:val="22"/>
          <w:szCs w:val="22"/>
          <w:lang w:val="en-GB"/>
        </w:rPr>
        <w:t>require</w:t>
      </w:r>
      <w:r w:rsidRPr="001DFC05" w:rsidR="4FF5C18E">
        <w:rPr>
          <w:rFonts w:ascii="Calibri" w:hAnsi="Calibri" w:eastAsia="Calibri" w:cs="Calibri"/>
          <w:noProof w:val="0"/>
          <w:color w:val="172B4D"/>
          <w:sz w:val="22"/>
          <w:szCs w:val="22"/>
          <w:lang w:val="en-GB"/>
        </w:rPr>
        <w:t xml:space="preserve"> </w:t>
      </w:r>
      <w:r w:rsidRPr="001DFC05" w:rsidR="4FF5C18E">
        <w:rPr>
          <w:rFonts w:ascii="Calibri" w:hAnsi="Calibri" w:eastAsia="Calibri" w:cs="Calibri"/>
          <w:noProof w:val="0"/>
          <w:color w:val="172B4D"/>
          <w:sz w:val="22"/>
          <w:szCs w:val="22"/>
          <w:lang w:val="en-GB"/>
        </w:rPr>
        <w:t>additional</w:t>
      </w:r>
      <w:r w:rsidRPr="001DFC05" w:rsidR="4FF5C18E">
        <w:rPr>
          <w:rFonts w:ascii="Calibri" w:hAnsi="Calibri" w:eastAsia="Calibri" w:cs="Calibri"/>
          <w:noProof w:val="0"/>
          <w:color w:val="172B4D"/>
          <w:sz w:val="22"/>
          <w:szCs w:val="22"/>
          <w:lang w:val="en-GB"/>
        </w:rPr>
        <w:t xml:space="preserve"> assistance, such as an essential skills tutor, or those with ALN. These </w:t>
      </w:r>
      <w:r w:rsidRPr="001DFC05" w:rsidR="4FF5C18E">
        <w:rPr>
          <w:rFonts w:ascii="Calibri" w:hAnsi="Calibri" w:eastAsia="Calibri" w:cs="Calibri"/>
          <w:noProof w:val="0"/>
          <w:color w:val="172B4D"/>
          <w:sz w:val="22"/>
          <w:szCs w:val="22"/>
          <w:lang w:val="en-GB"/>
        </w:rPr>
        <w:t>timely</w:t>
      </w:r>
      <w:r w:rsidRPr="001DFC05" w:rsidR="4FF5C18E">
        <w:rPr>
          <w:rFonts w:ascii="Calibri" w:hAnsi="Calibri" w:eastAsia="Calibri" w:cs="Calibri"/>
          <w:noProof w:val="0"/>
          <w:color w:val="172B4D"/>
          <w:sz w:val="22"/>
          <w:szCs w:val="22"/>
          <w:lang w:val="en-GB"/>
        </w:rPr>
        <w:t xml:space="preserve"> alerts provide live, actionable information, empowering TOs to manage early completions or </w:t>
      </w:r>
      <w:r w:rsidRPr="001DFC05" w:rsidR="4FF5C18E">
        <w:rPr>
          <w:rFonts w:ascii="Calibri" w:hAnsi="Calibri" w:eastAsia="Calibri" w:cs="Calibri"/>
          <w:noProof w:val="0"/>
          <w:color w:val="172B4D"/>
          <w:sz w:val="22"/>
          <w:szCs w:val="22"/>
          <w:lang w:val="en-GB"/>
        </w:rPr>
        <w:t>facilitate</w:t>
      </w:r>
      <w:r w:rsidRPr="001DFC05" w:rsidR="4FF5C18E">
        <w:rPr>
          <w:rFonts w:ascii="Calibri" w:hAnsi="Calibri" w:eastAsia="Calibri" w:cs="Calibri"/>
          <w:noProof w:val="0"/>
          <w:color w:val="172B4D"/>
          <w:sz w:val="22"/>
          <w:szCs w:val="22"/>
          <w:lang w:val="en-GB"/>
        </w:rPr>
        <w:t xml:space="preserve"> </w:t>
      </w:r>
      <w:r w:rsidRPr="001DFC05" w:rsidR="4FF5C18E">
        <w:rPr>
          <w:rFonts w:ascii="Calibri" w:hAnsi="Calibri" w:eastAsia="Calibri" w:cs="Calibri"/>
          <w:noProof w:val="0"/>
          <w:color w:val="172B4D"/>
          <w:sz w:val="22"/>
          <w:szCs w:val="22"/>
          <w:lang w:val="en-GB"/>
        </w:rPr>
        <w:t>timely</w:t>
      </w:r>
      <w:r w:rsidRPr="001DFC05" w:rsidR="4FF5C18E">
        <w:rPr>
          <w:rFonts w:ascii="Calibri" w:hAnsi="Calibri" w:eastAsia="Calibri" w:cs="Calibri"/>
          <w:noProof w:val="0"/>
          <w:color w:val="172B4D"/>
          <w:sz w:val="22"/>
          <w:szCs w:val="22"/>
          <w:lang w:val="en-GB"/>
        </w:rPr>
        <w:t xml:space="preserve"> program endings when necessary. This is vital for achieving high success rates and deepening CTC’s understanding of learner support requirements, particularly in vocational training (</w:t>
      </w:r>
      <w:r w:rsidRPr="001DFC05" w:rsidR="4FF5C18E">
        <w:rPr>
          <w:rFonts w:ascii="Calibri" w:hAnsi="Calibri" w:eastAsia="Calibri" w:cs="Calibri"/>
          <w:noProof w:val="0"/>
          <w:color w:val="172B4D"/>
          <w:sz w:val="22"/>
          <w:szCs w:val="22"/>
          <w:lang w:val="en-GB"/>
        </w:rPr>
        <w:t>Ijomah</w:t>
      </w:r>
      <w:r w:rsidRPr="001DFC05" w:rsidR="4FF5C18E">
        <w:rPr>
          <w:rFonts w:ascii="Calibri" w:hAnsi="Calibri" w:eastAsia="Calibri" w:cs="Calibri"/>
          <w:noProof w:val="0"/>
          <w:color w:val="172B4D"/>
          <w:sz w:val="22"/>
          <w:szCs w:val="22"/>
          <w:lang w:val="en-GB"/>
        </w:rPr>
        <w:t xml:space="preserve"> et al., 2024). Moreover, CTC </w:t>
      </w:r>
      <w:r w:rsidRPr="001DFC05" w:rsidR="5AA33F13">
        <w:rPr>
          <w:rFonts w:ascii="Calibri" w:hAnsi="Calibri" w:eastAsia="Calibri" w:cs="Calibri"/>
          <w:noProof w:val="0"/>
          <w:color w:val="172B4D"/>
          <w:sz w:val="22"/>
          <w:szCs w:val="22"/>
          <w:lang w:val="en-GB"/>
        </w:rPr>
        <w:t>provides</w:t>
      </w:r>
      <w:r w:rsidRPr="001DFC05" w:rsidR="4FF5C18E">
        <w:rPr>
          <w:rFonts w:ascii="Calibri" w:hAnsi="Calibri" w:eastAsia="Calibri" w:cs="Calibri"/>
          <w:noProof w:val="0"/>
          <w:color w:val="172B4D"/>
          <w:sz w:val="22"/>
          <w:szCs w:val="22"/>
          <w:lang w:val="en-GB"/>
        </w:rPr>
        <w:t xml:space="preserve"> 24/7 wellbeing support to enhance the emotional value for learners, recognising that holistic support significantly contributes to student retention and overall success (GOV.UK, 2025; UK Parliament, 2025). </w:t>
      </w:r>
      <w:r>
        <w:br/>
      </w:r>
      <w:r>
        <w:tab/>
      </w:r>
      <w:r w:rsidRPr="001DFC05" w:rsidR="4FF5C18E">
        <w:rPr>
          <w:rFonts w:ascii="Calibri" w:hAnsi="Calibri" w:eastAsia="Calibri" w:cs="Calibri"/>
          <w:noProof w:val="0"/>
          <w:color w:val="172B4D"/>
          <w:sz w:val="22"/>
          <w:szCs w:val="22"/>
          <w:lang w:val="en-GB"/>
        </w:rPr>
        <w:t xml:space="preserve">The nominations report illustrates the streamlined process of data collection and sharing between CTC and its employer partners. While highly beneficial for larger partners, direct access is not universally available; </w:t>
      </w:r>
      <w:r w:rsidRPr="001DFC05" w:rsidR="4FF5C18E">
        <w:rPr>
          <w:rFonts w:ascii="Calibri" w:hAnsi="Calibri" w:eastAsia="Calibri" w:cs="Calibri"/>
          <w:noProof w:val="0"/>
          <w:color w:val="172B4D"/>
          <w:sz w:val="22"/>
          <w:szCs w:val="22"/>
          <w:lang w:val="en-GB"/>
        </w:rPr>
        <w:t>it's</w:t>
      </w:r>
      <w:r w:rsidRPr="001DFC05" w:rsidR="4FF5C18E">
        <w:rPr>
          <w:rFonts w:ascii="Calibri" w:hAnsi="Calibri" w:eastAsia="Calibri" w:cs="Calibri"/>
          <w:noProof w:val="0"/>
          <w:color w:val="172B4D"/>
          <w:sz w:val="22"/>
          <w:szCs w:val="22"/>
          <w:lang w:val="en-GB"/>
        </w:rPr>
        <w:t xml:space="preserve"> primarily for significant, </w:t>
      </w:r>
      <w:r w:rsidRPr="001DFC05" w:rsidR="4FF5C18E">
        <w:rPr>
          <w:rFonts w:ascii="Calibri" w:hAnsi="Calibri" w:eastAsia="Calibri" w:cs="Calibri"/>
          <w:noProof w:val="0"/>
          <w:color w:val="172B4D"/>
          <w:sz w:val="22"/>
          <w:szCs w:val="22"/>
          <w:lang w:val="en-GB"/>
        </w:rPr>
        <w:t>established</w:t>
      </w:r>
      <w:r w:rsidRPr="001DFC05" w:rsidR="4FF5C18E">
        <w:rPr>
          <w:rFonts w:ascii="Calibri" w:hAnsi="Calibri" w:eastAsia="Calibri" w:cs="Calibri"/>
          <w:noProof w:val="0"/>
          <w:color w:val="172B4D"/>
          <w:sz w:val="22"/>
          <w:szCs w:val="22"/>
          <w:lang w:val="en-GB"/>
        </w:rPr>
        <w:t xml:space="preserve"> employers or those inducting over 50 learners annually. These employers leverage Yeti to </w:t>
      </w:r>
      <w:r w:rsidRPr="001DFC05" w:rsidR="4FF5C18E">
        <w:rPr>
          <w:rFonts w:ascii="Calibri" w:hAnsi="Calibri" w:eastAsia="Calibri" w:cs="Calibri"/>
          <w:noProof w:val="0"/>
          <w:color w:val="172B4D"/>
          <w:sz w:val="22"/>
          <w:szCs w:val="22"/>
          <w:lang w:val="en-GB"/>
        </w:rPr>
        <w:t>submit</w:t>
      </w:r>
      <w:r w:rsidRPr="001DFC05" w:rsidR="4FF5C18E">
        <w:rPr>
          <w:rFonts w:ascii="Calibri" w:hAnsi="Calibri" w:eastAsia="Calibri" w:cs="Calibri"/>
          <w:noProof w:val="0"/>
          <w:color w:val="172B4D"/>
          <w:sz w:val="22"/>
          <w:szCs w:val="22"/>
          <w:lang w:val="en-GB"/>
        </w:rPr>
        <w:t xml:space="preserve"> new learner details, including names, locations and contact information. The CRM provides TOs and managers with up-to-date, approved employer information, allowing TOs to be well-prepared. This is particularly </w:t>
      </w:r>
      <w:r w:rsidRPr="001DFC05" w:rsidR="4FF5C18E">
        <w:rPr>
          <w:rFonts w:ascii="Calibri" w:hAnsi="Calibri" w:eastAsia="Calibri" w:cs="Calibri"/>
          <w:noProof w:val="0"/>
          <w:color w:val="172B4D"/>
          <w:sz w:val="22"/>
          <w:szCs w:val="22"/>
          <w:lang w:val="en-GB"/>
        </w:rPr>
        <w:t>advantageous</w:t>
      </w:r>
      <w:r w:rsidRPr="001DFC05" w:rsidR="4FF5C18E">
        <w:rPr>
          <w:rFonts w:ascii="Calibri" w:hAnsi="Calibri" w:eastAsia="Calibri" w:cs="Calibri"/>
          <w:noProof w:val="0"/>
          <w:color w:val="172B4D"/>
          <w:sz w:val="22"/>
          <w:szCs w:val="22"/>
          <w:lang w:val="en-GB"/>
        </w:rPr>
        <w:t xml:space="preserve"> for national employers like Whitbread (Premier Inn), McDonald’s and The Celtic Collection, collectively recognised within CTC as 'Gold </w:t>
      </w:r>
      <w:r w:rsidRPr="001DFC05" w:rsidR="4A1D9D7F">
        <w:rPr>
          <w:rFonts w:ascii="Calibri" w:hAnsi="Calibri" w:eastAsia="Calibri" w:cs="Calibri"/>
          <w:noProof w:val="0"/>
          <w:color w:val="172B4D"/>
          <w:sz w:val="22"/>
          <w:szCs w:val="22"/>
          <w:lang w:val="en-GB"/>
        </w:rPr>
        <w:t>employers'.</w:t>
      </w:r>
      <w:r w:rsidRPr="001DFC05" w:rsidR="4FF5C18E">
        <w:rPr>
          <w:rFonts w:ascii="Calibri" w:hAnsi="Calibri" w:eastAsia="Calibri" w:cs="Calibri"/>
          <w:noProof w:val="0"/>
          <w:color w:val="172B4D"/>
          <w:sz w:val="22"/>
          <w:szCs w:val="22"/>
          <w:lang w:val="en-GB"/>
        </w:rPr>
        <w:t xml:space="preserve"> Having these partnerships thrive on clear communication and simplified processes. Even in niche markets like CTC, effective CRM implementation is vital for strengthening such relationships (Accenture, 2020). While access is currently limited, it prompts considerations for extending knowledge sharing to smaller employers, presenting a potential area for future enhancement.</w:t>
      </w:r>
    </w:p>
    <w:p w:rsidR="4E8BE5FC" w:rsidP="31DBD837" w:rsidRDefault="4E8BE5FC" w14:paraId="67EDD94D" w14:textId="13D0C912">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769466818" w:id="1140170699"/>
      <w:r w:rsidRPr="001DFC05" w:rsidR="59DD83D0">
        <w:rPr>
          <w:rFonts w:ascii="Calibri" w:hAnsi="Calibri" w:eastAsia="Calibri" w:cs="Calibri"/>
          <w:noProof w:val="0"/>
          <w:color w:val="auto"/>
          <w:sz w:val="28"/>
          <w:szCs w:val="28"/>
          <w:lang w:val="en-GB"/>
        </w:rPr>
        <w:t>2.2</w:t>
      </w:r>
      <w:r w:rsidRPr="001DFC05" w:rsidR="31C3E522">
        <w:rPr>
          <w:rFonts w:ascii="Calibri" w:hAnsi="Calibri" w:eastAsia="Calibri" w:cs="Calibri"/>
          <w:noProof w:val="0"/>
          <w:color w:val="auto"/>
          <w:sz w:val="28"/>
          <w:szCs w:val="28"/>
          <w:lang w:val="en-GB"/>
        </w:rPr>
        <w:t xml:space="preserve"> The Juran Model and the Seven Customer Experience Imperatives</w:t>
      </w:r>
      <w:bookmarkEnd w:id="1140170699"/>
    </w:p>
    <w:p w:rsidR="31DBD837" w:rsidP="292D5DD5" w:rsidRDefault="31DBD837" w14:paraId="21D9A55E" w14:textId="6510EFA5">
      <w:pPr>
        <w:keepNext w:val="0"/>
        <w:keepLines w:val="0"/>
        <w:spacing w:after="0" w:afterAutospacing="off" w:line="360" w:lineRule="auto"/>
        <w:ind w:firstLine="720"/>
        <w:jc w:val="both"/>
        <w:rPr>
          <w:rFonts w:ascii="Calibri" w:hAnsi="Calibri" w:eastAsia="Calibri" w:cs="Calibri"/>
          <w:noProof w:val="0"/>
          <w:color w:val="172B4D"/>
          <w:sz w:val="22"/>
          <w:szCs w:val="22"/>
          <w:lang w:val="en-GB"/>
        </w:rPr>
      </w:pPr>
      <w:r w:rsidRPr="001DFC05" w:rsidR="5B711F4F">
        <w:rPr>
          <w:rFonts w:ascii="Calibri" w:hAnsi="Calibri" w:eastAsia="Calibri" w:cs="Calibri"/>
          <w:noProof w:val="0"/>
          <w:color w:val="172B4D"/>
          <w:sz w:val="22"/>
          <w:szCs w:val="22"/>
          <w:lang w:val="en-GB"/>
        </w:rPr>
        <w:t xml:space="preserve">For WBL settings, customer centrality focuses on meeting the needs, </w:t>
      </w:r>
      <w:r w:rsidRPr="001DFC05" w:rsidR="5B711F4F">
        <w:rPr>
          <w:rFonts w:ascii="Calibri" w:hAnsi="Calibri" w:eastAsia="Calibri" w:cs="Calibri"/>
          <w:noProof w:val="0"/>
          <w:color w:val="172B4D"/>
          <w:sz w:val="22"/>
          <w:szCs w:val="22"/>
          <w:lang w:val="en-GB"/>
        </w:rPr>
        <w:t>expectations</w:t>
      </w:r>
      <w:r w:rsidRPr="001DFC05" w:rsidR="5B711F4F">
        <w:rPr>
          <w:rFonts w:ascii="Calibri" w:hAnsi="Calibri" w:eastAsia="Calibri" w:cs="Calibri"/>
          <w:noProof w:val="0"/>
          <w:color w:val="172B4D"/>
          <w:sz w:val="22"/>
          <w:szCs w:val="22"/>
          <w:lang w:val="en-GB"/>
        </w:rPr>
        <w:t xml:space="preserve"> and goals of the customers, both learners and </w:t>
      </w:r>
      <w:r w:rsidRPr="001DFC05" w:rsidR="5BDF9E23">
        <w:rPr>
          <w:rFonts w:ascii="Calibri" w:hAnsi="Calibri" w:eastAsia="Calibri" w:cs="Calibri"/>
          <w:noProof w:val="0"/>
          <w:color w:val="172B4D"/>
          <w:sz w:val="22"/>
          <w:szCs w:val="22"/>
          <w:lang w:val="en-GB"/>
        </w:rPr>
        <w:t>employers,</w:t>
      </w:r>
      <w:r w:rsidRPr="001DFC05" w:rsidR="5B711F4F">
        <w:rPr>
          <w:rFonts w:ascii="Calibri" w:hAnsi="Calibri" w:eastAsia="Calibri" w:cs="Calibri"/>
          <w:noProof w:val="0"/>
          <w:color w:val="172B4D"/>
          <w:sz w:val="22"/>
          <w:szCs w:val="22"/>
          <w:lang w:val="en-GB"/>
        </w:rPr>
        <w:t xml:space="preserve"> throughout the learning journey. Blythe (2019) defines customer centrality as placing the customer at the core of every decision and delivery process. For CTC, customer centrality is important in how training programmes are structured to ensure that each learner receives a personalised, meaningful </w:t>
      </w:r>
      <w:r w:rsidRPr="001DFC05" w:rsidR="1342D459">
        <w:rPr>
          <w:rFonts w:ascii="Calibri" w:hAnsi="Calibri" w:eastAsia="Calibri" w:cs="Calibri"/>
          <w:noProof w:val="0"/>
          <w:color w:val="172B4D"/>
          <w:sz w:val="22"/>
          <w:szCs w:val="22"/>
          <w:lang w:val="en-GB"/>
        </w:rPr>
        <w:t xml:space="preserve">experience </w:t>
      </w:r>
      <w:r w:rsidRPr="001DFC05" w:rsidR="5B711F4F">
        <w:rPr>
          <w:rFonts w:ascii="Calibri" w:hAnsi="Calibri" w:eastAsia="Calibri" w:cs="Calibri"/>
          <w:noProof w:val="0"/>
          <w:color w:val="172B4D"/>
          <w:sz w:val="22"/>
          <w:szCs w:val="22"/>
          <w:lang w:val="en-GB"/>
        </w:rPr>
        <w:t xml:space="preserve">while employers </w:t>
      </w:r>
      <w:r w:rsidRPr="001DFC05" w:rsidR="5B711F4F">
        <w:rPr>
          <w:rFonts w:ascii="Calibri" w:hAnsi="Calibri" w:eastAsia="Calibri" w:cs="Calibri"/>
          <w:noProof w:val="0"/>
          <w:color w:val="172B4D"/>
          <w:sz w:val="22"/>
          <w:szCs w:val="22"/>
          <w:lang w:val="en-GB"/>
        </w:rPr>
        <w:t>remain</w:t>
      </w:r>
      <w:r w:rsidRPr="001DFC05" w:rsidR="5B711F4F">
        <w:rPr>
          <w:rFonts w:ascii="Calibri" w:hAnsi="Calibri" w:eastAsia="Calibri" w:cs="Calibri"/>
          <w:noProof w:val="0"/>
          <w:color w:val="172B4D"/>
          <w:sz w:val="22"/>
          <w:szCs w:val="22"/>
          <w:lang w:val="en-GB"/>
        </w:rPr>
        <w:t xml:space="preserve"> involved in arranging dates and tracking </w:t>
      </w:r>
      <w:r w:rsidRPr="001DFC05" w:rsidR="6C420875">
        <w:rPr>
          <w:rFonts w:ascii="Calibri" w:hAnsi="Calibri" w:eastAsia="Calibri" w:cs="Calibri"/>
          <w:noProof w:val="0"/>
          <w:color w:val="172B4D"/>
          <w:sz w:val="22"/>
          <w:szCs w:val="22"/>
          <w:lang w:val="en-GB"/>
        </w:rPr>
        <w:t>the progress</w:t>
      </w:r>
      <w:r w:rsidRPr="001DFC05" w:rsidR="5B711F4F">
        <w:rPr>
          <w:rFonts w:ascii="Calibri" w:hAnsi="Calibri" w:eastAsia="Calibri" w:cs="Calibri"/>
          <w:noProof w:val="0"/>
          <w:color w:val="172B4D"/>
          <w:sz w:val="22"/>
          <w:szCs w:val="22"/>
          <w:lang w:val="en-GB"/>
        </w:rPr>
        <w:t xml:space="preserve"> of </w:t>
      </w:r>
      <w:r w:rsidRPr="001DFC05" w:rsidR="082B889A">
        <w:rPr>
          <w:rFonts w:ascii="Calibri" w:hAnsi="Calibri" w:eastAsia="Calibri" w:cs="Calibri"/>
          <w:noProof w:val="0"/>
          <w:color w:val="172B4D"/>
          <w:sz w:val="22"/>
          <w:szCs w:val="22"/>
          <w:lang w:val="en-GB"/>
        </w:rPr>
        <w:t>colleagues</w:t>
      </w:r>
      <w:r w:rsidRPr="001DFC05" w:rsidR="5B711F4F">
        <w:rPr>
          <w:rFonts w:ascii="Calibri" w:hAnsi="Calibri" w:eastAsia="Calibri" w:cs="Calibri"/>
          <w:noProof w:val="0"/>
          <w:color w:val="172B4D"/>
          <w:sz w:val="22"/>
          <w:szCs w:val="22"/>
          <w:lang w:val="en-GB"/>
        </w:rPr>
        <w:t>.</w:t>
      </w:r>
      <w:r>
        <w:br/>
      </w:r>
      <w:r>
        <w:tab/>
      </w:r>
      <w:r w:rsidRPr="001DFC05" w:rsidR="5B711F4F">
        <w:rPr>
          <w:rFonts w:ascii="Calibri" w:hAnsi="Calibri" w:eastAsia="Calibri" w:cs="Calibri"/>
          <w:noProof w:val="0"/>
          <w:color w:val="172B4D"/>
          <w:sz w:val="22"/>
          <w:szCs w:val="22"/>
          <w:lang w:val="en-GB"/>
        </w:rPr>
        <w:t xml:space="preserve">CTC’s key customers have different but equally important needs. Learners typically prioritise flexibility </w:t>
      </w:r>
      <w:r w:rsidRPr="001DFC05" w:rsidR="38D1D421">
        <w:rPr>
          <w:rFonts w:ascii="Calibri" w:hAnsi="Calibri" w:eastAsia="Calibri" w:cs="Calibri"/>
          <w:noProof w:val="0"/>
          <w:color w:val="172B4D"/>
          <w:sz w:val="22"/>
          <w:szCs w:val="22"/>
          <w:lang w:val="en-GB"/>
        </w:rPr>
        <w:t>regarding</w:t>
      </w:r>
      <w:r w:rsidRPr="001DFC05" w:rsidR="5B711F4F">
        <w:rPr>
          <w:rFonts w:ascii="Calibri" w:hAnsi="Calibri" w:eastAsia="Calibri" w:cs="Calibri"/>
          <w:noProof w:val="0"/>
          <w:color w:val="172B4D"/>
          <w:sz w:val="22"/>
          <w:szCs w:val="22"/>
          <w:lang w:val="en-GB"/>
        </w:rPr>
        <w:t xml:space="preserve"> dates and last-minute cancellations, support on qualification and consistency in progress, </w:t>
      </w:r>
      <w:r w:rsidRPr="001DFC05" w:rsidR="5B711F4F">
        <w:rPr>
          <w:rFonts w:ascii="Calibri" w:hAnsi="Calibri" w:eastAsia="Calibri" w:cs="Calibri"/>
          <w:noProof w:val="0"/>
          <w:color w:val="172B4D"/>
          <w:sz w:val="22"/>
          <w:szCs w:val="22"/>
          <w:lang w:val="en-GB"/>
        </w:rPr>
        <w:t>whereas</w:t>
      </w:r>
      <w:r w:rsidRPr="001DFC05" w:rsidR="5B711F4F">
        <w:rPr>
          <w:rFonts w:ascii="Calibri" w:hAnsi="Calibri" w:eastAsia="Calibri" w:cs="Calibri"/>
          <w:noProof w:val="0"/>
          <w:color w:val="172B4D"/>
          <w:sz w:val="22"/>
          <w:szCs w:val="22"/>
          <w:lang w:val="en-GB"/>
        </w:rPr>
        <w:t xml:space="preserve"> employers focus on efficiency of the TO, productivity of what is involved in the training sessions, and qualification relevance. TOs are central to making sure these are being </w:t>
      </w:r>
      <w:r w:rsidRPr="001DFC05" w:rsidR="2A76CA6E">
        <w:rPr>
          <w:rFonts w:ascii="Calibri" w:hAnsi="Calibri" w:eastAsia="Calibri" w:cs="Calibri"/>
          <w:noProof w:val="0"/>
          <w:color w:val="172B4D"/>
          <w:sz w:val="22"/>
          <w:szCs w:val="22"/>
          <w:lang w:val="en-GB"/>
        </w:rPr>
        <w:t>met</w:t>
      </w:r>
      <w:r w:rsidRPr="001DFC05" w:rsidR="7CB2B3C2">
        <w:rPr>
          <w:rFonts w:ascii="Calibri" w:hAnsi="Calibri" w:eastAsia="Calibri" w:cs="Calibri"/>
          <w:noProof w:val="0"/>
          <w:color w:val="172B4D"/>
          <w:sz w:val="22"/>
          <w:szCs w:val="22"/>
          <w:lang w:val="en-GB"/>
        </w:rPr>
        <w:t>,</w:t>
      </w:r>
      <w:r w:rsidRPr="001DFC05" w:rsidR="2A76CA6E">
        <w:rPr>
          <w:rFonts w:ascii="Calibri" w:hAnsi="Calibri" w:eastAsia="Calibri" w:cs="Calibri"/>
          <w:noProof w:val="0"/>
          <w:color w:val="172B4D"/>
          <w:sz w:val="22"/>
          <w:szCs w:val="22"/>
          <w:lang w:val="en-GB"/>
        </w:rPr>
        <w:t xml:space="preserve"> which</w:t>
      </w:r>
      <w:r w:rsidRPr="001DFC05" w:rsidR="5B711F4F">
        <w:rPr>
          <w:rFonts w:ascii="Calibri" w:hAnsi="Calibri" w:eastAsia="Calibri" w:cs="Calibri"/>
          <w:noProof w:val="0"/>
          <w:color w:val="172B4D"/>
          <w:sz w:val="22"/>
          <w:szCs w:val="22"/>
          <w:lang w:val="en-GB"/>
        </w:rPr>
        <w:t xml:space="preserve"> ensur</w:t>
      </w:r>
      <w:r w:rsidRPr="001DFC05" w:rsidR="299CB0A6">
        <w:rPr>
          <w:rFonts w:ascii="Calibri" w:hAnsi="Calibri" w:eastAsia="Calibri" w:cs="Calibri"/>
          <w:noProof w:val="0"/>
          <w:color w:val="172B4D"/>
          <w:sz w:val="22"/>
          <w:szCs w:val="22"/>
          <w:lang w:val="en-GB"/>
        </w:rPr>
        <w:t>es</w:t>
      </w:r>
      <w:r w:rsidRPr="001DFC05" w:rsidR="5B711F4F">
        <w:rPr>
          <w:rFonts w:ascii="Calibri" w:hAnsi="Calibri" w:eastAsia="Calibri" w:cs="Calibri"/>
          <w:noProof w:val="0"/>
          <w:color w:val="172B4D"/>
          <w:sz w:val="22"/>
          <w:szCs w:val="22"/>
          <w:lang w:val="en-GB"/>
        </w:rPr>
        <w:t xml:space="preserve"> a balance between learner satisfaction, employer engagement and compliance with City &amp; Guilds and the Welsh Government expectations.</w:t>
      </w:r>
      <w:r>
        <w:br/>
      </w:r>
      <w:r>
        <w:tab/>
      </w:r>
      <w:r w:rsidRPr="001DFC05" w:rsidR="5B711F4F">
        <w:rPr>
          <w:rFonts w:ascii="Calibri" w:hAnsi="Calibri" w:eastAsia="Calibri" w:cs="Calibri"/>
          <w:noProof w:val="0"/>
          <w:color w:val="172B4D"/>
          <w:sz w:val="22"/>
          <w:szCs w:val="22"/>
          <w:lang w:val="en-GB"/>
        </w:rPr>
        <w:t xml:space="preserve">One practical application of customer centrality at CTC is the use of monthly review meetings. These meetings include TOs, employers, and line </w:t>
      </w:r>
      <w:r w:rsidRPr="001DFC05" w:rsidR="19D782ED">
        <w:rPr>
          <w:rFonts w:ascii="Calibri" w:hAnsi="Calibri" w:eastAsia="Calibri" w:cs="Calibri"/>
          <w:noProof w:val="0"/>
          <w:color w:val="172B4D"/>
          <w:sz w:val="22"/>
          <w:szCs w:val="22"/>
          <w:lang w:val="en-GB"/>
        </w:rPr>
        <w:t xml:space="preserve">managers </w:t>
      </w:r>
      <w:r w:rsidRPr="001DFC05" w:rsidR="5B711F4F">
        <w:rPr>
          <w:rFonts w:ascii="Calibri" w:hAnsi="Calibri" w:eastAsia="Calibri" w:cs="Calibri"/>
          <w:noProof w:val="0"/>
          <w:color w:val="172B4D"/>
          <w:sz w:val="22"/>
          <w:szCs w:val="22"/>
          <w:lang w:val="en-GB"/>
        </w:rPr>
        <w:t xml:space="preserve">and allow all parties to review learner progress, discuss timelines, and agree on actions. These meetings promote mutual understanding by giving all stakeholders a platform to clarify goals and raise concerns. This collaborative approach supports Blythe’s (2019) emphasis on adapting service delivery </w:t>
      </w:r>
      <w:r w:rsidRPr="001DFC05" w:rsidR="2BAA2AF0">
        <w:rPr>
          <w:rFonts w:ascii="Calibri" w:hAnsi="Calibri" w:eastAsia="Calibri" w:cs="Calibri"/>
          <w:noProof w:val="0"/>
          <w:color w:val="172B4D"/>
          <w:sz w:val="22"/>
          <w:szCs w:val="22"/>
          <w:lang w:val="en-GB"/>
        </w:rPr>
        <w:t>for</w:t>
      </w:r>
      <w:r w:rsidRPr="001DFC05" w:rsidR="5B711F4F">
        <w:rPr>
          <w:rFonts w:ascii="Calibri" w:hAnsi="Calibri" w:eastAsia="Calibri" w:cs="Calibri"/>
          <w:noProof w:val="0"/>
          <w:color w:val="172B4D"/>
          <w:sz w:val="22"/>
          <w:szCs w:val="22"/>
          <w:lang w:val="en-GB"/>
        </w:rPr>
        <w:t xml:space="preserve"> each session to </w:t>
      </w:r>
      <w:r w:rsidRPr="001DFC05" w:rsidR="0885FA48">
        <w:rPr>
          <w:rFonts w:ascii="Calibri" w:hAnsi="Calibri" w:eastAsia="Calibri" w:cs="Calibri"/>
          <w:noProof w:val="0"/>
          <w:color w:val="172B4D"/>
          <w:sz w:val="22"/>
          <w:szCs w:val="22"/>
          <w:lang w:val="en-GB"/>
        </w:rPr>
        <w:t>maintain</w:t>
      </w:r>
      <w:r w:rsidRPr="001DFC05" w:rsidR="5B711F4F">
        <w:rPr>
          <w:rFonts w:ascii="Calibri" w:hAnsi="Calibri" w:eastAsia="Calibri" w:cs="Calibri"/>
          <w:noProof w:val="0"/>
          <w:color w:val="172B4D"/>
          <w:sz w:val="22"/>
          <w:szCs w:val="22"/>
          <w:lang w:val="en-GB"/>
        </w:rPr>
        <w:t xml:space="preserve"> </w:t>
      </w:r>
      <w:r w:rsidRPr="001DFC05" w:rsidR="3155780E">
        <w:rPr>
          <w:rFonts w:ascii="Calibri" w:hAnsi="Calibri" w:eastAsia="Calibri" w:cs="Calibri"/>
          <w:noProof w:val="0"/>
          <w:color w:val="172B4D"/>
          <w:sz w:val="22"/>
          <w:szCs w:val="22"/>
          <w:lang w:val="en-GB"/>
        </w:rPr>
        <w:t xml:space="preserve">the motivation </w:t>
      </w:r>
      <w:r w:rsidRPr="001DFC05" w:rsidR="5B711F4F">
        <w:rPr>
          <w:rFonts w:ascii="Calibri" w:hAnsi="Calibri" w:eastAsia="Calibri" w:cs="Calibri"/>
          <w:noProof w:val="0"/>
          <w:color w:val="172B4D"/>
          <w:sz w:val="22"/>
          <w:szCs w:val="22"/>
          <w:lang w:val="en-GB"/>
        </w:rPr>
        <w:t xml:space="preserve">and attention of the </w:t>
      </w:r>
      <w:r w:rsidRPr="001DFC05" w:rsidR="688E46CD">
        <w:rPr>
          <w:rFonts w:ascii="Calibri" w:hAnsi="Calibri" w:eastAsia="Calibri" w:cs="Calibri"/>
          <w:noProof w:val="0"/>
          <w:color w:val="172B4D"/>
          <w:sz w:val="22"/>
          <w:szCs w:val="22"/>
          <w:lang w:val="en-GB"/>
        </w:rPr>
        <w:t>learner</w:t>
      </w:r>
      <w:r w:rsidRPr="001DFC05" w:rsidR="5B711F4F">
        <w:rPr>
          <w:rFonts w:ascii="Calibri" w:hAnsi="Calibri" w:eastAsia="Calibri" w:cs="Calibri"/>
          <w:noProof w:val="0"/>
          <w:color w:val="172B4D"/>
          <w:sz w:val="22"/>
          <w:szCs w:val="22"/>
          <w:lang w:val="en-GB"/>
        </w:rPr>
        <w:t>.</w:t>
      </w:r>
      <w:r>
        <w:br/>
      </w:r>
      <w:r>
        <w:tab/>
      </w:r>
      <w:r w:rsidRPr="001DFC05" w:rsidR="5B711F4F">
        <w:rPr>
          <w:rFonts w:ascii="Calibri" w:hAnsi="Calibri" w:eastAsia="Calibri" w:cs="Calibri"/>
          <w:noProof w:val="0"/>
          <w:color w:val="172B4D"/>
          <w:sz w:val="22"/>
          <w:szCs w:val="22"/>
          <w:lang w:val="en-GB"/>
        </w:rPr>
        <w:t xml:space="preserve">Another example is during unit selections at induction. TOs work with the employee manager and learner to create a qualification pathway that reflects their position and role. This </w:t>
      </w:r>
      <w:r w:rsidRPr="001DFC05" w:rsidR="5B711F4F">
        <w:rPr>
          <w:rFonts w:ascii="Calibri" w:hAnsi="Calibri" w:eastAsia="Calibri" w:cs="Calibri"/>
          <w:noProof w:val="0"/>
          <w:color w:val="172B4D"/>
          <w:sz w:val="22"/>
          <w:szCs w:val="22"/>
          <w:lang w:val="en-GB"/>
        </w:rPr>
        <w:t>maintains</w:t>
      </w:r>
      <w:r w:rsidRPr="001DFC05" w:rsidR="5B711F4F">
        <w:rPr>
          <w:rFonts w:ascii="Calibri" w:hAnsi="Calibri" w:eastAsia="Calibri" w:cs="Calibri"/>
          <w:noProof w:val="0"/>
          <w:color w:val="172B4D"/>
          <w:sz w:val="22"/>
          <w:szCs w:val="22"/>
          <w:lang w:val="en-GB"/>
        </w:rPr>
        <w:t xml:space="preserve"> best practice in personalisation, as recommended by Cambridge Marketing College (2021), </w:t>
      </w:r>
      <w:r w:rsidRPr="001DFC05" w:rsidR="45D42478">
        <w:rPr>
          <w:rFonts w:ascii="Calibri" w:hAnsi="Calibri" w:eastAsia="Calibri" w:cs="Calibri"/>
          <w:noProof w:val="0"/>
          <w:color w:val="172B4D"/>
          <w:sz w:val="22"/>
          <w:szCs w:val="22"/>
          <w:lang w:val="en-GB"/>
        </w:rPr>
        <w:t>which stresses</w:t>
      </w:r>
      <w:r w:rsidRPr="001DFC05" w:rsidR="5B711F4F">
        <w:rPr>
          <w:rFonts w:ascii="Calibri" w:hAnsi="Calibri" w:eastAsia="Calibri" w:cs="Calibri"/>
          <w:noProof w:val="0"/>
          <w:color w:val="172B4D"/>
          <w:sz w:val="22"/>
          <w:szCs w:val="22"/>
          <w:lang w:val="en-GB"/>
        </w:rPr>
        <w:t xml:space="preserve"> the importance of aligning training content with both functional role and learner aspiration.</w:t>
      </w:r>
      <w:r>
        <w:br/>
      </w:r>
      <w:r>
        <w:tab/>
      </w:r>
      <w:r w:rsidRPr="001DFC05" w:rsidR="5B711F4F">
        <w:rPr>
          <w:rFonts w:ascii="Calibri" w:hAnsi="Calibri" w:eastAsia="Calibri" w:cs="Calibri"/>
          <w:noProof w:val="0"/>
          <w:color w:val="172B4D"/>
          <w:sz w:val="22"/>
          <w:szCs w:val="22"/>
          <w:lang w:val="en-GB"/>
        </w:rPr>
        <w:t xml:space="preserve">Where learners have </w:t>
      </w:r>
      <w:r w:rsidRPr="001DFC05" w:rsidR="5B711F4F">
        <w:rPr>
          <w:rFonts w:ascii="Calibri" w:hAnsi="Calibri" w:eastAsia="Calibri" w:cs="Calibri"/>
          <w:noProof w:val="0"/>
          <w:color w:val="172B4D"/>
          <w:sz w:val="22"/>
          <w:szCs w:val="22"/>
          <w:lang w:val="en-GB"/>
        </w:rPr>
        <w:t>additional</w:t>
      </w:r>
      <w:r w:rsidRPr="001DFC05" w:rsidR="5B711F4F">
        <w:rPr>
          <w:rFonts w:ascii="Calibri" w:hAnsi="Calibri" w:eastAsia="Calibri" w:cs="Calibri"/>
          <w:noProof w:val="0"/>
          <w:color w:val="172B4D"/>
          <w:sz w:val="22"/>
          <w:szCs w:val="22"/>
          <w:lang w:val="en-GB"/>
        </w:rPr>
        <w:t xml:space="preserve"> learning needs (ALN), CTC conducts an ALN briefing early in the programme to </w:t>
      </w:r>
      <w:r w:rsidRPr="001DFC05" w:rsidR="5B711F4F">
        <w:rPr>
          <w:rFonts w:ascii="Calibri" w:hAnsi="Calibri" w:eastAsia="Calibri" w:cs="Calibri"/>
          <w:noProof w:val="0"/>
          <w:color w:val="172B4D"/>
          <w:sz w:val="22"/>
          <w:szCs w:val="22"/>
          <w:lang w:val="en-GB"/>
        </w:rPr>
        <w:t>determine</w:t>
      </w:r>
      <w:r w:rsidRPr="001DFC05" w:rsidR="5B711F4F">
        <w:rPr>
          <w:rFonts w:ascii="Calibri" w:hAnsi="Calibri" w:eastAsia="Calibri" w:cs="Calibri"/>
          <w:noProof w:val="0"/>
          <w:color w:val="172B4D"/>
          <w:sz w:val="22"/>
          <w:szCs w:val="22"/>
          <w:lang w:val="en-GB"/>
        </w:rPr>
        <w:t xml:space="preserve"> if any reasonable adjustments are </w:t>
      </w:r>
      <w:r w:rsidRPr="001DFC05" w:rsidR="5B711F4F">
        <w:rPr>
          <w:rFonts w:ascii="Calibri" w:hAnsi="Calibri" w:eastAsia="Calibri" w:cs="Calibri"/>
          <w:noProof w:val="0"/>
          <w:color w:val="172B4D"/>
          <w:sz w:val="22"/>
          <w:szCs w:val="22"/>
          <w:lang w:val="en-GB"/>
        </w:rPr>
        <w:t>required</w:t>
      </w:r>
      <w:r w:rsidRPr="001DFC05" w:rsidR="5B711F4F">
        <w:rPr>
          <w:rFonts w:ascii="Calibri" w:hAnsi="Calibri" w:eastAsia="Calibri" w:cs="Calibri"/>
          <w:noProof w:val="0"/>
          <w:color w:val="172B4D"/>
          <w:sz w:val="22"/>
          <w:szCs w:val="22"/>
          <w:lang w:val="en-GB"/>
        </w:rPr>
        <w:t xml:space="preserve">. If ALN is </w:t>
      </w:r>
      <w:r w:rsidRPr="001DFC05" w:rsidR="1ED2A4E0">
        <w:rPr>
          <w:rFonts w:ascii="Calibri" w:hAnsi="Calibri" w:eastAsia="Calibri" w:cs="Calibri"/>
          <w:noProof w:val="0"/>
          <w:color w:val="172B4D"/>
          <w:sz w:val="22"/>
          <w:szCs w:val="22"/>
          <w:lang w:val="en-GB"/>
        </w:rPr>
        <w:t>required</w:t>
      </w:r>
      <w:r w:rsidRPr="001DFC05" w:rsidR="1ED2A4E0">
        <w:rPr>
          <w:rFonts w:ascii="Calibri" w:hAnsi="Calibri" w:eastAsia="Calibri" w:cs="Calibri"/>
          <w:noProof w:val="0"/>
          <w:color w:val="172B4D"/>
          <w:sz w:val="22"/>
          <w:szCs w:val="22"/>
          <w:lang w:val="en-GB"/>
        </w:rPr>
        <w:t>,</w:t>
      </w:r>
      <w:r w:rsidRPr="001DFC05" w:rsidR="5B711F4F">
        <w:rPr>
          <w:rFonts w:ascii="Calibri" w:hAnsi="Calibri" w:eastAsia="Calibri" w:cs="Calibri"/>
          <w:noProof w:val="0"/>
          <w:color w:val="172B4D"/>
          <w:sz w:val="22"/>
          <w:szCs w:val="22"/>
          <w:lang w:val="en-GB"/>
        </w:rPr>
        <w:t xml:space="preserve"> then we can </w:t>
      </w:r>
      <w:r w:rsidRPr="001DFC05" w:rsidR="1E262A93">
        <w:rPr>
          <w:rFonts w:ascii="Calibri" w:hAnsi="Calibri" w:eastAsia="Calibri" w:cs="Calibri"/>
          <w:noProof w:val="0"/>
          <w:color w:val="172B4D"/>
          <w:sz w:val="22"/>
          <w:szCs w:val="22"/>
          <w:lang w:val="en-GB"/>
        </w:rPr>
        <w:t>help,</w:t>
      </w:r>
      <w:r w:rsidRPr="001DFC05" w:rsidR="5B711F4F">
        <w:rPr>
          <w:rFonts w:ascii="Calibri" w:hAnsi="Calibri" w:eastAsia="Calibri" w:cs="Calibri"/>
          <w:noProof w:val="0"/>
          <w:color w:val="172B4D"/>
          <w:sz w:val="22"/>
          <w:szCs w:val="22"/>
          <w:lang w:val="en-GB"/>
        </w:rPr>
        <w:t xml:space="preserve"> such </w:t>
      </w:r>
      <w:r w:rsidRPr="001DFC05" w:rsidR="12DFEB12">
        <w:rPr>
          <w:rFonts w:ascii="Calibri" w:hAnsi="Calibri" w:eastAsia="Calibri" w:cs="Calibri"/>
          <w:noProof w:val="0"/>
          <w:color w:val="172B4D"/>
          <w:sz w:val="22"/>
          <w:szCs w:val="22"/>
          <w:lang w:val="en-GB"/>
        </w:rPr>
        <w:t>as with</w:t>
      </w:r>
      <w:r w:rsidRPr="001DFC05" w:rsidR="5B711F4F">
        <w:rPr>
          <w:rFonts w:ascii="Calibri" w:hAnsi="Calibri" w:eastAsia="Calibri" w:cs="Calibri"/>
          <w:noProof w:val="0"/>
          <w:color w:val="172B4D"/>
          <w:sz w:val="22"/>
          <w:szCs w:val="22"/>
          <w:lang w:val="en-GB"/>
        </w:rPr>
        <w:t xml:space="preserve"> extra time on online tests and for completion of qualification, </w:t>
      </w:r>
      <w:r w:rsidRPr="001DFC05" w:rsidR="03D0D8D0">
        <w:rPr>
          <w:rFonts w:ascii="Calibri" w:hAnsi="Calibri" w:eastAsia="Calibri" w:cs="Calibri"/>
          <w:noProof w:val="0"/>
          <w:color w:val="172B4D"/>
          <w:sz w:val="22"/>
          <w:szCs w:val="22"/>
          <w:lang w:val="en-GB"/>
        </w:rPr>
        <w:t xml:space="preserve">extra </w:t>
      </w:r>
      <w:r w:rsidRPr="001DFC05" w:rsidR="0ABF30BF">
        <w:rPr>
          <w:rFonts w:ascii="Calibri" w:hAnsi="Calibri" w:eastAsia="Calibri" w:cs="Calibri"/>
          <w:noProof w:val="0"/>
          <w:color w:val="172B4D"/>
          <w:sz w:val="22"/>
          <w:szCs w:val="22"/>
          <w:lang w:val="en-GB"/>
        </w:rPr>
        <w:t>one-</w:t>
      </w:r>
      <w:r w:rsidRPr="001DFC05" w:rsidR="2D468658">
        <w:rPr>
          <w:rFonts w:ascii="Calibri" w:hAnsi="Calibri" w:eastAsia="Calibri" w:cs="Calibri"/>
          <w:noProof w:val="0"/>
          <w:color w:val="172B4D"/>
          <w:sz w:val="22"/>
          <w:szCs w:val="22"/>
          <w:lang w:val="en-GB"/>
        </w:rPr>
        <w:t>to-</w:t>
      </w:r>
      <w:r w:rsidRPr="001DFC05" w:rsidR="5B711F4F">
        <w:rPr>
          <w:rFonts w:ascii="Calibri" w:hAnsi="Calibri" w:eastAsia="Calibri" w:cs="Calibri"/>
          <w:noProof w:val="0"/>
          <w:color w:val="172B4D"/>
          <w:sz w:val="22"/>
          <w:szCs w:val="22"/>
          <w:lang w:val="en-GB"/>
        </w:rPr>
        <w:t xml:space="preserve">one </w:t>
      </w:r>
      <w:r w:rsidRPr="001DFC05" w:rsidR="50967F2E">
        <w:rPr>
          <w:rFonts w:ascii="Calibri" w:hAnsi="Calibri" w:eastAsia="Calibri" w:cs="Calibri"/>
          <w:noProof w:val="0"/>
          <w:color w:val="172B4D"/>
          <w:sz w:val="22"/>
          <w:szCs w:val="22"/>
          <w:lang w:val="en-GB"/>
        </w:rPr>
        <w:t>sessions</w:t>
      </w:r>
      <w:r w:rsidRPr="001DFC05" w:rsidR="5B711F4F">
        <w:rPr>
          <w:rFonts w:ascii="Calibri" w:hAnsi="Calibri" w:eastAsia="Calibri" w:cs="Calibri"/>
          <w:noProof w:val="0"/>
          <w:color w:val="172B4D"/>
          <w:sz w:val="22"/>
          <w:szCs w:val="22"/>
          <w:lang w:val="en-GB"/>
        </w:rPr>
        <w:t xml:space="preserve"> with the ALN tutor and a structured ALN plan for the TO and learner to refer to. However, it should be noted that not all ALN learners will receive </w:t>
      </w:r>
      <w:r w:rsidRPr="001DFC05" w:rsidR="5B711F4F">
        <w:rPr>
          <w:rFonts w:ascii="Calibri" w:hAnsi="Calibri" w:eastAsia="Calibri" w:cs="Calibri"/>
          <w:noProof w:val="0"/>
          <w:color w:val="172B4D"/>
          <w:sz w:val="22"/>
          <w:szCs w:val="22"/>
          <w:lang w:val="en-GB"/>
        </w:rPr>
        <w:t>additional</w:t>
      </w:r>
      <w:r w:rsidRPr="001DFC05" w:rsidR="5B711F4F">
        <w:rPr>
          <w:rFonts w:ascii="Calibri" w:hAnsi="Calibri" w:eastAsia="Calibri" w:cs="Calibri"/>
          <w:noProof w:val="0"/>
          <w:color w:val="172B4D"/>
          <w:sz w:val="22"/>
          <w:szCs w:val="22"/>
          <w:lang w:val="en-GB"/>
        </w:rPr>
        <w:t xml:space="preserve"> time allowances, which reveals a service quality gap that must be addressed. ISO 22458 (2020) recommends that inclusive service providers develop responsive practices to support vulnerable learners, particularly those with neurodivergence or learning </w:t>
      </w:r>
      <w:r w:rsidRPr="001DFC05" w:rsidR="28A7452A">
        <w:rPr>
          <w:rFonts w:ascii="Calibri" w:hAnsi="Calibri" w:eastAsia="Calibri" w:cs="Calibri"/>
          <w:noProof w:val="0"/>
          <w:color w:val="172B4D"/>
          <w:sz w:val="22"/>
          <w:szCs w:val="22"/>
          <w:lang w:val="en-GB"/>
        </w:rPr>
        <w:t>disabilities</w:t>
      </w:r>
      <w:r w:rsidRPr="001DFC05" w:rsidR="5B711F4F">
        <w:rPr>
          <w:rFonts w:ascii="Calibri" w:hAnsi="Calibri" w:eastAsia="Calibri" w:cs="Calibri"/>
          <w:noProof w:val="0"/>
          <w:color w:val="172B4D"/>
          <w:sz w:val="22"/>
          <w:szCs w:val="22"/>
          <w:lang w:val="en-GB"/>
        </w:rPr>
        <w:t>.</w:t>
      </w:r>
      <w:r>
        <w:br/>
      </w:r>
      <w:r>
        <w:tab/>
      </w:r>
      <w:r w:rsidRPr="001DFC05" w:rsidR="5B711F4F">
        <w:rPr>
          <w:rFonts w:ascii="Calibri" w:hAnsi="Calibri" w:eastAsia="Calibri" w:cs="Calibri"/>
          <w:noProof w:val="0"/>
          <w:color w:val="172B4D"/>
          <w:sz w:val="22"/>
          <w:szCs w:val="22"/>
          <w:lang w:val="en-GB"/>
        </w:rPr>
        <w:t xml:space="preserve">To prioritise customer needs effectively, TOs at CTC draw on models such as the Kano Model and </w:t>
      </w:r>
      <w:r w:rsidRPr="001DFC05" w:rsidR="5B711F4F">
        <w:rPr>
          <w:rFonts w:ascii="Calibri" w:hAnsi="Calibri" w:eastAsia="Calibri" w:cs="Calibri"/>
          <w:noProof w:val="0"/>
          <w:color w:val="172B4D"/>
          <w:sz w:val="22"/>
          <w:szCs w:val="22"/>
          <w:lang w:val="en-GB"/>
        </w:rPr>
        <w:t>MoSCoW</w:t>
      </w:r>
      <w:r w:rsidRPr="001DFC05" w:rsidR="5B711F4F">
        <w:rPr>
          <w:rFonts w:ascii="Calibri" w:hAnsi="Calibri" w:eastAsia="Calibri" w:cs="Calibri"/>
          <w:noProof w:val="0"/>
          <w:color w:val="172B4D"/>
          <w:sz w:val="22"/>
          <w:szCs w:val="22"/>
          <w:lang w:val="en-GB"/>
        </w:rPr>
        <w:t xml:space="preserve"> Method. The Kano Model (Noriaki, 2020) helps classify learner and employer expectations into three categories. The first being basic, such as all learners to be seen within 61 days of </w:t>
      </w:r>
      <w:r w:rsidRPr="001DFC05" w:rsidR="76AEDF79">
        <w:rPr>
          <w:rFonts w:ascii="Calibri" w:hAnsi="Calibri" w:eastAsia="Calibri" w:cs="Calibri"/>
          <w:noProof w:val="0"/>
          <w:color w:val="172B4D"/>
          <w:sz w:val="22"/>
          <w:szCs w:val="22"/>
          <w:lang w:val="en-GB"/>
        </w:rPr>
        <w:t>the last</w:t>
      </w:r>
      <w:r w:rsidRPr="001DFC05" w:rsidR="5B711F4F">
        <w:rPr>
          <w:rFonts w:ascii="Calibri" w:hAnsi="Calibri" w:eastAsia="Calibri" w:cs="Calibri"/>
          <w:noProof w:val="0"/>
          <w:color w:val="172B4D"/>
          <w:sz w:val="22"/>
          <w:szCs w:val="22"/>
          <w:lang w:val="en-GB"/>
        </w:rPr>
        <w:t xml:space="preserve"> visit,</w:t>
      </w:r>
      <w:r w:rsidRPr="001DFC05" w:rsidR="7BF9AB53">
        <w:rPr>
          <w:rFonts w:ascii="Calibri" w:hAnsi="Calibri" w:eastAsia="Calibri" w:cs="Calibri"/>
          <w:noProof w:val="0"/>
          <w:color w:val="172B4D"/>
          <w:sz w:val="22"/>
          <w:szCs w:val="22"/>
          <w:lang w:val="en-GB"/>
        </w:rPr>
        <w:t xml:space="preserve"> the performance</w:t>
      </w:r>
      <w:r w:rsidRPr="001DFC05" w:rsidR="5B711F4F">
        <w:rPr>
          <w:rFonts w:ascii="Calibri" w:hAnsi="Calibri" w:eastAsia="Calibri" w:cs="Calibri"/>
          <w:noProof w:val="0"/>
          <w:color w:val="172B4D"/>
          <w:sz w:val="22"/>
          <w:szCs w:val="22"/>
          <w:lang w:val="en-GB"/>
        </w:rPr>
        <w:t xml:space="preserve"> of the learner and their progress and motivation being competitions or extra support. </w:t>
      </w:r>
      <w:r>
        <w:br/>
      </w:r>
      <w:r>
        <w:tab/>
      </w:r>
      <w:r w:rsidRPr="001DFC05" w:rsidR="5B711F4F">
        <w:rPr>
          <w:rFonts w:ascii="Calibri" w:hAnsi="Calibri" w:eastAsia="Calibri" w:cs="Calibri"/>
          <w:noProof w:val="0"/>
          <w:color w:val="172B4D"/>
          <w:sz w:val="22"/>
          <w:szCs w:val="22"/>
          <w:lang w:val="en-GB"/>
        </w:rPr>
        <w:t xml:space="preserve">Competitions are held regularly every year for learners from colleges and WBL providers to put their skills to the test to help them strive to be the best they can be. Learners taking part will feel the pressure, but having this experience behind them will give them the motivation and determination to strive further than they may have thought. Employers such as the Celtic Collection and The Grove in Narberth have also found that their companies have grown in popularity because of this. They can put </w:t>
      </w:r>
      <w:r w:rsidRPr="001DFC05" w:rsidR="1B2E01A6">
        <w:rPr>
          <w:rFonts w:ascii="Calibri" w:hAnsi="Calibri" w:eastAsia="Calibri" w:cs="Calibri"/>
          <w:noProof w:val="0"/>
          <w:color w:val="172B4D"/>
          <w:sz w:val="22"/>
          <w:szCs w:val="22"/>
          <w:lang w:val="en-GB"/>
        </w:rPr>
        <w:t>'award-</w:t>
      </w:r>
      <w:r w:rsidRPr="001DFC05" w:rsidR="32C05D1E">
        <w:rPr>
          <w:rFonts w:ascii="Calibri" w:hAnsi="Calibri" w:eastAsia="Calibri" w:cs="Calibri"/>
          <w:noProof w:val="0"/>
          <w:color w:val="172B4D"/>
          <w:sz w:val="22"/>
          <w:szCs w:val="22"/>
          <w:lang w:val="en-GB"/>
        </w:rPr>
        <w:t xml:space="preserve"> award- </w:t>
      </w:r>
      <w:r w:rsidRPr="001DFC05" w:rsidR="5B711F4F">
        <w:rPr>
          <w:rFonts w:ascii="Calibri" w:hAnsi="Calibri" w:eastAsia="Calibri" w:cs="Calibri"/>
          <w:noProof w:val="0"/>
          <w:color w:val="172B4D"/>
          <w:sz w:val="22"/>
          <w:szCs w:val="22"/>
          <w:lang w:val="en-GB"/>
        </w:rPr>
        <w:t xml:space="preserve">winning chefs' or </w:t>
      </w:r>
      <w:r w:rsidRPr="001DFC05" w:rsidR="242E815A">
        <w:rPr>
          <w:rFonts w:ascii="Calibri" w:hAnsi="Calibri" w:eastAsia="Calibri" w:cs="Calibri"/>
          <w:noProof w:val="0"/>
          <w:color w:val="172B4D"/>
          <w:sz w:val="22"/>
          <w:szCs w:val="22"/>
          <w:lang w:val="en-GB"/>
        </w:rPr>
        <w:t>'award-winning</w:t>
      </w:r>
      <w:r w:rsidRPr="001DFC05" w:rsidR="047037F3">
        <w:rPr>
          <w:rFonts w:ascii="Calibri" w:hAnsi="Calibri" w:eastAsia="Calibri" w:cs="Calibri"/>
          <w:noProof w:val="0"/>
          <w:color w:val="172B4D"/>
          <w:sz w:val="22"/>
          <w:szCs w:val="22"/>
          <w:lang w:val="en-GB"/>
        </w:rPr>
        <w:t xml:space="preserve"> award- </w:t>
      </w:r>
      <w:r w:rsidRPr="001DFC05" w:rsidR="5B711F4F">
        <w:rPr>
          <w:rFonts w:ascii="Calibri" w:hAnsi="Calibri" w:eastAsia="Calibri" w:cs="Calibri"/>
          <w:noProof w:val="0"/>
          <w:color w:val="172B4D"/>
          <w:sz w:val="22"/>
          <w:szCs w:val="22"/>
          <w:lang w:val="en-GB"/>
        </w:rPr>
        <w:t xml:space="preserve">winning service' in their advertisements on social </w:t>
      </w:r>
      <w:r w:rsidRPr="001DFC05" w:rsidR="0BCD443A">
        <w:rPr>
          <w:rFonts w:ascii="Calibri" w:hAnsi="Calibri" w:eastAsia="Calibri" w:cs="Calibri"/>
          <w:noProof w:val="0"/>
          <w:color w:val="172B4D"/>
          <w:sz w:val="22"/>
          <w:szCs w:val="22"/>
          <w:lang w:val="en-GB"/>
        </w:rPr>
        <w:t>media,</w:t>
      </w:r>
      <w:r w:rsidRPr="001DFC05" w:rsidR="5B711F4F">
        <w:rPr>
          <w:rFonts w:ascii="Calibri" w:hAnsi="Calibri" w:eastAsia="Calibri" w:cs="Calibri"/>
          <w:noProof w:val="0"/>
          <w:color w:val="172B4D"/>
          <w:sz w:val="22"/>
          <w:szCs w:val="22"/>
          <w:lang w:val="en-GB"/>
        </w:rPr>
        <w:t xml:space="preserve"> which will bring in more profit.</w:t>
      </w:r>
      <w:r>
        <w:br/>
      </w:r>
      <w:r>
        <w:tab/>
      </w:r>
      <w:r w:rsidRPr="001DFC05" w:rsidR="5B711F4F">
        <w:rPr>
          <w:rFonts w:ascii="Calibri" w:hAnsi="Calibri" w:eastAsia="Calibri" w:cs="Calibri"/>
          <w:noProof w:val="0"/>
          <w:color w:val="172B4D"/>
          <w:sz w:val="22"/>
          <w:szCs w:val="22"/>
          <w:lang w:val="en-GB"/>
        </w:rPr>
        <w:t xml:space="preserve">Having these categories </w:t>
      </w:r>
      <w:r w:rsidRPr="001DFC05" w:rsidR="2EEC3B48">
        <w:rPr>
          <w:rFonts w:ascii="Calibri" w:hAnsi="Calibri" w:eastAsia="Calibri" w:cs="Calibri"/>
          <w:noProof w:val="0"/>
          <w:color w:val="172B4D"/>
          <w:sz w:val="22"/>
          <w:szCs w:val="22"/>
          <w:lang w:val="en-GB"/>
        </w:rPr>
        <w:t>allows</w:t>
      </w:r>
      <w:r w:rsidRPr="001DFC05" w:rsidR="5B711F4F">
        <w:rPr>
          <w:rFonts w:ascii="Calibri" w:hAnsi="Calibri" w:eastAsia="Calibri" w:cs="Calibri"/>
          <w:noProof w:val="0"/>
          <w:color w:val="172B4D"/>
          <w:sz w:val="22"/>
          <w:szCs w:val="22"/>
          <w:lang w:val="en-GB"/>
        </w:rPr>
        <w:t xml:space="preserve"> CTC to </w:t>
      </w:r>
      <w:r w:rsidRPr="001DFC05" w:rsidR="5B711F4F">
        <w:rPr>
          <w:rFonts w:ascii="Calibri" w:hAnsi="Calibri" w:eastAsia="Calibri" w:cs="Calibri"/>
          <w:noProof w:val="0"/>
          <w:color w:val="172B4D"/>
          <w:sz w:val="22"/>
          <w:szCs w:val="22"/>
          <w:lang w:val="en-GB"/>
        </w:rPr>
        <w:t>identify</w:t>
      </w:r>
      <w:r w:rsidRPr="001DFC05" w:rsidR="5B711F4F">
        <w:rPr>
          <w:rFonts w:ascii="Calibri" w:hAnsi="Calibri" w:eastAsia="Calibri" w:cs="Calibri"/>
          <w:noProof w:val="0"/>
          <w:color w:val="172B4D"/>
          <w:sz w:val="22"/>
          <w:szCs w:val="22"/>
          <w:lang w:val="en-GB"/>
        </w:rPr>
        <w:t xml:space="preserve"> where </w:t>
      </w:r>
      <w:r w:rsidRPr="001DFC05" w:rsidR="5B711F4F">
        <w:rPr>
          <w:rFonts w:ascii="Calibri" w:hAnsi="Calibri" w:eastAsia="Calibri" w:cs="Calibri"/>
          <w:noProof w:val="0"/>
          <w:color w:val="172B4D"/>
          <w:sz w:val="22"/>
          <w:szCs w:val="22"/>
          <w:lang w:val="en-GB"/>
        </w:rPr>
        <w:t>failing to meet</w:t>
      </w:r>
      <w:r w:rsidRPr="001DFC05" w:rsidR="5B711F4F">
        <w:rPr>
          <w:rFonts w:ascii="Calibri" w:hAnsi="Calibri" w:eastAsia="Calibri" w:cs="Calibri"/>
          <w:noProof w:val="0"/>
          <w:color w:val="172B4D"/>
          <w:sz w:val="22"/>
          <w:szCs w:val="22"/>
          <w:lang w:val="en-GB"/>
        </w:rPr>
        <w:t xml:space="preserve"> basic needs can cause dissatisfaction and demotivation from some learners, while exceeding</w:t>
      </w:r>
      <w:r w:rsidRPr="001DFC05" w:rsidR="215B3764">
        <w:rPr>
          <w:rFonts w:ascii="Calibri" w:hAnsi="Calibri" w:eastAsia="Calibri" w:cs="Calibri"/>
          <w:noProof w:val="0"/>
          <w:color w:val="172B4D"/>
          <w:sz w:val="22"/>
          <w:szCs w:val="22"/>
          <w:lang w:val="en-GB"/>
        </w:rPr>
        <w:t xml:space="preserve"> </w:t>
      </w:r>
      <w:r w:rsidRPr="001DFC05" w:rsidR="699605AE">
        <w:rPr>
          <w:rFonts w:ascii="Calibri" w:hAnsi="Calibri" w:eastAsia="Calibri" w:cs="Calibri"/>
          <w:noProof w:val="0"/>
          <w:color w:val="172B4D"/>
          <w:sz w:val="22"/>
          <w:szCs w:val="22"/>
          <w:lang w:val="en-GB"/>
        </w:rPr>
        <w:t>expectations enhances</w:t>
      </w:r>
      <w:r w:rsidRPr="001DFC05" w:rsidR="5B711F4F">
        <w:rPr>
          <w:rFonts w:ascii="Calibri" w:hAnsi="Calibri" w:eastAsia="Calibri" w:cs="Calibri"/>
          <w:noProof w:val="0"/>
          <w:color w:val="172B4D"/>
          <w:sz w:val="22"/>
          <w:szCs w:val="22"/>
          <w:lang w:val="en-GB"/>
        </w:rPr>
        <w:t xml:space="preserve"> motivation and </w:t>
      </w:r>
      <w:r w:rsidRPr="001DFC05" w:rsidR="7E549B57">
        <w:rPr>
          <w:rFonts w:ascii="Calibri" w:hAnsi="Calibri" w:eastAsia="Calibri" w:cs="Calibri"/>
          <w:noProof w:val="0"/>
          <w:color w:val="172B4D"/>
          <w:sz w:val="22"/>
          <w:szCs w:val="22"/>
          <w:lang w:val="en-GB"/>
        </w:rPr>
        <w:t>loyalty,</w:t>
      </w:r>
      <w:r w:rsidRPr="001DFC05" w:rsidR="5B711F4F">
        <w:rPr>
          <w:rFonts w:ascii="Calibri" w:hAnsi="Calibri" w:eastAsia="Calibri" w:cs="Calibri"/>
          <w:noProof w:val="0"/>
          <w:color w:val="172B4D"/>
          <w:sz w:val="22"/>
          <w:szCs w:val="22"/>
          <w:lang w:val="en-GB"/>
        </w:rPr>
        <w:t xml:space="preserve"> which in turn helps them to </w:t>
      </w:r>
      <w:r w:rsidRPr="001DFC05" w:rsidR="156BCD1B">
        <w:rPr>
          <w:rFonts w:ascii="Calibri" w:hAnsi="Calibri" w:eastAsia="Calibri" w:cs="Calibri"/>
          <w:noProof w:val="0"/>
          <w:color w:val="172B4D"/>
          <w:sz w:val="22"/>
          <w:szCs w:val="22"/>
          <w:lang w:val="en-GB"/>
        </w:rPr>
        <w:t>weed</w:t>
      </w:r>
      <w:r w:rsidRPr="001DFC05" w:rsidR="5B711F4F">
        <w:rPr>
          <w:rFonts w:ascii="Calibri" w:hAnsi="Calibri" w:eastAsia="Calibri" w:cs="Calibri"/>
          <w:noProof w:val="0"/>
          <w:color w:val="172B4D"/>
          <w:sz w:val="22"/>
          <w:szCs w:val="22"/>
          <w:lang w:val="en-GB"/>
        </w:rPr>
        <w:t xml:space="preserve"> out the learners who should not continue and the ones who will want to progress through the ranks. This model helps </w:t>
      </w:r>
      <w:r w:rsidRPr="001DFC05" w:rsidR="5B711F4F">
        <w:rPr>
          <w:rFonts w:ascii="Calibri" w:hAnsi="Calibri" w:eastAsia="Calibri" w:cs="Calibri"/>
          <w:noProof w:val="0"/>
          <w:color w:val="172B4D"/>
          <w:sz w:val="22"/>
          <w:szCs w:val="22"/>
          <w:lang w:val="en-GB"/>
        </w:rPr>
        <w:t>maintain</w:t>
      </w:r>
      <w:r w:rsidRPr="001DFC05" w:rsidR="5B711F4F">
        <w:rPr>
          <w:rFonts w:ascii="Calibri" w:hAnsi="Calibri" w:eastAsia="Calibri" w:cs="Calibri"/>
          <w:noProof w:val="0"/>
          <w:color w:val="172B4D"/>
          <w:sz w:val="22"/>
          <w:szCs w:val="22"/>
          <w:lang w:val="en-GB"/>
        </w:rPr>
        <w:t xml:space="preserve"> the quality of </w:t>
      </w:r>
      <w:r w:rsidRPr="001DFC05" w:rsidR="361F8BC8">
        <w:rPr>
          <w:rFonts w:ascii="Calibri" w:hAnsi="Calibri" w:eastAsia="Calibri" w:cs="Calibri"/>
          <w:noProof w:val="0"/>
          <w:color w:val="172B4D"/>
          <w:sz w:val="22"/>
          <w:szCs w:val="22"/>
          <w:lang w:val="en-GB"/>
        </w:rPr>
        <w:t>service.</w:t>
      </w:r>
      <w:r>
        <w:br/>
      </w:r>
      <w:r>
        <w:tab/>
      </w:r>
      <w:r w:rsidRPr="001DFC05" w:rsidR="5B711F4F">
        <w:rPr>
          <w:rFonts w:ascii="Calibri" w:hAnsi="Calibri" w:eastAsia="Calibri" w:cs="Calibri"/>
          <w:noProof w:val="0"/>
          <w:color w:val="172B4D"/>
          <w:sz w:val="22"/>
          <w:szCs w:val="22"/>
          <w:lang w:val="en-GB"/>
        </w:rPr>
        <w:t xml:space="preserve">"Clear communication builds trust, one of the seven core imperatives of customer experience" (Cambridge Marketing College, 2021). Managing customer expectations is essential, where learners may misunderstand the time </w:t>
      </w:r>
      <w:r w:rsidRPr="001DFC05" w:rsidR="5B711F4F">
        <w:rPr>
          <w:rFonts w:ascii="Calibri" w:hAnsi="Calibri" w:eastAsia="Calibri" w:cs="Calibri"/>
          <w:noProof w:val="0"/>
          <w:color w:val="172B4D"/>
          <w:sz w:val="22"/>
          <w:szCs w:val="22"/>
          <w:lang w:val="en-GB"/>
        </w:rPr>
        <w:t>required</w:t>
      </w:r>
      <w:r w:rsidRPr="001DFC05" w:rsidR="5B711F4F">
        <w:rPr>
          <w:rFonts w:ascii="Calibri" w:hAnsi="Calibri" w:eastAsia="Calibri" w:cs="Calibri"/>
          <w:noProof w:val="0"/>
          <w:color w:val="172B4D"/>
          <w:sz w:val="22"/>
          <w:szCs w:val="22"/>
          <w:lang w:val="en-GB"/>
        </w:rPr>
        <w:t xml:space="preserve"> or employers may expect faster completions. CTC </w:t>
      </w:r>
      <w:r w:rsidRPr="001DFC05" w:rsidR="5B711F4F">
        <w:rPr>
          <w:rFonts w:ascii="Calibri" w:hAnsi="Calibri" w:eastAsia="Calibri" w:cs="Calibri"/>
          <w:noProof w:val="0"/>
          <w:color w:val="172B4D"/>
          <w:sz w:val="22"/>
          <w:szCs w:val="22"/>
          <w:lang w:val="en-GB"/>
        </w:rPr>
        <w:t>maintains</w:t>
      </w:r>
      <w:r w:rsidRPr="001DFC05" w:rsidR="5B711F4F">
        <w:rPr>
          <w:rFonts w:ascii="Calibri" w:hAnsi="Calibri" w:eastAsia="Calibri" w:cs="Calibri"/>
          <w:noProof w:val="0"/>
          <w:color w:val="172B4D"/>
          <w:sz w:val="22"/>
          <w:szCs w:val="22"/>
          <w:lang w:val="en-GB"/>
        </w:rPr>
        <w:t xml:space="preserve"> clear and open communication, consistent review meetings and digital CRM alerts.</w:t>
      </w:r>
    </w:p>
    <w:p xmlns:wp14="http://schemas.microsoft.com/office/word/2010/wordml" w:rsidP="4E8BE5FC" wp14:paraId="35620397" wp14:textId="5087AD94">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bookmarkStart w:name="_Toc896928148" w:id="1398650650"/>
      <w:r w:rsidRPr="001DFC05" w:rsidR="59DD83D0">
        <w:rPr>
          <w:rFonts w:ascii="Calibri" w:hAnsi="Calibri" w:eastAsia="Calibri" w:cs="Calibri"/>
          <w:noProof w:val="0"/>
          <w:color w:val="auto"/>
          <w:sz w:val="32"/>
          <w:szCs w:val="32"/>
          <w:lang w:val="en-GB"/>
        </w:rPr>
        <w:t>3.</w:t>
      </w:r>
      <w:r w:rsidRPr="001DFC05" w:rsidR="5D825C65">
        <w:rPr>
          <w:rFonts w:ascii="Calibri" w:hAnsi="Calibri" w:eastAsia="Calibri" w:cs="Calibri"/>
          <w:noProof w:val="0"/>
          <w:color w:val="auto"/>
          <w:sz w:val="32"/>
          <w:szCs w:val="32"/>
          <w:lang w:val="en-GB"/>
        </w:rPr>
        <w:t xml:space="preserve"> Analysing the </w:t>
      </w:r>
      <w:r w:rsidRPr="001DFC05" w:rsidR="622E0D32">
        <w:rPr>
          <w:rFonts w:ascii="Calibri" w:hAnsi="Calibri" w:eastAsia="Calibri" w:cs="Calibri"/>
          <w:noProof w:val="0"/>
          <w:color w:val="auto"/>
          <w:sz w:val="32"/>
          <w:szCs w:val="32"/>
          <w:lang w:val="en-GB"/>
        </w:rPr>
        <w:t>Customer's</w:t>
      </w:r>
      <w:r w:rsidRPr="001DFC05" w:rsidR="5D825C65">
        <w:rPr>
          <w:rFonts w:ascii="Calibri" w:hAnsi="Calibri" w:eastAsia="Calibri" w:cs="Calibri"/>
          <w:noProof w:val="0"/>
          <w:color w:val="auto"/>
          <w:sz w:val="32"/>
          <w:szCs w:val="32"/>
          <w:lang w:val="en-GB"/>
        </w:rPr>
        <w:t xml:space="preserve"> Experience</w:t>
      </w:r>
      <w:bookmarkEnd w:id="1398650650"/>
    </w:p>
    <w:p xmlns:wp14="http://schemas.microsoft.com/office/word/2010/wordml" w:rsidP="01CA9E44" wp14:paraId="718EC006" wp14:textId="60F3D09E">
      <w:pPr>
        <w:pStyle w:val="Heading2"/>
        <w:keepNext w:val="0"/>
        <w:keepLines w:val="0"/>
        <w:spacing w:before="0" w:beforeAutospacing="off" w:after="0" w:line="360" w:lineRule="auto"/>
        <w:ind w:firstLine="0"/>
        <w:jc w:val="both"/>
        <w:rPr>
          <w:rFonts w:ascii="Calibri" w:hAnsi="Calibri" w:eastAsia="Calibri" w:cs="Calibri"/>
          <w:noProof w:val="0"/>
          <w:color w:val="000000" w:themeColor="text1" w:themeTint="FF" w:themeShade="FF"/>
          <w:sz w:val="28"/>
          <w:szCs w:val="28"/>
          <w:lang w:val="en-GB"/>
        </w:rPr>
      </w:pPr>
      <w:bookmarkStart w:name="_Toc2013617521" w:id="932868003"/>
      <w:r w:rsidRPr="001DFC05" w:rsidR="037417F4">
        <w:rPr>
          <w:rFonts w:ascii="Calibri" w:hAnsi="Calibri" w:eastAsia="Calibri" w:cs="Calibri"/>
          <w:noProof w:val="0"/>
          <w:color w:val="auto"/>
          <w:sz w:val="28"/>
          <w:szCs w:val="28"/>
          <w:lang w:val="en-GB"/>
        </w:rPr>
        <w:t>3.1</w:t>
      </w:r>
      <w:r w:rsidRPr="001DFC05" w:rsidR="3B6B76A6">
        <w:rPr>
          <w:rFonts w:ascii="Calibri" w:hAnsi="Calibri" w:eastAsia="Calibri" w:cs="Calibri"/>
          <w:noProof w:val="0"/>
          <w:color w:val="auto"/>
          <w:sz w:val="28"/>
          <w:szCs w:val="28"/>
          <w:lang w:val="en-GB"/>
        </w:rPr>
        <w:t xml:space="preserve"> Mapping the Learner Journey in Hospitality Apprenticeships</w:t>
      </w:r>
      <w:bookmarkEnd w:id="932868003"/>
    </w:p>
    <w:p w:rsidR="01CA9E44" w:rsidP="292D5DD5" w:rsidRDefault="01CA9E44" w14:paraId="69EBFF91" w14:textId="7EB1E5BD">
      <w:pPr>
        <w:keepNext w:val="0"/>
        <w:keepLines w:val="0"/>
        <w:spacing w:after="0" w:afterAutospacing="off" w:line="360" w:lineRule="auto"/>
        <w:ind w:firstLine="720"/>
        <w:jc w:val="both"/>
        <w:rPr>
          <w:rFonts w:ascii="Calibri" w:hAnsi="Calibri" w:eastAsia="Calibri" w:cs="Calibri"/>
          <w:noProof w:val="0"/>
          <w:color w:val="172B4D"/>
          <w:sz w:val="22"/>
          <w:szCs w:val="22"/>
          <w:lang w:val="en-GB"/>
        </w:rPr>
      </w:pPr>
      <w:r w:rsidRPr="001DFC05" w:rsidR="69FA840A">
        <w:rPr>
          <w:rFonts w:ascii="Calibri" w:hAnsi="Calibri" w:eastAsia="Calibri" w:cs="Calibri"/>
          <w:noProof w:val="0"/>
          <w:color w:val="172B4D"/>
          <w:sz w:val="22"/>
          <w:szCs w:val="22"/>
          <w:lang w:val="en-GB"/>
        </w:rPr>
        <w:t xml:space="preserve">“Mapping the learner journey is fundamental to understanding how learning environments support—or hinder—vocational identity and progression” (Hamilton, 2021, p. 87). CTC </w:t>
      </w:r>
      <w:r w:rsidRPr="001DFC05" w:rsidR="24C297CA">
        <w:rPr>
          <w:rFonts w:ascii="Calibri" w:hAnsi="Calibri" w:eastAsia="Calibri" w:cs="Calibri"/>
          <w:noProof w:val="0"/>
          <w:color w:val="172B4D"/>
          <w:sz w:val="22"/>
          <w:szCs w:val="22"/>
          <w:lang w:val="en-GB"/>
        </w:rPr>
        <w:t>ensures</w:t>
      </w:r>
      <w:r w:rsidRPr="001DFC05" w:rsidR="69FA840A">
        <w:rPr>
          <w:rFonts w:ascii="Calibri" w:hAnsi="Calibri" w:eastAsia="Calibri" w:cs="Calibri"/>
          <w:noProof w:val="0"/>
          <w:color w:val="172B4D"/>
          <w:sz w:val="22"/>
          <w:szCs w:val="22"/>
          <w:lang w:val="en-GB"/>
        </w:rPr>
        <w:t xml:space="preserve"> quality, </w:t>
      </w:r>
      <w:r w:rsidRPr="001DFC05" w:rsidR="69FA840A">
        <w:rPr>
          <w:rFonts w:ascii="Calibri" w:hAnsi="Calibri" w:eastAsia="Calibri" w:cs="Calibri"/>
          <w:noProof w:val="0"/>
          <w:color w:val="172B4D"/>
          <w:sz w:val="22"/>
          <w:szCs w:val="22"/>
          <w:lang w:val="en-GB"/>
        </w:rPr>
        <w:t>structure</w:t>
      </w:r>
      <w:r w:rsidRPr="001DFC05" w:rsidR="69FA840A">
        <w:rPr>
          <w:rFonts w:ascii="Calibri" w:hAnsi="Calibri" w:eastAsia="Calibri" w:cs="Calibri"/>
          <w:noProof w:val="0"/>
          <w:color w:val="172B4D"/>
          <w:sz w:val="22"/>
          <w:szCs w:val="22"/>
          <w:lang w:val="en-GB"/>
        </w:rPr>
        <w:t xml:space="preserve"> and customer satisfaction throughout the apprenticeship programme. In the Hospitality Department, this journey begins with the learner’s nomination and continues through to completion and potential progression to a higher level. Each stage is designed to meet both </w:t>
      </w:r>
      <w:r w:rsidRPr="001DFC05" w:rsidR="52B9FF16">
        <w:rPr>
          <w:rFonts w:ascii="Calibri" w:hAnsi="Calibri" w:eastAsia="Calibri" w:cs="Calibri"/>
          <w:noProof w:val="0"/>
          <w:color w:val="172B4D"/>
          <w:sz w:val="22"/>
          <w:szCs w:val="22"/>
          <w:lang w:val="en-GB"/>
        </w:rPr>
        <w:t>learner-centred</w:t>
      </w:r>
      <w:r w:rsidRPr="001DFC05" w:rsidR="69FA840A">
        <w:rPr>
          <w:rFonts w:ascii="Calibri" w:hAnsi="Calibri" w:eastAsia="Calibri" w:cs="Calibri"/>
          <w:noProof w:val="0"/>
          <w:color w:val="172B4D"/>
          <w:sz w:val="22"/>
          <w:szCs w:val="22"/>
          <w:lang w:val="en-GB"/>
        </w:rPr>
        <w:t xml:space="preserve"> goals and employer expectations.</w:t>
      </w:r>
      <w:r>
        <w:br/>
      </w:r>
      <w:r>
        <w:tab/>
      </w:r>
      <w:r w:rsidRPr="001DFC05" w:rsidR="69FA840A">
        <w:rPr>
          <w:rFonts w:ascii="Calibri" w:hAnsi="Calibri" w:eastAsia="Calibri" w:cs="Calibri"/>
          <w:noProof w:val="0"/>
          <w:color w:val="172B4D"/>
          <w:sz w:val="22"/>
          <w:szCs w:val="22"/>
          <w:lang w:val="en-GB"/>
        </w:rPr>
        <w:t xml:space="preserve">The learner journey begins with being nominated by the employer, usually from the employer manager and after their probation. These nominations are uploaded to Cognisoft Yeti for allocation by the HBU manager. HBUs will then </w:t>
      </w:r>
      <w:r w:rsidRPr="001DFC05" w:rsidR="69FA840A">
        <w:rPr>
          <w:rFonts w:ascii="Calibri" w:hAnsi="Calibri" w:eastAsia="Calibri" w:cs="Calibri"/>
          <w:noProof w:val="0"/>
          <w:color w:val="172B4D"/>
          <w:sz w:val="22"/>
          <w:szCs w:val="22"/>
          <w:lang w:val="en-GB"/>
        </w:rPr>
        <w:t>allocate</w:t>
      </w:r>
      <w:r w:rsidRPr="001DFC05" w:rsidR="69FA840A">
        <w:rPr>
          <w:rFonts w:ascii="Calibri" w:hAnsi="Calibri" w:eastAsia="Calibri" w:cs="Calibri"/>
          <w:noProof w:val="0"/>
          <w:color w:val="172B4D"/>
          <w:sz w:val="22"/>
          <w:szCs w:val="22"/>
          <w:lang w:val="en-GB"/>
        </w:rPr>
        <w:t xml:space="preserve"> these learners to the </w:t>
      </w:r>
      <w:r w:rsidRPr="001DFC05" w:rsidR="69FA840A">
        <w:rPr>
          <w:rFonts w:ascii="Calibri" w:hAnsi="Calibri" w:eastAsia="Calibri" w:cs="Calibri"/>
          <w:noProof w:val="0"/>
          <w:color w:val="172B4D"/>
          <w:sz w:val="22"/>
          <w:szCs w:val="22"/>
          <w:lang w:val="en-GB"/>
        </w:rPr>
        <w:t>appropriate TOs</w:t>
      </w:r>
      <w:r w:rsidRPr="001DFC05" w:rsidR="69FA840A">
        <w:rPr>
          <w:rFonts w:ascii="Calibri" w:hAnsi="Calibri" w:eastAsia="Calibri" w:cs="Calibri"/>
          <w:noProof w:val="0"/>
          <w:color w:val="172B4D"/>
          <w:sz w:val="22"/>
          <w:szCs w:val="22"/>
          <w:lang w:val="en-GB"/>
        </w:rPr>
        <w:t xml:space="preserve">, who then make initial contact and schedule an induction. This induction provides clarity on what is to be </w:t>
      </w:r>
      <w:r w:rsidRPr="001DFC05" w:rsidR="3814AD1D">
        <w:rPr>
          <w:rFonts w:ascii="Calibri" w:hAnsi="Calibri" w:eastAsia="Calibri" w:cs="Calibri"/>
          <w:noProof w:val="0"/>
          <w:color w:val="172B4D"/>
          <w:sz w:val="22"/>
          <w:szCs w:val="22"/>
          <w:lang w:val="en-GB"/>
        </w:rPr>
        <w:t>expected and</w:t>
      </w:r>
      <w:r w:rsidRPr="001DFC05" w:rsidR="69FA840A">
        <w:rPr>
          <w:rFonts w:ascii="Calibri" w:hAnsi="Calibri" w:eastAsia="Calibri" w:cs="Calibri"/>
          <w:noProof w:val="0"/>
          <w:color w:val="172B4D"/>
          <w:sz w:val="22"/>
          <w:szCs w:val="22"/>
          <w:lang w:val="en-GB"/>
        </w:rPr>
        <w:t xml:space="preserve"> the different assessment methods and delivery expectations.</w:t>
      </w:r>
      <w:r>
        <w:br/>
      </w:r>
      <w:r>
        <w:tab/>
      </w:r>
      <w:r w:rsidRPr="001DFC05" w:rsidR="69FA840A">
        <w:rPr>
          <w:rFonts w:ascii="Calibri" w:hAnsi="Calibri" w:eastAsia="Calibri" w:cs="Calibri"/>
          <w:noProof w:val="0"/>
          <w:color w:val="172B4D"/>
          <w:sz w:val="22"/>
          <w:szCs w:val="22"/>
          <w:lang w:val="en-GB"/>
        </w:rPr>
        <w:t xml:space="preserve">After induction, the learner will have access to the WEST </w:t>
      </w:r>
      <w:r w:rsidRPr="001DFC05" w:rsidR="460529D0">
        <w:rPr>
          <w:rFonts w:ascii="Calibri" w:hAnsi="Calibri" w:eastAsia="Calibri" w:cs="Calibri"/>
          <w:noProof w:val="0"/>
          <w:color w:val="172B4D"/>
          <w:sz w:val="22"/>
          <w:szCs w:val="22"/>
          <w:lang w:val="en-GB"/>
        </w:rPr>
        <w:t>test,</w:t>
      </w:r>
      <w:r w:rsidRPr="001DFC05" w:rsidR="69FA840A">
        <w:rPr>
          <w:rFonts w:ascii="Calibri" w:hAnsi="Calibri" w:eastAsia="Calibri" w:cs="Calibri"/>
          <w:noProof w:val="0"/>
          <w:color w:val="172B4D"/>
          <w:sz w:val="22"/>
          <w:szCs w:val="22"/>
          <w:lang w:val="en-GB"/>
        </w:rPr>
        <w:t xml:space="preserve"> which they must complete within 4 weeks of being on the qualification. This test allows TOs and ESW tutors to </w:t>
      </w:r>
      <w:r w:rsidRPr="001DFC05" w:rsidR="69FA840A">
        <w:rPr>
          <w:rFonts w:ascii="Calibri" w:hAnsi="Calibri" w:eastAsia="Calibri" w:cs="Calibri"/>
          <w:noProof w:val="0"/>
          <w:color w:val="172B4D"/>
          <w:sz w:val="22"/>
          <w:szCs w:val="22"/>
          <w:lang w:val="en-GB"/>
        </w:rPr>
        <w:t>identify</w:t>
      </w:r>
      <w:r w:rsidRPr="001DFC05" w:rsidR="69FA840A">
        <w:rPr>
          <w:rFonts w:ascii="Calibri" w:hAnsi="Calibri" w:eastAsia="Calibri" w:cs="Calibri"/>
          <w:noProof w:val="0"/>
          <w:color w:val="172B4D"/>
          <w:sz w:val="22"/>
          <w:szCs w:val="22"/>
          <w:lang w:val="en-GB"/>
        </w:rPr>
        <w:t xml:space="preserve"> whether it is just to upskill on AON and COMMs or if essential skills </w:t>
      </w:r>
      <w:r w:rsidRPr="001DFC05" w:rsidR="40299F24">
        <w:rPr>
          <w:rFonts w:ascii="Calibri" w:hAnsi="Calibri" w:eastAsia="Calibri" w:cs="Calibri"/>
          <w:noProof w:val="0"/>
          <w:color w:val="172B4D"/>
          <w:sz w:val="22"/>
          <w:szCs w:val="22"/>
          <w:lang w:val="en-GB"/>
        </w:rPr>
        <w:t>are</w:t>
      </w:r>
      <w:r w:rsidRPr="001DFC05" w:rsidR="69FA840A">
        <w:rPr>
          <w:rFonts w:ascii="Calibri" w:hAnsi="Calibri" w:eastAsia="Calibri" w:cs="Calibri"/>
          <w:noProof w:val="0"/>
          <w:color w:val="172B4D"/>
          <w:sz w:val="22"/>
          <w:szCs w:val="22"/>
          <w:lang w:val="en-GB"/>
        </w:rPr>
        <w:t xml:space="preserve"> needed. Following this is a visit for unit </w:t>
      </w:r>
      <w:r w:rsidRPr="001DFC05" w:rsidR="69FA840A">
        <w:rPr>
          <w:rFonts w:ascii="Calibri" w:hAnsi="Calibri" w:eastAsia="Calibri" w:cs="Calibri"/>
          <w:noProof w:val="0"/>
          <w:color w:val="172B4D"/>
          <w:sz w:val="22"/>
          <w:szCs w:val="22"/>
          <w:lang w:val="en-GB"/>
        </w:rPr>
        <w:t>selection</w:t>
      </w:r>
      <w:r w:rsidRPr="001DFC05" w:rsidR="69FA840A">
        <w:rPr>
          <w:rFonts w:ascii="Calibri" w:hAnsi="Calibri" w:eastAsia="Calibri" w:cs="Calibri"/>
          <w:noProof w:val="0"/>
          <w:color w:val="172B4D"/>
          <w:sz w:val="22"/>
          <w:szCs w:val="22"/>
          <w:lang w:val="en-GB"/>
        </w:rPr>
        <w:t xml:space="preserve">, involving a three-way collaboration between the TO, the learner and the employer manager. By selecting units with all parties, it provides the TO </w:t>
      </w:r>
      <w:r w:rsidRPr="001DFC05" w:rsidR="69FA840A">
        <w:rPr>
          <w:rFonts w:ascii="Calibri" w:hAnsi="Calibri" w:eastAsia="Calibri" w:cs="Calibri"/>
          <w:noProof w:val="0"/>
          <w:color w:val="172B4D"/>
          <w:sz w:val="22"/>
          <w:szCs w:val="22"/>
          <w:lang w:val="en-GB"/>
        </w:rPr>
        <w:t>to</w:t>
      </w:r>
      <w:r w:rsidRPr="001DFC05" w:rsidR="69FA840A">
        <w:rPr>
          <w:rFonts w:ascii="Calibri" w:hAnsi="Calibri" w:eastAsia="Calibri" w:cs="Calibri"/>
          <w:noProof w:val="0"/>
          <w:color w:val="172B4D"/>
          <w:sz w:val="22"/>
          <w:szCs w:val="22"/>
          <w:lang w:val="en-GB"/>
        </w:rPr>
        <w:t xml:space="preserve"> offer their advice on which units to select according to credits and mandatory </w:t>
      </w:r>
      <w:r w:rsidRPr="001DFC05" w:rsidR="75F4B472">
        <w:rPr>
          <w:rFonts w:ascii="Calibri" w:hAnsi="Calibri" w:eastAsia="Calibri" w:cs="Calibri"/>
          <w:noProof w:val="0"/>
          <w:color w:val="172B4D"/>
          <w:sz w:val="22"/>
          <w:szCs w:val="22"/>
          <w:lang w:val="en-GB"/>
        </w:rPr>
        <w:t>units;</w:t>
      </w:r>
      <w:r w:rsidRPr="001DFC05" w:rsidR="69FA840A">
        <w:rPr>
          <w:rFonts w:ascii="Calibri" w:hAnsi="Calibri" w:eastAsia="Calibri" w:cs="Calibri"/>
          <w:noProof w:val="0"/>
          <w:color w:val="172B4D"/>
          <w:sz w:val="22"/>
          <w:szCs w:val="22"/>
          <w:lang w:val="en-GB"/>
        </w:rPr>
        <w:t xml:space="preserve"> having the manager also ensures that the units picked </w:t>
      </w:r>
      <w:r w:rsidRPr="001DFC05" w:rsidR="72038594">
        <w:rPr>
          <w:rFonts w:ascii="Calibri" w:hAnsi="Calibri" w:eastAsia="Calibri" w:cs="Calibri"/>
          <w:noProof w:val="0"/>
          <w:color w:val="172B4D"/>
          <w:sz w:val="22"/>
          <w:szCs w:val="22"/>
          <w:lang w:val="en-GB"/>
        </w:rPr>
        <w:t>are</w:t>
      </w:r>
      <w:r w:rsidRPr="001DFC05" w:rsidR="69FA840A">
        <w:rPr>
          <w:rFonts w:ascii="Calibri" w:hAnsi="Calibri" w:eastAsia="Calibri" w:cs="Calibri"/>
          <w:noProof w:val="0"/>
          <w:color w:val="172B4D"/>
          <w:sz w:val="22"/>
          <w:szCs w:val="22"/>
          <w:lang w:val="en-GB"/>
        </w:rPr>
        <w:t xml:space="preserve"> relevant to their role and responsibilities. The learner may then be referred to an Essential Skills tutor if their </w:t>
      </w:r>
      <w:r w:rsidRPr="001DFC05" w:rsidR="69FA840A">
        <w:rPr>
          <w:rFonts w:ascii="Calibri" w:hAnsi="Calibri" w:eastAsia="Calibri" w:cs="Calibri"/>
          <w:noProof w:val="0"/>
          <w:color w:val="172B4D"/>
          <w:sz w:val="22"/>
          <w:szCs w:val="22"/>
          <w:lang w:val="en-GB"/>
        </w:rPr>
        <w:t>initial</w:t>
      </w:r>
      <w:r w:rsidRPr="001DFC05" w:rsidR="69FA840A">
        <w:rPr>
          <w:rFonts w:ascii="Calibri" w:hAnsi="Calibri" w:eastAsia="Calibri" w:cs="Calibri"/>
          <w:noProof w:val="0"/>
          <w:color w:val="172B4D"/>
          <w:sz w:val="22"/>
          <w:szCs w:val="22"/>
          <w:lang w:val="en-GB"/>
        </w:rPr>
        <w:t xml:space="preserve"> assessment shows a gap in Application of Number and COMMs or if they have a G or below in Maths and English. This is typically done within 3 months of them being on the qualification, which aligns with research by Rintala and Nokelainen (2020), who argue that “customising learner pathways early in the journey increases retention and progression rates” (p.215).</w:t>
      </w:r>
      <w:r>
        <w:br/>
      </w:r>
      <w:r>
        <w:tab/>
      </w:r>
      <w:r w:rsidRPr="001DFC05" w:rsidR="69FA840A">
        <w:rPr>
          <w:rFonts w:ascii="Calibri" w:hAnsi="Calibri" w:eastAsia="Calibri" w:cs="Calibri"/>
          <w:noProof w:val="0"/>
          <w:color w:val="172B4D"/>
          <w:sz w:val="22"/>
          <w:szCs w:val="22"/>
          <w:lang w:val="en-GB"/>
        </w:rPr>
        <w:t xml:space="preserve">For learners with ALN a briefing is conducted during the first month by the experienced ALN tutor and the TO. While this aims to </w:t>
      </w:r>
      <w:r w:rsidRPr="001DFC05" w:rsidR="69FA840A">
        <w:rPr>
          <w:rFonts w:ascii="Calibri" w:hAnsi="Calibri" w:eastAsia="Calibri" w:cs="Calibri"/>
          <w:noProof w:val="0"/>
          <w:color w:val="172B4D"/>
          <w:sz w:val="22"/>
          <w:szCs w:val="22"/>
          <w:lang w:val="en-GB"/>
        </w:rPr>
        <w:t>identify</w:t>
      </w:r>
      <w:r w:rsidRPr="001DFC05" w:rsidR="69FA840A">
        <w:rPr>
          <w:rFonts w:ascii="Calibri" w:hAnsi="Calibri" w:eastAsia="Calibri" w:cs="Calibri"/>
          <w:noProof w:val="0"/>
          <w:color w:val="172B4D"/>
          <w:sz w:val="22"/>
          <w:szCs w:val="22"/>
          <w:lang w:val="en-GB"/>
        </w:rPr>
        <w:t xml:space="preserve"> areas of support, the ALN assessment comes with challenges. For example, if ALN has been </w:t>
      </w:r>
      <w:r w:rsidRPr="001DFC05" w:rsidR="69FA840A">
        <w:rPr>
          <w:rFonts w:ascii="Calibri" w:hAnsi="Calibri" w:eastAsia="Calibri" w:cs="Calibri"/>
          <w:noProof w:val="0"/>
          <w:color w:val="172B4D"/>
          <w:sz w:val="22"/>
          <w:szCs w:val="22"/>
          <w:lang w:val="en-GB"/>
        </w:rPr>
        <w:t>identified</w:t>
      </w:r>
      <w:r w:rsidRPr="001DFC05" w:rsidR="69FA840A">
        <w:rPr>
          <w:rFonts w:ascii="Calibri" w:hAnsi="Calibri" w:eastAsia="Calibri" w:cs="Calibri"/>
          <w:noProof w:val="0"/>
          <w:color w:val="172B4D"/>
          <w:sz w:val="22"/>
          <w:szCs w:val="22"/>
          <w:lang w:val="en-GB"/>
        </w:rPr>
        <w:t>, for whatever reason, City &amp; Guilds do not always</w:t>
      </w:r>
      <w:r w:rsidRPr="001DFC05" w:rsidR="43B79A59">
        <w:rPr>
          <w:rFonts w:ascii="Calibri" w:hAnsi="Calibri" w:eastAsia="Calibri" w:cs="Calibri"/>
          <w:noProof w:val="0"/>
          <w:color w:val="172B4D"/>
          <w:sz w:val="22"/>
          <w:szCs w:val="22"/>
          <w:lang w:val="en-GB"/>
        </w:rPr>
        <w:t xml:space="preserve"> </w:t>
      </w:r>
      <w:r w:rsidRPr="001DFC05" w:rsidR="69FA840A">
        <w:rPr>
          <w:rFonts w:ascii="Calibri" w:hAnsi="Calibri" w:eastAsia="Calibri" w:cs="Calibri"/>
          <w:noProof w:val="0"/>
          <w:color w:val="172B4D"/>
          <w:sz w:val="22"/>
          <w:szCs w:val="22"/>
          <w:lang w:val="en-GB"/>
        </w:rPr>
        <w:t xml:space="preserve">grant extra time, leading to potential inequalities in learning outcomes. This reflects the concern that Dumitru et al. (2021) </w:t>
      </w:r>
      <w:r w:rsidRPr="001DFC05" w:rsidR="2BED4860">
        <w:rPr>
          <w:rFonts w:ascii="Calibri" w:hAnsi="Calibri" w:eastAsia="Calibri" w:cs="Calibri"/>
          <w:noProof w:val="0"/>
          <w:color w:val="172B4D"/>
          <w:sz w:val="22"/>
          <w:szCs w:val="22"/>
          <w:lang w:val="en-GB"/>
        </w:rPr>
        <w:t>highlight:</w:t>
      </w:r>
      <w:r w:rsidRPr="001DFC05" w:rsidR="69FA840A">
        <w:rPr>
          <w:rFonts w:ascii="Calibri" w:hAnsi="Calibri" w:eastAsia="Calibri" w:cs="Calibri"/>
          <w:noProof w:val="0"/>
          <w:color w:val="172B4D"/>
          <w:sz w:val="22"/>
          <w:szCs w:val="22"/>
          <w:lang w:val="en-GB"/>
        </w:rPr>
        <w:t xml:space="preserve"> “structural inclusion policies do not always translate into equitable learner experiences” (p. 132).</w:t>
      </w:r>
      <w:r>
        <w:br/>
      </w:r>
      <w:r>
        <w:tab/>
      </w:r>
      <w:r w:rsidRPr="001DFC05" w:rsidR="69FA840A">
        <w:rPr>
          <w:rFonts w:ascii="Calibri" w:hAnsi="Calibri" w:eastAsia="Calibri" w:cs="Calibri"/>
          <w:noProof w:val="0"/>
          <w:color w:val="172B4D"/>
          <w:sz w:val="22"/>
          <w:szCs w:val="22"/>
          <w:lang w:val="en-GB"/>
        </w:rPr>
        <w:t xml:space="preserve">The </w:t>
      </w:r>
      <w:r w:rsidRPr="001DFC05" w:rsidR="5D354E79">
        <w:rPr>
          <w:rFonts w:ascii="Calibri" w:hAnsi="Calibri" w:eastAsia="Calibri" w:cs="Calibri"/>
          <w:noProof w:val="0"/>
          <w:color w:val="172B4D"/>
          <w:sz w:val="22"/>
          <w:szCs w:val="22"/>
          <w:lang w:val="en-GB"/>
        </w:rPr>
        <w:t>TO's</w:t>
      </w:r>
      <w:r w:rsidRPr="001DFC05" w:rsidR="69FA840A">
        <w:rPr>
          <w:rFonts w:ascii="Calibri" w:hAnsi="Calibri" w:eastAsia="Calibri" w:cs="Calibri"/>
          <w:noProof w:val="0"/>
          <w:color w:val="172B4D"/>
          <w:sz w:val="22"/>
          <w:szCs w:val="22"/>
          <w:lang w:val="en-GB"/>
        </w:rPr>
        <w:t xml:space="preserve"> </w:t>
      </w:r>
      <w:r w:rsidRPr="001DFC05" w:rsidR="69FA840A">
        <w:rPr>
          <w:rFonts w:ascii="Calibri" w:hAnsi="Calibri" w:eastAsia="Calibri" w:cs="Calibri"/>
          <w:noProof w:val="0"/>
          <w:color w:val="172B4D"/>
          <w:sz w:val="22"/>
          <w:szCs w:val="22"/>
          <w:lang w:val="en-GB"/>
        </w:rPr>
        <w:t>main role</w:t>
      </w:r>
      <w:r w:rsidRPr="001DFC05" w:rsidR="69FA840A">
        <w:rPr>
          <w:rFonts w:ascii="Calibri" w:hAnsi="Calibri" w:eastAsia="Calibri" w:cs="Calibri"/>
          <w:noProof w:val="0"/>
          <w:color w:val="172B4D"/>
          <w:sz w:val="22"/>
          <w:szCs w:val="22"/>
          <w:lang w:val="en-GB"/>
        </w:rPr>
        <w:t xml:space="preserve"> with learners is to see them within 61-days and get reviews signed by the learner and employer. Writing these reviews and getting them signed by the employer and the manager keeps the learner compliant and allows CTC to keep the funding from the Welsh government. If the learner is falling behind, discussions with the employer may result in </w:t>
      </w:r>
      <w:r w:rsidRPr="001DFC05" w:rsidR="69FA840A">
        <w:rPr>
          <w:rFonts w:ascii="Calibri" w:hAnsi="Calibri" w:eastAsia="Calibri" w:cs="Calibri"/>
          <w:noProof w:val="0"/>
          <w:color w:val="172B4D"/>
          <w:sz w:val="22"/>
          <w:szCs w:val="22"/>
          <w:lang w:val="en-GB"/>
        </w:rPr>
        <w:t>additional</w:t>
      </w:r>
      <w:r w:rsidRPr="001DFC05" w:rsidR="69FA840A">
        <w:rPr>
          <w:rFonts w:ascii="Calibri" w:hAnsi="Calibri" w:eastAsia="Calibri" w:cs="Calibri"/>
          <w:noProof w:val="0"/>
          <w:color w:val="172B4D"/>
          <w:sz w:val="22"/>
          <w:szCs w:val="22"/>
          <w:lang w:val="en-GB"/>
        </w:rPr>
        <w:t xml:space="preserve"> support strategies, such as schedule adjustments or </w:t>
      </w:r>
      <w:r w:rsidRPr="001DFC05" w:rsidR="69FA840A">
        <w:rPr>
          <w:rFonts w:ascii="Calibri" w:hAnsi="Calibri" w:eastAsia="Calibri" w:cs="Calibri"/>
          <w:noProof w:val="0"/>
          <w:color w:val="172B4D"/>
          <w:sz w:val="22"/>
          <w:szCs w:val="22"/>
          <w:lang w:val="en-GB"/>
        </w:rPr>
        <w:t>additional</w:t>
      </w:r>
      <w:r w:rsidRPr="001DFC05" w:rsidR="69FA840A">
        <w:rPr>
          <w:rFonts w:ascii="Calibri" w:hAnsi="Calibri" w:eastAsia="Calibri" w:cs="Calibri"/>
          <w:noProof w:val="0"/>
          <w:color w:val="172B4D"/>
          <w:sz w:val="22"/>
          <w:szCs w:val="22"/>
          <w:lang w:val="en-GB"/>
        </w:rPr>
        <w:t xml:space="preserve"> portfolio </w:t>
      </w:r>
      <w:r w:rsidRPr="001DFC05" w:rsidR="69FA840A">
        <w:rPr>
          <w:rFonts w:ascii="Calibri" w:hAnsi="Calibri" w:eastAsia="Calibri" w:cs="Calibri"/>
          <w:noProof w:val="0"/>
          <w:color w:val="172B4D"/>
          <w:sz w:val="22"/>
          <w:szCs w:val="22"/>
          <w:lang w:val="en-GB"/>
        </w:rPr>
        <w:t>assistance</w:t>
      </w:r>
      <w:r w:rsidRPr="001DFC05" w:rsidR="69FA840A">
        <w:rPr>
          <w:rFonts w:ascii="Calibri" w:hAnsi="Calibri" w:eastAsia="Calibri" w:cs="Calibri"/>
          <w:noProof w:val="0"/>
          <w:color w:val="172B4D"/>
          <w:sz w:val="22"/>
          <w:szCs w:val="22"/>
          <w:lang w:val="en-GB"/>
        </w:rPr>
        <w:t>.</w:t>
      </w:r>
      <w:r>
        <w:br/>
      </w:r>
      <w:r>
        <w:tab/>
      </w:r>
      <w:r w:rsidRPr="001DFC05" w:rsidR="69FA840A">
        <w:rPr>
          <w:rFonts w:ascii="Calibri" w:hAnsi="Calibri" w:eastAsia="Calibri" w:cs="Calibri"/>
          <w:noProof w:val="0"/>
          <w:color w:val="172B4D"/>
          <w:sz w:val="22"/>
          <w:szCs w:val="22"/>
          <w:lang w:val="en-GB"/>
        </w:rPr>
        <w:t xml:space="preserve">Maintaining and standardising this learning journey ensures consistency and allows early identification of risk points. As noted by Hamilton (2021), "Routine mapping provides transparency across the entire apprenticeship cycle, improving both accountability and learner motivation" (p. 90). However, other arguments show that having a structure that </w:t>
      </w:r>
      <w:r w:rsidRPr="001DFC05" w:rsidR="69FA840A">
        <w:rPr>
          <w:rFonts w:ascii="Calibri" w:hAnsi="Calibri" w:eastAsia="Calibri" w:cs="Calibri"/>
          <w:noProof w:val="0"/>
          <w:color w:val="172B4D"/>
          <w:sz w:val="22"/>
          <w:szCs w:val="22"/>
          <w:lang w:val="en-GB"/>
        </w:rPr>
        <w:t>has to</w:t>
      </w:r>
      <w:r w:rsidRPr="001DFC05" w:rsidR="69FA840A">
        <w:rPr>
          <w:rFonts w:ascii="Calibri" w:hAnsi="Calibri" w:eastAsia="Calibri" w:cs="Calibri"/>
          <w:noProof w:val="0"/>
          <w:color w:val="172B4D"/>
          <w:sz w:val="22"/>
          <w:szCs w:val="22"/>
          <w:lang w:val="en-GB"/>
        </w:rPr>
        <w:t xml:space="preserve"> be followed to the letter can cause repetitiveness and </w:t>
      </w:r>
      <w:r w:rsidRPr="001DFC05" w:rsidR="59D91397">
        <w:rPr>
          <w:rFonts w:ascii="Calibri" w:hAnsi="Calibri" w:eastAsia="Calibri" w:cs="Calibri"/>
          <w:noProof w:val="0"/>
          <w:color w:val="172B4D"/>
          <w:sz w:val="22"/>
          <w:szCs w:val="22"/>
          <w:lang w:val="en-GB"/>
        </w:rPr>
        <w:t>patterning</w:t>
      </w:r>
      <w:r w:rsidRPr="001DFC05" w:rsidR="69FA840A">
        <w:rPr>
          <w:rFonts w:ascii="Calibri" w:hAnsi="Calibri" w:eastAsia="Calibri" w:cs="Calibri"/>
          <w:noProof w:val="0"/>
          <w:color w:val="172B4D"/>
          <w:sz w:val="22"/>
          <w:szCs w:val="22"/>
          <w:lang w:val="en-GB"/>
        </w:rPr>
        <w:t xml:space="preserve">. Melhuish (2019) </w:t>
      </w:r>
      <w:r w:rsidRPr="001DFC05" w:rsidR="6D73BC8E">
        <w:rPr>
          <w:rFonts w:ascii="Calibri" w:hAnsi="Calibri" w:eastAsia="Calibri" w:cs="Calibri"/>
          <w:noProof w:val="0"/>
          <w:color w:val="172B4D"/>
          <w:sz w:val="22"/>
          <w:szCs w:val="22"/>
          <w:lang w:val="en-GB"/>
        </w:rPr>
        <w:t>states,</w:t>
      </w:r>
      <w:r w:rsidRPr="001DFC05" w:rsidR="69FA840A">
        <w:rPr>
          <w:rFonts w:ascii="Calibri" w:hAnsi="Calibri" w:eastAsia="Calibri" w:cs="Calibri"/>
          <w:noProof w:val="0"/>
          <w:color w:val="172B4D"/>
          <w:sz w:val="22"/>
          <w:szCs w:val="22"/>
          <w:lang w:val="en-GB"/>
        </w:rPr>
        <w:t xml:space="preserve"> “a pre-defined learning journey may mask the lived complexity of learner trajectories, especially among adults with competing priorities” (p. 154).</w:t>
      </w:r>
      <w:r>
        <w:br/>
      </w:r>
      <w:r>
        <w:tab/>
      </w:r>
      <w:r w:rsidRPr="001DFC05" w:rsidR="69FA840A">
        <w:rPr>
          <w:rFonts w:ascii="Calibri" w:hAnsi="Calibri" w:eastAsia="Calibri" w:cs="Calibri"/>
          <w:noProof w:val="0"/>
          <w:color w:val="172B4D"/>
          <w:sz w:val="22"/>
          <w:szCs w:val="22"/>
          <w:lang w:val="en-GB"/>
        </w:rPr>
        <w:t xml:space="preserve">Tensions between standardisation and personalisation </w:t>
      </w:r>
      <w:r w:rsidRPr="001DFC05" w:rsidR="7307936F">
        <w:rPr>
          <w:rFonts w:ascii="Calibri" w:hAnsi="Calibri" w:eastAsia="Calibri" w:cs="Calibri"/>
          <w:noProof w:val="0"/>
          <w:color w:val="172B4D"/>
          <w:sz w:val="22"/>
          <w:szCs w:val="22"/>
          <w:lang w:val="en-GB"/>
        </w:rPr>
        <w:t>are</w:t>
      </w:r>
      <w:r w:rsidRPr="001DFC05" w:rsidR="69FA840A">
        <w:rPr>
          <w:rFonts w:ascii="Calibri" w:hAnsi="Calibri" w:eastAsia="Calibri" w:cs="Calibri"/>
          <w:noProof w:val="0"/>
          <w:color w:val="172B4D"/>
          <w:sz w:val="22"/>
          <w:szCs w:val="22"/>
          <w:lang w:val="en-GB"/>
        </w:rPr>
        <w:t xml:space="preserve"> </w:t>
      </w:r>
      <w:r w:rsidRPr="001DFC05" w:rsidR="69FA840A">
        <w:rPr>
          <w:rFonts w:ascii="Calibri" w:hAnsi="Calibri" w:eastAsia="Calibri" w:cs="Calibri"/>
          <w:noProof w:val="0"/>
          <w:color w:val="172B4D"/>
          <w:sz w:val="22"/>
          <w:szCs w:val="22"/>
          <w:lang w:val="en-GB"/>
        </w:rPr>
        <w:t>apparent</w:t>
      </w:r>
      <w:r w:rsidRPr="001DFC05" w:rsidR="69FA840A">
        <w:rPr>
          <w:rFonts w:ascii="Calibri" w:hAnsi="Calibri" w:eastAsia="Calibri" w:cs="Calibri"/>
          <w:noProof w:val="0"/>
          <w:color w:val="172B4D"/>
          <w:sz w:val="22"/>
          <w:szCs w:val="22"/>
          <w:lang w:val="en-GB"/>
        </w:rPr>
        <w:t xml:space="preserve"> in </w:t>
      </w:r>
      <w:r w:rsidRPr="001DFC05" w:rsidR="21CF6698">
        <w:rPr>
          <w:rFonts w:ascii="Calibri" w:hAnsi="Calibri" w:eastAsia="Calibri" w:cs="Calibri"/>
          <w:noProof w:val="0"/>
          <w:color w:val="172B4D"/>
          <w:sz w:val="22"/>
          <w:szCs w:val="22"/>
          <w:lang w:val="en-GB"/>
        </w:rPr>
        <w:t>CTC's</w:t>
      </w:r>
      <w:r w:rsidRPr="001DFC05" w:rsidR="69FA840A">
        <w:rPr>
          <w:rFonts w:ascii="Calibri" w:hAnsi="Calibri" w:eastAsia="Calibri" w:cs="Calibri"/>
          <w:noProof w:val="0"/>
          <w:color w:val="172B4D"/>
          <w:sz w:val="22"/>
          <w:szCs w:val="22"/>
          <w:lang w:val="en-GB"/>
        </w:rPr>
        <w:t xml:space="preserve"> Hospitality Department, where learner demographics range in age, </w:t>
      </w:r>
      <w:r w:rsidRPr="001DFC05" w:rsidR="69FA840A">
        <w:rPr>
          <w:rFonts w:ascii="Calibri" w:hAnsi="Calibri" w:eastAsia="Calibri" w:cs="Calibri"/>
          <w:noProof w:val="0"/>
          <w:color w:val="172B4D"/>
          <w:sz w:val="22"/>
          <w:szCs w:val="22"/>
          <w:lang w:val="en-GB"/>
        </w:rPr>
        <w:t>background</w:t>
      </w:r>
      <w:r w:rsidRPr="001DFC05" w:rsidR="69FA840A">
        <w:rPr>
          <w:rFonts w:ascii="Calibri" w:hAnsi="Calibri" w:eastAsia="Calibri" w:cs="Calibri"/>
          <w:noProof w:val="0"/>
          <w:color w:val="172B4D"/>
          <w:sz w:val="22"/>
          <w:szCs w:val="22"/>
          <w:lang w:val="en-GB"/>
        </w:rPr>
        <w:t xml:space="preserve"> and ability. The learner journey must remain flexible yet compliant, with digital tools like Yeti and Learning Assistant making decisions according to data that is provided by the CRMs and TOs on the ground</w:t>
      </w:r>
      <w:r w:rsidRPr="001DFC05" w:rsidR="6AE4552B">
        <w:rPr>
          <w:rFonts w:ascii="Calibri" w:hAnsi="Calibri" w:eastAsia="Calibri" w:cs="Calibri"/>
          <w:noProof w:val="0"/>
          <w:color w:val="172B4D"/>
          <w:sz w:val="22"/>
          <w:szCs w:val="22"/>
          <w:lang w:val="en-GB"/>
        </w:rPr>
        <w:t>.</w:t>
      </w:r>
      <w:r>
        <w:br/>
      </w:r>
      <w:r>
        <w:tab/>
      </w:r>
      <w:r w:rsidRPr="001DFC05" w:rsidR="69FA840A">
        <w:rPr>
          <w:rFonts w:ascii="Calibri" w:hAnsi="Calibri" w:eastAsia="Calibri" w:cs="Calibri"/>
          <w:noProof w:val="0"/>
          <w:color w:val="172B4D"/>
          <w:sz w:val="22"/>
          <w:szCs w:val="22"/>
          <w:lang w:val="en-GB"/>
        </w:rPr>
        <w:t xml:space="preserve">Finally, learners nearing completion engage in exit planning, always with a form known as Notification of leaving, which includes the </w:t>
      </w:r>
      <w:r w:rsidRPr="001DFC05" w:rsidR="54FE35F4">
        <w:rPr>
          <w:rFonts w:ascii="Calibri" w:hAnsi="Calibri" w:eastAsia="Calibri" w:cs="Calibri"/>
          <w:noProof w:val="0"/>
          <w:color w:val="172B4D"/>
          <w:sz w:val="22"/>
          <w:szCs w:val="22"/>
          <w:lang w:val="en-GB"/>
        </w:rPr>
        <w:t>learner's</w:t>
      </w:r>
      <w:r w:rsidRPr="001DFC05" w:rsidR="69FA840A">
        <w:rPr>
          <w:rFonts w:ascii="Calibri" w:hAnsi="Calibri" w:eastAsia="Calibri" w:cs="Calibri"/>
          <w:noProof w:val="0"/>
          <w:color w:val="172B4D"/>
          <w:sz w:val="22"/>
          <w:szCs w:val="22"/>
          <w:lang w:val="en-GB"/>
        </w:rPr>
        <w:t xml:space="preserve"> decision to progress to a higher </w:t>
      </w:r>
      <w:r w:rsidRPr="001DFC05" w:rsidR="283F73AF">
        <w:rPr>
          <w:rFonts w:ascii="Calibri" w:hAnsi="Calibri" w:eastAsia="Calibri" w:cs="Calibri"/>
          <w:noProof w:val="0"/>
          <w:color w:val="172B4D"/>
          <w:sz w:val="22"/>
          <w:szCs w:val="22"/>
          <w:lang w:val="en-GB"/>
        </w:rPr>
        <w:t xml:space="preserve">level </w:t>
      </w:r>
      <w:r w:rsidRPr="001DFC05" w:rsidR="69FA840A">
        <w:rPr>
          <w:rFonts w:ascii="Calibri" w:hAnsi="Calibri" w:eastAsia="Calibri" w:cs="Calibri"/>
          <w:noProof w:val="0"/>
          <w:color w:val="172B4D"/>
          <w:sz w:val="22"/>
          <w:szCs w:val="22"/>
          <w:lang w:val="en-GB"/>
        </w:rPr>
        <w:t>or specialist licence-based training like a personal licence or if they want to end their journey at level 2. This forward-planning aspect reinforces the organisation’s commitment to long-term development and employment success.</w:t>
      </w:r>
    </w:p>
    <w:p xmlns:wp14="http://schemas.microsoft.com/office/word/2010/wordml" w:rsidP="4E8BE5FC" wp14:paraId="6A5AE255" wp14:textId="5BF832AE">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1995158299" w:id="290374874"/>
      <w:r w:rsidRPr="001DFC05" w:rsidR="59DD83D0">
        <w:rPr>
          <w:rFonts w:ascii="Calibri" w:hAnsi="Calibri" w:eastAsia="Calibri" w:cs="Calibri"/>
          <w:noProof w:val="0"/>
          <w:color w:val="auto"/>
          <w:sz w:val="28"/>
          <w:szCs w:val="28"/>
          <w:lang w:val="en-GB"/>
        </w:rPr>
        <w:t>3.2</w:t>
      </w:r>
      <w:r w:rsidRPr="001DFC05" w:rsidR="54C5851C">
        <w:rPr>
          <w:rFonts w:ascii="Calibri" w:hAnsi="Calibri" w:eastAsia="Calibri" w:cs="Calibri"/>
          <w:noProof w:val="0"/>
          <w:color w:val="auto"/>
          <w:sz w:val="28"/>
          <w:szCs w:val="28"/>
          <w:lang w:val="en-GB"/>
        </w:rPr>
        <w:t xml:space="preserve"> Managing the Customer Needs, Expectations and Satisfactions</w:t>
      </w:r>
      <w:bookmarkEnd w:id="290374874"/>
    </w:p>
    <w:p w:rsidR="4E8BE5FC" w:rsidP="001DFC05" w:rsidRDefault="4E8BE5FC" w14:paraId="443DE300" w14:textId="17D14448">
      <w:pPr>
        <w:keepNext w:val="0"/>
        <w:keepLines w:val="0"/>
        <w:spacing w:before="0" w:beforeAutospacing="off" w:after="0" w:afterAutospacing="off" w:line="360" w:lineRule="auto"/>
        <w:ind w:firstLine="0"/>
        <w:jc w:val="both"/>
        <w:rPr>
          <w:rFonts w:ascii="Calibri" w:hAnsi="Calibri" w:eastAsia="Calibri" w:cs="Calibri"/>
          <w:noProof w:val="0"/>
          <w:color w:val="000000" w:themeColor="text1" w:themeTint="FF" w:themeShade="FF"/>
          <w:sz w:val="22"/>
          <w:szCs w:val="22"/>
          <w:lang w:val="en-GB"/>
        </w:rPr>
      </w:pPr>
      <w:r w:rsidRPr="001DFC05" w:rsidR="4785FD52">
        <w:rPr>
          <w:rFonts w:ascii="Calibri" w:hAnsi="Calibri" w:eastAsia="Calibri" w:cs="Calibri"/>
          <w:noProof w:val="0"/>
          <w:color w:val="172B4D"/>
          <w:sz w:val="22"/>
          <w:szCs w:val="22"/>
          <w:lang w:val="en-GB"/>
        </w:rPr>
        <w:t xml:space="preserve">The Hospitality Department at CTC effectively </w:t>
      </w:r>
      <w:r w:rsidRPr="001DFC05" w:rsidR="79086355">
        <w:rPr>
          <w:rFonts w:ascii="Calibri" w:hAnsi="Calibri" w:eastAsia="Calibri" w:cs="Calibri"/>
          <w:noProof w:val="0"/>
          <w:color w:val="172B4D"/>
          <w:sz w:val="22"/>
          <w:szCs w:val="22"/>
          <w:lang w:val="en-GB"/>
        </w:rPr>
        <w:t>manages</w:t>
      </w:r>
      <w:r w:rsidRPr="001DFC05" w:rsidR="4785FD52">
        <w:rPr>
          <w:rFonts w:ascii="Calibri" w:hAnsi="Calibri" w:eastAsia="Calibri" w:cs="Calibri"/>
          <w:noProof w:val="0"/>
          <w:color w:val="172B4D"/>
          <w:sz w:val="22"/>
          <w:szCs w:val="22"/>
          <w:lang w:val="en-GB"/>
        </w:rPr>
        <w:t xml:space="preserve"> the expectations and satisfaction of both learners and employers to </w:t>
      </w:r>
      <w:r w:rsidRPr="001DFC05" w:rsidR="4785FD52">
        <w:rPr>
          <w:rFonts w:ascii="Calibri" w:hAnsi="Calibri" w:eastAsia="Calibri" w:cs="Calibri"/>
          <w:noProof w:val="0"/>
          <w:color w:val="172B4D"/>
          <w:sz w:val="22"/>
          <w:szCs w:val="22"/>
          <w:lang w:val="en-GB"/>
        </w:rPr>
        <w:t>maintain</w:t>
      </w:r>
      <w:r w:rsidRPr="001DFC05" w:rsidR="4785FD52">
        <w:rPr>
          <w:rFonts w:ascii="Calibri" w:hAnsi="Calibri" w:eastAsia="Calibri" w:cs="Calibri"/>
          <w:noProof w:val="0"/>
          <w:color w:val="172B4D"/>
          <w:sz w:val="22"/>
          <w:szCs w:val="22"/>
          <w:lang w:val="en-GB"/>
        </w:rPr>
        <w:t xml:space="preserve"> successful apprenticeship experiences. These groups can have alternate perspectives. For example, learners typically seek personal development, </w:t>
      </w:r>
      <w:r w:rsidRPr="001DFC05" w:rsidR="4785FD52">
        <w:rPr>
          <w:rFonts w:ascii="Calibri" w:hAnsi="Calibri" w:eastAsia="Calibri" w:cs="Calibri"/>
          <w:noProof w:val="0"/>
          <w:color w:val="172B4D"/>
          <w:sz w:val="22"/>
          <w:szCs w:val="22"/>
          <w:lang w:val="en-GB"/>
        </w:rPr>
        <w:t>support</w:t>
      </w:r>
      <w:r w:rsidRPr="001DFC05" w:rsidR="4785FD52">
        <w:rPr>
          <w:rFonts w:ascii="Calibri" w:hAnsi="Calibri" w:eastAsia="Calibri" w:cs="Calibri"/>
          <w:noProof w:val="0"/>
          <w:color w:val="172B4D"/>
          <w:sz w:val="22"/>
          <w:szCs w:val="22"/>
          <w:lang w:val="en-GB"/>
        </w:rPr>
        <w:t xml:space="preserve"> and a manageable workload, while employers </w:t>
      </w:r>
      <w:r w:rsidRPr="001DFC05" w:rsidR="4785FD52">
        <w:rPr>
          <w:rFonts w:ascii="Calibri" w:hAnsi="Calibri" w:eastAsia="Calibri" w:cs="Calibri"/>
          <w:noProof w:val="0"/>
          <w:color w:val="172B4D"/>
          <w:sz w:val="22"/>
          <w:szCs w:val="22"/>
          <w:lang w:val="en-GB"/>
        </w:rPr>
        <w:t>generally prioritise</w:t>
      </w:r>
      <w:r w:rsidRPr="001DFC05" w:rsidR="4785FD52">
        <w:rPr>
          <w:rFonts w:ascii="Calibri" w:hAnsi="Calibri" w:eastAsia="Calibri" w:cs="Calibri"/>
          <w:noProof w:val="0"/>
          <w:color w:val="172B4D"/>
          <w:sz w:val="22"/>
          <w:szCs w:val="22"/>
          <w:lang w:val="en-GB"/>
        </w:rPr>
        <w:t xml:space="preserve"> workplace productivity, qualification</w:t>
      </w:r>
      <w:r w:rsidRPr="001DFC05" w:rsidR="47CC8B27">
        <w:rPr>
          <w:rFonts w:ascii="Calibri" w:hAnsi="Calibri" w:eastAsia="Calibri" w:cs="Calibri"/>
          <w:noProof w:val="0"/>
          <w:color w:val="172B4D"/>
          <w:sz w:val="22"/>
          <w:szCs w:val="22"/>
          <w:lang w:val="en-GB"/>
        </w:rPr>
        <w:t xml:space="preserve"> relevance </w:t>
      </w:r>
      <w:r w:rsidRPr="001DFC05" w:rsidR="4785FD52">
        <w:rPr>
          <w:rFonts w:ascii="Calibri" w:hAnsi="Calibri" w:eastAsia="Calibri" w:cs="Calibri"/>
          <w:noProof w:val="0"/>
          <w:color w:val="172B4D"/>
          <w:sz w:val="22"/>
          <w:szCs w:val="22"/>
          <w:lang w:val="en-GB"/>
        </w:rPr>
        <w:t xml:space="preserve">and </w:t>
      </w:r>
      <w:r w:rsidRPr="001DFC05" w:rsidR="4785FD52">
        <w:rPr>
          <w:rFonts w:ascii="Calibri" w:hAnsi="Calibri" w:eastAsia="Calibri" w:cs="Calibri"/>
          <w:noProof w:val="0"/>
          <w:color w:val="172B4D"/>
          <w:sz w:val="22"/>
          <w:szCs w:val="22"/>
          <w:lang w:val="en-GB"/>
        </w:rPr>
        <w:t>timely</w:t>
      </w:r>
      <w:r w:rsidRPr="001DFC05" w:rsidR="4785FD52">
        <w:rPr>
          <w:rFonts w:ascii="Calibri" w:hAnsi="Calibri" w:eastAsia="Calibri" w:cs="Calibri"/>
          <w:noProof w:val="0"/>
          <w:color w:val="172B4D"/>
          <w:sz w:val="22"/>
          <w:szCs w:val="22"/>
          <w:lang w:val="en-GB"/>
        </w:rPr>
        <w:t xml:space="preserve"> completion. Having diverse </w:t>
      </w:r>
      <w:r w:rsidRPr="001DFC05" w:rsidR="462DF605">
        <w:rPr>
          <w:rFonts w:ascii="Calibri" w:hAnsi="Calibri" w:eastAsia="Calibri" w:cs="Calibri"/>
          <w:noProof w:val="0"/>
          <w:color w:val="172B4D"/>
          <w:sz w:val="22"/>
          <w:szCs w:val="22"/>
          <w:lang w:val="en-GB"/>
        </w:rPr>
        <w:t xml:space="preserve">expectations </w:t>
      </w:r>
      <w:r w:rsidRPr="001DFC05" w:rsidR="4785FD52">
        <w:rPr>
          <w:rFonts w:ascii="Calibri" w:hAnsi="Calibri" w:eastAsia="Calibri" w:cs="Calibri"/>
          <w:noProof w:val="0"/>
          <w:color w:val="172B4D"/>
          <w:sz w:val="22"/>
          <w:szCs w:val="22"/>
          <w:lang w:val="en-GB"/>
        </w:rPr>
        <w:t xml:space="preserve">while sticking to a </w:t>
      </w:r>
      <w:r w:rsidRPr="001DFC05" w:rsidR="0C9BCFF4">
        <w:rPr>
          <w:rFonts w:ascii="Calibri" w:hAnsi="Calibri" w:eastAsia="Calibri" w:cs="Calibri"/>
          <w:noProof w:val="0"/>
          <w:color w:val="172B4D"/>
          <w:sz w:val="22"/>
          <w:szCs w:val="22"/>
          <w:lang w:val="en-GB"/>
        </w:rPr>
        <w:t>standardised</w:t>
      </w:r>
      <w:r w:rsidRPr="001DFC05" w:rsidR="4785FD52">
        <w:rPr>
          <w:rFonts w:ascii="Calibri" w:hAnsi="Calibri" w:eastAsia="Calibri" w:cs="Calibri"/>
          <w:noProof w:val="0"/>
          <w:color w:val="172B4D"/>
          <w:sz w:val="22"/>
          <w:szCs w:val="22"/>
          <w:lang w:val="en-GB"/>
        </w:rPr>
        <w:t xml:space="preserve"> approach requires clear communication, professional empathy and a responsive support model integrated into every stage of the learner journey.</w:t>
      </w:r>
      <w:r>
        <w:br/>
      </w:r>
      <w:r>
        <w:tab/>
      </w:r>
      <w:r w:rsidRPr="001DFC05" w:rsidR="4785FD52">
        <w:rPr>
          <w:rFonts w:ascii="Calibri" w:hAnsi="Calibri" w:eastAsia="Calibri" w:cs="Calibri"/>
          <w:noProof w:val="0"/>
          <w:color w:val="172B4D"/>
          <w:sz w:val="22"/>
          <w:szCs w:val="22"/>
          <w:lang w:val="en-GB"/>
        </w:rPr>
        <w:t xml:space="preserve">TOs play a vital role in addressing and </w:t>
      </w:r>
      <w:r w:rsidRPr="001DFC05" w:rsidR="4785FD52">
        <w:rPr>
          <w:rFonts w:ascii="Calibri" w:hAnsi="Calibri" w:eastAsia="Calibri" w:cs="Calibri"/>
          <w:noProof w:val="0"/>
          <w:color w:val="172B4D"/>
          <w:sz w:val="22"/>
          <w:szCs w:val="22"/>
          <w:lang w:val="en-GB"/>
        </w:rPr>
        <w:t>maintaining</w:t>
      </w:r>
      <w:r w:rsidRPr="001DFC05" w:rsidR="4785FD52">
        <w:rPr>
          <w:rFonts w:ascii="Calibri" w:hAnsi="Calibri" w:eastAsia="Calibri" w:cs="Calibri"/>
          <w:noProof w:val="0"/>
          <w:color w:val="172B4D"/>
          <w:sz w:val="22"/>
          <w:szCs w:val="22"/>
          <w:lang w:val="en-GB"/>
        </w:rPr>
        <w:t xml:space="preserve"> these expectations. Learner needs are usually assessed during induction through discussions about learning support, prior </w:t>
      </w:r>
      <w:r w:rsidRPr="001DFC05" w:rsidR="4785FD52">
        <w:rPr>
          <w:rFonts w:ascii="Calibri" w:hAnsi="Calibri" w:eastAsia="Calibri" w:cs="Calibri"/>
          <w:noProof w:val="0"/>
          <w:color w:val="172B4D"/>
          <w:sz w:val="22"/>
          <w:szCs w:val="22"/>
          <w:lang w:val="en-GB"/>
        </w:rPr>
        <w:t>experience</w:t>
      </w:r>
      <w:r w:rsidRPr="001DFC05" w:rsidR="4785FD52">
        <w:rPr>
          <w:rFonts w:ascii="Calibri" w:hAnsi="Calibri" w:eastAsia="Calibri" w:cs="Calibri"/>
          <w:noProof w:val="0"/>
          <w:color w:val="172B4D"/>
          <w:sz w:val="22"/>
          <w:szCs w:val="22"/>
          <w:lang w:val="en-GB"/>
        </w:rPr>
        <w:t xml:space="preserve"> and ALN, which help </w:t>
      </w:r>
      <w:r w:rsidRPr="001DFC05" w:rsidR="4785FD52">
        <w:rPr>
          <w:rFonts w:ascii="Calibri" w:hAnsi="Calibri" w:eastAsia="Calibri" w:cs="Calibri"/>
          <w:noProof w:val="0"/>
          <w:color w:val="172B4D"/>
          <w:sz w:val="22"/>
          <w:szCs w:val="22"/>
          <w:lang w:val="en-GB"/>
        </w:rPr>
        <w:t>establish</w:t>
      </w:r>
      <w:r w:rsidRPr="001DFC05" w:rsidR="4785FD52">
        <w:rPr>
          <w:rFonts w:ascii="Calibri" w:hAnsi="Calibri" w:eastAsia="Calibri" w:cs="Calibri"/>
          <w:noProof w:val="0"/>
          <w:color w:val="172B4D"/>
          <w:sz w:val="22"/>
          <w:szCs w:val="22"/>
          <w:lang w:val="en-GB"/>
        </w:rPr>
        <w:t xml:space="preserve"> a baseline for planning. Employers </w:t>
      </w:r>
      <w:r w:rsidRPr="001DFC05" w:rsidR="4785FD52">
        <w:rPr>
          <w:rFonts w:ascii="Calibri" w:hAnsi="Calibri" w:eastAsia="Calibri" w:cs="Calibri"/>
          <w:noProof w:val="0"/>
          <w:color w:val="172B4D"/>
          <w:sz w:val="22"/>
          <w:szCs w:val="22"/>
          <w:lang w:val="en-GB"/>
        </w:rPr>
        <w:t>participate</w:t>
      </w:r>
      <w:r w:rsidRPr="001DFC05" w:rsidR="4785FD52">
        <w:rPr>
          <w:rFonts w:ascii="Calibri" w:hAnsi="Calibri" w:eastAsia="Calibri" w:cs="Calibri"/>
          <w:noProof w:val="0"/>
          <w:color w:val="172B4D"/>
          <w:sz w:val="22"/>
          <w:szCs w:val="22"/>
          <w:lang w:val="en-GB"/>
        </w:rPr>
        <w:t xml:space="preserve"> in the unit </w:t>
      </w:r>
      <w:r w:rsidRPr="001DFC05" w:rsidR="4785FD52">
        <w:rPr>
          <w:rFonts w:ascii="Calibri" w:hAnsi="Calibri" w:eastAsia="Calibri" w:cs="Calibri"/>
          <w:noProof w:val="0"/>
          <w:color w:val="172B4D"/>
          <w:sz w:val="22"/>
          <w:szCs w:val="22"/>
          <w:lang w:val="en-GB"/>
        </w:rPr>
        <w:t>selection</w:t>
      </w:r>
      <w:r w:rsidRPr="001DFC05" w:rsidR="4785FD52">
        <w:rPr>
          <w:rFonts w:ascii="Calibri" w:hAnsi="Calibri" w:eastAsia="Calibri" w:cs="Calibri"/>
          <w:noProof w:val="0"/>
          <w:color w:val="172B4D"/>
          <w:sz w:val="22"/>
          <w:szCs w:val="22"/>
          <w:lang w:val="en-GB"/>
        </w:rPr>
        <w:t xml:space="preserve"> and are informed about compliance requirements during monthly meetings during the qualification. topics of discussion include examples like learners </w:t>
      </w:r>
      <w:r w:rsidRPr="001DFC05" w:rsidR="788C627A">
        <w:rPr>
          <w:rFonts w:ascii="Calibri" w:hAnsi="Calibri" w:eastAsia="Calibri" w:cs="Calibri"/>
          <w:noProof w:val="0"/>
          <w:color w:val="172B4D"/>
          <w:sz w:val="22"/>
          <w:szCs w:val="22"/>
          <w:lang w:val="en-GB"/>
        </w:rPr>
        <w:t>being</w:t>
      </w:r>
      <w:r w:rsidRPr="001DFC05" w:rsidR="4785FD52">
        <w:rPr>
          <w:rFonts w:ascii="Calibri" w:hAnsi="Calibri" w:eastAsia="Calibri" w:cs="Calibri"/>
          <w:noProof w:val="0"/>
          <w:color w:val="172B4D"/>
          <w:sz w:val="22"/>
          <w:szCs w:val="22"/>
          <w:lang w:val="en-GB"/>
        </w:rPr>
        <w:t xml:space="preserve"> released for scheduled visits and </w:t>
      </w:r>
      <w:r w:rsidRPr="001DFC05" w:rsidR="4785FD52">
        <w:rPr>
          <w:rFonts w:ascii="Calibri" w:hAnsi="Calibri" w:eastAsia="Calibri" w:cs="Calibri"/>
          <w:noProof w:val="0"/>
          <w:color w:val="172B4D"/>
          <w:sz w:val="22"/>
          <w:szCs w:val="22"/>
          <w:lang w:val="en-GB"/>
        </w:rPr>
        <w:t>allocated</w:t>
      </w:r>
      <w:r w:rsidRPr="001DFC05" w:rsidR="4785FD52">
        <w:rPr>
          <w:rFonts w:ascii="Calibri" w:hAnsi="Calibri" w:eastAsia="Calibri" w:cs="Calibri"/>
          <w:noProof w:val="0"/>
          <w:color w:val="172B4D"/>
          <w:sz w:val="22"/>
          <w:szCs w:val="22"/>
          <w:lang w:val="en-GB"/>
        </w:rPr>
        <w:t xml:space="preserve"> time off the floor to work on their </w:t>
      </w:r>
      <w:r w:rsidRPr="001DFC05" w:rsidR="7AAD6728">
        <w:rPr>
          <w:rFonts w:ascii="Calibri" w:hAnsi="Calibri" w:eastAsia="Calibri" w:cs="Calibri"/>
          <w:noProof w:val="0"/>
          <w:color w:val="172B4D"/>
          <w:sz w:val="22"/>
          <w:szCs w:val="22"/>
          <w:lang w:val="en-GB"/>
        </w:rPr>
        <w:t>portfolio.</w:t>
      </w:r>
      <w:r w:rsidRPr="001DFC05" w:rsidR="4785FD52">
        <w:rPr>
          <w:rFonts w:ascii="Calibri" w:hAnsi="Calibri" w:eastAsia="Calibri" w:cs="Calibri"/>
          <w:noProof w:val="0"/>
          <w:color w:val="172B4D"/>
          <w:sz w:val="22"/>
          <w:szCs w:val="22"/>
          <w:lang w:val="en-GB"/>
        </w:rPr>
        <w:t xml:space="preserve"> </w:t>
      </w:r>
      <w:r w:rsidRPr="001DFC05" w:rsidR="4785FD52">
        <w:rPr>
          <w:rFonts w:ascii="Calibri" w:hAnsi="Calibri" w:eastAsia="Calibri" w:cs="Calibri"/>
          <w:noProof w:val="0"/>
          <w:color w:val="172B4D"/>
          <w:sz w:val="22"/>
          <w:szCs w:val="22"/>
          <w:lang w:val="en-GB"/>
        </w:rPr>
        <w:t>For</w:t>
      </w:r>
      <w:r w:rsidRPr="001DFC05" w:rsidR="4785FD52">
        <w:rPr>
          <w:rFonts w:ascii="Calibri" w:hAnsi="Calibri" w:eastAsia="Calibri" w:cs="Calibri"/>
          <w:noProof w:val="0"/>
          <w:color w:val="172B4D"/>
          <w:sz w:val="22"/>
          <w:szCs w:val="22"/>
          <w:lang w:val="en-GB"/>
        </w:rPr>
        <w:t xml:space="preserve"> instance, learners identified with ALN early on do not always receive </w:t>
      </w:r>
      <w:r w:rsidRPr="001DFC05" w:rsidR="4785FD52">
        <w:rPr>
          <w:rFonts w:ascii="Calibri" w:hAnsi="Calibri" w:eastAsia="Calibri" w:cs="Calibri"/>
          <w:noProof w:val="0"/>
          <w:color w:val="172B4D"/>
          <w:sz w:val="22"/>
          <w:szCs w:val="22"/>
          <w:lang w:val="en-GB"/>
        </w:rPr>
        <w:t>additional</w:t>
      </w:r>
      <w:r w:rsidRPr="001DFC05" w:rsidR="4785FD52">
        <w:rPr>
          <w:rFonts w:ascii="Calibri" w:hAnsi="Calibri" w:eastAsia="Calibri" w:cs="Calibri"/>
          <w:noProof w:val="0"/>
          <w:color w:val="172B4D"/>
          <w:sz w:val="22"/>
          <w:szCs w:val="22"/>
          <w:lang w:val="en-GB"/>
        </w:rPr>
        <w:t xml:space="preserve"> time. This highlights and can create tension between a strict structure and support, suggesting that not all learner needs are fully met within a strict framework.</w:t>
      </w:r>
      <w:r>
        <w:br/>
      </w:r>
      <w:r>
        <w:tab/>
      </w:r>
      <w:r w:rsidRPr="001DFC05" w:rsidR="4785FD52">
        <w:rPr>
          <w:rFonts w:ascii="Calibri" w:hAnsi="Calibri" w:eastAsia="Calibri" w:cs="Calibri"/>
          <w:noProof w:val="0"/>
          <w:color w:val="172B4D"/>
          <w:sz w:val="22"/>
          <w:szCs w:val="22"/>
          <w:lang w:val="en-GB"/>
        </w:rPr>
        <w:t xml:space="preserve">To navigate these challenges, Cambrian employs customer prioritisation frameworks like the Kano Model and the </w:t>
      </w:r>
      <w:r w:rsidRPr="001DFC05" w:rsidR="4785FD52">
        <w:rPr>
          <w:rFonts w:ascii="Calibri" w:hAnsi="Calibri" w:eastAsia="Calibri" w:cs="Calibri"/>
          <w:noProof w:val="0"/>
          <w:color w:val="172B4D"/>
          <w:sz w:val="22"/>
          <w:szCs w:val="22"/>
          <w:lang w:val="en-GB"/>
        </w:rPr>
        <w:t>MoSCoW</w:t>
      </w:r>
      <w:r w:rsidRPr="001DFC05" w:rsidR="4785FD52">
        <w:rPr>
          <w:rFonts w:ascii="Calibri" w:hAnsi="Calibri" w:eastAsia="Calibri" w:cs="Calibri"/>
          <w:noProof w:val="0"/>
          <w:color w:val="172B4D"/>
          <w:sz w:val="22"/>
          <w:szCs w:val="22"/>
          <w:lang w:val="en-GB"/>
        </w:rPr>
        <w:t xml:space="preserve"> Method. In CTC, the Kano model is used to </w:t>
      </w:r>
      <w:r w:rsidRPr="001DFC05" w:rsidR="4785FD52">
        <w:rPr>
          <w:rFonts w:ascii="Calibri" w:hAnsi="Calibri" w:eastAsia="Calibri" w:cs="Calibri"/>
          <w:noProof w:val="0"/>
          <w:color w:val="172B4D"/>
          <w:sz w:val="22"/>
          <w:szCs w:val="22"/>
          <w:lang w:val="en-GB"/>
        </w:rPr>
        <w:t>remain</w:t>
      </w:r>
      <w:r w:rsidRPr="001DFC05" w:rsidR="4785FD52">
        <w:rPr>
          <w:rFonts w:ascii="Calibri" w:hAnsi="Calibri" w:eastAsia="Calibri" w:cs="Calibri"/>
          <w:noProof w:val="0"/>
          <w:color w:val="172B4D"/>
          <w:sz w:val="22"/>
          <w:szCs w:val="22"/>
          <w:lang w:val="en-GB"/>
        </w:rPr>
        <w:t xml:space="preserve"> compliant and receive clear communication. Meeting portfolio deadlines and </w:t>
      </w:r>
      <w:r w:rsidRPr="001DFC05" w:rsidR="4785FD52">
        <w:rPr>
          <w:rFonts w:ascii="Calibri" w:hAnsi="Calibri" w:eastAsia="Calibri" w:cs="Calibri"/>
          <w:noProof w:val="0"/>
          <w:color w:val="172B4D"/>
          <w:sz w:val="22"/>
          <w:szCs w:val="22"/>
          <w:lang w:val="en-GB"/>
        </w:rPr>
        <w:t>demonstrating</w:t>
      </w:r>
      <w:r w:rsidRPr="001DFC05" w:rsidR="4785FD52">
        <w:rPr>
          <w:rFonts w:ascii="Calibri" w:hAnsi="Calibri" w:eastAsia="Calibri" w:cs="Calibri"/>
          <w:noProof w:val="0"/>
          <w:color w:val="172B4D"/>
          <w:sz w:val="22"/>
          <w:szCs w:val="22"/>
          <w:lang w:val="en-GB"/>
        </w:rPr>
        <w:t xml:space="preserve"> measurable progress aligns with performance expectations, while offering opportunities such as competitions and Continuing Professional Development (CPD) is likely to create delight and strengthen engagement (Noriaki, 2020). However, there is a risk that an overemphasis on compliance can divert attention from performance and delight factors, particularly for learners who are progressing well but not formally recognised.</w:t>
      </w:r>
      <w:r>
        <w:br/>
      </w:r>
      <w:r>
        <w:tab/>
      </w:r>
      <w:r w:rsidRPr="001DFC05" w:rsidR="4785FD52">
        <w:rPr>
          <w:rFonts w:ascii="Calibri" w:hAnsi="Calibri" w:eastAsia="Calibri" w:cs="Calibri"/>
          <w:noProof w:val="0"/>
          <w:color w:val="172B4D"/>
          <w:sz w:val="22"/>
          <w:szCs w:val="22"/>
          <w:lang w:val="en-GB"/>
        </w:rPr>
        <w:t xml:space="preserve">Alongside Kano, the </w:t>
      </w:r>
      <w:r w:rsidRPr="001DFC05" w:rsidR="4785FD52">
        <w:rPr>
          <w:rFonts w:ascii="Calibri" w:hAnsi="Calibri" w:eastAsia="Calibri" w:cs="Calibri"/>
          <w:noProof w:val="0"/>
          <w:color w:val="172B4D"/>
          <w:sz w:val="22"/>
          <w:szCs w:val="22"/>
          <w:lang w:val="en-GB"/>
        </w:rPr>
        <w:t>MoSCoW</w:t>
      </w:r>
      <w:r w:rsidRPr="001DFC05" w:rsidR="4785FD52">
        <w:rPr>
          <w:rFonts w:ascii="Calibri" w:hAnsi="Calibri" w:eastAsia="Calibri" w:cs="Calibri"/>
          <w:noProof w:val="0"/>
          <w:color w:val="172B4D"/>
          <w:sz w:val="22"/>
          <w:szCs w:val="22"/>
          <w:lang w:val="en-GB"/>
        </w:rPr>
        <w:t xml:space="preserve"> Method provides a system for categorising priorities within resource constraints. </w:t>
      </w:r>
      <w:r w:rsidRPr="001DFC05" w:rsidR="4785FD52">
        <w:rPr>
          <w:rFonts w:ascii="Calibri" w:hAnsi="Calibri" w:eastAsia="Calibri" w:cs="Calibri"/>
          <w:noProof w:val="0"/>
          <w:color w:val="172B4D"/>
          <w:sz w:val="22"/>
          <w:szCs w:val="22"/>
          <w:lang w:val="en-GB"/>
        </w:rPr>
        <w:t>Remaining</w:t>
      </w:r>
      <w:r w:rsidRPr="001DFC05" w:rsidR="4785FD52">
        <w:rPr>
          <w:rFonts w:ascii="Calibri" w:hAnsi="Calibri" w:eastAsia="Calibri" w:cs="Calibri"/>
          <w:noProof w:val="0"/>
          <w:color w:val="172B4D"/>
          <w:sz w:val="22"/>
          <w:szCs w:val="22"/>
          <w:lang w:val="en-GB"/>
        </w:rPr>
        <w:t xml:space="preserve"> compliant with relevant bodies and sitting in on regular ALN meetings when needed are considered non-negotiable </w:t>
      </w:r>
      <w:r w:rsidRPr="001DFC05" w:rsidR="4FC66259">
        <w:rPr>
          <w:rFonts w:ascii="Calibri" w:hAnsi="Calibri" w:eastAsia="Calibri" w:cs="Calibri"/>
          <w:noProof w:val="0"/>
          <w:color w:val="172B4D"/>
          <w:sz w:val="22"/>
          <w:szCs w:val="22"/>
          <w:lang w:val="en-GB"/>
        </w:rPr>
        <w:t xml:space="preserve">or </w:t>
      </w:r>
      <w:r w:rsidRPr="001DFC05" w:rsidR="19D23009">
        <w:rPr>
          <w:rFonts w:ascii="Calibri" w:hAnsi="Calibri" w:eastAsia="Calibri" w:cs="Calibri"/>
          <w:noProof w:val="0"/>
          <w:color w:val="172B4D"/>
          <w:sz w:val="22"/>
          <w:szCs w:val="22"/>
          <w:lang w:val="en-GB"/>
        </w:rPr>
        <w:t>‘must-haves</w:t>
      </w:r>
      <w:r w:rsidRPr="001DFC05" w:rsidR="19D23009">
        <w:rPr>
          <w:rFonts w:ascii="Calibri" w:hAnsi="Calibri" w:eastAsia="Calibri" w:cs="Calibri"/>
          <w:noProof w:val="0"/>
          <w:color w:val="172B4D"/>
          <w:sz w:val="22"/>
          <w:szCs w:val="22"/>
          <w:lang w:val="en-GB"/>
        </w:rPr>
        <w:t>’,</w:t>
      </w:r>
      <w:r w:rsidRPr="001DFC05" w:rsidR="4785FD52">
        <w:rPr>
          <w:rFonts w:ascii="Calibri" w:hAnsi="Calibri" w:eastAsia="Calibri" w:cs="Calibri"/>
          <w:noProof w:val="0"/>
          <w:color w:val="172B4D"/>
          <w:sz w:val="22"/>
          <w:szCs w:val="22"/>
          <w:lang w:val="en-GB"/>
        </w:rPr>
        <w:t xml:space="preserve"> while tasks such as tailored support or one-to-one coaching sessions are often treated as </w:t>
      </w:r>
      <w:r w:rsidRPr="001DFC05" w:rsidR="5659CD37">
        <w:rPr>
          <w:rFonts w:ascii="Calibri" w:hAnsi="Calibri" w:eastAsia="Calibri" w:cs="Calibri"/>
          <w:noProof w:val="0"/>
          <w:color w:val="172B4D"/>
          <w:sz w:val="22"/>
          <w:szCs w:val="22"/>
          <w:lang w:val="en-GB"/>
        </w:rPr>
        <w:t xml:space="preserve">'should-haves' </w:t>
      </w:r>
      <w:r w:rsidRPr="001DFC05" w:rsidR="4785FD52">
        <w:rPr>
          <w:rFonts w:ascii="Calibri" w:hAnsi="Calibri" w:eastAsia="Calibri" w:cs="Calibri"/>
          <w:noProof w:val="0"/>
          <w:color w:val="172B4D"/>
          <w:sz w:val="22"/>
          <w:szCs w:val="22"/>
          <w:lang w:val="en-GB"/>
        </w:rPr>
        <w:t xml:space="preserve">depending on </w:t>
      </w:r>
      <w:r w:rsidRPr="001DFC05" w:rsidR="4785FD52">
        <w:rPr>
          <w:rFonts w:ascii="Calibri" w:hAnsi="Calibri" w:eastAsia="Calibri" w:cs="Calibri"/>
          <w:noProof w:val="0"/>
          <w:color w:val="172B4D"/>
          <w:sz w:val="22"/>
          <w:szCs w:val="22"/>
          <w:lang w:val="en-GB"/>
        </w:rPr>
        <w:t>capacity</w:t>
      </w:r>
      <w:r w:rsidRPr="001DFC05" w:rsidR="4785FD52">
        <w:rPr>
          <w:rFonts w:ascii="Calibri" w:hAnsi="Calibri" w:eastAsia="Calibri" w:cs="Calibri"/>
          <w:noProof w:val="0"/>
          <w:color w:val="172B4D"/>
          <w:sz w:val="22"/>
          <w:szCs w:val="22"/>
          <w:lang w:val="en-GB"/>
        </w:rPr>
        <w:t xml:space="preserve">. Optional enhancements like industry events or awards and graduations are typically viewed as ‘could haves’ within the </w:t>
      </w:r>
      <w:r w:rsidRPr="001DFC05" w:rsidR="4785FD52">
        <w:rPr>
          <w:rFonts w:ascii="Calibri" w:hAnsi="Calibri" w:eastAsia="Calibri" w:cs="Calibri"/>
          <w:noProof w:val="0"/>
          <w:color w:val="172B4D"/>
          <w:sz w:val="22"/>
          <w:szCs w:val="22"/>
          <w:lang w:val="en-GB"/>
        </w:rPr>
        <w:t>MoSCoW</w:t>
      </w:r>
      <w:r w:rsidRPr="001DFC05" w:rsidR="4785FD52">
        <w:rPr>
          <w:rFonts w:ascii="Calibri" w:hAnsi="Calibri" w:eastAsia="Calibri" w:cs="Calibri"/>
          <w:noProof w:val="0"/>
          <w:color w:val="172B4D"/>
          <w:sz w:val="22"/>
          <w:szCs w:val="22"/>
          <w:lang w:val="en-GB"/>
        </w:rPr>
        <w:t xml:space="preserve"> framework. While this model supports practical delivery, it creates a </w:t>
      </w:r>
      <w:r w:rsidRPr="001DFC05" w:rsidR="4785FD52">
        <w:rPr>
          <w:rFonts w:ascii="Calibri" w:hAnsi="Calibri" w:eastAsia="Calibri" w:cs="Calibri"/>
          <w:noProof w:val="0"/>
          <w:color w:val="172B4D"/>
          <w:sz w:val="22"/>
          <w:szCs w:val="22"/>
          <w:lang w:val="en-GB"/>
        </w:rPr>
        <w:t>perception</w:t>
      </w:r>
      <w:r w:rsidRPr="001DFC05" w:rsidR="4785FD52">
        <w:rPr>
          <w:rFonts w:ascii="Calibri" w:hAnsi="Calibri" w:eastAsia="Calibri" w:cs="Calibri"/>
          <w:noProof w:val="0"/>
          <w:color w:val="172B4D"/>
          <w:sz w:val="22"/>
          <w:szCs w:val="22"/>
          <w:lang w:val="en-GB"/>
        </w:rPr>
        <w:t xml:space="preserve"> among learners that certain needs are of lesser importance, depending on how they are categorised and communicated (DSDM Consortium, 2018).</w:t>
      </w:r>
      <w:r>
        <w:br/>
      </w:r>
      <w:r>
        <w:tab/>
      </w:r>
      <w:r w:rsidRPr="001DFC05" w:rsidR="4785FD52">
        <w:rPr>
          <w:rFonts w:ascii="Calibri" w:hAnsi="Calibri" w:eastAsia="Calibri" w:cs="Calibri"/>
          <w:noProof w:val="0"/>
          <w:color w:val="172B4D"/>
          <w:sz w:val="22"/>
          <w:szCs w:val="22"/>
          <w:lang w:val="en-GB"/>
        </w:rPr>
        <w:t xml:space="preserve">There are deeper issues within expectation management, the possibility of disengagement when learners or employers feel that their concerns </w:t>
      </w:r>
      <w:r w:rsidRPr="001DFC05" w:rsidR="4785FD52">
        <w:rPr>
          <w:rFonts w:ascii="Calibri" w:hAnsi="Calibri" w:eastAsia="Calibri" w:cs="Calibri"/>
          <w:noProof w:val="0"/>
          <w:color w:val="172B4D"/>
          <w:sz w:val="22"/>
          <w:szCs w:val="22"/>
          <w:lang w:val="en-GB"/>
        </w:rPr>
        <w:t>aren't</w:t>
      </w:r>
      <w:r w:rsidRPr="001DFC05" w:rsidR="4785FD52">
        <w:rPr>
          <w:rFonts w:ascii="Calibri" w:hAnsi="Calibri" w:eastAsia="Calibri" w:cs="Calibri"/>
          <w:noProof w:val="0"/>
          <w:color w:val="172B4D"/>
          <w:sz w:val="22"/>
          <w:szCs w:val="22"/>
          <w:lang w:val="en-GB"/>
        </w:rPr>
        <w:t xml:space="preserve"> as important as they think they are. Although the 61-day progress reviews offer a formal opportunity for stakeholders to realign expectations, their effectiveness depends on mutual openness and active participation from all sides. Dumitru, Christodoulou, and </w:t>
      </w:r>
      <w:r w:rsidRPr="001DFC05" w:rsidR="4785FD52">
        <w:rPr>
          <w:rFonts w:ascii="Calibri" w:hAnsi="Calibri" w:eastAsia="Calibri" w:cs="Calibri"/>
          <w:noProof w:val="0"/>
          <w:color w:val="172B4D"/>
          <w:sz w:val="22"/>
          <w:szCs w:val="22"/>
          <w:lang w:val="en-GB"/>
        </w:rPr>
        <w:t>Lithoxoidou</w:t>
      </w:r>
      <w:r w:rsidRPr="001DFC05" w:rsidR="4785FD52">
        <w:rPr>
          <w:rFonts w:ascii="Calibri" w:hAnsi="Calibri" w:eastAsia="Calibri" w:cs="Calibri"/>
          <w:noProof w:val="0"/>
          <w:color w:val="172B4D"/>
          <w:sz w:val="22"/>
          <w:szCs w:val="22"/>
          <w:lang w:val="en-GB"/>
        </w:rPr>
        <w:t xml:space="preserve"> (2021) caution that structured check-ins are only effective when all parties feel confident voicing concerns and proposing alternatives. If a learner feels their challenges are being undermined or employers feel excluded from decisions relating to </w:t>
      </w:r>
      <w:r w:rsidRPr="001DFC05" w:rsidR="4785FD52">
        <w:rPr>
          <w:rFonts w:ascii="Calibri" w:hAnsi="Calibri" w:eastAsia="Calibri" w:cs="Calibri"/>
          <w:noProof w:val="0"/>
          <w:color w:val="172B4D"/>
          <w:sz w:val="22"/>
          <w:szCs w:val="22"/>
          <w:lang w:val="en-GB"/>
        </w:rPr>
        <w:t>timely</w:t>
      </w:r>
      <w:r w:rsidRPr="001DFC05" w:rsidR="4785FD52">
        <w:rPr>
          <w:rFonts w:ascii="Calibri" w:hAnsi="Calibri" w:eastAsia="Calibri" w:cs="Calibri"/>
          <w:noProof w:val="0"/>
          <w:color w:val="172B4D"/>
          <w:sz w:val="22"/>
          <w:szCs w:val="22"/>
          <w:lang w:val="en-GB"/>
        </w:rPr>
        <w:t xml:space="preserve"> visits, engagement may decline</w:t>
      </w:r>
      <w:r w:rsidRPr="001DFC05" w:rsidR="4E720D1A">
        <w:rPr>
          <w:rFonts w:ascii="Calibri" w:hAnsi="Calibri" w:eastAsia="Calibri" w:cs="Calibri"/>
          <w:noProof w:val="0"/>
          <w:color w:val="172B4D"/>
          <w:sz w:val="22"/>
          <w:szCs w:val="22"/>
          <w:lang w:val="en-GB"/>
        </w:rPr>
        <w:t xml:space="preserve">, leading to </w:t>
      </w:r>
      <w:r w:rsidRPr="001DFC05" w:rsidR="03CD74D4">
        <w:rPr>
          <w:rFonts w:ascii="Calibri" w:hAnsi="Calibri" w:eastAsia="Calibri" w:cs="Calibri"/>
          <w:noProof w:val="0"/>
          <w:color w:val="172B4D"/>
          <w:sz w:val="22"/>
          <w:szCs w:val="22"/>
          <w:lang w:val="en-GB"/>
        </w:rPr>
        <w:t>a drop</w:t>
      </w:r>
      <w:r w:rsidRPr="001DFC05" w:rsidR="4E720D1A">
        <w:rPr>
          <w:rFonts w:ascii="Calibri" w:hAnsi="Calibri" w:eastAsia="Calibri" w:cs="Calibri"/>
          <w:noProof w:val="0"/>
          <w:color w:val="172B4D"/>
          <w:sz w:val="22"/>
          <w:szCs w:val="22"/>
          <w:lang w:val="en-GB"/>
        </w:rPr>
        <w:t xml:space="preserve"> in motivation</w:t>
      </w:r>
      <w:r w:rsidRPr="001DFC05" w:rsidR="4785FD52">
        <w:rPr>
          <w:rFonts w:ascii="Calibri" w:hAnsi="Calibri" w:eastAsia="Calibri" w:cs="Calibri"/>
          <w:noProof w:val="0"/>
          <w:color w:val="172B4D"/>
          <w:sz w:val="22"/>
          <w:szCs w:val="22"/>
          <w:lang w:val="en-GB"/>
        </w:rPr>
        <w:t>.</w:t>
      </w:r>
      <w:r>
        <w:br/>
      </w:r>
      <w:r>
        <w:tab/>
      </w:r>
      <w:r w:rsidRPr="001DFC05" w:rsidR="4785FD52">
        <w:rPr>
          <w:rFonts w:ascii="Calibri" w:hAnsi="Calibri" w:eastAsia="Calibri" w:cs="Calibri"/>
          <w:noProof w:val="0"/>
          <w:color w:val="172B4D"/>
          <w:sz w:val="22"/>
          <w:szCs w:val="22"/>
          <w:lang w:val="en-GB"/>
        </w:rPr>
        <w:t xml:space="preserve">In contrast to strict standards for frameworks, some researchers argue for a more flexible, learner-led approach to customer satisfaction in vocational education. While early journey mapping, as explored in Section 3.1, helps standardise experience and reduce ambiguity, this approach may not fully accommodate fluctuating personal or workplace circumstances. For example, adult learners in demanding hospitality environments may face scheduling changes, unexpected personal responsibilities, or seasonal employment patterns that alter their ability to meet deadlines. Without an adaptive approach, these learners may feel increasingly disconnected from both the qualification and the support systems intended to </w:t>
      </w:r>
      <w:r w:rsidRPr="001DFC05" w:rsidR="4785FD52">
        <w:rPr>
          <w:rFonts w:ascii="Calibri" w:hAnsi="Calibri" w:eastAsia="Calibri" w:cs="Calibri"/>
          <w:noProof w:val="0"/>
          <w:color w:val="172B4D"/>
          <w:sz w:val="22"/>
          <w:szCs w:val="22"/>
          <w:lang w:val="en-GB"/>
        </w:rPr>
        <w:t>assist</w:t>
      </w:r>
      <w:r w:rsidRPr="001DFC05" w:rsidR="4785FD52">
        <w:rPr>
          <w:rFonts w:ascii="Calibri" w:hAnsi="Calibri" w:eastAsia="Calibri" w:cs="Calibri"/>
          <w:noProof w:val="0"/>
          <w:color w:val="172B4D"/>
          <w:sz w:val="22"/>
          <w:szCs w:val="22"/>
          <w:lang w:val="en-GB"/>
        </w:rPr>
        <w:t xml:space="preserve"> them.</w:t>
      </w:r>
      <w:r>
        <w:br/>
      </w:r>
      <w:r>
        <w:tab/>
      </w:r>
      <w:r w:rsidRPr="001DFC05" w:rsidR="4785FD52">
        <w:rPr>
          <w:rFonts w:ascii="Calibri" w:hAnsi="Calibri" w:eastAsia="Calibri" w:cs="Calibri"/>
          <w:noProof w:val="0"/>
          <w:color w:val="172B4D"/>
          <w:sz w:val="22"/>
          <w:szCs w:val="22"/>
          <w:lang w:val="en-GB"/>
        </w:rPr>
        <w:t>Nevertheless, CTC makes substantial efforts to reconcile these competing needs. By using digital systems to track learner progress and alert TOs to delays, the organisation can intervene before small issues escalate. Regular communication, including in-person and virtual updates with employers, reinforces shared responsibility and promotes mutual understanding. TOs act as intermediaries between learner goals and employer priorities, aiming to sustain satisfaction across both groups.</w:t>
      </w:r>
    </w:p>
    <w:p w:rsidR="59DD83D0" w:rsidP="4E8BE5FC" w:rsidRDefault="59DD83D0" w14:paraId="620A1330" w14:textId="54A88F9C">
      <w:pPr>
        <w:pStyle w:val="Heading1"/>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bookmarkStart w:name="_Toc739961114" w:id="94413989"/>
      <w:r w:rsidRPr="001DFC05" w:rsidR="59DD83D0">
        <w:rPr>
          <w:rFonts w:ascii="Calibri" w:hAnsi="Calibri" w:eastAsia="Calibri" w:cs="Calibri"/>
          <w:noProof w:val="0"/>
          <w:color w:val="auto"/>
          <w:sz w:val="32"/>
          <w:szCs w:val="32"/>
          <w:lang w:val="en-GB"/>
        </w:rPr>
        <w:t>4.</w:t>
      </w:r>
      <w:r w:rsidRPr="001DFC05" w:rsidR="70E70A59">
        <w:rPr>
          <w:rFonts w:ascii="Calibri" w:hAnsi="Calibri" w:eastAsia="Calibri" w:cs="Calibri"/>
          <w:noProof w:val="0"/>
          <w:color w:val="auto"/>
          <w:sz w:val="32"/>
          <w:szCs w:val="32"/>
          <w:lang w:val="en-GB"/>
        </w:rPr>
        <w:t>Critically Evaluate Customer Relationship Management</w:t>
      </w:r>
      <w:bookmarkEnd w:id="94413989"/>
    </w:p>
    <w:p w:rsidR="5E2FD036" w:rsidP="4E8BE5FC" w:rsidRDefault="5E2FD036" w14:paraId="174423B2" w14:textId="630AA7F9">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828979891" w:id="1243044018"/>
      <w:r w:rsidRPr="001DFC05" w:rsidR="414494FE">
        <w:rPr>
          <w:rFonts w:ascii="Calibri" w:hAnsi="Calibri" w:eastAsia="Calibri" w:cs="Calibri"/>
          <w:noProof w:val="0"/>
          <w:color w:val="auto"/>
          <w:sz w:val="28"/>
          <w:szCs w:val="28"/>
          <w:lang w:val="en-GB"/>
        </w:rPr>
        <w:t>4.1</w:t>
      </w:r>
      <w:r w:rsidRPr="001DFC05" w:rsidR="73A92549">
        <w:rPr>
          <w:rFonts w:ascii="Calibri" w:hAnsi="Calibri" w:eastAsia="Calibri" w:cs="Calibri"/>
          <w:noProof w:val="0"/>
          <w:color w:val="auto"/>
          <w:sz w:val="28"/>
          <w:szCs w:val="28"/>
          <w:lang w:val="en-GB"/>
        </w:rPr>
        <w:t xml:space="preserve"> Brand Loyalty vs Customer Loyalty in </w:t>
      </w:r>
      <w:r w:rsidRPr="001DFC05" w:rsidR="02777D13">
        <w:rPr>
          <w:rFonts w:ascii="Calibri" w:hAnsi="Calibri" w:eastAsia="Calibri" w:cs="Calibri"/>
          <w:noProof w:val="0"/>
          <w:color w:val="auto"/>
          <w:sz w:val="28"/>
          <w:szCs w:val="28"/>
          <w:lang w:val="en-GB"/>
        </w:rPr>
        <w:t>Work-Based</w:t>
      </w:r>
      <w:r w:rsidRPr="001DFC05" w:rsidR="73A92549">
        <w:rPr>
          <w:rFonts w:ascii="Calibri" w:hAnsi="Calibri" w:eastAsia="Calibri" w:cs="Calibri"/>
          <w:noProof w:val="0"/>
          <w:color w:val="auto"/>
          <w:sz w:val="28"/>
          <w:szCs w:val="28"/>
          <w:lang w:val="en-GB"/>
        </w:rPr>
        <w:t xml:space="preserve"> Learning</w:t>
      </w:r>
      <w:bookmarkEnd w:id="1243044018"/>
    </w:p>
    <w:p w:rsidR="01CA9E44" w:rsidP="001DFC05" w:rsidRDefault="01CA9E44" w14:paraId="28137DB5" w14:textId="117B97A2">
      <w:pPr>
        <w:keepNext w:val="0"/>
        <w:keepLines w:val="0"/>
        <w:spacing w:after="0" w:afterAutospacing="off" w:line="360" w:lineRule="auto"/>
        <w:ind w:firstLine="0"/>
        <w:jc w:val="both"/>
        <w:rPr>
          <w:rFonts w:ascii="Calibri" w:hAnsi="Calibri" w:eastAsia="Calibri" w:cs="Calibri"/>
          <w:noProof w:val="0"/>
          <w:color w:val="172B4D"/>
          <w:sz w:val="22"/>
          <w:szCs w:val="22"/>
          <w:lang w:val="en-GB"/>
        </w:rPr>
      </w:pPr>
      <w:r w:rsidRPr="001DFC05" w:rsidR="5C88506E">
        <w:rPr>
          <w:rFonts w:ascii="Calibri" w:hAnsi="Calibri" w:eastAsia="Calibri" w:cs="Calibri"/>
          <w:noProof w:val="0"/>
          <w:color w:val="172B4D"/>
          <w:sz w:val="22"/>
          <w:szCs w:val="22"/>
          <w:lang w:val="en-GB"/>
        </w:rPr>
        <w:t xml:space="preserve">Work-Based Learning (WBL) provider for these qualifications in Wales means that employer engagement and retention are </w:t>
      </w:r>
      <w:r w:rsidRPr="001DFC05" w:rsidR="5C88506E">
        <w:rPr>
          <w:rFonts w:ascii="Calibri" w:hAnsi="Calibri" w:eastAsia="Calibri" w:cs="Calibri"/>
          <w:noProof w:val="0"/>
          <w:color w:val="172B4D"/>
          <w:sz w:val="22"/>
          <w:szCs w:val="22"/>
          <w:lang w:val="en-GB"/>
        </w:rPr>
        <w:t>most likely due to</w:t>
      </w:r>
      <w:r w:rsidRPr="001DFC05" w:rsidR="5C88506E">
        <w:rPr>
          <w:rFonts w:ascii="Calibri" w:hAnsi="Calibri" w:eastAsia="Calibri" w:cs="Calibri"/>
          <w:noProof w:val="0"/>
          <w:color w:val="172B4D"/>
          <w:sz w:val="22"/>
          <w:szCs w:val="22"/>
          <w:lang w:val="en-GB"/>
        </w:rPr>
        <w:t xml:space="preserve"> necessity over preference. This scenario, where market dominance influences the </w:t>
      </w:r>
      <w:r w:rsidRPr="001DFC05" w:rsidR="5C88506E">
        <w:rPr>
          <w:rFonts w:ascii="Calibri" w:hAnsi="Calibri" w:eastAsia="Calibri" w:cs="Calibri"/>
          <w:noProof w:val="0"/>
          <w:color w:val="172B4D"/>
          <w:sz w:val="22"/>
          <w:szCs w:val="22"/>
          <w:lang w:val="en-GB"/>
        </w:rPr>
        <w:t>initial</w:t>
      </w:r>
      <w:r w:rsidRPr="001DFC05" w:rsidR="5C88506E">
        <w:rPr>
          <w:rFonts w:ascii="Calibri" w:hAnsi="Calibri" w:eastAsia="Calibri" w:cs="Calibri"/>
          <w:noProof w:val="0"/>
          <w:color w:val="172B4D"/>
          <w:sz w:val="22"/>
          <w:szCs w:val="22"/>
          <w:lang w:val="en-GB"/>
        </w:rPr>
        <w:t xml:space="preserve"> engagement of clients, </w:t>
      </w:r>
      <w:r w:rsidRPr="001DFC05" w:rsidR="5C88506E">
        <w:rPr>
          <w:rFonts w:ascii="Calibri" w:hAnsi="Calibri" w:eastAsia="Calibri" w:cs="Calibri"/>
          <w:noProof w:val="0"/>
          <w:color w:val="172B4D"/>
          <w:sz w:val="22"/>
          <w:szCs w:val="22"/>
          <w:lang w:val="en-GB"/>
        </w:rPr>
        <w:t>establishes</w:t>
      </w:r>
      <w:r w:rsidRPr="001DFC05" w:rsidR="5C88506E">
        <w:rPr>
          <w:rFonts w:ascii="Calibri" w:hAnsi="Calibri" w:eastAsia="Calibri" w:cs="Calibri"/>
          <w:noProof w:val="0"/>
          <w:color w:val="172B4D"/>
          <w:sz w:val="22"/>
          <w:szCs w:val="22"/>
          <w:lang w:val="en-GB"/>
        </w:rPr>
        <w:t xml:space="preserve"> a form of loyalty that is initially constrained by the limited market choice (Smith &amp; Jones, 2023).</w:t>
      </w:r>
      <w:r>
        <w:br/>
      </w:r>
      <w:r>
        <w:tab/>
      </w:r>
      <w:r w:rsidRPr="001DFC05" w:rsidR="5C88506E">
        <w:rPr>
          <w:rFonts w:ascii="Calibri" w:hAnsi="Calibri" w:eastAsia="Calibri" w:cs="Calibri"/>
          <w:noProof w:val="0"/>
          <w:color w:val="172B4D"/>
          <w:sz w:val="22"/>
          <w:szCs w:val="22"/>
          <w:lang w:val="en-GB"/>
        </w:rPr>
        <w:t xml:space="preserve">While this unique market position provides CTC with a foundational level of engagement, it also presents a significant challenge: to engage genuine customer loyalty that goes further than necessity. The </w:t>
      </w:r>
      <w:r w:rsidRPr="001DFC05" w:rsidR="5C88506E">
        <w:rPr>
          <w:rFonts w:ascii="Calibri" w:hAnsi="Calibri" w:eastAsia="Calibri" w:cs="Calibri"/>
          <w:noProof w:val="0"/>
          <w:color w:val="172B4D"/>
          <w:sz w:val="22"/>
          <w:szCs w:val="22"/>
          <w:lang w:val="en-GB"/>
        </w:rPr>
        <w:t>objective</w:t>
      </w:r>
      <w:r w:rsidRPr="001DFC05" w:rsidR="5C88506E">
        <w:rPr>
          <w:rFonts w:ascii="Calibri" w:hAnsi="Calibri" w:eastAsia="Calibri" w:cs="Calibri"/>
          <w:noProof w:val="0"/>
          <w:color w:val="172B4D"/>
          <w:sz w:val="22"/>
          <w:szCs w:val="22"/>
          <w:lang w:val="en-GB"/>
        </w:rPr>
        <w:t xml:space="preserve"> is to transition from a loyalty by the lack of alternatives to one based on the value, service excellence and benefits provided by CTC. Cultivating true customer loyalty in B2B service industries, particularly where </w:t>
      </w:r>
      <w:r w:rsidRPr="001DFC05" w:rsidR="5C88506E">
        <w:rPr>
          <w:rFonts w:ascii="Calibri" w:hAnsi="Calibri" w:eastAsia="Calibri" w:cs="Calibri"/>
          <w:noProof w:val="0"/>
          <w:color w:val="172B4D"/>
          <w:sz w:val="22"/>
          <w:szCs w:val="22"/>
          <w:lang w:val="en-GB"/>
        </w:rPr>
        <w:t>initial</w:t>
      </w:r>
      <w:r w:rsidRPr="001DFC05" w:rsidR="5C88506E">
        <w:rPr>
          <w:rFonts w:ascii="Calibri" w:hAnsi="Calibri" w:eastAsia="Calibri" w:cs="Calibri"/>
          <w:noProof w:val="0"/>
          <w:color w:val="172B4D"/>
          <w:sz w:val="22"/>
          <w:szCs w:val="22"/>
          <w:lang w:val="en-GB"/>
        </w:rPr>
        <w:t xml:space="preserve"> engagement might be less about brand choice, </w:t>
      </w:r>
      <w:r w:rsidRPr="001DFC05" w:rsidR="5C88506E">
        <w:rPr>
          <w:rFonts w:ascii="Calibri" w:hAnsi="Calibri" w:eastAsia="Calibri" w:cs="Calibri"/>
          <w:noProof w:val="0"/>
          <w:color w:val="172B4D"/>
          <w:sz w:val="22"/>
          <w:szCs w:val="22"/>
          <w:lang w:val="en-GB"/>
        </w:rPr>
        <w:t>necessitates</w:t>
      </w:r>
      <w:r w:rsidRPr="001DFC05" w:rsidR="5C88506E">
        <w:rPr>
          <w:rFonts w:ascii="Calibri" w:hAnsi="Calibri" w:eastAsia="Calibri" w:cs="Calibri"/>
          <w:noProof w:val="0"/>
          <w:color w:val="172B4D"/>
          <w:sz w:val="22"/>
          <w:szCs w:val="22"/>
          <w:lang w:val="en-GB"/>
        </w:rPr>
        <w:t xml:space="preserve"> strategies that build authentic preference and sustained partnership (Chen et al., 2024). CTC's commitment to this level of loyalty is </w:t>
      </w:r>
      <w:r w:rsidRPr="001DFC05" w:rsidR="5C88506E">
        <w:rPr>
          <w:rFonts w:ascii="Calibri" w:hAnsi="Calibri" w:eastAsia="Calibri" w:cs="Calibri"/>
          <w:noProof w:val="0"/>
          <w:color w:val="172B4D"/>
          <w:sz w:val="22"/>
          <w:szCs w:val="22"/>
          <w:lang w:val="en-GB"/>
        </w:rPr>
        <w:t>evident</w:t>
      </w:r>
      <w:r w:rsidRPr="001DFC05" w:rsidR="5C88506E">
        <w:rPr>
          <w:rFonts w:ascii="Calibri" w:hAnsi="Calibri" w:eastAsia="Calibri" w:cs="Calibri"/>
          <w:noProof w:val="0"/>
          <w:color w:val="172B4D"/>
          <w:sz w:val="22"/>
          <w:szCs w:val="22"/>
          <w:lang w:val="en-GB"/>
        </w:rPr>
        <w:t xml:space="preserve"> in its provision of continuous, accessible support for its customers. To ensure customers (learners </w:t>
      </w:r>
      <w:r w:rsidRPr="001DFC05" w:rsidR="3D7A87A9">
        <w:rPr>
          <w:rFonts w:ascii="Calibri" w:hAnsi="Calibri" w:eastAsia="Calibri" w:cs="Calibri"/>
          <w:noProof w:val="0"/>
          <w:color w:val="172B4D"/>
          <w:sz w:val="22"/>
          <w:szCs w:val="22"/>
          <w:lang w:val="en-GB"/>
        </w:rPr>
        <w:t>and</w:t>
      </w:r>
      <w:r w:rsidRPr="001DFC05" w:rsidR="5C88506E">
        <w:rPr>
          <w:rFonts w:ascii="Calibri" w:hAnsi="Calibri" w:eastAsia="Calibri" w:cs="Calibri"/>
          <w:noProof w:val="0"/>
          <w:color w:val="172B4D"/>
          <w:sz w:val="22"/>
          <w:szCs w:val="22"/>
          <w:lang w:val="en-GB"/>
        </w:rPr>
        <w:t xml:space="preserve"> employers) remain loyal, CTC offers a 24/7 learner helpline, providing constant access to essential resources and immediate help on their portfolio, learning assistant support and general enquiries. Providing this availability for support is one way to </w:t>
      </w:r>
      <w:r w:rsidRPr="001DFC05" w:rsidR="5C88506E">
        <w:rPr>
          <w:rFonts w:ascii="Calibri" w:hAnsi="Calibri" w:eastAsia="Calibri" w:cs="Calibri"/>
          <w:noProof w:val="0"/>
          <w:color w:val="172B4D"/>
          <w:sz w:val="22"/>
          <w:szCs w:val="22"/>
          <w:lang w:val="en-GB"/>
        </w:rPr>
        <w:t>demonstrate</w:t>
      </w:r>
      <w:r w:rsidRPr="001DFC05" w:rsidR="5C88506E">
        <w:rPr>
          <w:rFonts w:ascii="Calibri" w:hAnsi="Calibri" w:eastAsia="Calibri" w:cs="Calibri"/>
          <w:noProof w:val="0"/>
          <w:color w:val="172B4D"/>
          <w:sz w:val="22"/>
          <w:szCs w:val="22"/>
          <w:lang w:val="en-GB"/>
        </w:rPr>
        <w:t xml:space="preserve"> dedication to learner success and well-being, enhancing the perceived value of the training program and fostering a stronger emotional connection (Miller et al., 2024). Furthermore, TOs are not confined to traditional 9-5 working hours; they are tasked with tailoring their calendars to an 8-hour workday flexibly. Critically, TOs commonly have their phones accessible outside standard hours, often 24/7, enabling them to address learner questions and provide support, which can then be added to their working hours at the end of the week. The level of accessibility and responsiveness from TOs is a step in the right direction to build trust and reassurance among both learners and employers, moving the relationship beyond a service transaction to a dedicated partnership rooted in continuous support (Garcia &amp; Lee, 2023). CTC's CRM needs to continue to work on these </w:t>
      </w:r>
      <w:r w:rsidRPr="001DFC05" w:rsidR="2C34C89F">
        <w:rPr>
          <w:rFonts w:ascii="Calibri" w:hAnsi="Calibri" w:eastAsia="Calibri" w:cs="Calibri"/>
          <w:noProof w:val="0"/>
          <w:color w:val="172B4D"/>
          <w:sz w:val="22"/>
          <w:szCs w:val="22"/>
          <w:lang w:val="en-GB"/>
        </w:rPr>
        <w:t xml:space="preserve">relationships </w:t>
      </w:r>
      <w:r w:rsidRPr="001DFC05" w:rsidR="5C88506E">
        <w:rPr>
          <w:rFonts w:ascii="Calibri" w:hAnsi="Calibri" w:eastAsia="Calibri" w:cs="Calibri"/>
          <w:noProof w:val="0"/>
          <w:color w:val="172B4D"/>
          <w:sz w:val="22"/>
          <w:szCs w:val="22"/>
          <w:lang w:val="en-GB"/>
        </w:rPr>
        <w:t xml:space="preserve">to ensure employers </w:t>
      </w:r>
      <w:r w:rsidRPr="001DFC05" w:rsidR="5C88506E">
        <w:rPr>
          <w:rFonts w:ascii="Calibri" w:hAnsi="Calibri" w:eastAsia="Calibri" w:cs="Calibri"/>
          <w:noProof w:val="0"/>
          <w:color w:val="172B4D"/>
          <w:sz w:val="22"/>
          <w:szCs w:val="22"/>
          <w:lang w:val="en-GB"/>
        </w:rPr>
        <w:t>remain</w:t>
      </w:r>
      <w:r w:rsidRPr="001DFC05" w:rsidR="5C88506E">
        <w:rPr>
          <w:rFonts w:ascii="Calibri" w:hAnsi="Calibri" w:eastAsia="Calibri" w:cs="Calibri"/>
          <w:noProof w:val="0"/>
          <w:color w:val="172B4D"/>
          <w:sz w:val="22"/>
          <w:szCs w:val="22"/>
          <w:lang w:val="en-GB"/>
        </w:rPr>
        <w:t xml:space="preserve"> loyal due to the perceived quality of training, the responsiveness of support and the positive outcomes for their staff, rather than simply because of the qualification's exclusivity.</w:t>
      </w:r>
    </w:p>
    <w:p xmlns:wp14="http://schemas.microsoft.com/office/word/2010/wordml" w:rsidP="4E8BE5FC" wp14:paraId="363ECFBD" wp14:textId="074C8533">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4"/>
          <w:szCs w:val="24"/>
          <w:lang w:val="en-GB"/>
        </w:rPr>
      </w:pPr>
      <w:bookmarkStart w:name="_Toc1913322944" w:id="1363593862"/>
      <w:r w:rsidRPr="001DFC05" w:rsidR="5E2FD036">
        <w:rPr>
          <w:rFonts w:ascii="Calibri" w:hAnsi="Calibri" w:eastAsia="Calibri" w:cs="Calibri"/>
          <w:noProof w:val="0"/>
          <w:color w:val="auto"/>
          <w:sz w:val="28"/>
          <w:szCs w:val="28"/>
          <w:lang w:val="en-GB"/>
        </w:rPr>
        <w:t>4.2</w:t>
      </w:r>
      <w:r w:rsidRPr="001DFC05" w:rsidR="40ACBB14">
        <w:rPr>
          <w:rFonts w:ascii="Calibri" w:hAnsi="Calibri" w:eastAsia="Calibri" w:cs="Calibri"/>
          <w:noProof w:val="0"/>
          <w:color w:val="auto"/>
          <w:sz w:val="28"/>
          <w:szCs w:val="28"/>
          <w:lang w:val="en-GB"/>
        </w:rPr>
        <w:t xml:space="preserve"> Competitions, Tailored Support, </w:t>
      </w:r>
      <w:r w:rsidRPr="001DFC05" w:rsidR="431DDCD6">
        <w:rPr>
          <w:rFonts w:ascii="Calibri" w:hAnsi="Calibri" w:eastAsia="Calibri" w:cs="Calibri"/>
          <w:noProof w:val="0"/>
          <w:color w:val="auto"/>
          <w:sz w:val="28"/>
          <w:szCs w:val="28"/>
          <w:lang w:val="en-GB"/>
        </w:rPr>
        <w:t>Long-Term</w:t>
      </w:r>
      <w:r w:rsidRPr="001DFC05" w:rsidR="40ACBB14">
        <w:rPr>
          <w:rFonts w:ascii="Calibri" w:hAnsi="Calibri" w:eastAsia="Calibri" w:cs="Calibri"/>
          <w:noProof w:val="0"/>
          <w:color w:val="auto"/>
          <w:sz w:val="28"/>
          <w:szCs w:val="28"/>
          <w:lang w:val="en-GB"/>
        </w:rPr>
        <w:t xml:space="preserve"> Targets and Future Goals to Increase Retention</w:t>
      </w:r>
      <w:bookmarkEnd w:id="1363593862"/>
    </w:p>
    <w:p w:rsidR="4E8BE5FC" w:rsidP="001DFC05" w:rsidRDefault="4E8BE5FC" w14:paraId="4F3D4620" w14:textId="40117814">
      <w:pPr>
        <w:keepNext w:val="0"/>
        <w:keepLines w:val="0"/>
        <w:spacing w:before="0" w:beforeAutospacing="off" w:after="0" w:afterAutospacing="off" w:line="360" w:lineRule="auto"/>
        <w:ind w:firstLine="0"/>
        <w:jc w:val="both"/>
        <w:rPr>
          <w:rFonts w:ascii="Calibri" w:hAnsi="Calibri" w:eastAsia="Calibri" w:cs="Calibri"/>
          <w:noProof w:val="0"/>
          <w:color w:val="172B4D" w:themeColor="text1" w:themeTint="FF" w:themeShade="FF"/>
          <w:sz w:val="22"/>
          <w:szCs w:val="22"/>
          <w:lang w:val="en-GB"/>
        </w:rPr>
      </w:pPr>
      <w:r w:rsidRPr="001DFC05" w:rsidR="67DAD1DE">
        <w:rPr>
          <w:rFonts w:ascii="Calibri" w:hAnsi="Calibri" w:eastAsia="Calibri" w:cs="Calibri"/>
          <w:noProof w:val="0"/>
          <w:color w:val="172B4D"/>
          <w:sz w:val="22"/>
          <w:szCs w:val="22"/>
          <w:lang w:val="en-GB"/>
        </w:rPr>
        <w:t xml:space="preserve">CTC's CRM strategies extend beyond operational management to </w:t>
      </w:r>
      <w:r w:rsidRPr="001DFC05" w:rsidR="67DAD1DE">
        <w:rPr>
          <w:rFonts w:ascii="Calibri" w:hAnsi="Calibri" w:eastAsia="Calibri" w:cs="Calibri"/>
          <w:noProof w:val="0"/>
          <w:color w:val="172B4D"/>
          <w:sz w:val="22"/>
          <w:szCs w:val="22"/>
          <w:lang w:val="en-GB"/>
        </w:rPr>
        <w:t>maintain</w:t>
      </w:r>
      <w:r w:rsidRPr="001DFC05" w:rsidR="67DAD1DE">
        <w:rPr>
          <w:rFonts w:ascii="Calibri" w:hAnsi="Calibri" w:eastAsia="Calibri" w:cs="Calibri"/>
          <w:noProof w:val="0"/>
          <w:color w:val="172B4D"/>
          <w:sz w:val="22"/>
          <w:szCs w:val="22"/>
          <w:lang w:val="en-GB"/>
        </w:rPr>
        <w:t xml:space="preserve"> employer and learner retention through unique opportunities, tailored </w:t>
      </w:r>
      <w:r w:rsidRPr="001DFC05" w:rsidR="67DAD1DE">
        <w:rPr>
          <w:rFonts w:ascii="Calibri" w:hAnsi="Calibri" w:eastAsia="Calibri" w:cs="Calibri"/>
          <w:noProof w:val="0"/>
          <w:color w:val="172B4D"/>
          <w:sz w:val="22"/>
          <w:szCs w:val="22"/>
          <w:lang w:val="en-GB"/>
        </w:rPr>
        <w:t>support</w:t>
      </w:r>
      <w:r w:rsidRPr="001DFC05" w:rsidR="67DAD1DE">
        <w:rPr>
          <w:rFonts w:ascii="Calibri" w:hAnsi="Calibri" w:eastAsia="Calibri" w:cs="Calibri"/>
          <w:noProof w:val="0"/>
          <w:color w:val="172B4D"/>
          <w:sz w:val="22"/>
          <w:szCs w:val="22"/>
          <w:lang w:val="en-GB"/>
        </w:rPr>
        <w:t xml:space="preserve"> and a forward-looking approach to development. These initiatives are designed to add significant value, fostering deeper engagement and loyalty.</w:t>
      </w:r>
      <w:r>
        <w:br/>
      </w:r>
      <w:r>
        <w:tab/>
      </w:r>
      <w:r w:rsidRPr="001DFC05" w:rsidR="67DAD1DE">
        <w:rPr>
          <w:rFonts w:ascii="Calibri" w:hAnsi="Calibri" w:eastAsia="Calibri" w:cs="Calibri"/>
          <w:noProof w:val="0"/>
          <w:color w:val="172B4D"/>
          <w:sz w:val="22"/>
          <w:szCs w:val="22"/>
          <w:lang w:val="en-GB"/>
        </w:rPr>
        <w:t xml:space="preserve">CTC </w:t>
      </w:r>
      <w:r w:rsidRPr="001DFC05" w:rsidR="5370AF62">
        <w:rPr>
          <w:rFonts w:ascii="Calibri" w:hAnsi="Calibri" w:eastAsia="Calibri" w:cs="Calibri"/>
          <w:noProof w:val="0"/>
          <w:color w:val="172B4D"/>
          <w:sz w:val="22"/>
          <w:szCs w:val="22"/>
          <w:lang w:val="en-GB"/>
        </w:rPr>
        <w:t>co-owns</w:t>
      </w:r>
      <w:r w:rsidRPr="001DFC05" w:rsidR="67DAD1DE">
        <w:rPr>
          <w:rFonts w:ascii="Calibri" w:hAnsi="Calibri" w:eastAsia="Calibri" w:cs="Calibri"/>
          <w:noProof w:val="0"/>
          <w:color w:val="172B4D"/>
          <w:sz w:val="22"/>
          <w:szCs w:val="22"/>
          <w:lang w:val="en-GB"/>
        </w:rPr>
        <w:t xml:space="preserve"> The Culinary Association of Wales to host skills competitions for both front of house and back of house, including 'Junior chef of Wales' and 'Welsh Bartender'. CTC</w:t>
      </w:r>
      <w:r w:rsidRPr="001DFC05" w:rsidR="043EC635">
        <w:rPr>
          <w:rFonts w:ascii="Calibri" w:hAnsi="Calibri" w:eastAsia="Calibri" w:cs="Calibri"/>
          <w:noProof w:val="0"/>
          <w:color w:val="172B4D"/>
          <w:sz w:val="22"/>
          <w:szCs w:val="22"/>
          <w:lang w:val="en-GB"/>
        </w:rPr>
        <w:t xml:space="preserve"> </w:t>
      </w:r>
      <w:r w:rsidRPr="001DFC05" w:rsidR="043EC635">
        <w:rPr>
          <w:rFonts w:ascii="Calibri" w:hAnsi="Calibri" w:eastAsia="Calibri" w:cs="Calibri"/>
          <w:noProof w:val="0"/>
          <w:color w:val="172B4D"/>
          <w:sz w:val="22"/>
          <w:szCs w:val="22"/>
          <w:lang w:val="en-GB"/>
        </w:rPr>
        <w:t>self-promote</w:t>
      </w:r>
      <w:r w:rsidRPr="001DFC05" w:rsidR="5C69B935">
        <w:rPr>
          <w:rFonts w:ascii="Calibri" w:hAnsi="Calibri" w:eastAsia="Calibri" w:cs="Calibri"/>
          <w:noProof w:val="0"/>
          <w:color w:val="172B4D"/>
          <w:sz w:val="22"/>
          <w:szCs w:val="22"/>
          <w:lang w:val="en-GB"/>
        </w:rPr>
        <w:t>s</w:t>
      </w:r>
      <w:r w:rsidRPr="001DFC05" w:rsidR="67DAD1DE">
        <w:rPr>
          <w:rFonts w:ascii="Calibri" w:hAnsi="Calibri" w:eastAsia="Calibri" w:cs="Calibri"/>
          <w:noProof w:val="0"/>
          <w:color w:val="172B4D"/>
          <w:sz w:val="22"/>
          <w:szCs w:val="22"/>
          <w:lang w:val="en-GB"/>
        </w:rPr>
        <w:t xml:space="preserve"> the competitions through newsletters and social media and </w:t>
      </w:r>
      <w:r w:rsidRPr="001DFC05" w:rsidR="12C7D06A">
        <w:rPr>
          <w:rFonts w:ascii="Calibri" w:hAnsi="Calibri" w:eastAsia="Calibri" w:cs="Calibri"/>
          <w:noProof w:val="0"/>
          <w:color w:val="172B4D"/>
          <w:sz w:val="22"/>
          <w:szCs w:val="22"/>
          <w:lang w:val="en-GB"/>
        </w:rPr>
        <w:t>encourages</w:t>
      </w:r>
      <w:r w:rsidRPr="001DFC05" w:rsidR="67DAD1DE">
        <w:rPr>
          <w:rFonts w:ascii="Calibri" w:hAnsi="Calibri" w:eastAsia="Calibri" w:cs="Calibri"/>
          <w:noProof w:val="0"/>
          <w:color w:val="172B4D"/>
          <w:sz w:val="22"/>
          <w:szCs w:val="22"/>
          <w:lang w:val="en-GB"/>
        </w:rPr>
        <w:t xml:space="preserve"> learners to </w:t>
      </w:r>
      <w:r w:rsidRPr="001DFC05" w:rsidR="67DAD1DE">
        <w:rPr>
          <w:rFonts w:ascii="Calibri" w:hAnsi="Calibri" w:eastAsia="Calibri" w:cs="Calibri"/>
          <w:noProof w:val="0"/>
          <w:color w:val="172B4D"/>
          <w:sz w:val="22"/>
          <w:szCs w:val="22"/>
          <w:lang w:val="en-GB"/>
        </w:rPr>
        <w:t>participate</w:t>
      </w:r>
      <w:r w:rsidRPr="001DFC05" w:rsidR="67DAD1DE">
        <w:rPr>
          <w:rFonts w:ascii="Calibri" w:hAnsi="Calibri" w:eastAsia="Calibri" w:cs="Calibri"/>
          <w:noProof w:val="0"/>
          <w:color w:val="172B4D"/>
          <w:sz w:val="22"/>
          <w:szCs w:val="22"/>
          <w:lang w:val="en-GB"/>
        </w:rPr>
        <w:t xml:space="preserve"> in these events. These competitions offer a platform for them to </w:t>
      </w:r>
      <w:r w:rsidRPr="001DFC05" w:rsidR="67DAD1DE">
        <w:rPr>
          <w:rFonts w:ascii="Calibri" w:hAnsi="Calibri" w:eastAsia="Calibri" w:cs="Calibri"/>
          <w:noProof w:val="0"/>
          <w:color w:val="172B4D"/>
          <w:sz w:val="22"/>
          <w:szCs w:val="22"/>
          <w:lang w:val="en-GB"/>
        </w:rPr>
        <w:t>showcase</w:t>
      </w:r>
      <w:r w:rsidRPr="001DFC05" w:rsidR="67DAD1DE">
        <w:rPr>
          <w:rFonts w:ascii="Calibri" w:hAnsi="Calibri" w:eastAsia="Calibri" w:cs="Calibri"/>
          <w:noProof w:val="0"/>
          <w:color w:val="172B4D"/>
          <w:sz w:val="22"/>
          <w:szCs w:val="22"/>
          <w:lang w:val="en-GB"/>
        </w:rPr>
        <w:t xml:space="preserve"> their developing skills and provide benefits for employers, as a victory for their employee can be </w:t>
      </w:r>
      <w:r w:rsidRPr="001DFC05" w:rsidR="67DAD1DE">
        <w:rPr>
          <w:rFonts w:ascii="Calibri" w:hAnsi="Calibri" w:eastAsia="Calibri" w:cs="Calibri"/>
          <w:noProof w:val="0"/>
          <w:color w:val="172B4D"/>
          <w:sz w:val="22"/>
          <w:szCs w:val="22"/>
          <w:lang w:val="en-GB"/>
        </w:rPr>
        <w:t>leveraged</w:t>
      </w:r>
      <w:r w:rsidRPr="001DFC05" w:rsidR="67DAD1DE">
        <w:rPr>
          <w:rFonts w:ascii="Calibri" w:hAnsi="Calibri" w:eastAsia="Calibri" w:cs="Calibri"/>
          <w:noProof w:val="0"/>
          <w:color w:val="172B4D"/>
          <w:sz w:val="22"/>
          <w:szCs w:val="22"/>
          <w:lang w:val="en-GB"/>
        </w:rPr>
        <w:t xml:space="preserve"> as a powerful marketing tool. An "award-winning </w:t>
      </w:r>
      <w:r w:rsidRPr="001DFC05" w:rsidR="2F755B08">
        <w:rPr>
          <w:rFonts w:ascii="Calibri" w:hAnsi="Calibri" w:eastAsia="Calibri" w:cs="Calibri"/>
          <w:noProof w:val="0"/>
          <w:color w:val="172B4D"/>
          <w:sz w:val="22"/>
          <w:szCs w:val="22"/>
          <w:lang w:val="en-GB"/>
        </w:rPr>
        <w:t>chef",</w:t>
      </w:r>
      <w:r w:rsidRPr="001DFC05" w:rsidR="67DAD1DE">
        <w:rPr>
          <w:rFonts w:ascii="Calibri" w:hAnsi="Calibri" w:eastAsia="Calibri" w:cs="Calibri"/>
          <w:noProof w:val="0"/>
          <w:color w:val="172B4D"/>
          <w:sz w:val="22"/>
          <w:szCs w:val="22"/>
          <w:lang w:val="en-GB"/>
        </w:rPr>
        <w:t xml:space="preserve"> "award-winning </w:t>
      </w:r>
      <w:r w:rsidRPr="001DFC05" w:rsidR="3BF6925E">
        <w:rPr>
          <w:rFonts w:ascii="Calibri" w:hAnsi="Calibri" w:eastAsia="Calibri" w:cs="Calibri"/>
          <w:noProof w:val="0"/>
          <w:color w:val="172B4D"/>
          <w:sz w:val="22"/>
          <w:szCs w:val="22"/>
          <w:lang w:val="en-GB"/>
        </w:rPr>
        <w:t>waiter",</w:t>
      </w:r>
      <w:r w:rsidRPr="001DFC05" w:rsidR="67DAD1DE">
        <w:rPr>
          <w:rFonts w:ascii="Calibri" w:hAnsi="Calibri" w:eastAsia="Calibri" w:cs="Calibri"/>
          <w:noProof w:val="0"/>
          <w:color w:val="172B4D"/>
          <w:sz w:val="22"/>
          <w:szCs w:val="22"/>
          <w:lang w:val="en-GB"/>
        </w:rPr>
        <w:t xml:space="preserve"> or "award-winning bartender" proves that it directly enhances the employer's brand image and attracts customers, offering a clear return on their investment in training. Large employers, such as The Celtic Collection, willingly host these events, </w:t>
      </w:r>
      <w:r w:rsidRPr="001DFC05" w:rsidR="67DAD1DE">
        <w:rPr>
          <w:rFonts w:ascii="Calibri" w:hAnsi="Calibri" w:eastAsia="Calibri" w:cs="Calibri"/>
          <w:noProof w:val="0"/>
          <w:color w:val="172B4D"/>
          <w:sz w:val="22"/>
          <w:szCs w:val="22"/>
          <w:lang w:val="en-GB"/>
        </w:rPr>
        <w:t>benefiting</w:t>
      </w:r>
      <w:r w:rsidRPr="001DFC05" w:rsidR="67DAD1DE">
        <w:rPr>
          <w:rFonts w:ascii="Calibri" w:hAnsi="Calibri" w:eastAsia="Calibri" w:cs="Calibri"/>
          <w:noProof w:val="0"/>
          <w:color w:val="172B4D"/>
          <w:sz w:val="22"/>
          <w:szCs w:val="22"/>
          <w:lang w:val="en-GB"/>
        </w:rPr>
        <w:t xml:space="preserve"> from their substantial space and </w:t>
      </w:r>
      <w:r w:rsidRPr="001DFC05" w:rsidR="67DAD1DE">
        <w:rPr>
          <w:rFonts w:ascii="Calibri" w:hAnsi="Calibri" w:eastAsia="Calibri" w:cs="Calibri"/>
          <w:noProof w:val="0"/>
          <w:color w:val="172B4D"/>
          <w:sz w:val="22"/>
          <w:szCs w:val="22"/>
          <w:lang w:val="en-GB"/>
        </w:rPr>
        <w:t>capacity</w:t>
      </w:r>
      <w:r w:rsidRPr="001DFC05" w:rsidR="67DAD1DE">
        <w:rPr>
          <w:rFonts w:ascii="Calibri" w:hAnsi="Calibri" w:eastAsia="Calibri" w:cs="Calibri"/>
          <w:noProof w:val="0"/>
          <w:color w:val="172B4D"/>
          <w:sz w:val="22"/>
          <w:szCs w:val="22"/>
          <w:lang w:val="en-GB"/>
        </w:rPr>
        <w:t xml:space="preserve"> to accommodate such high-profile competitions. The involvement in and success at such competitions is a significant factor in boosting learner engagement and positively influencing employer branding and retention (Davies &amp; Griffiths, 2023).</w:t>
      </w:r>
      <w:r>
        <w:br/>
      </w:r>
      <w:r>
        <w:tab/>
      </w:r>
      <w:r w:rsidRPr="001DFC05" w:rsidR="67DAD1DE">
        <w:rPr>
          <w:rFonts w:ascii="Calibri" w:hAnsi="Calibri" w:eastAsia="Calibri" w:cs="Calibri"/>
          <w:noProof w:val="0"/>
          <w:color w:val="172B4D"/>
          <w:sz w:val="22"/>
          <w:szCs w:val="22"/>
          <w:lang w:val="en-GB"/>
        </w:rPr>
        <w:t xml:space="preserve">One main way in which CTC </w:t>
      </w:r>
      <w:r w:rsidRPr="001DFC05" w:rsidR="67DAD1DE">
        <w:rPr>
          <w:rFonts w:ascii="Calibri" w:hAnsi="Calibri" w:eastAsia="Calibri" w:cs="Calibri"/>
          <w:noProof w:val="0"/>
          <w:color w:val="172B4D"/>
          <w:sz w:val="22"/>
          <w:szCs w:val="22"/>
          <w:lang w:val="en-GB"/>
        </w:rPr>
        <w:t>remains</w:t>
      </w:r>
      <w:r w:rsidRPr="001DFC05" w:rsidR="67DAD1DE">
        <w:rPr>
          <w:rFonts w:ascii="Calibri" w:hAnsi="Calibri" w:eastAsia="Calibri" w:cs="Calibri"/>
          <w:noProof w:val="0"/>
          <w:color w:val="172B4D"/>
          <w:sz w:val="22"/>
          <w:szCs w:val="22"/>
          <w:lang w:val="en-GB"/>
        </w:rPr>
        <w:t xml:space="preserve"> loyal </w:t>
      </w:r>
      <w:r w:rsidRPr="001DFC05" w:rsidR="3A4FB54F">
        <w:rPr>
          <w:rFonts w:ascii="Calibri" w:hAnsi="Calibri" w:eastAsia="Calibri" w:cs="Calibri"/>
          <w:noProof w:val="0"/>
          <w:color w:val="172B4D"/>
          <w:sz w:val="22"/>
          <w:szCs w:val="22"/>
          <w:lang w:val="en-GB"/>
        </w:rPr>
        <w:t>to</w:t>
      </w:r>
      <w:r w:rsidRPr="001DFC05" w:rsidR="67DAD1DE">
        <w:rPr>
          <w:rFonts w:ascii="Calibri" w:hAnsi="Calibri" w:eastAsia="Calibri" w:cs="Calibri"/>
          <w:noProof w:val="0"/>
          <w:color w:val="172B4D"/>
          <w:sz w:val="22"/>
          <w:szCs w:val="22"/>
          <w:lang w:val="en-GB"/>
        </w:rPr>
        <w:t xml:space="preserve"> partners is that the learners can structure their qualification and choose their units based on their role. City &amp; Guilds offers a wide variety of different units that the learner will find something they can work with to meet 37 credits. As good as this is, the problem is that the units are outdated where some units ask for evidence of cheque payments, which can be difficult because not all restaurants and hotels accept this form of payment. An alternative to this is that the TO will use an alternative way of assessing this by forming questions to show competency.</w:t>
      </w:r>
      <w:r>
        <w:br/>
      </w:r>
      <w:r>
        <w:tab/>
      </w:r>
      <w:r w:rsidRPr="001DFC05" w:rsidR="67DAD1DE">
        <w:rPr>
          <w:rFonts w:ascii="Calibri" w:hAnsi="Calibri" w:eastAsia="Calibri" w:cs="Calibri"/>
          <w:noProof w:val="0"/>
          <w:color w:val="172B4D"/>
          <w:sz w:val="22"/>
          <w:szCs w:val="22"/>
          <w:lang w:val="en-GB"/>
        </w:rPr>
        <w:t xml:space="preserve">CTC places a strong emphasis on personalised learner support, significantly </w:t>
      </w:r>
      <w:r w:rsidRPr="001DFC05" w:rsidR="67DAD1DE">
        <w:rPr>
          <w:rFonts w:ascii="Calibri" w:hAnsi="Calibri" w:eastAsia="Calibri" w:cs="Calibri"/>
          <w:noProof w:val="0"/>
          <w:color w:val="172B4D"/>
          <w:sz w:val="22"/>
          <w:szCs w:val="22"/>
          <w:lang w:val="en-GB"/>
        </w:rPr>
        <w:t>impacting</w:t>
      </w:r>
      <w:r w:rsidRPr="001DFC05" w:rsidR="67DAD1DE">
        <w:rPr>
          <w:rFonts w:ascii="Calibri" w:hAnsi="Calibri" w:eastAsia="Calibri" w:cs="Calibri"/>
          <w:noProof w:val="0"/>
          <w:color w:val="172B4D"/>
          <w:sz w:val="22"/>
          <w:szCs w:val="22"/>
          <w:lang w:val="en-GB"/>
        </w:rPr>
        <w:t xml:space="preserve"> customer retention. Following a recent Estyn inspection report, which highlighted a deficiency in setting </w:t>
      </w:r>
      <w:r w:rsidRPr="001DFC05" w:rsidR="2175D677">
        <w:rPr>
          <w:rFonts w:ascii="Calibri" w:hAnsi="Calibri" w:eastAsia="Calibri" w:cs="Calibri"/>
          <w:noProof w:val="0"/>
          <w:color w:val="172B4D"/>
          <w:sz w:val="22"/>
          <w:szCs w:val="22"/>
          <w:lang w:val="en-GB"/>
        </w:rPr>
        <w:t>short</w:t>
      </w:r>
      <w:r w:rsidRPr="001DFC05" w:rsidR="67DAD1DE">
        <w:rPr>
          <w:rFonts w:ascii="Calibri" w:hAnsi="Calibri" w:eastAsia="Calibri" w:cs="Calibri"/>
          <w:noProof w:val="0"/>
          <w:color w:val="172B4D"/>
          <w:sz w:val="22"/>
          <w:szCs w:val="22"/>
          <w:lang w:val="en-GB"/>
        </w:rPr>
        <w:t xml:space="preserve">, </w:t>
      </w:r>
      <w:r w:rsidRPr="001DFC05" w:rsidR="1A8B2F68">
        <w:rPr>
          <w:rFonts w:ascii="Calibri" w:hAnsi="Calibri" w:eastAsia="Calibri" w:cs="Calibri"/>
          <w:noProof w:val="0"/>
          <w:color w:val="172B4D"/>
          <w:sz w:val="22"/>
          <w:szCs w:val="22"/>
          <w:lang w:val="en-GB"/>
        </w:rPr>
        <w:t>medium</w:t>
      </w:r>
      <w:r w:rsidRPr="001DFC05" w:rsidR="67DAD1DE">
        <w:rPr>
          <w:rFonts w:ascii="Calibri" w:hAnsi="Calibri" w:eastAsia="Calibri" w:cs="Calibri"/>
          <w:noProof w:val="0"/>
          <w:color w:val="172B4D"/>
          <w:sz w:val="22"/>
          <w:szCs w:val="22"/>
          <w:lang w:val="en-GB"/>
        </w:rPr>
        <w:t xml:space="preserve"> and long-term targets within learner reviews, CTC has updated its review processes to include this new procedure. TOs now dedicate time during reviews to </w:t>
      </w:r>
      <w:r w:rsidRPr="001DFC05" w:rsidR="67DAD1DE">
        <w:rPr>
          <w:rFonts w:ascii="Calibri" w:hAnsi="Calibri" w:eastAsia="Calibri" w:cs="Calibri"/>
          <w:noProof w:val="0"/>
          <w:color w:val="172B4D"/>
          <w:sz w:val="22"/>
          <w:szCs w:val="22"/>
          <w:lang w:val="en-GB"/>
        </w:rPr>
        <w:t>establish</w:t>
      </w:r>
      <w:r w:rsidRPr="001DFC05" w:rsidR="67DAD1DE">
        <w:rPr>
          <w:rFonts w:ascii="Calibri" w:hAnsi="Calibri" w:eastAsia="Calibri" w:cs="Calibri"/>
          <w:noProof w:val="0"/>
          <w:color w:val="172B4D"/>
          <w:sz w:val="22"/>
          <w:szCs w:val="22"/>
          <w:lang w:val="en-GB"/>
        </w:rPr>
        <w:t xml:space="preserve"> clear and measurable </w:t>
      </w:r>
      <w:r w:rsidRPr="001DFC05" w:rsidR="67DAD1DE">
        <w:rPr>
          <w:rFonts w:ascii="Calibri" w:hAnsi="Calibri" w:eastAsia="Calibri" w:cs="Calibri"/>
          <w:noProof w:val="0"/>
          <w:color w:val="172B4D"/>
          <w:sz w:val="22"/>
          <w:szCs w:val="22"/>
          <w:lang w:val="en-GB"/>
        </w:rPr>
        <w:t>objectives</w:t>
      </w:r>
      <w:r w:rsidRPr="001DFC05" w:rsidR="67DAD1DE">
        <w:rPr>
          <w:rFonts w:ascii="Calibri" w:hAnsi="Calibri" w:eastAsia="Calibri" w:cs="Calibri"/>
          <w:noProof w:val="0"/>
          <w:color w:val="172B4D"/>
          <w:sz w:val="22"/>
          <w:szCs w:val="22"/>
          <w:lang w:val="en-GB"/>
        </w:rPr>
        <w:t xml:space="preserve"> with learners, </w:t>
      </w:r>
      <w:r w:rsidRPr="001DFC05" w:rsidR="67DAD1DE">
        <w:rPr>
          <w:rFonts w:ascii="Calibri" w:hAnsi="Calibri" w:eastAsia="Calibri" w:cs="Calibri"/>
          <w:noProof w:val="0"/>
          <w:color w:val="172B4D"/>
          <w:sz w:val="22"/>
          <w:szCs w:val="22"/>
          <w:lang w:val="en-GB"/>
        </w:rPr>
        <w:t>identifying</w:t>
      </w:r>
      <w:r w:rsidRPr="001DFC05" w:rsidR="67DAD1DE">
        <w:rPr>
          <w:rFonts w:ascii="Calibri" w:hAnsi="Calibri" w:eastAsia="Calibri" w:cs="Calibri"/>
          <w:noProof w:val="0"/>
          <w:color w:val="172B4D"/>
          <w:sz w:val="22"/>
          <w:szCs w:val="22"/>
          <w:lang w:val="en-GB"/>
        </w:rPr>
        <w:t xml:space="preserve"> tasks recently completed and tasks left to complete for the qualification. This encourages learner loyalty by illustrating how far they have progressed and outlining a clear path for future development, providing a sense of direction and achievement. Structured and individualised support, including CTC's 24/7 wellbeing support, plays a pivotal role in learner success and retention (Miller et al., 2024).</w:t>
      </w:r>
      <w:r>
        <w:br/>
      </w:r>
      <w:r>
        <w:tab/>
      </w:r>
      <w:r w:rsidRPr="001DFC05" w:rsidR="67DAD1DE">
        <w:rPr>
          <w:rFonts w:ascii="Calibri" w:hAnsi="Calibri" w:eastAsia="Calibri" w:cs="Calibri"/>
          <w:noProof w:val="0"/>
          <w:color w:val="172B4D"/>
          <w:sz w:val="22"/>
          <w:szCs w:val="22"/>
          <w:lang w:val="en-GB"/>
        </w:rPr>
        <w:t xml:space="preserve">The integration of these elements into CTC’s CRM strategy, from fostering external recognition through competitions to implementing robust, Estyn-informed target-setting practices, collectively reinforces loyalty. Hosting and </w:t>
      </w:r>
      <w:r w:rsidRPr="001DFC05" w:rsidR="67DAD1DE">
        <w:rPr>
          <w:rFonts w:ascii="Calibri" w:hAnsi="Calibri" w:eastAsia="Calibri" w:cs="Calibri"/>
          <w:noProof w:val="0"/>
          <w:color w:val="172B4D"/>
          <w:sz w:val="22"/>
          <w:szCs w:val="22"/>
          <w:lang w:val="en-GB"/>
        </w:rPr>
        <w:t>providing</w:t>
      </w:r>
      <w:r w:rsidRPr="001DFC05" w:rsidR="67DAD1DE">
        <w:rPr>
          <w:rFonts w:ascii="Calibri" w:hAnsi="Calibri" w:eastAsia="Calibri" w:cs="Calibri"/>
          <w:noProof w:val="0"/>
          <w:color w:val="172B4D"/>
          <w:sz w:val="22"/>
          <w:szCs w:val="22"/>
          <w:lang w:val="en-GB"/>
        </w:rPr>
        <w:t xml:space="preserve"> these </w:t>
      </w:r>
      <w:r w:rsidRPr="001DFC05" w:rsidR="049302D6">
        <w:rPr>
          <w:rFonts w:ascii="Calibri" w:hAnsi="Calibri" w:eastAsia="Calibri" w:cs="Calibri"/>
          <w:noProof w:val="0"/>
          <w:color w:val="172B4D"/>
          <w:sz w:val="22"/>
          <w:szCs w:val="22"/>
          <w:lang w:val="en-GB"/>
        </w:rPr>
        <w:t>opportunities,</w:t>
      </w:r>
      <w:r w:rsidRPr="001DFC05" w:rsidR="67DAD1DE">
        <w:rPr>
          <w:rFonts w:ascii="Calibri" w:hAnsi="Calibri" w:eastAsia="Calibri" w:cs="Calibri"/>
          <w:noProof w:val="0"/>
          <w:color w:val="172B4D"/>
          <w:sz w:val="22"/>
          <w:szCs w:val="22"/>
          <w:lang w:val="en-GB"/>
        </w:rPr>
        <w:t xml:space="preserve"> like the competitions and target </w:t>
      </w:r>
      <w:r w:rsidRPr="001DFC05" w:rsidR="40790850">
        <w:rPr>
          <w:rFonts w:ascii="Calibri" w:hAnsi="Calibri" w:eastAsia="Calibri" w:cs="Calibri"/>
          <w:noProof w:val="0"/>
          <w:color w:val="172B4D"/>
          <w:sz w:val="22"/>
          <w:szCs w:val="22"/>
          <w:lang w:val="en-GB"/>
        </w:rPr>
        <w:t>setting,</w:t>
      </w:r>
      <w:r w:rsidRPr="001DFC05" w:rsidR="67DAD1DE">
        <w:rPr>
          <w:rFonts w:ascii="Calibri" w:hAnsi="Calibri" w:eastAsia="Calibri" w:cs="Calibri"/>
          <w:noProof w:val="0"/>
          <w:color w:val="172B4D"/>
          <w:sz w:val="22"/>
          <w:szCs w:val="22"/>
          <w:lang w:val="en-GB"/>
        </w:rPr>
        <w:t xml:space="preserve"> is another step closer to </w:t>
      </w:r>
      <w:r w:rsidRPr="001DFC05" w:rsidR="7278BD51">
        <w:rPr>
          <w:rFonts w:ascii="Calibri" w:hAnsi="Calibri" w:eastAsia="Calibri" w:cs="Calibri"/>
          <w:noProof w:val="0"/>
          <w:color w:val="172B4D"/>
          <w:sz w:val="22"/>
          <w:szCs w:val="22"/>
          <w:lang w:val="en-GB"/>
        </w:rPr>
        <w:t>creating</w:t>
      </w:r>
      <w:r w:rsidRPr="001DFC05" w:rsidR="67DAD1DE">
        <w:rPr>
          <w:rFonts w:ascii="Calibri" w:hAnsi="Calibri" w:eastAsia="Calibri" w:cs="Calibri"/>
          <w:noProof w:val="0"/>
          <w:color w:val="172B4D"/>
          <w:sz w:val="22"/>
          <w:szCs w:val="22"/>
          <w:lang w:val="en-GB"/>
        </w:rPr>
        <w:t xml:space="preserve"> an environment where learners and employers feel invested and valued. These ongoing efforts, supported by the CRM system's </w:t>
      </w:r>
      <w:r w:rsidRPr="001DFC05" w:rsidR="67DAD1DE">
        <w:rPr>
          <w:rFonts w:ascii="Calibri" w:hAnsi="Calibri" w:eastAsia="Calibri" w:cs="Calibri"/>
          <w:noProof w:val="0"/>
          <w:color w:val="172B4D"/>
          <w:sz w:val="22"/>
          <w:szCs w:val="22"/>
          <w:lang w:val="en-GB"/>
        </w:rPr>
        <w:t>capacity</w:t>
      </w:r>
      <w:r w:rsidRPr="001DFC05" w:rsidR="67DAD1DE">
        <w:rPr>
          <w:rFonts w:ascii="Calibri" w:hAnsi="Calibri" w:eastAsia="Calibri" w:cs="Calibri"/>
          <w:noProof w:val="0"/>
          <w:color w:val="172B4D"/>
          <w:sz w:val="22"/>
          <w:szCs w:val="22"/>
          <w:lang w:val="en-GB"/>
        </w:rPr>
        <w:t xml:space="preserve"> to track engagement and progression, form the foundation of CTC's long-term goals for increasing retention and ensuring sustained partnerships in the vocational training landscape.</w:t>
      </w:r>
    </w:p>
    <w:p xmlns:wp14="http://schemas.microsoft.com/office/word/2010/wordml" w:rsidP="4E8BE5FC" wp14:paraId="6E337871" wp14:textId="550EA43A">
      <w:pPr>
        <w:pStyle w:val="Heading1"/>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bookmarkStart w:name="_Toc315106679" w:id="61496160"/>
      <w:r w:rsidRPr="001DFC05" w:rsidR="661ACA17">
        <w:rPr>
          <w:rFonts w:ascii="Calibri" w:hAnsi="Calibri" w:eastAsia="Calibri" w:cs="Calibri"/>
          <w:noProof w:val="0"/>
          <w:color w:val="auto"/>
          <w:sz w:val="32"/>
          <w:szCs w:val="32"/>
          <w:lang w:val="en-GB"/>
        </w:rPr>
        <w:t>5</w:t>
      </w:r>
      <w:r w:rsidRPr="001DFC05" w:rsidR="77474734">
        <w:rPr>
          <w:rFonts w:ascii="Calibri" w:hAnsi="Calibri" w:eastAsia="Calibri" w:cs="Calibri"/>
          <w:noProof w:val="0"/>
          <w:color w:val="auto"/>
          <w:sz w:val="32"/>
          <w:szCs w:val="32"/>
          <w:lang w:val="en-GB"/>
        </w:rPr>
        <w:t>. Conclusion</w:t>
      </w:r>
      <w:bookmarkEnd w:id="61496160"/>
    </w:p>
    <w:p w:rsidR="4E8BE5FC" w:rsidP="001DFC05" w:rsidRDefault="4E8BE5FC" w14:paraId="47434AB3" w14:textId="4F6936BD">
      <w:pPr>
        <w:keepNext w:val="0"/>
        <w:keepLines w:val="0"/>
        <w:spacing w:before="0" w:beforeAutospacing="off" w:after="0" w:afterAutospacing="off" w:line="360" w:lineRule="auto"/>
        <w:ind w:firstLine="0"/>
        <w:jc w:val="both"/>
        <w:rPr>
          <w:rFonts w:ascii="Calibri" w:hAnsi="Calibri" w:eastAsia="Calibri" w:cs="Calibri"/>
          <w:noProof w:val="0"/>
          <w:color w:val="172B4D"/>
          <w:sz w:val="22"/>
          <w:szCs w:val="22"/>
          <w:lang w:val="en-GB"/>
        </w:rPr>
      </w:pPr>
      <w:r w:rsidRPr="001DFC05" w:rsidR="404B9D54">
        <w:rPr>
          <w:rFonts w:ascii="Calibri" w:hAnsi="Calibri" w:eastAsia="Calibri" w:cs="Calibri"/>
          <w:noProof w:val="0"/>
          <w:color w:val="172B4D"/>
          <w:sz w:val="22"/>
          <w:szCs w:val="22"/>
          <w:lang w:val="en-GB"/>
        </w:rPr>
        <w:t xml:space="preserve">The implementation of CRM is central to CTC's standards, KPIs and success within the niche landscape of Welsh work-based learning. Utilising Cognisoft Yeti, CTC moves beyond basic admin tasks to employ CRM as a tool for quality assurance, early intervention and strategic relationship maintenance. The system's ability to provide live data, flag at-risk learners, and streamline compliance processes, like the 'Over 61 days' </w:t>
      </w:r>
      <w:r w:rsidRPr="001DFC05" w:rsidR="596F17A1">
        <w:rPr>
          <w:rFonts w:ascii="Calibri" w:hAnsi="Calibri" w:eastAsia="Calibri" w:cs="Calibri"/>
          <w:noProof w:val="0"/>
          <w:color w:val="172B4D"/>
          <w:sz w:val="22"/>
          <w:szCs w:val="22"/>
          <w:lang w:val="en-GB"/>
        </w:rPr>
        <w:t>report,</w:t>
      </w:r>
      <w:r w:rsidRPr="001DFC05" w:rsidR="404B9D54">
        <w:rPr>
          <w:rFonts w:ascii="Calibri" w:hAnsi="Calibri" w:eastAsia="Calibri" w:cs="Calibri"/>
          <w:noProof w:val="0"/>
          <w:color w:val="172B4D"/>
          <w:sz w:val="22"/>
          <w:szCs w:val="22"/>
          <w:lang w:val="en-GB"/>
        </w:rPr>
        <w:t xml:space="preserve"> underpins CTC's commitment to </w:t>
      </w:r>
      <w:r w:rsidRPr="001DFC05" w:rsidR="404B9D54">
        <w:rPr>
          <w:rFonts w:ascii="Calibri" w:hAnsi="Calibri" w:eastAsia="Calibri" w:cs="Calibri"/>
          <w:noProof w:val="0"/>
          <w:color w:val="172B4D"/>
          <w:sz w:val="22"/>
          <w:szCs w:val="22"/>
          <w:lang w:val="en-GB"/>
        </w:rPr>
        <w:t>high standards</w:t>
      </w:r>
      <w:r w:rsidRPr="001DFC05" w:rsidR="404B9D54">
        <w:rPr>
          <w:rFonts w:ascii="Calibri" w:hAnsi="Calibri" w:eastAsia="Calibri" w:cs="Calibri"/>
          <w:noProof w:val="0"/>
          <w:color w:val="172B4D"/>
          <w:sz w:val="22"/>
          <w:szCs w:val="22"/>
          <w:lang w:val="en-GB"/>
        </w:rPr>
        <w:t xml:space="preserve"> and efficient service to </w:t>
      </w:r>
      <w:r w:rsidRPr="001DFC05" w:rsidR="404B9D54">
        <w:rPr>
          <w:rFonts w:ascii="Calibri" w:hAnsi="Calibri" w:eastAsia="Calibri" w:cs="Calibri"/>
          <w:noProof w:val="0"/>
          <w:color w:val="172B4D"/>
          <w:sz w:val="22"/>
          <w:szCs w:val="22"/>
          <w:lang w:val="en-GB"/>
        </w:rPr>
        <w:t>maintain</w:t>
      </w:r>
      <w:r w:rsidRPr="001DFC05" w:rsidR="404B9D54">
        <w:rPr>
          <w:rFonts w:ascii="Calibri" w:hAnsi="Calibri" w:eastAsia="Calibri" w:cs="Calibri"/>
          <w:noProof w:val="0"/>
          <w:color w:val="172B4D"/>
          <w:sz w:val="22"/>
          <w:szCs w:val="22"/>
          <w:lang w:val="en-GB"/>
        </w:rPr>
        <w:t xml:space="preserve"> its position in the market.</w:t>
      </w:r>
      <w:r>
        <w:br/>
      </w:r>
      <w:r>
        <w:tab/>
      </w:r>
      <w:r w:rsidRPr="001DFC05" w:rsidR="404B9D54">
        <w:rPr>
          <w:rFonts w:ascii="Calibri" w:hAnsi="Calibri" w:eastAsia="Calibri" w:cs="Calibri"/>
          <w:noProof w:val="0"/>
          <w:color w:val="172B4D"/>
          <w:sz w:val="22"/>
          <w:szCs w:val="22"/>
          <w:lang w:val="en-GB"/>
        </w:rPr>
        <w:t xml:space="preserve">Critically evaluating CTC's approach to brand versus customer loyalty reveals a nuanced reality. While its exclusive provision of City &amp; Guilds hospitality qualifications in Wales initially positions employers as a "captive" market, CTC does not rely on it. Instead, it works to earn genuine customer loyalty through exceptional service, 24/7 support and competitions. These efforts are vital in transforming and </w:t>
      </w:r>
      <w:r w:rsidRPr="001DFC05" w:rsidR="404B9D54">
        <w:rPr>
          <w:rFonts w:ascii="Calibri" w:hAnsi="Calibri" w:eastAsia="Calibri" w:cs="Calibri"/>
          <w:noProof w:val="0"/>
          <w:color w:val="172B4D"/>
          <w:sz w:val="22"/>
          <w:szCs w:val="22"/>
          <w:lang w:val="en-GB"/>
        </w:rPr>
        <w:t>maintaining</w:t>
      </w:r>
      <w:r w:rsidRPr="001DFC05" w:rsidR="404B9D54">
        <w:rPr>
          <w:rFonts w:ascii="Calibri" w:hAnsi="Calibri" w:eastAsia="Calibri" w:cs="Calibri"/>
          <w:noProof w:val="0"/>
          <w:color w:val="172B4D"/>
          <w:sz w:val="22"/>
          <w:szCs w:val="22"/>
          <w:lang w:val="en-GB"/>
        </w:rPr>
        <w:t xml:space="preserve"> the relationships, fostering deep trust and commitment from the customers.</w:t>
      </w:r>
      <w:r>
        <w:br/>
      </w:r>
      <w:r>
        <w:tab/>
      </w:r>
      <w:r w:rsidRPr="001DFC05" w:rsidR="404B9D54">
        <w:rPr>
          <w:rFonts w:ascii="Calibri" w:hAnsi="Calibri" w:eastAsia="Calibri" w:cs="Calibri"/>
          <w:noProof w:val="0"/>
          <w:color w:val="172B4D"/>
          <w:sz w:val="22"/>
          <w:szCs w:val="22"/>
          <w:lang w:val="en-GB"/>
        </w:rPr>
        <w:t xml:space="preserve">Furthermore, CTC strategically enhances retention through initiatives that add significant value. Collaborations with organisations like the Culinary Association of Wales for competitions not only elevate learner skills but also provide marketing benefits for employers. Adapting the review processes following Estyn's </w:t>
      </w:r>
      <w:r w:rsidRPr="001DFC05" w:rsidR="7ACA5AE7">
        <w:rPr>
          <w:rFonts w:ascii="Calibri" w:hAnsi="Calibri" w:eastAsia="Calibri" w:cs="Calibri"/>
          <w:noProof w:val="0"/>
          <w:color w:val="172B4D"/>
          <w:sz w:val="22"/>
          <w:szCs w:val="22"/>
          <w:lang w:val="en-GB"/>
        </w:rPr>
        <w:t>recommendations,</w:t>
      </w:r>
      <w:r w:rsidRPr="001DFC05" w:rsidR="404B9D54">
        <w:rPr>
          <w:rFonts w:ascii="Calibri" w:hAnsi="Calibri" w:eastAsia="Calibri" w:cs="Calibri"/>
          <w:noProof w:val="0"/>
          <w:color w:val="172B4D"/>
          <w:sz w:val="22"/>
          <w:szCs w:val="22"/>
          <w:lang w:val="en-GB"/>
        </w:rPr>
        <w:t xml:space="preserve"> which focus on detailed target setting, </w:t>
      </w:r>
      <w:r w:rsidRPr="001DFC05" w:rsidR="404B9D54">
        <w:rPr>
          <w:rFonts w:ascii="Calibri" w:hAnsi="Calibri" w:eastAsia="Calibri" w:cs="Calibri"/>
          <w:noProof w:val="0"/>
          <w:color w:val="172B4D"/>
          <w:sz w:val="22"/>
          <w:szCs w:val="22"/>
          <w:lang w:val="en-GB"/>
        </w:rPr>
        <w:t>demonstrates</w:t>
      </w:r>
      <w:r w:rsidRPr="001DFC05" w:rsidR="404B9D54">
        <w:rPr>
          <w:rFonts w:ascii="Calibri" w:hAnsi="Calibri" w:eastAsia="Calibri" w:cs="Calibri"/>
          <w:noProof w:val="0"/>
          <w:color w:val="172B4D"/>
          <w:sz w:val="22"/>
          <w:szCs w:val="22"/>
          <w:lang w:val="en-GB"/>
        </w:rPr>
        <w:t xml:space="preserve"> CTC's commitment to providing clear pathways for the learners throughout the learning journey. This approach enhances learner progress and fosters a sense of shared accomplishment, which strengthens loyalty. While CTC's quality is </w:t>
      </w:r>
      <w:r w:rsidRPr="001DFC05" w:rsidR="404B9D54">
        <w:rPr>
          <w:rFonts w:ascii="Calibri" w:hAnsi="Calibri" w:eastAsia="Calibri" w:cs="Calibri"/>
          <w:noProof w:val="0"/>
          <w:color w:val="172B4D"/>
          <w:sz w:val="22"/>
          <w:szCs w:val="22"/>
          <w:lang w:val="en-GB"/>
        </w:rPr>
        <w:t>evident</w:t>
      </w:r>
      <w:r w:rsidRPr="001DFC05" w:rsidR="404B9D54">
        <w:rPr>
          <w:rFonts w:ascii="Calibri" w:hAnsi="Calibri" w:eastAsia="Calibri" w:cs="Calibri"/>
          <w:noProof w:val="0"/>
          <w:color w:val="172B4D"/>
          <w:sz w:val="22"/>
          <w:szCs w:val="22"/>
          <w:lang w:val="en-GB"/>
        </w:rPr>
        <w:t xml:space="preserve">, pursuing </w:t>
      </w:r>
      <w:r w:rsidRPr="001DFC05" w:rsidR="61E64FB4">
        <w:rPr>
          <w:rFonts w:ascii="Calibri" w:hAnsi="Calibri" w:eastAsia="Calibri" w:cs="Calibri"/>
          <w:noProof w:val="0"/>
          <w:color w:val="172B4D"/>
          <w:sz w:val="22"/>
          <w:szCs w:val="22"/>
          <w:lang w:val="en-GB"/>
        </w:rPr>
        <w:t>work-based</w:t>
      </w:r>
      <w:r w:rsidRPr="001DFC05" w:rsidR="404B9D54">
        <w:rPr>
          <w:rFonts w:ascii="Calibri" w:hAnsi="Calibri" w:eastAsia="Calibri" w:cs="Calibri"/>
          <w:noProof w:val="0"/>
          <w:color w:val="172B4D"/>
          <w:sz w:val="22"/>
          <w:szCs w:val="22"/>
          <w:lang w:val="en-GB"/>
        </w:rPr>
        <w:t xml:space="preserve"> learning awards could further amplify its reputation and </w:t>
      </w:r>
      <w:r w:rsidRPr="001DFC05" w:rsidR="3659F478">
        <w:rPr>
          <w:rFonts w:ascii="Calibri" w:hAnsi="Calibri" w:eastAsia="Calibri" w:cs="Calibri"/>
          <w:noProof w:val="0"/>
          <w:color w:val="172B4D"/>
          <w:sz w:val="22"/>
          <w:szCs w:val="22"/>
          <w:lang w:val="en-GB"/>
        </w:rPr>
        <w:t>provide</w:t>
      </w:r>
      <w:r w:rsidRPr="001DFC05" w:rsidR="404B9D54">
        <w:rPr>
          <w:rFonts w:ascii="Calibri" w:hAnsi="Calibri" w:eastAsia="Calibri" w:cs="Calibri"/>
          <w:noProof w:val="0"/>
          <w:color w:val="172B4D"/>
          <w:sz w:val="22"/>
          <w:szCs w:val="22"/>
          <w:lang w:val="en-GB"/>
        </w:rPr>
        <w:t xml:space="preserve"> value and trust for employers and stakeholders.</w:t>
      </w:r>
      <w:r>
        <w:br/>
      </w:r>
      <w:r>
        <w:tab/>
      </w:r>
      <w:r w:rsidRPr="001DFC05" w:rsidR="404B9D54">
        <w:rPr>
          <w:rFonts w:ascii="Calibri" w:hAnsi="Calibri" w:eastAsia="Calibri" w:cs="Calibri"/>
          <w:noProof w:val="0"/>
          <w:color w:val="172B4D"/>
          <w:sz w:val="22"/>
          <w:szCs w:val="22"/>
          <w:lang w:val="en-GB"/>
        </w:rPr>
        <w:t xml:space="preserve">In conclusion, </w:t>
      </w:r>
      <w:r w:rsidRPr="001DFC05" w:rsidR="613217C2">
        <w:rPr>
          <w:rFonts w:ascii="Calibri" w:hAnsi="Calibri" w:eastAsia="Calibri" w:cs="Calibri"/>
          <w:noProof w:val="0"/>
          <w:color w:val="172B4D"/>
          <w:sz w:val="22"/>
          <w:szCs w:val="22"/>
          <w:lang w:val="en-GB"/>
        </w:rPr>
        <w:t>CTC's</w:t>
      </w:r>
      <w:r w:rsidRPr="001DFC05" w:rsidR="404B9D54">
        <w:rPr>
          <w:rFonts w:ascii="Calibri" w:hAnsi="Calibri" w:eastAsia="Calibri" w:cs="Calibri"/>
          <w:noProof w:val="0"/>
          <w:color w:val="172B4D"/>
          <w:sz w:val="22"/>
          <w:szCs w:val="22"/>
          <w:lang w:val="en-GB"/>
        </w:rPr>
        <w:t xml:space="preserve"> CRM is vital for the strategic practices and quality of service. It enables the organisation to navigate through a niche market by delivering </w:t>
      </w:r>
      <w:r w:rsidRPr="001DFC05" w:rsidR="40CDEBA2">
        <w:rPr>
          <w:rFonts w:ascii="Calibri" w:hAnsi="Calibri" w:eastAsia="Calibri" w:cs="Calibri"/>
          <w:noProof w:val="0"/>
          <w:color w:val="172B4D"/>
          <w:sz w:val="22"/>
          <w:szCs w:val="22"/>
          <w:lang w:val="en-GB"/>
        </w:rPr>
        <w:t>unrivalled</w:t>
      </w:r>
      <w:r w:rsidRPr="001DFC05" w:rsidR="404B9D54">
        <w:rPr>
          <w:rFonts w:ascii="Calibri" w:hAnsi="Calibri" w:eastAsia="Calibri" w:cs="Calibri"/>
          <w:noProof w:val="0"/>
          <w:color w:val="172B4D"/>
          <w:sz w:val="22"/>
          <w:szCs w:val="22"/>
          <w:lang w:val="en-GB"/>
        </w:rPr>
        <w:t xml:space="preserve"> service quality, fostering genuine customer loyalty beyond market </w:t>
      </w:r>
      <w:r w:rsidRPr="001DFC05" w:rsidR="404B9D54">
        <w:rPr>
          <w:rFonts w:ascii="Calibri" w:hAnsi="Calibri" w:eastAsia="Calibri" w:cs="Calibri"/>
          <w:noProof w:val="0"/>
          <w:color w:val="172B4D"/>
          <w:sz w:val="22"/>
          <w:szCs w:val="22"/>
          <w:lang w:val="en-GB"/>
        </w:rPr>
        <w:t>necessity</w:t>
      </w:r>
      <w:r w:rsidRPr="001DFC05" w:rsidR="404B9D54">
        <w:rPr>
          <w:rFonts w:ascii="Calibri" w:hAnsi="Calibri" w:eastAsia="Calibri" w:cs="Calibri"/>
          <w:noProof w:val="0"/>
          <w:color w:val="172B4D"/>
          <w:sz w:val="22"/>
          <w:szCs w:val="22"/>
          <w:lang w:val="en-GB"/>
        </w:rPr>
        <w:t xml:space="preserve"> and implementing proactive strategies that </w:t>
      </w:r>
      <w:r w:rsidRPr="001DFC05" w:rsidR="404B9D54">
        <w:rPr>
          <w:rFonts w:ascii="Calibri" w:hAnsi="Calibri" w:eastAsia="Calibri" w:cs="Calibri"/>
          <w:noProof w:val="0"/>
          <w:color w:val="172B4D"/>
          <w:sz w:val="22"/>
          <w:szCs w:val="22"/>
          <w:lang w:val="en-GB"/>
        </w:rPr>
        <w:t>benefit</w:t>
      </w:r>
      <w:r w:rsidRPr="001DFC05" w:rsidR="404B9D54">
        <w:rPr>
          <w:rFonts w:ascii="Calibri" w:hAnsi="Calibri" w:eastAsia="Calibri" w:cs="Calibri"/>
          <w:noProof w:val="0"/>
          <w:color w:val="172B4D"/>
          <w:sz w:val="22"/>
          <w:szCs w:val="22"/>
          <w:lang w:val="en-GB"/>
        </w:rPr>
        <w:t xml:space="preserve"> all customers and stakeholders. The continuous development of the CRM practices, driven by a commitment to excellence and responsiveness to both internal and external feedback, positions CTC to </w:t>
      </w:r>
      <w:r w:rsidRPr="001DFC05" w:rsidR="404B9D54">
        <w:rPr>
          <w:rFonts w:ascii="Calibri" w:hAnsi="Calibri" w:eastAsia="Calibri" w:cs="Calibri"/>
          <w:noProof w:val="0"/>
          <w:color w:val="172B4D"/>
          <w:sz w:val="22"/>
          <w:szCs w:val="22"/>
          <w:lang w:val="en-GB"/>
        </w:rPr>
        <w:t>maintain</w:t>
      </w:r>
      <w:r w:rsidRPr="001DFC05" w:rsidR="404B9D54">
        <w:rPr>
          <w:rFonts w:ascii="Calibri" w:hAnsi="Calibri" w:eastAsia="Calibri" w:cs="Calibri"/>
          <w:noProof w:val="0"/>
          <w:color w:val="172B4D"/>
          <w:sz w:val="22"/>
          <w:szCs w:val="22"/>
          <w:lang w:val="en-GB"/>
        </w:rPr>
        <w:t xml:space="preserve"> high retention rates and continue its role in developing a skilled hospitality workforce in Wales.</w:t>
      </w:r>
    </w:p>
    <w:p w:rsidR="01CA9E44" w:rsidP="001DFC05" w:rsidRDefault="01CA9E44" w14:paraId="6B1259EA" w14:textId="59F2B2E2">
      <w:pPr>
        <w:pStyle w:val="Heading1"/>
        <w:keepNext w:val="1"/>
        <w:keepLines w:val="1"/>
        <w:spacing w:before="0" w:beforeAutospacing="off" w:after="0" w:afterAutospacing="off" w:line="360" w:lineRule="auto"/>
        <w:rPr>
          <w:rFonts w:ascii="Calibri" w:hAnsi="Calibri" w:eastAsia="Calibri" w:cs="Calibri"/>
          <w:noProof w:val="0"/>
          <w:color w:val="auto"/>
          <w:sz w:val="32"/>
          <w:szCs w:val="32"/>
          <w:lang w:val="en-GB"/>
        </w:rPr>
      </w:pPr>
      <w:bookmarkStart w:name="_Toc1200853316" w:id="1949420130"/>
      <w:r w:rsidRPr="001DFC05" w:rsidR="2060972B">
        <w:rPr>
          <w:rFonts w:ascii="Calibri" w:hAnsi="Calibri" w:eastAsia="Calibri" w:cs="Calibri"/>
          <w:noProof w:val="0"/>
          <w:color w:val="auto"/>
          <w:sz w:val="32"/>
          <w:szCs w:val="32"/>
          <w:lang w:val="en-GB"/>
        </w:rPr>
        <w:t>6</w:t>
      </w:r>
      <w:r w:rsidRPr="001DFC05" w:rsidR="037417F4">
        <w:rPr>
          <w:rFonts w:ascii="Calibri" w:hAnsi="Calibri" w:eastAsia="Calibri" w:cs="Calibri"/>
          <w:noProof w:val="0"/>
          <w:color w:val="auto"/>
          <w:sz w:val="32"/>
          <w:szCs w:val="32"/>
          <w:lang w:val="en-GB"/>
        </w:rPr>
        <w:t xml:space="preserve">. </w:t>
      </w:r>
      <w:r w:rsidRPr="001DFC05" w:rsidR="451C2216">
        <w:rPr>
          <w:rFonts w:ascii="Calibri" w:hAnsi="Calibri" w:eastAsia="Calibri" w:cs="Calibri"/>
          <w:noProof w:val="0"/>
          <w:color w:val="auto"/>
          <w:sz w:val="32"/>
          <w:szCs w:val="32"/>
          <w:lang w:val="en-GB"/>
        </w:rPr>
        <w:t>References</w:t>
      </w:r>
      <w:bookmarkEnd w:id="1949420130"/>
    </w:p>
    <w:p w:rsidR="01CA9E44" w:rsidP="001DFC05" w:rsidRDefault="01CA9E44" w14:paraId="0BE92882" w14:textId="28D094FF">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Accenture. (2020, June 22). </w:t>
      </w:r>
      <w:r w:rsidRPr="001DFC05" w:rsidR="256B60EB">
        <w:rPr>
          <w:rFonts w:ascii="Calibri" w:hAnsi="Calibri" w:eastAsia="Calibri" w:cs="Calibri"/>
          <w:i w:val="1"/>
          <w:iCs w:val="1"/>
          <w:noProof w:val="0"/>
          <w:color w:val="000000" w:themeColor="text1" w:themeTint="FF" w:themeShade="FF"/>
          <w:sz w:val="22"/>
          <w:szCs w:val="22"/>
          <w:lang w:val="en-GB"/>
        </w:rPr>
        <w:t>Accenture CRM and Customer Experience Implementation Services Reviews, Ratings &amp; Features</w:t>
      </w:r>
      <w:r w:rsidRPr="001DFC05" w:rsidR="256B60EB">
        <w:rPr>
          <w:rFonts w:ascii="Calibri" w:hAnsi="Calibri" w:eastAsia="Calibri" w:cs="Calibri"/>
          <w:noProof w:val="0"/>
          <w:color w:val="000000" w:themeColor="text1" w:themeTint="FF" w:themeShade="FF"/>
          <w:sz w:val="22"/>
          <w:szCs w:val="22"/>
          <w:lang w:val="en-GB"/>
        </w:rPr>
        <w:t xml:space="preserve">. Gartner Peer Insights. Retrieved from </w:t>
      </w:r>
      <w:hyperlink r:id="R5f66d909dc6347f6">
        <w:r w:rsidRPr="001DFC05" w:rsidR="256B60EB">
          <w:rPr>
            <w:rStyle w:val="Hyperlink"/>
            <w:rFonts w:ascii="Calibri" w:hAnsi="Calibri" w:eastAsia="Calibri" w:cs="Calibri"/>
            <w:noProof w:val="0"/>
            <w:color w:val="000000" w:themeColor="text1" w:themeTint="FF" w:themeShade="FF"/>
            <w:sz w:val="22"/>
            <w:szCs w:val="22"/>
            <w:lang w:val="en-GB"/>
          </w:rPr>
          <w:t>https://www.gartner.com/reviews/market/crmandcustomerexperienceimplementationservicesworldwide/vendor/accenture/product/accenture-crm-and-customer-experience-implementation-services</w:t>
        </w:r>
      </w:hyperlink>
    </w:p>
    <w:p w:rsidR="01CA9E44" w:rsidP="001DFC05" w:rsidRDefault="01CA9E44" w14:paraId="1BF70569" w14:textId="4A57764E">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Brown, A., &amp; Taylor, L. (2023). The impact of industry awards on B2B client acquisition and retention. </w:t>
      </w:r>
      <w:r w:rsidRPr="001DFC05" w:rsidR="256B60EB">
        <w:rPr>
          <w:rFonts w:ascii="Calibri" w:hAnsi="Calibri" w:eastAsia="Calibri" w:cs="Calibri"/>
          <w:i w:val="1"/>
          <w:iCs w:val="1"/>
          <w:noProof w:val="0"/>
          <w:color w:val="000000" w:themeColor="text1" w:themeTint="FF" w:themeShade="FF"/>
          <w:sz w:val="22"/>
          <w:szCs w:val="22"/>
          <w:lang w:val="en-GB"/>
        </w:rPr>
        <w:t>Journal of Business Strategy</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15</w:t>
      </w:r>
      <w:r w:rsidRPr="001DFC05" w:rsidR="256B60EB">
        <w:rPr>
          <w:rFonts w:ascii="Calibri" w:hAnsi="Calibri" w:eastAsia="Calibri" w:cs="Calibri"/>
          <w:noProof w:val="0"/>
          <w:color w:val="000000" w:themeColor="text1" w:themeTint="FF" w:themeShade="FF"/>
          <w:sz w:val="22"/>
          <w:szCs w:val="22"/>
          <w:lang w:val="en-GB"/>
        </w:rPr>
        <w:t>(2), 112-130.</w:t>
      </w:r>
    </w:p>
    <w:p w:rsidR="01CA9E44" w:rsidP="001DFC05" w:rsidRDefault="01CA9E44" w14:paraId="1A3F3D67" w14:textId="21214260">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Chen, L., Wang, Y., &amp; Li, J. (2024). Beyond captive markets: Cultivating genuine customer loyalty in B2B service industries. </w:t>
      </w:r>
      <w:r w:rsidRPr="001DFC05" w:rsidR="256B60EB">
        <w:rPr>
          <w:rFonts w:ascii="Calibri" w:hAnsi="Calibri" w:eastAsia="Calibri" w:cs="Calibri"/>
          <w:i w:val="1"/>
          <w:iCs w:val="1"/>
          <w:noProof w:val="0"/>
          <w:color w:val="000000" w:themeColor="text1" w:themeTint="FF" w:themeShade="FF"/>
          <w:sz w:val="22"/>
          <w:szCs w:val="22"/>
          <w:lang w:val="en-GB"/>
        </w:rPr>
        <w:t>Journal of Service Research</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27</w:t>
      </w:r>
      <w:r w:rsidRPr="001DFC05" w:rsidR="256B60EB">
        <w:rPr>
          <w:rFonts w:ascii="Calibri" w:hAnsi="Calibri" w:eastAsia="Calibri" w:cs="Calibri"/>
          <w:noProof w:val="0"/>
          <w:color w:val="000000" w:themeColor="text1" w:themeTint="FF" w:themeShade="FF"/>
          <w:sz w:val="22"/>
          <w:szCs w:val="22"/>
          <w:lang w:val="en-GB"/>
        </w:rPr>
        <w:t>(1), 45-62.</w:t>
      </w:r>
    </w:p>
    <w:p w:rsidR="01CA9E44" w:rsidP="001DFC05" w:rsidRDefault="01CA9E44" w14:paraId="7A483F95" w14:textId="7C626CEA">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Davies, R., &amp; Griffiths, S. (2023). The role of vocational skills competitions in enhancing learner engagement and employer brand value. </w:t>
      </w:r>
      <w:r w:rsidRPr="001DFC05" w:rsidR="256B60EB">
        <w:rPr>
          <w:rFonts w:ascii="Calibri" w:hAnsi="Calibri" w:eastAsia="Calibri" w:cs="Calibri"/>
          <w:i w:val="1"/>
          <w:iCs w:val="1"/>
          <w:noProof w:val="0"/>
          <w:color w:val="000000" w:themeColor="text1" w:themeTint="FF" w:themeShade="FF"/>
          <w:sz w:val="22"/>
          <w:szCs w:val="22"/>
          <w:lang w:val="en-GB"/>
        </w:rPr>
        <w:t>Journal of Vocational Education and Training</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75</w:t>
      </w:r>
      <w:r w:rsidRPr="001DFC05" w:rsidR="256B60EB">
        <w:rPr>
          <w:rFonts w:ascii="Calibri" w:hAnsi="Calibri" w:eastAsia="Calibri" w:cs="Calibri"/>
          <w:noProof w:val="0"/>
          <w:color w:val="000000" w:themeColor="text1" w:themeTint="FF" w:themeShade="FF"/>
          <w:sz w:val="22"/>
          <w:szCs w:val="22"/>
          <w:lang w:val="en-GB"/>
        </w:rPr>
        <w:t>(4), 587-603.</w:t>
      </w:r>
    </w:p>
    <w:p w:rsidR="01CA9E44" w:rsidP="001DFC05" w:rsidRDefault="01CA9E44" w14:paraId="174803E6" w14:textId="11A43999">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Davison, S., &amp; Kelly, M. (2024). The efficacy of financial incentives in driving long-term B2B customer retention. </w:t>
      </w:r>
      <w:r w:rsidRPr="001DFC05" w:rsidR="256B60EB">
        <w:rPr>
          <w:rFonts w:ascii="Calibri" w:hAnsi="Calibri" w:eastAsia="Calibri" w:cs="Calibri"/>
          <w:i w:val="1"/>
          <w:iCs w:val="1"/>
          <w:noProof w:val="0"/>
          <w:color w:val="000000" w:themeColor="text1" w:themeTint="FF" w:themeShade="FF"/>
          <w:sz w:val="22"/>
          <w:szCs w:val="22"/>
          <w:lang w:val="en-GB"/>
        </w:rPr>
        <w:t>Industrial Marketing Management</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118</w:t>
      </w:r>
      <w:r w:rsidRPr="001DFC05" w:rsidR="256B60EB">
        <w:rPr>
          <w:rFonts w:ascii="Calibri" w:hAnsi="Calibri" w:eastAsia="Calibri" w:cs="Calibri"/>
          <w:noProof w:val="0"/>
          <w:color w:val="000000" w:themeColor="text1" w:themeTint="FF" w:themeShade="FF"/>
          <w:sz w:val="22"/>
          <w:szCs w:val="22"/>
          <w:lang w:val="en-GB"/>
        </w:rPr>
        <w:t>, 105-117.</w:t>
      </w:r>
    </w:p>
    <w:p w:rsidR="01CA9E44" w:rsidP="001DFC05" w:rsidRDefault="01CA9E44" w14:paraId="2536AA08" w14:textId="2A1E255A">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EAB. (2025, January 14). </w:t>
      </w:r>
      <w:r w:rsidRPr="001DFC05" w:rsidR="256B60EB">
        <w:rPr>
          <w:rFonts w:ascii="Calibri" w:hAnsi="Calibri" w:eastAsia="Calibri" w:cs="Calibri"/>
          <w:i w:val="1"/>
          <w:iCs w:val="1"/>
          <w:noProof w:val="0"/>
          <w:color w:val="000000" w:themeColor="text1" w:themeTint="FF" w:themeShade="FF"/>
          <w:sz w:val="22"/>
          <w:szCs w:val="22"/>
          <w:lang w:val="en-GB"/>
        </w:rPr>
        <w:t>3 hidden retention challenges facing higher ed in 2025</w:t>
      </w:r>
      <w:r w:rsidRPr="001DFC05" w:rsidR="256B60EB">
        <w:rPr>
          <w:rFonts w:ascii="Calibri" w:hAnsi="Calibri" w:eastAsia="Calibri" w:cs="Calibri"/>
          <w:noProof w:val="0"/>
          <w:color w:val="000000" w:themeColor="text1" w:themeTint="FF" w:themeShade="FF"/>
          <w:sz w:val="22"/>
          <w:szCs w:val="22"/>
          <w:lang w:val="en-GB"/>
        </w:rPr>
        <w:t xml:space="preserve">. Retrieved from </w:t>
      </w:r>
      <w:hyperlink r:id="Rafcbd1e3f1104ddc">
        <w:r w:rsidRPr="001DFC05" w:rsidR="256B60EB">
          <w:rPr>
            <w:rStyle w:val="Hyperlink"/>
            <w:rFonts w:ascii="Calibri" w:hAnsi="Calibri" w:eastAsia="Calibri" w:cs="Calibri"/>
            <w:noProof w:val="0"/>
            <w:color w:val="000000" w:themeColor="text1" w:themeTint="FF" w:themeShade="FF"/>
            <w:sz w:val="22"/>
            <w:szCs w:val="22"/>
            <w:lang w:val="en-GB"/>
          </w:rPr>
          <w:t>https://eab.com/resources/blog/student-success-blog/3-hidden-retention-challenges-facing-higher-ed-in-2025/</w:t>
        </w:r>
      </w:hyperlink>
    </w:p>
    <w:p w:rsidR="01CA9E44" w:rsidP="001DFC05" w:rsidRDefault="01CA9E44" w14:paraId="48C62F5F" w14:textId="6667B123">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Fadina, T. (2025, June 18). </w:t>
      </w:r>
      <w:r w:rsidRPr="001DFC05" w:rsidR="256B60EB">
        <w:rPr>
          <w:rFonts w:ascii="Calibri" w:hAnsi="Calibri" w:eastAsia="Calibri" w:cs="Calibri"/>
          <w:i w:val="1"/>
          <w:iCs w:val="1"/>
          <w:noProof w:val="0"/>
          <w:color w:val="000000" w:themeColor="text1" w:themeTint="FF" w:themeShade="FF"/>
          <w:sz w:val="22"/>
          <w:szCs w:val="22"/>
          <w:lang w:val="en-GB"/>
        </w:rPr>
        <w:t>CRM Trends 2025: What Businesses Must Know to Stay Ahead</w:t>
      </w:r>
      <w:r w:rsidRPr="001DFC05" w:rsidR="256B60EB">
        <w:rPr>
          <w:rFonts w:ascii="Calibri" w:hAnsi="Calibri" w:eastAsia="Calibri" w:cs="Calibri"/>
          <w:noProof w:val="0"/>
          <w:color w:val="000000" w:themeColor="text1" w:themeTint="FF" w:themeShade="FF"/>
          <w:sz w:val="22"/>
          <w:szCs w:val="22"/>
          <w:lang w:val="en-GB"/>
        </w:rPr>
        <w:t xml:space="preserve">. NetHunt CRM. Retrieved from </w:t>
      </w:r>
      <w:hyperlink r:id="R69673eaaa8134850">
        <w:r w:rsidRPr="001DFC05" w:rsidR="256B60EB">
          <w:rPr>
            <w:rStyle w:val="Hyperlink"/>
            <w:rFonts w:ascii="Calibri" w:hAnsi="Calibri" w:eastAsia="Calibri" w:cs="Calibri"/>
            <w:noProof w:val="0"/>
            <w:color w:val="000000" w:themeColor="text1" w:themeTint="FF" w:themeShade="FF"/>
            <w:sz w:val="22"/>
            <w:szCs w:val="22"/>
            <w:lang w:val="en-GB"/>
          </w:rPr>
          <w:t>https://nethunt.com/blog/crm-trends/</w:t>
        </w:r>
      </w:hyperlink>
    </w:p>
    <w:p w:rsidR="01CA9E44" w:rsidP="001DFC05" w:rsidRDefault="01CA9E44" w14:paraId="0C9F87F9" w14:textId="2B1DE843">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4"/>
          <w:szCs w:val="24"/>
          <w:lang w:val="en-GB"/>
        </w:rPr>
      </w:pPr>
      <w:r w:rsidRPr="001DFC05" w:rsidR="256B60EB">
        <w:rPr>
          <w:rFonts w:ascii="Calibri" w:hAnsi="Calibri" w:eastAsia="Calibri" w:cs="Calibri"/>
          <w:noProof w:val="0"/>
          <w:color w:val="000000" w:themeColor="text1" w:themeTint="FF" w:themeShade="FF"/>
          <w:sz w:val="22"/>
          <w:szCs w:val="22"/>
          <w:lang w:val="en-GB"/>
        </w:rPr>
        <w:t xml:space="preserve">Garcia, R., &amp; Lee, S. (2023). Building trust in B2B relationships: The role of </w:t>
      </w:r>
      <w:r w:rsidRPr="001DFC05" w:rsidR="032CDDC1">
        <w:rPr>
          <w:rFonts w:ascii="Calibri" w:hAnsi="Calibri" w:eastAsia="Calibri" w:cs="Calibri"/>
          <w:noProof w:val="0"/>
          <w:color w:val="000000" w:themeColor="text1" w:themeTint="FF" w:themeShade="FF"/>
          <w:sz w:val="22"/>
          <w:szCs w:val="22"/>
          <w:lang w:val="en-GB"/>
        </w:rPr>
        <w:t>specialised</w:t>
      </w:r>
      <w:r w:rsidRPr="001DFC05" w:rsidR="256B60EB">
        <w:rPr>
          <w:rFonts w:ascii="Calibri" w:hAnsi="Calibri" w:eastAsia="Calibri" w:cs="Calibri"/>
          <w:noProof w:val="0"/>
          <w:color w:val="000000" w:themeColor="text1" w:themeTint="FF" w:themeShade="FF"/>
          <w:sz w:val="22"/>
          <w:szCs w:val="22"/>
          <w:lang w:val="en-GB"/>
        </w:rPr>
        <w:t xml:space="preserve"> industry </w:t>
      </w:r>
      <w:r w:rsidRPr="001DFC05" w:rsidR="256B60EB">
        <w:rPr>
          <w:rFonts w:ascii="Calibri" w:hAnsi="Calibri" w:eastAsia="Calibri" w:cs="Calibri"/>
          <w:noProof w:val="0"/>
          <w:color w:val="000000" w:themeColor="text1" w:themeTint="FF" w:themeShade="FF"/>
          <w:sz w:val="22"/>
          <w:szCs w:val="22"/>
          <w:lang w:val="en-GB"/>
        </w:rPr>
        <w:t>expertise</w:t>
      </w:r>
      <w:r w:rsidRPr="001DFC05" w:rsidR="256B60EB">
        <w:rPr>
          <w:rFonts w:ascii="Calibri" w:hAnsi="Calibri" w:eastAsia="Calibri" w:cs="Calibri"/>
          <w:noProof w:val="0"/>
          <w:color w:val="000000" w:themeColor="text1" w:themeTint="FF" w:themeShade="FF"/>
          <w:sz w:val="22"/>
          <w:szCs w:val="22"/>
          <w:lang w:val="en-GB"/>
        </w:rPr>
        <w:t xml:space="preserve"> and team familiarity. </w:t>
      </w:r>
      <w:r w:rsidRPr="001DFC05" w:rsidR="256B60EB">
        <w:rPr>
          <w:rFonts w:ascii="Calibri" w:hAnsi="Calibri" w:eastAsia="Calibri" w:cs="Calibri"/>
          <w:i w:val="1"/>
          <w:iCs w:val="1"/>
          <w:noProof w:val="0"/>
          <w:color w:val="000000" w:themeColor="text1" w:themeTint="FF" w:themeShade="FF"/>
          <w:sz w:val="22"/>
          <w:szCs w:val="22"/>
          <w:lang w:val="en-GB"/>
        </w:rPr>
        <w:t>Journal of Business-to-Business Marketing</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30</w:t>
      </w:r>
      <w:r w:rsidRPr="001DFC05" w:rsidR="256B60EB">
        <w:rPr>
          <w:rFonts w:ascii="Calibri" w:hAnsi="Calibri" w:eastAsia="Calibri" w:cs="Calibri"/>
          <w:noProof w:val="0"/>
          <w:color w:val="000000" w:themeColor="text1" w:themeTint="FF" w:themeShade="FF"/>
          <w:sz w:val="22"/>
          <w:szCs w:val="22"/>
          <w:lang w:val="en-GB"/>
        </w:rPr>
        <w:t>(4), 301-318.</w:t>
      </w:r>
    </w:p>
    <w:p w:rsidR="01CA9E44" w:rsidP="001DFC05" w:rsidRDefault="01CA9E44" w14:paraId="7DB950D1" w14:textId="67A3EEF3">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GOV.UK. (2025, March 17). </w:t>
      </w:r>
      <w:r w:rsidRPr="001DFC05" w:rsidR="256B60EB">
        <w:rPr>
          <w:rFonts w:ascii="Calibri" w:hAnsi="Calibri" w:eastAsia="Calibri" w:cs="Calibri"/>
          <w:i w:val="1"/>
          <w:iCs w:val="1"/>
          <w:noProof w:val="0"/>
          <w:color w:val="000000" w:themeColor="text1" w:themeTint="FF" w:themeShade="FF"/>
          <w:sz w:val="22"/>
          <w:szCs w:val="22"/>
          <w:lang w:val="en-GB"/>
        </w:rPr>
        <w:t>Promoting and supporting mental health and wellbeing in schools and colleges</w:t>
      </w:r>
      <w:r w:rsidRPr="001DFC05" w:rsidR="256B60EB">
        <w:rPr>
          <w:rFonts w:ascii="Calibri" w:hAnsi="Calibri" w:eastAsia="Calibri" w:cs="Calibri"/>
          <w:noProof w:val="0"/>
          <w:color w:val="000000" w:themeColor="text1" w:themeTint="FF" w:themeShade="FF"/>
          <w:sz w:val="22"/>
          <w:szCs w:val="22"/>
          <w:lang w:val="en-GB"/>
        </w:rPr>
        <w:t xml:space="preserve">. Retrieved from </w:t>
      </w:r>
      <w:hyperlink r:id="Rf0ab849cb94d4bed">
        <w:r w:rsidRPr="001DFC05" w:rsidR="256B60EB">
          <w:rPr>
            <w:rStyle w:val="Hyperlink"/>
            <w:rFonts w:ascii="Calibri" w:hAnsi="Calibri" w:eastAsia="Calibri" w:cs="Calibri"/>
            <w:noProof w:val="0"/>
            <w:color w:val="000000" w:themeColor="text1" w:themeTint="FF" w:themeShade="FF"/>
            <w:sz w:val="22"/>
            <w:szCs w:val="22"/>
            <w:lang w:val="en-GB"/>
          </w:rPr>
          <w:t>https://www.gov.uk/guidance/mental-health-and-wellbeing-support-in-schools-and-colleges</w:t>
        </w:r>
      </w:hyperlink>
    </w:p>
    <w:p w:rsidR="01CA9E44" w:rsidP="001DFC05" w:rsidRDefault="01CA9E44" w14:paraId="1E8A60A4" w14:textId="51FE2B26">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Ijomah, I., Nwabekee, C., Agu, K., &amp; Abdul-Azeez, O. (2024). The impact of customer relationship management (CRM) tools on sales growth and customer loyalty in emerging markets. </w:t>
      </w:r>
      <w:r w:rsidRPr="001DFC05" w:rsidR="256B60EB">
        <w:rPr>
          <w:rFonts w:ascii="Calibri" w:hAnsi="Calibri" w:eastAsia="Calibri" w:cs="Calibri"/>
          <w:i w:val="1"/>
          <w:iCs w:val="1"/>
          <w:noProof w:val="0"/>
          <w:color w:val="000000" w:themeColor="text1" w:themeTint="FF" w:themeShade="FF"/>
          <w:sz w:val="22"/>
          <w:szCs w:val="22"/>
          <w:lang w:val="en-GB"/>
        </w:rPr>
        <w:t>International Journal of Management &amp; Entrepreneurship Research</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6</w:t>
      </w:r>
      <w:r w:rsidRPr="001DFC05" w:rsidR="256B60EB">
        <w:rPr>
          <w:rFonts w:ascii="Calibri" w:hAnsi="Calibri" w:eastAsia="Calibri" w:cs="Calibri"/>
          <w:noProof w:val="0"/>
          <w:color w:val="000000" w:themeColor="text1" w:themeTint="FF" w:themeShade="FF"/>
          <w:sz w:val="22"/>
          <w:szCs w:val="22"/>
          <w:lang w:val="en-GB"/>
        </w:rPr>
        <w:t>(9), 2964-2988.</w:t>
      </w:r>
    </w:p>
    <w:p w:rsidR="01CA9E44" w:rsidP="001DFC05" w:rsidRDefault="01CA9E44" w14:paraId="50D1AC60" w14:textId="64CE1A30">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Kulpa, T. (2017). </w:t>
      </w:r>
      <w:r w:rsidRPr="001DFC05" w:rsidR="256B60EB">
        <w:rPr>
          <w:rFonts w:ascii="Calibri" w:hAnsi="Calibri" w:eastAsia="Calibri" w:cs="Calibri"/>
          <w:i w:val="1"/>
          <w:iCs w:val="1"/>
          <w:noProof w:val="0"/>
          <w:color w:val="000000" w:themeColor="text1" w:themeTint="FF" w:themeShade="FF"/>
          <w:sz w:val="22"/>
          <w:szCs w:val="22"/>
          <w:lang w:val="en-GB"/>
        </w:rPr>
        <w:t>CRM strategies and technologies</w:t>
      </w:r>
      <w:r w:rsidRPr="001DFC05" w:rsidR="256B60EB">
        <w:rPr>
          <w:rFonts w:ascii="Calibri" w:hAnsi="Calibri" w:eastAsia="Calibri" w:cs="Calibri"/>
          <w:noProof w:val="0"/>
          <w:color w:val="000000" w:themeColor="text1" w:themeTint="FF" w:themeShade="FF"/>
          <w:sz w:val="22"/>
          <w:szCs w:val="22"/>
          <w:lang w:val="en-GB"/>
        </w:rPr>
        <w:t>. Pearson Education.</w:t>
      </w:r>
    </w:p>
    <w:p w:rsidR="01CA9E44" w:rsidP="001DFC05" w:rsidRDefault="01CA9E44" w14:paraId="6767DECD" w14:textId="78BF751F">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Li, C. H., Wu, W. C., &amp; Chen, Y. C. (2021). The role of co-creating value and its outcomes in higher education marketing. </w:t>
      </w:r>
      <w:r w:rsidRPr="001DFC05" w:rsidR="256B60EB">
        <w:rPr>
          <w:rFonts w:ascii="Calibri" w:hAnsi="Calibri" w:eastAsia="Calibri" w:cs="Calibri"/>
          <w:i w:val="1"/>
          <w:iCs w:val="1"/>
          <w:noProof w:val="0"/>
          <w:color w:val="000000" w:themeColor="text1" w:themeTint="FF" w:themeShade="FF"/>
          <w:sz w:val="22"/>
          <w:szCs w:val="22"/>
          <w:lang w:val="en-GB"/>
        </w:rPr>
        <w:t>Sustainability</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13</w:t>
      </w:r>
      <w:r w:rsidRPr="001DFC05" w:rsidR="256B60EB">
        <w:rPr>
          <w:rFonts w:ascii="Calibri" w:hAnsi="Calibri" w:eastAsia="Calibri" w:cs="Calibri"/>
          <w:noProof w:val="0"/>
          <w:color w:val="000000" w:themeColor="text1" w:themeTint="FF" w:themeShade="FF"/>
          <w:sz w:val="22"/>
          <w:szCs w:val="22"/>
          <w:lang w:val="en-GB"/>
        </w:rPr>
        <w:t>(12), 6724.</w:t>
      </w:r>
    </w:p>
    <w:p w:rsidR="01CA9E44" w:rsidP="001DFC05" w:rsidRDefault="01CA9E44" w14:paraId="160076FD" w14:textId="5615AC97">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Miller, R., Davis, K., &amp; Turner, S. (2024). Comprehensive student support: The role of wellbeing initiatives in vocational education success. </w:t>
      </w:r>
      <w:r w:rsidRPr="001DFC05" w:rsidR="256B60EB">
        <w:rPr>
          <w:rFonts w:ascii="Calibri" w:hAnsi="Calibri" w:eastAsia="Calibri" w:cs="Calibri"/>
          <w:i w:val="1"/>
          <w:iCs w:val="1"/>
          <w:noProof w:val="0"/>
          <w:color w:val="000000" w:themeColor="text1" w:themeTint="FF" w:themeShade="FF"/>
          <w:sz w:val="22"/>
          <w:szCs w:val="22"/>
          <w:lang w:val="en-GB"/>
        </w:rPr>
        <w:t>Journal of Vocational Education &amp; Training</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76</w:t>
      </w:r>
      <w:r w:rsidRPr="001DFC05" w:rsidR="256B60EB">
        <w:rPr>
          <w:rFonts w:ascii="Calibri" w:hAnsi="Calibri" w:eastAsia="Calibri" w:cs="Calibri"/>
          <w:noProof w:val="0"/>
          <w:color w:val="000000" w:themeColor="text1" w:themeTint="FF" w:themeShade="FF"/>
          <w:sz w:val="22"/>
          <w:szCs w:val="22"/>
          <w:lang w:val="en-GB"/>
        </w:rPr>
        <w:t>(2), 201-218.</w:t>
      </w:r>
    </w:p>
    <w:p w:rsidR="01CA9E44" w:rsidP="001DFC05" w:rsidRDefault="01CA9E44" w14:paraId="3E408607" w14:textId="351AE4BD">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Nguyen, T., &amp; Patel, P. (2024). Leveraging social media for B2B relationship building and client promotion: A strategic approach. </w:t>
      </w:r>
      <w:r w:rsidRPr="001DFC05" w:rsidR="256B60EB">
        <w:rPr>
          <w:rFonts w:ascii="Calibri" w:hAnsi="Calibri" w:eastAsia="Calibri" w:cs="Calibri"/>
          <w:i w:val="1"/>
          <w:iCs w:val="1"/>
          <w:noProof w:val="0"/>
          <w:color w:val="000000" w:themeColor="text1" w:themeTint="FF" w:themeShade="FF"/>
          <w:sz w:val="22"/>
          <w:szCs w:val="22"/>
          <w:lang w:val="en-GB"/>
        </w:rPr>
        <w:t>Journal of Digital Marketing</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12</w:t>
      </w:r>
      <w:r w:rsidRPr="001DFC05" w:rsidR="256B60EB">
        <w:rPr>
          <w:rFonts w:ascii="Calibri" w:hAnsi="Calibri" w:eastAsia="Calibri" w:cs="Calibri"/>
          <w:noProof w:val="0"/>
          <w:color w:val="000000" w:themeColor="text1" w:themeTint="FF" w:themeShade="FF"/>
          <w:sz w:val="22"/>
          <w:szCs w:val="22"/>
          <w:lang w:val="en-GB"/>
        </w:rPr>
        <w:t>(3), 221-235.</w:t>
      </w:r>
    </w:p>
    <w:p w:rsidR="01CA9E44" w:rsidP="001DFC05" w:rsidRDefault="01CA9E44" w14:paraId="0C74B018" w14:textId="164707E7">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4"/>
          <w:szCs w:val="24"/>
          <w:lang w:val="en-GB"/>
        </w:rPr>
      </w:pPr>
      <w:r w:rsidRPr="001DFC05" w:rsidR="256B60EB">
        <w:rPr>
          <w:rFonts w:ascii="Calibri" w:hAnsi="Calibri" w:eastAsia="Calibri" w:cs="Calibri"/>
          <w:noProof w:val="0"/>
          <w:color w:val="000000" w:themeColor="text1" w:themeTint="FF" w:themeShade="FF"/>
          <w:sz w:val="22"/>
          <w:szCs w:val="22"/>
          <w:lang w:val="en-GB"/>
        </w:rPr>
        <w:t xml:space="preserve">Roberts, L., &amp; Williams, M. (2024). </w:t>
      </w:r>
      <w:r w:rsidRPr="001DFC05" w:rsidR="77421F2C">
        <w:rPr>
          <w:rFonts w:ascii="Calibri" w:hAnsi="Calibri" w:eastAsia="Calibri" w:cs="Calibri"/>
          <w:noProof w:val="0"/>
          <w:color w:val="000000" w:themeColor="text1" w:themeTint="FF" w:themeShade="FF"/>
          <w:sz w:val="22"/>
          <w:szCs w:val="22"/>
          <w:lang w:val="en-GB"/>
        </w:rPr>
        <w:t>Personalised</w:t>
      </w:r>
      <w:r w:rsidRPr="001DFC05" w:rsidR="256B60EB">
        <w:rPr>
          <w:rFonts w:ascii="Calibri" w:hAnsi="Calibri" w:eastAsia="Calibri" w:cs="Calibri"/>
          <w:noProof w:val="0"/>
          <w:color w:val="000000" w:themeColor="text1" w:themeTint="FF" w:themeShade="FF"/>
          <w:sz w:val="22"/>
          <w:szCs w:val="22"/>
          <w:lang w:val="en-GB"/>
        </w:rPr>
        <w:t xml:space="preserve"> target setting and its influence on student retention in work-based learning </w:t>
      </w:r>
      <w:r w:rsidRPr="001DFC05" w:rsidR="5942DC94">
        <w:rPr>
          <w:rFonts w:ascii="Calibri" w:hAnsi="Calibri" w:eastAsia="Calibri" w:cs="Calibri"/>
          <w:noProof w:val="0"/>
          <w:color w:val="000000" w:themeColor="text1" w:themeTint="FF" w:themeShade="FF"/>
          <w:sz w:val="22"/>
          <w:szCs w:val="22"/>
          <w:lang w:val="en-GB"/>
        </w:rPr>
        <w:t>programmes</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International Journal of Educational Development</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106</w:t>
      </w:r>
      <w:r w:rsidRPr="001DFC05" w:rsidR="256B60EB">
        <w:rPr>
          <w:rFonts w:ascii="Calibri" w:hAnsi="Calibri" w:eastAsia="Calibri" w:cs="Calibri"/>
          <w:noProof w:val="0"/>
          <w:color w:val="000000" w:themeColor="text1" w:themeTint="FF" w:themeShade="FF"/>
          <w:sz w:val="22"/>
          <w:szCs w:val="22"/>
          <w:lang w:val="en-GB"/>
        </w:rPr>
        <w:t>, 102923.</w:t>
      </w:r>
    </w:p>
    <w:p w:rsidR="01CA9E44" w:rsidP="001DFC05" w:rsidRDefault="01CA9E44" w14:paraId="7ABA8DAD" w14:textId="3853A1F8">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b w:val="1"/>
          <w:bCs w:val="1"/>
          <w:noProof w:val="0"/>
          <w:color w:val="000000" w:themeColor="text1" w:themeTint="FF" w:themeShade="FF"/>
          <w:sz w:val="22"/>
          <w:szCs w:val="22"/>
          <w:lang w:val="en-GB"/>
        </w:rPr>
      </w:pPr>
      <w:r w:rsidRPr="001DFC05" w:rsidR="256B60EB">
        <w:rPr>
          <w:rFonts w:ascii="Calibri" w:hAnsi="Calibri" w:eastAsia="Calibri" w:cs="Calibri"/>
          <w:b w:val="1"/>
          <w:bCs w:val="1"/>
          <w:noProof w:val="0"/>
          <w:color w:val="000000" w:themeColor="text1" w:themeTint="FF" w:themeShade="FF"/>
          <w:sz w:val="22"/>
          <w:szCs w:val="22"/>
          <w:lang w:val="en-GB"/>
        </w:rPr>
        <w:t xml:space="preserve">Roberts, T. M., &amp; Jones, C. P. (2023). Leveraging CRM analytics for enhanced customer service and retention in higher education. </w:t>
      </w:r>
      <w:r w:rsidRPr="001DFC05" w:rsidR="256B60EB">
        <w:rPr>
          <w:rFonts w:ascii="Calibri" w:hAnsi="Calibri" w:eastAsia="Calibri" w:cs="Calibri"/>
          <w:b w:val="1"/>
          <w:bCs w:val="1"/>
          <w:i w:val="1"/>
          <w:iCs w:val="1"/>
          <w:noProof w:val="0"/>
          <w:color w:val="000000" w:themeColor="text1" w:themeTint="FF" w:themeShade="FF"/>
          <w:sz w:val="22"/>
          <w:szCs w:val="22"/>
          <w:lang w:val="en-GB"/>
        </w:rPr>
        <w:t>Journal of Education Technology Systems</w:t>
      </w:r>
      <w:r w:rsidRPr="001DFC05" w:rsidR="256B60EB">
        <w:rPr>
          <w:rFonts w:ascii="Calibri" w:hAnsi="Calibri" w:eastAsia="Calibri" w:cs="Calibri"/>
          <w:b w:val="1"/>
          <w:bCs w:val="1"/>
          <w:noProof w:val="0"/>
          <w:color w:val="000000" w:themeColor="text1" w:themeTint="FF" w:themeShade="FF"/>
          <w:sz w:val="22"/>
          <w:szCs w:val="22"/>
          <w:lang w:val="en-GB"/>
        </w:rPr>
        <w:t xml:space="preserve">, </w:t>
      </w:r>
      <w:r w:rsidRPr="001DFC05" w:rsidR="256B60EB">
        <w:rPr>
          <w:rFonts w:ascii="Calibri" w:hAnsi="Calibri" w:eastAsia="Calibri" w:cs="Calibri"/>
          <w:b w:val="1"/>
          <w:bCs w:val="1"/>
          <w:i w:val="1"/>
          <w:iCs w:val="1"/>
          <w:noProof w:val="0"/>
          <w:color w:val="000000" w:themeColor="text1" w:themeTint="FF" w:themeShade="FF"/>
          <w:sz w:val="22"/>
          <w:szCs w:val="22"/>
          <w:lang w:val="en-GB"/>
        </w:rPr>
        <w:t>52</w:t>
      </w:r>
      <w:r w:rsidRPr="001DFC05" w:rsidR="256B60EB">
        <w:rPr>
          <w:rFonts w:ascii="Calibri" w:hAnsi="Calibri" w:eastAsia="Calibri" w:cs="Calibri"/>
          <w:b w:val="1"/>
          <w:bCs w:val="1"/>
          <w:noProof w:val="0"/>
          <w:color w:val="000000" w:themeColor="text1" w:themeTint="FF" w:themeShade="FF"/>
          <w:sz w:val="22"/>
          <w:szCs w:val="22"/>
          <w:lang w:val="en-GB"/>
        </w:rPr>
        <w:t>(1), 101-115.</w:t>
      </w:r>
    </w:p>
    <w:p w:rsidR="01CA9E44" w:rsidP="001DFC05" w:rsidRDefault="01CA9E44" w14:paraId="7E355B6B" w14:textId="13EF14F1">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Singh, P., &amp; Kaur, R. (2024). The role of continuous feedback mechanisms in vocational training to improve learner satisfaction and loyalty. </w:t>
      </w:r>
      <w:r w:rsidRPr="001DFC05" w:rsidR="256B60EB">
        <w:rPr>
          <w:rFonts w:ascii="Calibri" w:hAnsi="Calibri" w:eastAsia="Calibri" w:cs="Calibri"/>
          <w:i w:val="1"/>
          <w:iCs w:val="1"/>
          <w:noProof w:val="0"/>
          <w:color w:val="000000" w:themeColor="text1" w:themeTint="FF" w:themeShade="FF"/>
          <w:sz w:val="22"/>
          <w:szCs w:val="22"/>
          <w:lang w:val="en-GB"/>
        </w:rPr>
        <w:t>International Journal of Training and Development</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28</w:t>
      </w:r>
      <w:r w:rsidRPr="001DFC05" w:rsidR="256B60EB">
        <w:rPr>
          <w:rFonts w:ascii="Calibri" w:hAnsi="Calibri" w:eastAsia="Calibri" w:cs="Calibri"/>
          <w:noProof w:val="0"/>
          <w:color w:val="000000" w:themeColor="text1" w:themeTint="FF" w:themeShade="FF"/>
          <w:sz w:val="22"/>
          <w:szCs w:val="22"/>
          <w:lang w:val="en-GB"/>
        </w:rPr>
        <w:t>(2), 200-215.</w:t>
      </w:r>
    </w:p>
    <w:p w:rsidR="01CA9E44" w:rsidP="001DFC05" w:rsidRDefault="01CA9E44" w14:paraId="1CC20044" w14:textId="20ABC006">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Smith, J., &amp; Jones, A. (2023). Market dominance and its influence on initial customer engagement in business-to-business services. </w:t>
      </w:r>
      <w:r w:rsidRPr="001DFC05" w:rsidR="256B60EB">
        <w:rPr>
          <w:rFonts w:ascii="Calibri" w:hAnsi="Calibri" w:eastAsia="Calibri" w:cs="Calibri"/>
          <w:i w:val="1"/>
          <w:iCs w:val="1"/>
          <w:noProof w:val="0"/>
          <w:color w:val="000000" w:themeColor="text1" w:themeTint="FF" w:themeShade="FF"/>
          <w:sz w:val="22"/>
          <w:szCs w:val="22"/>
          <w:lang w:val="en-GB"/>
        </w:rPr>
        <w:t>Strategic Management Journal</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44</w:t>
      </w:r>
      <w:r w:rsidRPr="001DFC05" w:rsidR="256B60EB">
        <w:rPr>
          <w:rFonts w:ascii="Calibri" w:hAnsi="Calibri" w:eastAsia="Calibri" w:cs="Calibri"/>
          <w:noProof w:val="0"/>
          <w:color w:val="000000" w:themeColor="text1" w:themeTint="FF" w:themeShade="FF"/>
          <w:sz w:val="22"/>
          <w:szCs w:val="22"/>
          <w:lang w:val="en-GB"/>
        </w:rPr>
        <w:t>(7), 1601-1618.</w:t>
      </w:r>
    </w:p>
    <w:p w:rsidR="01CA9E44" w:rsidP="001DFC05" w:rsidRDefault="01CA9E44" w14:paraId="5EA66A90" w14:textId="3B79AB7B">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UK Parliament. (2025, February 6). </w:t>
      </w:r>
      <w:r w:rsidRPr="001DFC05" w:rsidR="256B60EB">
        <w:rPr>
          <w:rFonts w:ascii="Calibri" w:hAnsi="Calibri" w:eastAsia="Calibri" w:cs="Calibri"/>
          <w:i w:val="1"/>
          <w:iCs w:val="1"/>
          <w:noProof w:val="0"/>
          <w:color w:val="000000" w:themeColor="text1" w:themeTint="FF" w:themeShade="FF"/>
          <w:sz w:val="22"/>
          <w:szCs w:val="22"/>
          <w:lang w:val="en-GB"/>
        </w:rPr>
        <w:t>Children's wellbeing in schools (POSTnote 739)</w:t>
      </w:r>
      <w:r w:rsidRPr="001DFC05" w:rsidR="256B60EB">
        <w:rPr>
          <w:rFonts w:ascii="Calibri" w:hAnsi="Calibri" w:eastAsia="Calibri" w:cs="Calibri"/>
          <w:noProof w:val="0"/>
          <w:color w:val="000000" w:themeColor="text1" w:themeTint="FF" w:themeShade="FF"/>
          <w:sz w:val="22"/>
          <w:szCs w:val="22"/>
          <w:lang w:val="en-GB"/>
        </w:rPr>
        <w:t xml:space="preserve">. Retrieved from </w:t>
      </w:r>
      <w:hyperlink r:id="R1959e119b9d84127">
        <w:r w:rsidRPr="001DFC05" w:rsidR="256B60EB">
          <w:rPr>
            <w:rStyle w:val="Hyperlink"/>
            <w:rFonts w:ascii="Calibri" w:hAnsi="Calibri" w:eastAsia="Calibri" w:cs="Calibri"/>
            <w:noProof w:val="0"/>
            <w:color w:val="000000" w:themeColor="text1" w:themeTint="FF" w:themeShade="FF"/>
            <w:sz w:val="22"/>
            <w:szCs w:val="22"/>
            <w:lang w:val="en-GB"/>
          </w:rPr>
          <w:t>https://researchbriefings.files.parliament.uk/documents/POST-PN-0739/POST-PN-0739.pdf</w:t>
        </w:r>
      </w:hyperlink>
    </w:p>
    <w:p w:rsidR="01CA9E44" w:rsidP="001DFC05" w:rsidRDefault="01CA9E44" w14:paraId="52307B0A" w14:textId="28BF71BB">
      <w:pPr>
        <w:pStyle w:val="ListParagraph"/>
        <w:keepNext w:val="1"/>
        <w:keepLines w:val="1"/>
        <w:numPr>
          <w:ilvl w:val="0"/>
          <w:numId w:val="11"/>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01DFC05" w:rsidR="256B60EB">
        <w:rPr>
          <w:rFonts w:ascii="Calibri" w:hAnsi="Calibri" w:eastAsia="Calibri" w:cs="Calibri"/>
          <w:noProof w:val="0"/>
          <w:color w:val="000000" w:themeColor="text1" w:themeTint="FF" w:themeShade="FF"/>
          <w:sz w:val="22"/>
          <w:szCs w:val="22"/>
          <w:lang w:val="en-GB"/>
        </w:rPr>
        <w:t xml:space="preserve">White, C., &amp; Green, B. (2025). The strategic value of recognition programs and events in fostering B2B loyalty. </w:t>
      </w:r>
      <w:r w:rsidRPr="001DFC05" w:rsidR="256B60EB">
        <w:rPr>
          <w:rFonts w:ascii="Calibri" w:hAnsi="Calibri" w:eastAsia="Calibri" w:cs="Calibri"/>
          <w:i w:val="1"/>
          <w:iCs w:val="1"/>
          <w:noProof w:val="0"/>
          <w:color w:val="000000" w:themeColor="text1" w:themeTint="FF" w:themeShade="FF"/>
          <w:sz w:val="22"/>
          <w:szCs w:val="22"/>
          <w:lang w:val="en-GB"/>
        </w:rPr>
        <w:t>Journal of Relationship Marketing</w:t>
      </w:r>
      <w:r w:rsidRPr="001DFC05" w:rsidR="256B60EB">
        <w:rPr>
          <w:rFonts w:ascii="Calibri" w:hAnsi="Calibri" w:eastAsia="Calibri" w:cs="Calibri"/>
          <w:noProof w:val="0"/>
          <w:color w:val="000000" w:themeColor="text1" w:themeTint="FF" w:themeShade="FF"/>
          <w:sz w:val="22"/>
          <w:szCs w:val="22"/>
          <w:lang w:val="en-GB"/>
        </w:rPr>
        <w:t xml:space="preserve">, </w:t>
      </w:r>
      <w:r w:rsidRPr="001DFC05" w:rsidR="256B60EB">
        <w:rPr>
          <w:rFonts w:ascii="Calibri" w:hAnsi="Calibri" w:eastAsia="Calibri" w:cs="Calibri"/>
          <w:i w:val="1"/>
          <w:iCs w:val="1"/>
          <w:noProof w:val="0"/>
          <w:color w:val="000000" w:themeColor="text1" w:themeTint="FF" w:themeShade="FF"/>
          <w:sz w:val="22"/>
          <w:szCs w:val="22"/>
          <w:lang w:val="en-GB"/>
        </w:rPr>
        <w:t>24</w:t>
      </w:r>
      <w:r w:rsidRPr="001DFC05" w:rsidR="256B60EB">
        <w:rPr>
          <w:rFonts w:ascii="Calibri" w:hAnsi="Calibri" w:eastAsia="Calibri" w:cs="Calibri"/>
          <w:noProof w:val="0"/>
          <w:color w:val="000000" w:themeColor="text1" w:themeTint="FF" w:themeShade="FF"/>
          <w:sz w:val="22"/>
          <w:szCs w:val="22"/>
          <w:lang w:val="en-GB"/>
        </w:rPr>
        <w:t>(1), 1-18.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04lWusbalcMk" int2:id="wkkrZZOR">
      <int2:state int2:type="spell" int2:value="Rejected"/>
    </int2:textHash>
    <int2:textHash int2:hashCode="g+jO+NhPAhOSkP" int2:id="Ubg2zR98">
      <int2:state int2:type="spell" int2:value="Rejected"/>
    </int2:textHash>
    <int2:textHash int2:hashCode="TbffNo00wmn77j" int2:id="b0K6nLx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6874f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ad1647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61eb49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99c5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6bf7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bb9a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25b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820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0a2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41a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26e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C516E1"/>
    <w:rsid w:val="001DFC05"/>
    <w:rsid w:val="002896D8"/>
    <w:rsid w:val="00410273"/>
    <w:rsid w:val="00450AFB"/>
    <w:rsid w:val="0047D649"/>
    <w:rsid w:val="008E5A1F"/>
    <w:rsid w:val="009D2517"/>
    <w:rsid w:val="010116B4"/>
    <w:rsid w:val="0144C028"/>
    <w:rsid w:val="01CA9E44"/>
    <w:rsid w:val="02175A20"/>
    <w:rsid w:val="021FEAEE"/>
    <w:rsid w:val="0261046C"/>
    <w:rsid w:val="02777D13"/>
    <w:rsid w:val="02A5EA7A"/>
    <w:rsid w:val="02AD6583"/>
    <w:rsid w:val="02D37D1A"/>
    <w:rsid w:val="02EA7A83"/>
    <w:rsid w:val="02EB19EA"/>
    <w:rsid w:val="02F756D4"/>
    <w:rsid w:val="03222B0B"/>
    <w:rsid w:val="0324E547"/>
    <w:rsid w:val="0329DAFA"/>
    <w:rsid w:val="032CDDC1"/>
    <w:rsid w:val="0335075F"/>
    <w:rsid w:val="033C93C7"/>
    <w:rsid w:val="035D954B"/>
    <w:rsid w:val="037417F4"/>
    <w:rsid w:val="03802CAA"/>
    <w:rsid w:val="038E139E"/>
    <w:rsid w:val="03CD74D4"/>
    <w:rsid w:val="03D0D8D0"/>
    <w:rsid w:val="043EC635"/>
    <w:rsid w:val="04460070"/>
    <w:rsid w:val="0468C90C"/>
    <w:rsid w:val="047037F3"/>
    <w:rsid w:val="049302D6"/>
    <w:rsid w:val="04CA71E3"/>
    <w:rsid w:val="04CEF0BF"/>
    <w:rsid w:val="050C50F7"/>
    <w:rsid w:val="0542C689"/>
    <w:rsid w:val="05E1054F"/>
    <w:rsid w:val="062413DA"/>
    <w:rsid w:val="063EC884"/>
    <w:rsid w:val="064A79D8"/>
    <w:rsid w:val="0656294A"/>
    <w:rsid w:val="06591686"/>
    <w:rsid w:val="07009065"/>
    <w:rsid w:val="0718DD99"/>
    <w:rsid w:val="072A0334"/>
    <w:rsid w:val="072DC0D1"/>
    <w:rsid w:val="073A42D4"/>
    <w:rsid w:val="074D232C"/>
    <w:rsid w:val="077401E2"/>
    <w:rsid w:val="07C567C7"/>
    <w:rsid w:val="07C74BCC"/>
    <w:rsid w:val="082B889A"/>
    <w:rsid w:val="08389173"/>
    <w:rsid w:val="0846E904"/>
    <w:rsid w:val="0885FA48"/>
    <w:rsid w:val="089F4417"/>
    <w:rsid w:val="091E6D5A"/>
    <w:rsid w:val="0961D117"/>
    <w:rsid w:val="097B6189"/>
    <w:rsid w:val="0995EDDC"/>
    <w:rsid w:val="09C8D9FF"/>
    <w:rsid w:val="0A5F4E29"/>
    <w:rsid w:val="0A850446"/>
    <w:rsid w:val="0AB77A70"/>
    <w:rsid w:val="0ABF30BF"/>
    <w:rsid w:val="0AED4792"/>
    <w:rsid w:val="0B028913"/>
    <w:rsid w:val="0B114A6B"/>
    <w:rsid w:val="0B86E398"/>
    <w:rsid w:val="0BCD443A"/>
    <w:rsid w:val="0C051B6A"/>
    <w:rsid w:val="0C4878C1"/>
    <w:rsid w:val="0C94B03F"/>
    <w:rsid w:val="0C9BCFF4"/>
    <w:rsid w:val="0CA2F458"/>
    <w:rsid w:val="0CD41716"/>
    <w:rsid w:val="0CEEADA4"/>
    <w:rsid w:val="0D0490CC"/>
    <w:rsid w:val="0D937430"/>
    <w:rsid w:val="0DAFDA7C"/>
    <w:rsid w:val="0DD5450A"/>
    <w:rsid w:val="0E25EC44"/>
    <w:rsid w:val="0E3F40F5"/>
    <w:rsid w:val="0E474C07"/>
    <w:rsid w:val="0E5F0E0F"/>
    <w:rsid w:val="0E9F9A10"/>
    <w:rsid w:val="0EA17FC5"/>
    <w:rsid w:val="0EE9D3E4"/>
    <w:rsid w:val="0F1F000C"/>
    <w:rsid w:val="0FB0615E"/>
    <w:rsid w:val="0FB76FB8"/>
    <w:rsid w:val="0FB7B17F"/>
    <w:rsid w:val="100C56E0"/>
    <w:rsid w:val="10271006"/>
    <w:rsid w:val="103649B3"/>
    <w:rsid w:val="107DCAB4"/>
    <w:rsid w:val="10BAF377"/>
    <w:rsid w:val="10F3B57B"/>
    <w:rsid w:val="10F7BEE5"/>
    <w:rsid w:val="10FDF112"/>
    <w:rsid w:val="110E274C"/>
    <w:rsid w:val="110FA48B"/>
    <w:rsid w:val="11126156"/>
    <w:rsid w:val="1145239C"/>
    <w:rsid w:val="1169E4D9"/>
    <w:rsid w:val="11D26A8F"/>
    <w:rsid w:val="11E386E0"/>
    <w:rsid w:val="120F40B0"/>
    <w:rsid w:val="1228C02C"/>
    <w:rsid w:val="12713C22"/>
    <w:rsid w:val="12C7D06A"/>
    <w:rsid w:val="12DFEB12"/>
    <w:rsid w:val="131664D8"/>
    <w:rsid w:val="1342D459"/>
    <w:rsid w:val="139CDD75"/>
    <w:rsid w:val="13E1B3F7"/>
    <w:rsid w:val="141C4B9D"/>
    <w:rsid w:val="146DE84F"/>
    <w:rsid w:val="14787E8E"/>
    <w:rsid w:val="149581DA"/>
    <w:rsid w:val="150049AF"/>
    <w:rsid w:val="156BCD1B"/>
    <w:rsid w:val="157A8BAE"/>
    <w:rsid w:val="16457559"/>
    <w:rsid w:val="1698CFE9"/>
    <w:rsid w:val="16B08EBF"/>
    <w:rsid w:val="16EEDF36"/>
    <w:rsid w:val="170DBD0B"/>
    <w:rsid w:val="172F5718"/>
    <w:rsid w:val="1744A526"/>
    <w:rsid w:val="17BA1F50"/>
    <w:rsid w:val="183D98A1"/>
    <w:rsid w:val="18608FE3"/>
    <w:rsid w:val="186FA0EA"/>
    <w:rsid w:val="18E72C6F"/>
    <w:rsid w:val="18F2B468"/>
    <w:rsid w:val="191D0BBF"/>
    <w:rsid w:val="19267FAD"/>
    <w:rsid w:val="199BAD1F"/>
    <w:rsid w:val="19D23009"/>
    <w:rsid w:val="19D782ED"/>
    <w:rsid w:val="19F5409B"/>
    <w:rsid w:val="1A105BE2"/>
    <w:rsid w:val="1A8B2F68"/>
    <w:rsid w:val="1AD4F204"/>
    <w:rsid w:val="1B04C731"/>
    <w:rsid w:val="1B153DBC"/>
    <w:rsid w:val="1B2D6D7F"/>
    <w:rsid w:val="1B2E01A6"/>
    <w:rsid w:val="1B3297FA"/>
    <w:rsid w:val="1B654046"/>
    <w:rsid w:val="1B740053"/>
    <w:rsid w:val="1B81C477"/>
    <w:rsid w:val="1BEEBC0A"/>
    <w:rsid w:val="1C54B6A2"/>
    <w:rsid w:val="1C892C3D"/>
    <w:rsid w:val="1CD65653"/>
    <w:rsid w:val="1CE88C01"/>
    <w:rsid w:val="1CF0CB23"/>
    <w:rsid w:val="1CF7A84B"/>
    <w:rsid w:val="1D2BC858"/>
    <w:rsid w:val="1D52B5F4"/>
    <w:rsid w:val="1DC58303"/>
    <w:rsid w:val="1DEF358B"/>
    <w:rsid w:val="1E0A8274"/>
    <w:rsid w:val="1E1542AD"/>
    <w:rsid w:val="1E262A93"/>
    <w:rsid w:val="1E35A601"/>
    <w:rsid w:val="1E5D7C25"/>
    <w:rsid w:val="1ED2A4E0"/>
    <w:rsid w:val="1EE45846"/>
    <w:rsid w:val="1F47212C"/>
    <w:rsid w:val="1F4C6657"/>
    <w:rsid w:val="1F71EF78"/>
    <w:rsid w:val="1F748AD5"/>
    <w:rsid w:val="1F7AEAD4"/>
    <w:rsid w:val="20397010"/>
    <w:rsid w:val="20533E9F"/>
    <w:rsid w:val="2060972B"/>
    <w:rsid w:val="207CF25E"/>
    <w:rsid w:val="20850D6C"/>
    <w:rsid w:val="20850D6C"/>
    <w:rsid w:val="209639B6"/>
    <w:rsid w:val="209CE387"/>
    <w:rsid w:val="20D6DBEC"/>
    <w:rsid w:val="2101B313"/>
    <w:rsid w:val="214BE692"/>
    <w:rsid w:val="215B3764"/>
    <w:rsid w:val="2175D677"/>
    <w:rsid w:val="219BAA7B"/>
    <w:rsid w:val="21A06681"/>
    <w:rsid w:val="21A999C6"/>
    <w:rsid w:val="21CF6698"/>
    <w:rsid w:val="2204F9A9"/>
    <w:rsid w:val="2210694C"/>
    <w:rsid w:val="226B34E4"/>
    <w:rsid w:val="23369550"/>
    <w:rsid w:val="233CEBA4"/>
    <w:rsid w:val="234785CD"/>
    <w:rsid w:val="2354C0E0"/>
    <w:rsid w:val="23681DE4"/>
    <w:rsid w:val="237DCF7E"/>
    <w:rsid w:val="2395B1A0"/>
    <w:rsid w:val="23B2DC26"/>
    <w:rsid w:val="23C97F5E"/>
    <w:rsid w:val="23CC2737"/>
    <w:rsid w:val="23E5908C"/>
    <w:rsid w:val="23F19D24"/>
    <w:rsid w:val="242E815A"/>
    <w:rsid w:val="249599CF"/>
    <w:rsid w:val="24C297CA"/>
    <w:rsid w:val="24D5BF9E"/>
    <w:rsid w:val="256B60EB"/>
    <w:rsid w:val="26308B31"/>
    <w:rsid w:val="267A2A10"/>
    <w:rsid w:val="26E05AC4"/>
    <w:rsid w:val="2717CE7C"/>
    <w:rsid w:val="2728CA9D"/>
    <w:rsid w:val="27535901"/>
    <w:rsid w:val="2793C308"/>
    <w:rsid w:val="27A17F3E"/>
    <w:rsid w:val="27C6F44A"/>
    <w:rsid w:val="280000B2"/>
    <w:rsid w:val="2819E960"/>
    <w:rsid w:val="283F73AF"/>
    <w:rsid w:val="2866983E"/>
    <w:rsid w:val="289C231C"/>
    <w:rsid w:val="28A7452A"/>
    <w:rsid w:val="28D2178A"/>
    <w:rsid w:val="28EB319D"/>
    <w:rsid w:val="292D5DD5"/>
    <w:rsid w:val="293550BD"/>
    <w:rsid w:val="296D9929"/>
    <w:rsid w:val="299CB0A6"/>
    <w:rsid w:val="29C45BC6"/>
    <w:rsid w:val="2A30FE08"/>
    <w:rsid w:val="2A3F5B4D"/>
    <w:rsid w:val="2A6FB90C"/>
    <w:rsid w:val="2A76CA6E"/>
    <w:rsid w:val="2A831E78"/>
    <w:rsid w:val="2ABA0A85"/>
    <w:rsid w:val="2ADE6044"/>
    <w:rsid w:val="2AEA3D01"/>
    <w:rsid w:val="2B1274B8"/>
    <w:rsid w:val="2BAA2AF0"/>
    <w:rsid w:val="2BB2C886"/>
    <w:rsid w:val="2BC0CA9E"/>
    <w:rsid w:val="2BE8281E"/>
    <w:rsid w:val="2BED4860"/>
    <w:rsid w:val="2C283D94"/>
    <w:rsid w:val="2C34C89F"/>
    <w:rsid w:val="2C488E64"/>
    <w:rsid w:val="2CD935D3"/>
    <w:rsid w:val="2CD935D3"/>
    <w:rsid w:val="2D1F19FC"/>
    <w:rsid w:val="2D468658"/>
    <w:rsid w:val="2D4CCC04"/>
    <w:rsid w:val="2D50C316"/>
    <w:rsid w:val="2D5311E9"/>
    <w:rsid w:val="2D835C85"/>
    <w:rsid w:val="2E480D2B"/>
    <w:rsid w:val="2E627A96"/>
    <w:rsid w:val="2E746F81"/>
    <w:rsid w:val="2E97AA1F"/>
    <w:rsid w:val="2E9E9F12"/>
    <w:rsid w:val="2EAF6A3D"/>
    <w:rsid w:val="2EB6C2AB"/>
    <w:rsid w:val="2EB85A8D"/>
    <w:rsid w:val="2EEC3B48"/>
    <w:rsid w:val="2F21CF27"/>
    <w:rsid w:val="2F755B08"/>
    <w:rsid w:val="2FFF6E80"/>
    <w:rsid w:val="30293FF1"/>
    <w:rsid w:val="3049DC35"/>
    <w:rsid w:val="30D6DE0E"/>
    <w:rsid w:val="30DE9E0E"/>
    <w:rsid w:val="30F0548B"/>
    <w:rsid w:val="3155780E"/>
    <w:rsid w:val="3189A07A"/>
    <w:rsid w:val="31C3E522"/>
    <w:rsid w:val="31CF9673"/>
    <w:rsid w:val="31DBD837"/>
    <w:rsid w:val="32256EC8"/>
    <w:rsid w:val="328CC4E3"/>
    <w:rsid w:val="32A7B064"/>
    <w:rsid w:val="32C05D1E"/>
    <w:rsid w:val="33807852"/>
    <w:rsid w:val="3396588A"/>
    <w:rsid w:val="33A9DD9C"/>
    <w:rsid w:val="33B7571F"/>
    <w:rsid w:val="33ED39FA"/>
    <w:rsid w:val="341544F0"/>
    <w:rsid w:val="344FBB68"/>
    <w:rsid w:val="3460D3CB"/>
    <w:rsid w:val="34769437"/>
    <w:rsid w:val="34821F8D"/>
    <w:rsid w:val="34FFD686"/>
    <w:rsid w:val="352F2885"/>
    <w:rsid w:val="35431C11"/>
    <w:rsid w:val="35506C5E"/>
    <w:rsid w:val="3551C13C"/>
    <w:rsid w:val="355A145C"/>
    <w:rsid w:val="35819A7E"/>
    <w:rsid w:val="359AA14B"/>
    <w:rsid w:val="35BFB9DA"/>
    <w:rsid w:val="35C97BF7"/>
    <w:rsid w:val="361F8BC8"/>
    <w:rsid w:val="36212610"/>
    <w:rsid w:val="3621F898"/>
    <w:rsid w:val="3659F478"/>
    <w:rsid w:val="36876CEF"/>
    <w:rsid w:val="368B4551"/>
    <w:rsid w:val="36A35FDC"/>
    <w:rsid w:val="36D988BE"/>
    <w:rsid w:val="36ED5661"/>
    <w:rsid w:val="371F74D4"/>
    <w:rsid w:val="379A8291"/>
    <w:rsid w:val="37ABC201"/>
    <w:rsid w:val="37C13C76"/>
    <w:rsid w:val="37F999CB"/>
    <w:rsid w:val="3806F819"/>
    <w:rsid w:val="380D4D4D"/>
    <w:rsid w:val="3814AD1D"/>
    <w:rsid w:val="3868B520"/>
    <w:rsid w:val="38C516E1"/>
    <w:rsid w:val="38CFE0C8"/>
    <w:rsid w:val="38D1D421"/>
    <w:rsid w:val="3974E948"/>
    <w:rsid w:val="39E08FE0"/>
    <w:rsid w:val="39E62272"/>
    <w:rsid w:val="3A4494B8"/>
    <w:rsid w:val="3A4BB72D"/>
    <w:rsid w:val="3A4FB54F"/>
    <w:rsid w:val="3A6F2B90"/>
    <w:rsid w:val="3A841B4F"/>
    <w:rsid w:val="3AFC9100"/>
    <w:rsid w:val="3B0C75FD"/>
    <w:rsid w:val="3B2B7FD8"/>
    <w:rsid w:val="3B2F1D97"/>
    <w:rsid w:val="3B6AE8FD"/>
    <w:rsid w:val="3B6AE8FD"/>
    <w:rsid w:val="3B6B76A6"/>
    <w:rsid w:val="3B91C61F"/>
    <w:rsid w:val="3BBAF8D5"/>
    <w:rsid w:val="3BF6925E"/>
    <w:rsid w:val="3C0593AD"/>
    <w:rsid w:val="3C0DF1C6"/>
    <w:rsid w:val="3C3F7CF8"/>
    <w:rsid w:val="3C54AF68"/>
    <w:rsid w:val="3CBF0D37"/>
    <w:rsid w:val="3CE0490A"/>
    <w:rsid w:val="3D01941A"/>
    <w:rsid w:val="3D04A06C"/>
    <w:rsid w:val="3D0D56D6"/>
    <w:rsid w:val="3D258EA0"/>
    <w:rsid w:val="3D441EB1"/>
    <w:rsid w:val="3D7A87A9"/>
    <w:rsid w:val="3D84EA32"/>
    <w:rsid w:val="3DA22119"/>
    <w:rsid w:val="3DAB51B4"/>
    <w:rsid w:val="3DAC6642"/>
    <w:rsid w:val="3E1A27C0"/>
    <w:rsid w:val="3E1B8B9A"/>
    <w:rsid w:val="3E3BD9AE"/>
    <w:rsid w:val="3E51A74E"/>
    <w:rsid w:val="3ED845E4"/>
    <w:rsid w:val="3ED97DDB"/>
    <w:rsid w:val="3ED9FCC8"/>
    <w:rsid w:val="3EDE6DBC"/>
    <w:rsid w:val="3F6807B3"/>
    <w:rsid w:val="3F68A0FD"/>
    <w:rsid w:val="3F7B41D9"/>
    <w:rsid w:val="3FA326E6"/>
    <w:rsid w:val="3FE0D153"/>
    <w:rsid w:val="400A5AF9"/>
    <w:rsid w:val="40299F24"/>
    <w:rsid w:val="404B9D54"/>
    <w:rsid w:val="4058F810"/>
    <w:rsid w:val="40790850"/>
    <w:rsid w:val="408E00EA"/>
    <w:rsid w:val="4092D2A0"/>
    <w:rsid w:val="40A62DBF"/>
    <w:rsid w:val="40ACBB14"/>
    <w:rsid w:val="40C3913D"/>
    <w:rsid w:val="40CDEBA2"/>
    <w:rsid w:val="40DC71AF"/>
    <w:rsid w:val="40EA3E30"/>
    <w:rsid w:val="40FD7B64"/>
    <w:rsid w:val="414494FE"/>
    <w:rsid w:val="418453C1"/>
    <w:rsid w:val="41942EB2"/>
    <w:rsid w:val="41CCC707"/>
    <w:rsid w:val="4226739B"/>
    <w:rsid w:val="422C5750"/>
    <w:rsid w:val="424117C3"/>
    <w:rsid w:val="424630CF"/>
    <w:rsid w:val="4254403F"/>
    <w:rsid w:val="429469DA"/>
    <w:rsid w:val="42952A3E"/>
    <w:rsid w:val="431BB6CE"/>
    <w:rsid w:val="431DDCD6"/>
    <w:rsid w:val="435F4F50"/>
    <w:rsid w:val="43B79A59"/>
    <w:rsid w:val="43BEEE6B"/>
    <w:rsid w:val="43CD140B"/>
    <w:rsid w:val="44139318"/>
    <w:rsid w:val="442C29B7"/>
    <w:rsid w:val="443ED4C1"/>
    <w:rsid w:val="44AB62A4"/>
    <w:rsid w:val="451C2216"/>
    <w:rsid w:val="45A0EB0C"/>
    <w:rsid w:val="45D42478"/>
    <w:rsid w:val="45FB2B39"/>
    <w:rsid w:val="460529D0"/>
    <w:rsid w:val="462DF605"/>
    <w:rsid w:val="46872423"/>
    <w:rsid w:val="469FE8D2"/>
    <w:rsid w:val="46A83FD0"/>
    <w:rsid w:val="47025A84"/>
    <w:rsid w:val="470DF11C"/>
    <w:rsid w:val="4785FD52"/>
    <w:rsid w:val="47A92282"/>
    <w:rsid w:val="47CC8B27"/>
    <w:rsid w:val="47CE406F"/>
    <w:rsid w:val="48003534"/>
    <w:rsid w:val="480458C4"/>
    <w:rsid w:val="481A521D"/>
    <w:rsid w:val="481C943C"/>
    <w:rsid w:val="4847C548"/>
    <w:rsid w:val="486B6AB1"/>
    <w:rsid w:val="4896021A"/>
    <w:rsid w:val="48B04EE6"/>
    <w:rsid w:val="48C00FE4"/>
    <w:rsid w:val="48E3A118"/>
    <w:rsid w:val="490C1249"/>
    <w:rsid w:val="49242357"/>
    <w:rsid w:val="49888995"/>
    <w:rsid w:val="498D2338"/>
    <w:rsid w:val="49A163C0"/>
    <w:rsid w:val="49E6AD3E"/>
    <w:rsid w:val="4A0352A9"/>
    <w:rsid w:val="4A1D9D7F"/>
    <w:rsid w:val="4A222390"/>
    <w:rsid w:val="4A415AD3"/>
    <w:rsid w:val="4A4A9738"/>
    <w:rsid w:val="4A94CDAE"/>
    <w:rsid w:val="4A9985E7"/>
    <w:rsid w:val="4AF0EFE3"/>
    <w:rsid w:val="4B62FC8F"/>
    <w:rsid w:val="4BC6C802"/>
    <w:rsid w:val="4BCFC26D"/>
    <w:rsid w:val="4BFFE1DF"/>
    <w:rsid w:val="4C5408A6"/>
    <w:rsid w:val="4C71BDB7"/>
    <w:rsid w:val="4CBD56C8"/>
    <w:rsid w:val="4CD24489"/>
    <w:rsid w:val="4D5C539F"/>
    <w:rsid w:val="4DA6351A"/>
    <w:rsid w:val="4DB91046"/>
    <w:rsid w:val="4DBA4ECA"/>
    <w:rsid w:val="4DBDF553"/>
    <w:rsid w:val="4E5B543A"/>
    <w:rsid w:val="4E6C324E"/>
    <w:rsid w:val="4E6E55BA"/>
    <w:rsid w:val="4E720D1A"/>
    <w:rsid w:val="4E8BE5FC"/>
    <w:rsid w:val="4E919996"/>
    <w:rsid w:val="4F34E899"/>
    <w:rsid w:val="4F3DA4F2"/>
    <w:rsid w:val="4F673ABF"/>
    <w:rsid w:val="4FB4F68E"/>
    <w:rsid w:val="4FC66259"/>
    <w:rsid w:val="4FD89832"/>
    <w:rsid w:val="4FED8473"/>
    <w:rsid w:val="4FF5C18E"/>
    <w:rsid w:val="502E88C9"/>
    <w:rsid w:val="50728194"/>
    <w:rsid w:val="50967F2E"/>
    <w:rsid w:val="50A88023"/>
    <w:rsid w:val="50AC9511"/>
    <w:rsid w:val="50AD90B3"/>
    <w:rsid w:val="51290DC4"/>
    <w:rsid w:val="51641FAF"/>
    <w:rsid w:val="51DAE855"/>
    <w:rsid w:val="5213496B"/>
    <w:rsid w:val="522C2710"/>
    <w:rsid w:val="529CC7A5"/>
    <w:rsid w:val="52B41787"/>
    <w:rsid w:val="52B41787"/>
    <w:rsid w:val="52B9FF16"/>
    <w:rsid w:val="52C19D5D"/>
    <w:rsid w:val="53047CED"/>
    <w:rsid w:val="531050AD"/>
    <w:rsid w:val="5343C036"/>
    <w:rsid w:val="5370AF62"/>
    <w:rsid w:val="53AE42B0"/>
    <w:rsid w:val="53B551EA"/>
    <w:rsid w:val="53DF32E7"/>
    <w:rsid w:val="5403253D"/>
    <w:rsid w:val="54060629"/>
    <w:rsid w:val="54315217"/>
    <w:rsid w:val="543CA108"/>
    <w:rsid w:val="54A3E6B0"/>
    <w:rsid w:val="54AC2E9C"/>
    <w:rsid w:val="54B61AD0"/>
    <w:rsid w:val="54C5851C"/>
    <w:rsid w:val="54FE35F4"/>
    <w:rsid w:val="5575CA4E"/>
    <w:rsid w:val="55BD1110"/>
    <w:rsid w:val="55DA05D6"/>
    <w:rsid w:val="562CF88B"/>
    <w:rsid w:val="562EBEC9"/>
    <w:rsid w:val="563758CE"/>
    <w:rsid w:val="563758CE"/>
    <w:rsid w:val="5659CD37"/>
    <w:rsid w:val="56D88743"/>
    <w:rsid w:val="56E44A8C"/>
    <w:rsid w:val="571C9C75"/>
    <w:rsid w:val="57395743"/>
    <w:rsid w:val="5755773F"/>
    <w:rsid w:val="578B4DF1"/>
    <w:rsid w:val="57D0E2D1"/>
    <w:rsid w:val="57D105A0"/>
    <w:rsid w:val="57D2271C"/>
    <w:rsid w:val="580707A3"/>
    <w:rsid w:val="58139B42"/>
    <w:rsid w:val="5820E2F2"/>
    <w:rsid w:val="5861AD55"/>
    <w:rsid w:val="588C1627"/>
    <w:rsid w:val="588C1627"/>
    <w:rsid w:val="588DE0E7"/>
    <w:rsid w:val="58B176DA"/>
    <w:rsid w:val="58F0398E"/>
    <w:rsid w:val="59292F03"/>
    <w:rsid w:val="5942DC94"/>
    <w:rsid w:val="596F17A1"/>
    <w:rsid w:val="59768CB0"/>
    <w:rsid w:val="59768CB0"/>
    <w:rsid w:val="59D8616C"/>
    <w:rsid w:val="59D91397"/>
    <w:rsid w:val="59DD83D0"/>
    <w:rsid w:val="5A05CDCC"/>
    <w:rsid w:val="5A1D12B5"/>
    <w:rsid w:val="5A5C0AE3"/>
    <w:rsid w:val="5A6AC727"/>
    <w:rsid w:val="5A6AC727"/>
    <w:rsid w:val="5A70EA4D"/>
    <w:rsid w:val="5A980CBF"/>
    <w:rsid w:val="5AA33F13"/>
    <w:rsid w:val="5ACD20FD"/>
    <w:rsid w:val="5AE0A726"/>
    <w:rsid w:val="5AFA7E69"/>
    <w:rsid w:val="5B4E3029"/>
    <w:rsid w:val="5B7065AE"/>
    <w:rsid w:val="5B711F4F"/>
    <w:rsid w:val="5BA9C566"/>
    <w:rsid w:val="5BD7BCCF"/>
    <w:rsid w:val="5BDF9E23"/>
    <w:rsid w:val="5C2FE5D4"/>
    <w:rsid w:val="5C69B935"/>
    <w:rsid w:val="5C88506E"/>
    <w:rsid w:val="5C9B13D0"/>
    <w:rsid w:val="5CA7A524"/>
    <w:rsid w:val="5CC6BA61"/>
    <w:rsid w:val="5D00EF30"/>
    <w:rsid w:val="5D354E79"/>
    <w:rsid w:val="5D3D98AF"/>
    <w:rsid w:val="5D4BDB8E"/>
    <w:rsid w:val="5D651C30"/>
    <w:rsid w:val="5D825C65"/>
    <w:rsid w:val="5DE6C3E9"/>
    <w:rsid w:val="5E0FF025"/>
    <w:rsid w:val="5E2FD036"/>
    <w:rsid w:val="5E330F71"/>
    <w:rsid w:val="5E350D0B"/>
    <w:rsid w:val="5E5DC30A"/>
    <w:rsid w:val="5EC39FE0"/>
    <w:rsid w:val="5EC8312F"/>
    <w:rsid w:val="5F177B0E"/>
    <w:rsid w:val="5FDE4CE7"/>
    <w:rsid w:val="5FF7010C"/>
    <w:rsid w:val="602A2552"/>
    <w:rsid w:val="6040B88B"/>
    <w:rsid w:val="60DFB315"/>
    <w:rsid w:val="60E48BF7"/>
    <w:rsid w:val="613217C2"/>
    <w:rsid w:val="619B1699"/>
    <w:rsid w:val="61D2A5EE"/>
    <w:rsid w:val="61E64FB4"/>
    <w:rsid w:val="622E0D32"/>
    <w:rsid w:val="62B18AE3"/>
    <w:rsid w:val="62C5FE59"/>
    <w:rsid w:val="62C92937"/>
    <w:rsid w:val="62F0E253"/>
    <w:rsid w:val="6304BB12"/>
    <w:rsid w:val="6305F69F"/>
    <w:rsid w:val="6321201E"/>
    <w:rsid w:val="633C698B"/>
    <w:rsid w:val="63DA9F73"/>
    <w:rsid w:val="6448DBCB"/>
    <w:rsid w:val="64756487"/>
    <w:rsid w:val="648C1C13"/>
    <w:rsid w:val="64ABE726"/>
    <w:rsid w:val="64B421C3"/>
    <w:rsid w:val="64B50A9E"/>
    <w:rsid w:val="64F069C0"/>
    <w:rsid w:val="652D4218"/>
    <w:rsid w:val="655EEA0E"/>
    <w:rsid w:val="656A805A"/>
    <w:rsid w:val="656C80FE"/>
    <w:rsid w:val="6584AD9B"/>
    <w:rsid w:val="6588CB6D"/>
    <w:rsid w:val="65910891"/>
    <w:rsid w:val="65E15C5C"/>
    <w:rsid w:val="65E8E7DA"/>
    <w:rsid w:val="661ACA17"/>
    <w:rsid w:val="665A30D1"/>
    <w:rsid w:val="66B50938"/>
    <w:rsid w:val="6729D4B4"/>
    <w:rsid w:val="679544EB"/>
    <w:rsid w:val="679A8661"/>
    <w:rsid w:val="67D552BC"/>
    <w:rsid w:val="67D552BC"/>
    <w:rsid w:val="67DAD1DE"/>
    <w:rsid w:val="684A6F30"/>
    <w:rsid w:val="688E46CD"/>
    <w:rsid w:val="6899FC07"/>
    <w:rsid w:val="69113B6B"/>
    <w:rsid w:val="69173BC3"/>
    <w:rsid w:val="6952F85E"/>
    <w:rsid w:val="697E748B"/>
    <w:rsid w:val="698273B7"/>
    <w:rsid w:val="698DC8B9"/>
    <w:rsid w:val="699605AE"/>
    <w:rsid w:val="69EA4D99"/>
    <w:rsid w:val="69FA840A"/>
    <w:rsid w:val="69FE98AE"/>
    <w:rsid w:val="6A19C045"/>
    <w:rsid w:val="6A313218"/>
    <w:rsid w:val="6A3F8DEB"/>
    <w:rsid w:val="6A848060"/>
    <w:rsid w:val="6ACDBBDA"/>
    <w:rsid w:val="6AE4552B"/>
    <w:rsid w:val="6AE812D7"/>
    <w:rsid w:val="6AE87A12"/>
    <w:rsid w:val="6B0DF078"/>
    <w:rsid w:val="6B369ABE"/>
    <w:rsid w:val="6B751C56"/>
    <w:rsid w:val="6BDE8E49"/>
    <w:rsid w:val="6C420875"/>
    <w:rsid w:val="6C4ACA7F"/>
    <w:rsid w:val="6C77A9F4"/>
    <w:rsid w:val="6D401301"/>
    <w:rsid w:val="6D73BC8E"/>
    <w:rsid w:val="6D9D3B12"/>
    <w:rsid w:val="6DBD1C0C"/>
    <w:rsid w:val="6E0409B5"/>
    <w:rsid w:val="6E488695"/>
    <w:rsid w:val="6E663A0A"/>
    <w:rsid w:val="6EBC128F"/>
    <w:rsid w:val="6ED2FFA4"/>
    <w:rsid w:val="6ED3087D"/>
    <w:rsid w:val="6EEECA7F"/>
    <w:rsid w:val="6F1F927B"/>
    <w:rsid w:val="6F24AA0C"/>
    <w:rsid w:val="6F2F0BE9"/>
    <w:rsid w:val="6F3D4D22"/>
    <w:rsid w:val="6F8255B9"/>
    <w:rsid w:val="6F8D26A1"/>
    <w:rsid w:val="6FDF8F48"/>
    <w:rsid w:val="6FF41541"/>
    <w:rsid w:val="6FFC8C36"/>
    <w:rsid w:val="701F2C46"/>
    <w:rsid w:val="70220B0B"/>
    <w:rsid w:val="7038C335"/>
    <w:rsid w:val="706AC002"/>
    <w:rsid w:val="7071674F"/>
    <w:rsid w:val="70733CCA"/>
    <w:rsid w:val="70D280F0"/>
    <w:rsid w:val="70E70A59"/>
    <w:rsid w:val="70FFDD72"/>
    <w:rsid w:val="7138EF91"/>
    <w:rsid w:val="718CD529"/>
    <w:rsid w:val="718CD529"/>
    <w:rsid w:val="71D5C09C"/>
    <w:rsid w:val="71F0DEAE"/>
    <w:rsid w:val="72038594"/>
    <w:rsid w:val="7238E984"/>
    <w:rsid w:val="7278BD51"/>
    <w:rsid w:val="7294525E"/>
    <w:rsid w:val="729748A3"/>
    <w:rsid w:val="72E7DD49"/>
    <w:rsid w:val="7307936F"/>
    <w:rsid w:val="7377DDB7"/>
    <w:rsid w:val="7377DDB7"/>
    <w:rsid w:val="73958E42"/>
    <w:rsid w:val="7396085D"/>
    <w:rsid w:val="739DF68B"/>
    <w:rsid w:val="73A0A079"/>
    <w:rsid w:val="73A92549"/>
    <w:rsid w:val="73AEDC0F"/>
    <w:rsid w:val="73C26981"/>
    <w:rsid w:val="7445DABF"/>
    <w:rsid w:val="7559D586"/>
    <w:rsid w:val="75652D61"/>
    <w:rsid w:val="7588A18F"/>
    <w:rsid w:val="7595CF48"/>
    <w:rsid w:val="75C8FA29"/>
    <w:rsid w:val="75F4B472"/>
    <w:rsid w:val="7646D814"/>
    <w:rsid w:val="7646D814"/>
    <w:rsid w:val="7699040C"/>
    <w:rsid w:val="76AEDF79"/>
    <w:rsid w:val="76CFA651"/>
    <w:rsid w:val="76F9021E"/>
    <w:rsid w:val="770AF963"/>
    <w:rsid w:val="7733D068"/>
    <w:rsid w:val="77402B2F"/>
    <w:rsid w:val="774081E0"/>
    <w:rsid w:val="77421F2C"/>
    <w:rsid w:val="77474734"/>
    <w:rsid w:val="77AC3B0C"/>
    <w:rsid w:val="77C282AD"/>
    <w:rsid w:val="7813238F"/>
    <w:rsid w:val="785DB312"/>
    <w:rsid w:val="788C627A"/>
    <w:rsid w:val="78F16DD6"/>
    <w:rsid w:val="79086355"/>
    <w:rsid w:val="796C2DF1"/>
    <w:rsid w:val="7972CDE0"/>
    <w:rsid w:val="799C62D1"/>
    <w:rsid w:val="79D4F94A"/>
    <w:rsid w:val="79DC41AE"/>
    <w:rsid w:val="7A0B3BF3"/>
    <w:rsid w:val="7AAD6728"/>
    <w:rsid w:val="7AB11516"/>
    <w:rsid w:val="7ACA5AE7"/>
    <w:rsid w:val="7ACD4E9F"/>
    <w:rsid w:val="7AFE8DB4"/>
    <w:rsid w:val="7B4760F4"/>
    <w:rsid w:val="7B94B99F"/>
    <w:rsid w:val="7BCA339B"/>
    <w:rsid w:val="7BDF3560"/>
    <w:rsid w:val="7BED049C"/>
    <w:rsid w:val="7BF9AB53"/>
    <w:rsid w:val="7C601B91"/>
    <w:rsid w:val="7C8F628F"/>
    <w:rsid w:val="7CB2B3C2"/>
    <w:rsid w:val="7CC1ADB1"/>
    <w:rsid w:val="7CE8F3DE"/>
    <w:rsid w:val="7D6C308B"/>
    <w:rsid w:val="7D72371D"/>
    <w:rsid w:val="7D78B8CC"/>
    <w:rsid w:val="7D7F2DDD"/>
    <w:rsid w:val="7D8B40D9"/>
    <w:rsid w:val="7DCDBD43"/>
    <w:rsid w:val="7DDD636F"/>
    <w:rsid w:val="7E426A2E"/>
    <w:rsid w:val="7E4E9D2E"/>
    <w:rsid w:val="7E549B57"/>
    <w:rsid w:val="7E5891F9"/>
    <w:rsid w:val="7EA965B3"/>
    <w:rsid w:val="7F0E6C0A"/>
    <w:rsid w:val="7F6DD6B9"/>
    <w:rsid w:val="7F9CC146"/>
    <w:rsid w:val="7F9E4681"/>
    <w:rsid w:val="7FA5AD41"/>
    <w:rsid w:val="7FF7F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516E1"/>
  <w15:chartTrackingRefBased/>
  <w15:docId w15:val="{CA54593A-93BA-4651-B366-EFBECE68AC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169E4D9"/>
    <w:rPr>
      <w:color w:val="467886"/>
      <w:u w:val="single"/>
    </w:rPr>
  </w:style>
  <w:style w:type="paragraph" w:styleId="ListParagraph">
    <w:uiPriority w:val="34"/>
    <w:name w:val="List Paragraph"/>
    <w:basedOn w:val="Normal"/>
    <w:qFormat/>
    <w:rsid w:val="1169E4D9"/>
    <w:pPr>
      <w:spacing/>
      <w:ind w:left="720"/>
      <w:contextualSpacing/>
    </w:pPr>
  </w:style>
  <w:style w:type="paragraph" w:styleId="NoSpacing">
    <w:uiPriority w:val="1"/>
    <w:name w:val="No Spacing"/>
    <w:qFormat/>
    <w:rsid w:val="1169E4D9"/>
    <w:pPr>
      <w:spacing w:after="0"/>
    </w:pPr>
  </w:style>
  <w:style w:type="paragraph" w:styleId="TOC1">
    <w:uiPriority w:val="39"/>
    <w:name w:val="toc 1"/>
    <w:basedOn w:val="Normal"/>
    <w:next w:val="Normal"/>
    <w:unhideWhenUsed/>
    <w:rsid w:val="1169E4D9"/>
    <w:pPr>
      <w:spacing w:after="100"/>
    </w:pPr>
  </w:style>
  <w:style w:type="paragraph" w:styleId="TOC2">
    <w:uiPriority w:val="39"/>
    <w:name w:val="toc 2"/>
    <w:basedOn w:val="Normal"/>
    <w:next w:val="Normal"/>
    <w:unhideWhenUsed/>
    <w:rsid w:val="1169E4D9"/>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87197578" /><Relationship Type="http://schemas.microsoft.com/office/2020/10/relationships/intelligence" Target="intelligence2.xml" Id="Rad36b80f0aaa4c6c" /><Relationship Type="http://schemas.openxmlformats.org/officeDocument/2006/relationships/numbering" Target="numbering.xml" Id="R6a1e5889d4b94f7b" /><Relationship Type="http://schemas.openxmlformats.org/officeDocument/2006/relationships/hyperlink" Target="https://www.gartner.com/reviews/market/crmandcustomerexperienceimplementationservicesworldwide/vendor/accenture/product/accenture-crm-and-customer-experience-implementation-services" TargetMode="External" Id="R5f66d909dc6347f6" /><Relationship Type="http://schemas.openxmlformats.org/officeDocument/2006/relationships/hyperlink" Target="https://eab.com/resources/blog/student-success-blog/3-hidden-retention-challenges-facing-higher-ed-in-2025/" TargetMode="External" Id="Rafcbd1e3f1104ddc" /><Relationship Type="http://schemas.openxmlformats.org/officeDocument/2006/relationships/hyperlink" Target="https://nethunt.com/blog/crm-trends/" TargetMode="External" Id="R69673eaaa8134850" /><Relationship Type="http://schemas.openxmlformats.org/officeDocument/2006/relationships/hyperlink" Target="https://www.gov.uk/guidance/mental-health-and-wellbeing-support-in-schools-and-colleges" TargetMode="External" Id="Rf0ab849cb94d4bed" /><Relationship Type="http://schemas.openxmlformats.org/officeDocument/2006/relationships/hyperlink" Target="https://researchbriefings.files.parliament.uk/documents/POST-PN-0739/POST-PN-0739.pdf" TargetMode="External" Id="R1959e119b9d841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2025-05-07T21:40:46.3676148Z</dcterms:created>
  <dcterms:modified xsi:type="dcterms:W3CDTF">2025-07-05T23:11:10.9706541Z</dcterms:modified>
  <dc:creator>Scott Morgan (2319551)</dc:creator>
  <lastModifiedBy>Scott Morgan (2319551)</lastModifiedBy>
</coreProperties>
</file>