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F24FF" w14:textId="4D62AEC7" w:rsidR="00E311AA" w:rsidRPr="008928EC" w:rsidRDefault="008928EC"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Part 1</w:t>
      </w:r>
    </w:p>
    <w:p w14:paraId="2F561F4F" w14:textId="77777777" w:rsidR="00E311AA" w:rsidRPr="008928EC" w:rsidRDefault="00E311AA"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Introduction</w:t>
      </w:r>
    </w:p>
    <w:p w14:paraId="2F5E98AC" w14:textId="15FBEDC6"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In education, acknowledging diverse learner needs, especially those with diagnosed impairments, is crucial. In Post-Compulsory Education and Training (PCET) settings, educators often encounter students with various impairments, requiring customized strategies for effective learning facilitation. This report will investigate characteristics of diagnosed impairments and advise modified strategies for meeting the needs of learners in PCET settings.</w:t>
      </w:r>
    </w:p>
    <w:p w14:paraId="054CE2D9" w14:textId="77777777" w:rsidR="00E311AA" w:rsidRPr="008928EC" w:rsidRDefault="00E311AA"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Understanding Diagnosed Impairments:</w:t>
      </w:r>
    </w:p>
    <w:p w14:paraId="71A74724"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Dyslexia: A specific learning disability affecting reading and language processing. Individuals with dyslexia may struggle with decoding words, spelling, and reading fluency despite having normal intelligence levels.</w:t>
      </w:r>
    </w:p>
    <w:p w14:paraId="5EEDDE44"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Physical Disabilities: Encompass a range of conditions affecting mobility, dexterity, or coordination. Students with physical disabilities may need assistive devices or adaptations to access learning materials and fully participate in educational activities.</w:t>
      </w:r>
    </w:p>
    <w:p w14:paraId="28155A1B"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Visual Impairments: Include conditions such as blindness or low vision, significantly affecting a student's ability to perceive visual information. Accessible formats, adaptive technologies, and instructional modifications are vital for accommodating learners with visual impairments.</w:t>
      </w:r>
    </w:p>
    <w:p w14:paraId="52A24251"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Autism Spectrum Disorder (ASD): Characterized by challenges in social interaction, communication, and repetitive behaviors. Individuals with ASD may struggle with understanding social cues, maintaining eye contact, and adapting to changes in routine.</w:t>
      </w:r>
    </w:p>
    <w:p w14:paraId="19E1E0F4" w14:textId="11323064"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Attention Deficit Hyperactivity Disorder (ADHD): Marked by inattention, hyperactivity, and impulsivity. Students with ADHD may have difficulty staying focused, following instructions, and organizing tasks, impacting their academic performance.</w:t>
      </w:r>
    </w:p>
    <w:p w14:paraId="4E533623" w14:textId="77777777" w:rsidR="00E12F40" w:rsidRPr="008928EC" w:rsidRDefault="00E12F40" w:rsidP="008928EC">
      <w:pPr>
        <w:spacing w:line="276" w:lineRule="auto"/>
        <w:rPr>
          <w:rFonts w:ascii="Cambria" w:hAnsi="Cambria" w:cs="Calibri Light"/>
          <w:sz w:val="24"/>
          <w:szCs w:val="24"/>
        </w:rPr>
      </w:pPr>
    </w:p>
    <w:p w14:paraId="308C07C2" w14:textId="6950C922" w:rsidR="00E311AA" w:rsidRPr="008928EC" w:rsidRDefault="00E311AA"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 xml:space="preserve">Strategies to Meet the Needs of Learners with Additional Learning Needs </w:t>
      </w:r>
      <w:r w:rsidR="00E12F40" w:rsidRPr="008928EC">
        <w:rPr>
          <w:rFonts w:ascii="Cambria" w:hAnsi="Cambria" w:cs="Calibri Light"/>
          <w:b/>
          <w:bCs/>
          <w:sz w:val="24"/>
          <w:szCs w:val="24"/>
          <w:u w:val="single"/>
        </w:rPr>
        <w:t>:</w:t>
      </w:r>
    </w:p>
    <w:p w14:paraId="6941E1E5" w14:textId="1DC88466"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t>Individualized Education Plans (IEPs):</w:t>
      </w:r>
      <w:r w:rsidRPr="008928EC">
        <w:rPr>
          <w:rFonts w:ascii="Cambria" w:hAnsi="Cambria" w:cs="Calibri Light"/>
          <w:sz w:val="24"/>
          <w:szCs w:val="24"/>
        </w:rPr>
        <w:t xml:space="preserve"> Personalized plans for students with diagnosed impairments, outlining specific goals, accommodations, and support services.</w:t>
      </w:r>
    </w:p>
    <w:p w14:paraId="1F84057B"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t>Differentiated Instruction:</w:t>
      </w:r>
      <w:r w:rsidRPr="008928EC">
        <w:rPr>
          <w:rFonts w:ascii="Cambria" w:hAnsi="Cambria" w:cs="Calibri Light"/>
          <w:sz w:val="24"/>
          <w:szCs w:val="24"/>
        </w:rPr>
        <w:t xml:space="preserve"> Modifying teaching methods, materials, and assessments to cater to diverse learning styles and abilities, ensuring individualized instruction.</w:t>
      </w:r>
    </w:p>
    <w:p w14:paraId="26D2F9C1"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t>Assistive Technologies</w:t>
      </w:r>
      <w:r w:rsidRPr="008928EC">
        <w:rPr>
          <w:rFonts w:ascii="Cambria" w:hAnsi="Cambria" w:cs="Calibri Light"/>
          <w:sz w:val="24"/>
          <w:szCs w:val="24"/>
        </w:rPr>
        <w:t>: Integrating tools like text-to-speech software, speech recognition, or screen readers to enhance accessibility and support students in accessing educational content.</w:t>
      </w:r>
    </w:p>
    <w:p w14:paraId="06C43231"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lastRenderedPageBreak/>
        <w:t>Universal Design for Learning (UDL):</w:t>
      </w:r>
      <w:r w:rsidRPr="008928EC">
        <w:rPr>
          <w:rFonts w:ascii="Cambria" w:hAnsi="Cambria" w:cs="Calibri Light"/>
          <w:sz w:val="24"/>
          <w:szCs w:val="24"/>
        </w:rPr>
        <w:t xml:space="preserve"> Designing flexible learning environments and materials accessible to all students, incorporating various means of representation, expression, and engagement.</w:t>
      </w:r>
    </w:p>
    <w:p w14:paraId="2FC62372"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t>Sensory Considerations:</w:t>
      </w:r>
      <w:r w:rsidRPr="008928EC">
        <w:rPr>
          <w:rFonts w:ascii="Cambria" w:hAnsi="Cambria" w:cs="Calibri Light"/>
          <w:sz w:val="24"/>
          <w:szCs w:val="24"/>
        </w:rPr>
        <w:t xml:space="preserve"> Creating a sensory-friendly environment by minimizing distractions, providing sensory supports, and incorporating breaks for students with sensory processing difficulties.</w:t>
      </w:r>
    </w:p>
    <w:p w14:paraId="5F4A953E" w14:textId="77777777" w:rsidR="00E311AA" w:rsidRPr="008928EC" w:rsidRDefault="00E311AA" w:rsidP="008928EC">
      <w:pPr>
        <w:spacing w:line="276" w:lineRule="auto"/>
        <w:rPr>
          <w:rFonts w:ascii="Cambria" w:hAnsi="Cambria" w:cs="Calibri Light"/>
          <w:sz w:val="24"/>
          <w:szCs w:val="24"/>
        </w:rPr>
      </w:pPr>
      <w:r w:rsidRPr="008928EC">
        <w:rPr>
          <w:rFonts w:ascii="Cambria" w:hAnsi="Cambria" w:cs="Calibri Light"/>
          <w:b/>
          <w:bCs/>
          <w:sz w:val="24"/>
          <w:szCs w:val="24"/>
        </w:rPr>
        <w:t>Positive Behavior Support</w:t>
      </w:r>
      <w:r w:rsidRPr="008928EC">
        <w:rPr>
          <w:rFonts w:ascii="Cambria" w:hAnsi="Cambria" w:cs="Calibri Light"/>
          <w:sz w:val="24"/>
          <w:szCs w:val="24"/>
        </w:rPr>
        <w:t>: Fostering an inclusive classroom culture, setting clear expectations, and reinforcing positive behaviors while proactively addressing challenging behaviors.</w:t>
      </w:r>
    </w:p>
    <w:p w14:paraId="107B4F59" w14:textId="4B4C5AA4" w:rsidR="00E311AA" w:rsidRPr="008928EC" w:rsidRDefault="00E311AA" w:rsidP="008928EC">
      <w:pPr>
        <w:spacing w:line="276" w:lineRule="auto"/>
        <w:rPr>
          <w:rFonts w:ascii="Cambria" w:hAnsi="Cambria" w:cs="Calibri Light"/>
          <w:sz w:val="24"/>
          <w:szCs w:val="24"/>
        </w:rPr>
      </w:pPr>
      <w:r w:rsidRPr="008928EC">
        <w:rPr>
          <w:rFonts w:ascii="Cambria" w:hAnsi="Cambria" w:cs="Calibri Light"/>
          <w:sz w:val="24"/>
          <w:szCs w:val="24"/>
        </w:rPr>
        <w:t>Collaborative Partnerships: Establishing partnerships with specialists, support staff, parents, and external agencies to provide comprehensive support and resources for students with additional learning needs.</w:t>
      </w:r>
    </w:p>
    <w:p w14:paraId="3E04F995" w14:textId="74080CC5" w:rsidR="00207A24" w:rsidRPr="008928EC" w:rsidRDefault="00207A24"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 xml:space="preserve">Critical Evaluation: </w:t>
      </w:r>
    </w:p>
    <w:p w14:paraId="48E4102D" w14:textId="5D48212C" w:rsidR="00207A24" w:rsidRPr="008928EC" w:rsidRDefault="00207A24" w:rsidP="008928EC">
      <w:pPr>
        <w:spacing w:line="276" w:lineRule="auto"/>
        <w:rPr>
          <w:rFonts w:ascii="Cambria" w:hAnsi="Cambria" w:cs="Calibri Light"/>
          <w:sz w:val="24"/>
          <w:szCs w:val="24"/>
        </w:rPr>
      </w:pPr>
      <w:r w:rsidRPr="008928EC">
        <w:rPr>
          <w:rFonts w:ascii="Cambria" w:hAnsi="Cambria" w:cs="Calibri Light"/>
          <w:sz w:val="24"/>
          <w:szCs w:val="24"/>
        </w:rPr>
        <w:t>This emphasizes the importance of addressing diverse learner needs, especially those with diagnosed impairments, in Post-Compulsory Education and Training (PCET) settings. By discussing impairments and proposing support strategies, it underscores the necessity of inclusive education practices. Linking this discussion to the Equality Act of 2010, which mandates reasonable adjustments to ensure equality in education, highlights the legal obligation to prevent discrimination against disabled students.</w:t>
      </w:r>
      <w:r w:rsidR="004C44BB" w:rsidRPr="008928EC">
        <w:rPr>
          <w:rFonts w:ascii="Cambria" w:hAnsi="Cambria" w:cs="Calibri Light"/>
          <w:sz w:val="24"/>
          <w:szCs w:val="24"/>
        </w:rPr>
        <w:t xml:space="preserve"> Let's evaluate how the strategies  align with the Equality Act of 2010,</w:t>
      </w:r>
      <w:r w:rsidR="0015726C" w:rsidRPr="008928EC">
        <w:rPr>
          <w:rFonts w:ascii="Cambria" w:hAnsi="Cambria" w:cs="Calibri Light"/>
          <w:sz w:val="24"/>
          <w:szCs w:val="24"/>
        </w:rPr>
        <w:t xml:space="preserve"> which emphasizes the importance of providing reasonable adjustments to ensure equal access and opportunities for all students, including those with disabilities.</w:t>
      </w:r>
    </w:p>
    <w:p w14:paraId="1D0215AC" w14:textId="77777777"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Individualized Education Plans (IEPs</w:t>
      </w:r>
      <w:r w:rsidRPr="008928EC">
        <w:rPr>
          <w:rFonts w:ascii="Cambria" w:hAnsi="Cambria" w:cs="Calibri Light"/>
          <w:sz w:val="24"/>
          <w:szCs w:val="24"/>
        </w:rPr>
        <w:t>): Personalized plans aligned with the Act's requirement for reasonable adjustments, ensuring disabled students receive tailored support to achieve educational goals.</w:t>
      </w:r>
    </w:p>
    <w:p w14:paraId="74063076" w14:textId="77777777"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Differentiated Instruction:</w:t>
      </w:r>
      <w:r w:rsidRPr="008928EC">
        <w:rPr>
          <w:rFonts w:ascii="Cambria" w:hAnsi="Cambria" w:cs="Calibri Light"/>
          <w:sz w:val="24"/>
          <w:szCs w:val="24"/>
        </w:rPr>
        <w:t xml:space="preserve"> Modifying teaching methods to accommodate diverse learning styles upholds the Act's principle of reasonable adjustments, providing equal access to learning opportunities for disabled students.</w:t>
      </w:r>
    </w:p>
    <w:p w14:paraId="2C7E1BED" w14:textId="77777777"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Assistive Technologies:</w:t>
      </w:r>
      <w:r w:rsidRPr="008928EC">
        <w:rPr>
          <w:rFonts w:ascii="Cambria" w:hAnsi="Cambria" w:cs="Calibri Light"/>
          <w:sz w:val="24"/>
          <w:szCs w:val="24"/>
        </w:rPr>
        <w:t xml:space="preserve"> Integrating technologies removes barriers for students with impairments, aligning with the Act's emphasis on facilitating equal access to education.</w:t>
      </w:r>
    </w:p>
    <w:p w14:paraId="7D020CB7" w14:textId="77777777"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Universal Design for Learning (UDL):</w:t>
      </w:r>
      <w:r w:rsidRPr="008928EC">
        <w:rPr>
          <w:rFonts w:ascii="Cambria" w:hAnsi="Cambria" w:cs="Calibri Light"/>
          <w:sz w:val="24"/>
          <w:szCs w:val="24"/>
        </w:rPr>
        <w:t xml:space="preserve"> UDL principles promote inclusive education by designing flexible environments for all students, including those with impairments, aligning with the Act's goal of eliminating discrimination.</w:t>
      </w:r>
    </w:p>
    <w:p w14:paraId="52AEBC78" w14:textId="77777777"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Sensory Considerations:</w:t>
      </w:r>
      <w:r w:rsidRPr="008928EC">
        <w:rPr>
          <w:rFonts w:ascii="Cambria" w:hAnsi="Cambria" w:cs="Calibri Light"/>
          <w:sz w:val="24"/>
          <w:szCs w:val="24"/>
        </w:rPr>
        <w:t xml:space="preserve"> Creating a sensory-friendly environment ensures equal access for disabled students by minimizing distractions and providing necessary supports.</w:t>
      </w:r>
    </w:p>
    <w:p w14:paraId="14812854" w14:textId="292C0298"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lastRenderedPageBreak/>
        <w:t>Positive Behaviour Support:</w:t>
      </w:r>
      <w:r w:rsidRPr="008928EC">
        <w:rPr>
          <w:rFonts w:ascii="Cambria" w:hAnsi="Cambria" w:cs="Calibri Light"/>
          <w:sz w:val="24"/>
          <w:szCs w:val="24"/>
        </w:rPr>
        <w:t xml:space="preserve"> Implementing supportive strategies fosters inclusivity, aligning with the Act's objective of promoting equality in education.</w:t>
      </w:r>
    </w:p>
    <w:p w14:paraId="76922F9B" w14:textId="38E7891E"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Individualized Education Plans (IEPs) ensure personalized support in accordance with the Act's requirement for reasonable adjustments, facilitating disabled students' attainment of educational objectives. Likewise, Differentiated Instruction adapts teaching methods, fulfilling the Act's principle of reasonable adjustments, and ensuring equal learning opportunities for disabled students. Integrating Assistive Technologies removes barriers, aligning with the Act's focus on facilitating equal access to education. Universal Design for Learning (UDL) principles create flexible environments for all students, including those with impairments, in line with the Act's goal of eliminating discrimination. Sensory Considerations foster a supportive environment, ensuring equal access by minimizing distractions and providing necessary supports. Lastly, implementing Positive Behaviour Support strategies aligns with the Act's objective of promoting equality in education by fostering inclusivity and addressing the needs of all students.</w:t>
      </w:r>
    </w:p>
    <w:p w14:paraId="32E8A41A" w14:textId="77777777" w:rsidR="0015726C" w:rsidRPr="008928EC" w:rsidRDefault="0015726C" w:rsidP="008928EC">
      <w:pPr>
        <w:spacing w:line="276" w:lineRule="auto"/>
        <w:rPr>
          <w:rFonts w:ascii="Cambria" w:hAnsi="Cambria" w:cs="Calibri Light"/>
          <w:sz w:val="24"/>
          <w:szCs w:val="24"/>
        </w:rPr>
      </w:pPr>
    </w:p>
    <w:p w14:paraId="4CD242CF" w14:textId="25E9DE72" w:rsidR="004C44BB" w:rsidRPr="008928EC" w:rsidRDefault="004C44BB" w:rsidP="008928EC">
      <w:pPr>
        <w:spacing w:line="276" w:lineRule="auto"/>
        <w:rPr>
          <w:rFonts w:ascii="Cambria" w:hAnsi="Cambria" w:cs="Calibri Light"/>
          <w:sz w:val="24"/>
          <w:szCs w:val="24"/>
        </w:rPr>
      </w:pPr>
      <w:r w:rsidRPr="008928EC">
        <w:rPr>
          <w:rFonts w:ascii="Cambria" w:hAnsi="Cambria" w:cs="Calibri Light"/>
          <w:b/>
          <w:bCs/>
          <w:sz w:val="24"/>
          <w:szCs w:val="24"/>
        </w:rPr>
        <w:t>Collaborative Partnerships:</w:t>
      </w:r>
      <w:r w:rsidRPr="008928EC">
        <w:rPr>
          <w:rFonts w:ascii="Cambria" w:hAnsi="Cambria" w:cs="Calibri Light"/>
          <w:sz w:val="24"/>
          <w:szCs w:val="24"/>
        </w:rPr>
        <w:t xml:space="preserve"> Proactively collaborating with specialists and support staff ensures comprehensive support for disabled students, meeting the Act's requirements for equal access to education.</w:t>
      </w:r>
      <w:r w:rsidR="0015726C" w:rsidRPr="008928EC">
        <w:rPr>
          <w:rFonts w:ascii="Cambria" w:hAnsi="Cambria" w:cs="Calibri Light"/>
          <w:sz w:val="24"/>
          <w:szCs w:val="24"/>
        </w:rPr>
        <w:t xml:space="preserve"> This collaborative approach enhances the provision of resources and accommodations tailored to individual student needs, promoting inclusivity and equality.</w:t>
      </w:r>
    </w:p>
    <w:p w14:paraId="1174E932" w14:textId="77777777" w:rsidR="004C44BB" w:rsidRPr="008928EC" w:rsidRDefault="004C44BB" w:rsidP="008928EC">
      <w:pPr>
        <w:spacing w:line="276" w:lineRule="auto"/>
        <w:rPr>
          <w:rFonts w:ascii="Cambria" w:hAnsi="Cambria" w:cs="Calibri Light"/>
          <w:b/>
          <w:bCs/>
          <w:sz w:val="24"/>
          <w:szCs w:val="24"/>
        </w:rPr>
      </w:pPr>
      <w:r w:rsidRPr="008928EC">
        <w:rPr>
          <w:rFonts w:ascii="Cambria" w:hAnsi="Cambria" w:cs="Calibri Light"/>
          <w:b/>
          <w:bCs/>
          <w:sz w:val="24"/>
          <w:szCs w:val="24"/>
        </w:rPr>
        <w:t xml:space="preserve">Conclusion: </w:t>
      </w:r>
    </w:p>
    <w:p w14:paraId="2E96AE55" w14:textId="6AA8E79D" w:rsidR="004C44BB" w:rsidRPr="008928EC" w:rsidRDefault="004C44BB" w:rsidP="008928EC">
      <w:pPr>
        <w:spacing w:line="276" w:lineRule="auto"/>
        <w:rPr>
          <w:rFonts w:ascii="Cambria" w:hAnsi="Cambria" w:cs="Calibri Light"/>
          <w:sz w:val="24"/>
          <w:szCs w:val="24"/>
        </w:rPr>
      </w:pPr>
      <w:r w:rsidRPr="008928EC">
        <w:rPr>
          <w:rFonts w:ascii="Cambria" w:hAnsi="Cambria" w:cs="Calibri Light"/>
          <w:sz w:val="24"/>
          <w:szCs w:val="24"/>
        </w:rPr>
        <w:t>In conclusion, understanding the key features and associated characteristics of diagnosed impairments is essential for effectively supporting learners with additional learning needs in PCET settings. By using variety of strategies, including customised planning, differentiated instruction, assistive technologies, and inclusive practices, educators can create an inclusive learning environment where all students can rise academically and personally. Accepting diversity and adopting positive approaches are fundamental in meeting the needs of learners with diagnosed impairments and ensuring fair access to education for all. the strategies outlined in this report are not only effective for supporting learners with diagnosed impairments in PCET settings but also align with the legal requirements of the Equality Act of 2010. By implementing these strategies, educators can promote equality, inclusion, and accessibility in education, ensuring that all students could succeed regardless of their disabilities.</w:t>
      </w:r>
    </w:p>
    <w:p w14:paraId="7057CB98" w14:textId="77777777" w:rsidR="0015726C" w:rsidRDefault="0015726C" w:rsidP="008928EC">
      <w:pPr>
        <w:spacing w:line="276" w:lineRule="auto"/>
        <w:rPr>
          <w:rFonts w:ascii="Cambria" w:hAnsi="Cambria" w:cs="Calibri Light"/>
          <w:sz w:val="24"/>
          <w:szCs w:val="24"/>
        </w:rPr>
      </w:pPr>
    </w:p>
    <w:p w14:paraId="00F3205D" w14:textId="77777777" w:rsidR="008928EC" w:rsidRDefault="008928EC" w:rsidP="008928EC">
      <w:pPr>
        <w:spacing w:line="276" w:lineRule="auto"/>
        <w:rPr>
          <w:rFonts w:ascii="Cambria" w:hAnsi="Cambria" w:cs="Calibri Light"/>
          <w:sz w:val="24"/>
          <w:szCs w:val="24"/>
        </w:rPr>
      </w:pPr>
    </w:p>
    <w:p w14:paraId="041CF2BB" w14:textId="77777777" w:rsidR="008928EC" w:rsidRDefault="008928EC" w:rsidP="008928EC">
      <w:pPr>
        <w:spacing w:line="276" w:lineRule="auto"/>
        <w:rPr>
          <w:rFonts w:ascii="Cambria" w:hAnsi="Cambria" w:cs="Calibri Light"/>
          <w:sz w:val="24"/>
          <w:szCs w:val="24"/>
        </w:rPr>
      </w:pPr>
    </w:p>
    <w:p w14:paraId="2AD60F6C" w14:textId="77777777" w:rsidR="008928EC" w:rsidRDefault="008928EC" w:rsidP="008928EC">
      <w:pPr>
        <w:spacing w:line="276" w:lineRule="auto"/>
        <w:rPr>
          <w:rFonts w:ascii="Cambria" w:hAnsi="Cambria" w:cs="Calibri Light"/>
          <w:sz w:val="24"/>
          <w:szCs w:val="24"/>
        </w:rPr>
      </w:pPr>
    </w:p>
    <w:p w14:paraId="1EEBC407" w14:textId="7AF3F4F0" w:rsidR="008928EC" w:rsidRPr="008928EC" w:rsidRDefault="008928EC"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lastRenderedPageBreak/>
        <w:t>Part 2</w:t>
      </w:r>
    </w:p>
    <w:p w14:paraId="12A2952C"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As a Crisis and Case Officer at the charity organisation EYST, my responsibilities include providing support to refugees and asylum seekers in addressing various housing, education, and admission-related issues. Additionally, I am granted the opportunity by my organisation to conduct training sessions for all teams as part of my university coursework. These training sessions encompass topics such as Teamwork, Stress Management, Asylum Pathway, and Communication, all serving as Continuing Professional Development (CPD) opportunities.</w:t>
      </w:r>
    </w:p>
    <w:p w14:paraId="02417528"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My approach to training involves fostering an engaging and interactive environment, as I firmly believe in the efficiency of learning through enjoyable experiences. Currently, I am focusing on Teamwork training with participants aged over 16. This training typically spans two hours and involves a presentation delivered through PowerPoint, utilizing the facilities available in our drop-in area. Subsequently, I incorporate interactive activities aimed at reinforcing the concepts covered in the presentation. These activities provide participants with an opportunity to practically apply the knowledge gained and assume different roles within a team context. </w:t>
      </w:r>
    </w:p>
    <w:p w14:paraId="24382D8A"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Upon conclusion, I facilitate a feedback session. This reflective approach aims to encourage a deeper understanding and implementation of the training content in their respective roles within the organisation.</w:t>
      </w:r>
    </w:p>
    <w:p w14:paraId="1A37CED8"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Iwan's situation presents a significant challenge, as he grapples with financial constraints while trying to pursue his studies in the post-compulsory sector. As per Iwan’s request, the following discussion will consider how three specific policies—Leave Entitlement Policy, EYST Mentoring Guidelines and Code of Conduct, and EYST Youth Workers Code of Conduct—can be applied to support him in this difficult situation.</w:t>
      </w:r>
    </w:p>
    <w:p w14:paraId="6A06F86D" w14:textId="51A118C9"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According to the Leave Entitlement Policy, students are entitled to a certain amount of leave for personal or medical reasons. Given Iwan's financial strain and academic concerns, he may benefit from utilizing his leave entitlement to address his current situation. By taking leave, Iwan can allocate time to explore additional financial assistance options, seek guidance from academic advisors, or engage in self-care activities to relieve stress. Moreover, the policy encourages compassionate consideration of individual circumstances, which is crucial in supporting students like Iwan who face unique challenges </w:t>
      </w:r>
      <w:r w:rsidR="008928EC" w:rsidRPr="008928EC">
        <w:rPr>
          <w:rFonts w:ascii="Cambria" w:hAnsi="Cambria" w:cs="Calibri Light"/>
          <w:sz w:val="24"/>
          <w:szCs w:val="24"/>
        </w:rPr>
        <w:t>( EYST,2003 )</w:t>
      </w:r>
      <w:r w:rsidRPr="008928EC">
        <w:rPr>
          <w:rFonts w:ascii="Cambria" w:hAnsi="Cambria" w:cs="Calibri Light"/>
          <w:sz w:val="24"/>
          <w:szCs w:val="24"/>
        </w:rPr>
        <w:t xml:space="preserve">. </w:t>
      </w:r>
    </w:p>
    <w:p w14:paraId="28756423" w14:textId="471BAD1F"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EYST Mentoring Guidelines and Code of Conduct outline principles for providing guidance and support to students from diverse backgrounds. In Iwan's case, a mentor can offer valuable assistance by helping him navigate financial difficulties, develop effective study strategies, and access available resources. The mentor can also assist Iwan in exploring potential solutions, such as applying for scholarships, grants, or financial aid programs specifically designed for students facing financial hardship </w:t>
      </w:r>
      <w:r w:rsidR="008928EC" w:rsidRPr="008928EC">
        <w:rPr>
          <w:rFonts w:ascii="Cambria" w:hAnsi="Cambria" w:cs="Calibri Light"/>
          <w:sz w:val="24"/>
          <w:szCs w:val="24"/>
        </w:rPr>
        <w:t xml:space="preserve">( </w:t>
      </w:r>
      <w:r w:rsidR="008928EC" w:rsidRPr="008928EC">
        <w:rPr>
          <w:rFonts w:ascii="Cambria" w:hAnsi="Cambria" w:cs="Calibri Light"/>
          <w:sz w:val="24"/>
          <w:szCs w:val="24"/>
        </w:rPr>
        <w:lastRenderedPageBreak/>
        <w:t>EYST,2003 )</w:t>
      </w:r>
      <w:r w:rsidRPr="008928EC">
        <w:rPr>
          <w:rFonts w:ascii="Cambria" w:hAnsi="Cambria" w:cs="Calibri Light"/>
          <w:sz w:val="24"/>
          <w:szCs w:val="24"/>
        </w:rPr>
        <w:t>. Additionally, the Code of Conduct emphasizes maintaining confidentiality and fostering a supportive, non-judgmental environment, ensuring that Iwan feels comfortable disclosing his concerns and seeking assistance.</w:t>
      </w:r>
    </w:p>
    <w:p w14:paraId="3A8F53D4" w14:textId="60ED414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As a student facing financial challenges, Iwan may also seek support from youth workers who adhere to the EYST Youth Workers Code of Conduct. These professionals are trained to provide guidance, advocacy, and practical assistance to young people in various aspects of their lives, including education and employment. In Iwan's case, a youth worker can collaborate with him to develop a comprehensive plan to address his financial struggles while maintaining his academic progress. This may involve exploring additional employment opportunities, accessing financial literacy resources, or connecting with community organisations that offer support services for students in need </w:t>
      </w:r>
      <w:r w:rsidR="008928EC" w:rsidRPr="008928EC">
        <w:rPr>
          <w:rFonts w:ascii="Cambria" w:hAnsi="Cambria" w:cs="Calibri Light"/>
          <w:sz w:val="24"/>
          <w:szCs w:val="24"/>
        </w:rPr>
        <w:t>( EYST,2003 )</w:t>
      </w:r>
      <w:r w:rsidRPr="008928EC">
        <w:rPr>
          <w:rFonts w:ascii="Cambria" w:hAnsi="Cambria" w:cs="Calibri Light"/>
          <w:sz w:val="24"/>
          <w:szCs w:val="24"/>
        </w:rPr>
        <w:t>.</w:t>
      </w:r>
    </w:p>
    <w:p w14:paraId="278FBFF0"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In conclusion, Iwan's situation underscores the importance of applying relevant policies and guidelines to support students facing financial difficulties in their academic pursuits. By leveraging the Leave Entitlement Policy, EYST Mentoring Guidelines and Code of Conduct, and EYST Youth Workers Code of Conduct, educational institutions can provide comprehensive support to students like Iwan, empowering them to overcome obstacles and achieve their academic goals.</w:t>
      </w:r>
    </w:p>
    <w:p w14:paraId="50C31E72" w14:textId="77777777" w:rsidR="0015726C" w:rsidRPr="008928EC" w:rsidRDefault="0015726C" w:rsidP="008928EC">
      <w:pPr>
        <w:spacing w:line="276" w:lineRule="auto"/>
        <w:rPr>
          <w:rFonts w:ascii="Cambria" w:hAnsi="Cambria" w:cs="Calibri Light"/>
          <w:sz w:val="24"/>
          <w:szCs w:val="24"/>
        </w:rPr>
      </w:pPr>
    </w:p>
    <w:p w14:paraId="6873E775" w14:textId="77777777" w:rsidR="0015726C" w:rsidRPr="008928EC" w:rsidRDefault="0015726C" w:rsidP="008928EC">
      <w:pPr>
        <w:spacing w:line="276" w:lineRule="auto"/>
        <w:rPr>
          <w:rFonts w:ascii="Cambria" w:hAnsi="Cambria" w:cs="Calibri Light"/>
          <w:sz w:val="24"/>
          <w:szCs w:val="24"/>
        </w:rPr>
      </w:pPr>
    </w:p>
    <w:p w14:paraId="418370DC"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The scenario involving Efa, a first-year student experiencing racial discrimination and social isolation, requires a comprehensive response that aligns with six specific policies: Equal Opportunities, Data Protection/GDPR, Confidentiality, Harassment Policy, EYST Mentoring Guidelines and Code of Conduct, and EYST Youth Workers Code of Conduct.</w:t>
      </w:r>
    </w:p>
    <w:p w14:paraId="6A8D7D56" w14:textId="012E403F"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Equal Opportunities policy mandates fair treatment for all individuals, regardless of race or ethnicity. It requires educational institutions to create an inclusive environment where all students have equal access to resources, support, and opportunities. In Efa's case, the policy dictates the need for immediate action to address the racial discrimination and social exclusion she is experiencing </w:t>
      </w:r>
      <w:r w:rsidR="008928EC" w:rsidRPr="008928EC">
        <w:rPr>
          <w:rFonts w:ascii="Cambria" w:hAnsi="Cambria" w:cs="Calibri Light"/>
          <w:i/>
          <w:iCs/>
          <w:sz w:val="24"/>
          <w:szCs w:val="24"/>
        </w:rPr>
        <w:t>(EYST,2003 )</w:t>
      </w:r>
      <w:r w:rsidR="008928EC" w:rsidRPr="008928EC">
        <w:rPr>
          <w:rFonts w:ascii="Cambria" w:hAnsi="Cambria" w:cs="Calibri Light"/>
          <w:sz w:val="24"/>
          <w:szCs w:val="24"/>
        </w:rPr>
        <w:t>.</w:t>
      </w:r>
    </w:p>
    <w:p w14:paraId="510E4F24" w14:textId="0AE09A10"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Data Protection/GDPR policy ensures the confidentiality and security of personal data, including sensitive information related to racial discrimination. Any communication or intervention concerning Efa's situation must adhere to strict data protection protocols to safeguard her privacy and prevent unauthorized access to her personal information </w:t>
      </w:r>
      <w:r w:rsidR="008928EC" w:rsidRPr="008928EC">
        <w:rPr>
          <w:rFonts w:ascii="Cambria" w:hAnsi="Cambria" w:cs="Calibri Light"/>
          <w:i/>
          <w:iCs/>
          <w:sz w:val="24"/>
          <w:szCs w:val="24"/>
        </w:rPr>
        <w:t>(EYST,2003)</w:t>
      </w:r>
      <w:r w:rsidRPr="008928EC">
        <w:rPr>
          <w:rFonts w:ascii="Cambria" w:hAnsi="Cambria" w:cs="Calibri Light"/>
          <w:sz w:val="24"/>
          <w:szCs w:val="24"/>
        </w:rPr>
        <w:t>.</w:t>
      </w:r>
    </w:p>
    <w:p w14:paraId="2CFEFE6F"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Maintaining confidentiality is paramount in handling sensitive issues such as racial discrimination. All parties involved, including mentors, youth workers, and lecturers, must uphold confidentiality to protect Efa's privacy and prevent further harm or </w:t>
      </w:r>
      <w:r w:rsidRPr="008928EC">
        <w:rPr>
          <w:rFonts w:ascii="Cambria" w:hAnsi="Cambria" w:cs="Calibri Light"/>
          <w:sz w:val="24"/>
          <w:szCs w:val="24"/>
        </w:rPr>
        <w:lastRenderedPageBreak/>
        <w:t>retaliation. Information shared by Efa must be treated with utmost discretion and not disclosed without her explicit consent.</w:t>
      </w:r>
    </w:p>
    <w:p w14:paraId="4D73A072"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The Harassment Policy prohibits any form of discriminatory behaviour, including racial harassment, within educational settings. It mandates prompt investigation and appropriate disciplinary action against individuals found to have engaged in discriminatory conduct. Efa's complaints of racial discrimination and social exclusion must be thoroughly investigated, and perpetrators held accountable for their actions.</w:t>
      </w:r>
    </w:p>
    <w:p w14:paraId="67DF1120" w14:textId="55939410"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EYST Mentoring Guidelines and Code of Conduct provide principles for supporting students from diverse backgrounds </w:t>
      </w:r>
      <w:r w:rsidR="008928EC" w:rsidRPr="008928EC">
        <w:rPr>
          <w:rFonts w:ascii="Cambria" w:hAnsi="Cambria" w:cs="Calibri Light"/>
          <w:sz w:val="24"/>
          <w:szCs w:val="24"/>
        </w:rPr>
        <w:t>(EYST,2003 )</w:t>
      </w:r>
      <w:r w:rsidRPr="008928EC">
        <w:rPr>
          <w:rFonts w:ascii="Cambria" w:hAnsi="Cambria" w:cs="Calibri Light"/>
          <w:sz w:val="24"/>
          <w:szCs w:val="24"/>
        </w:rPr>
        <w:t>. Mentors assigned to Efa must offer guidance, advocacy, and emotional support while adhering to the highest standards of professionalism and cultural sensitivity. They should work closely with Efa to address her concerns and facilitate her integration into the academic community.</w:t>
      </w:r>
      <w:r w:rsidRPr="008928EC">
        <w:rPr>
          <w:rFonts w:ascii="Cambria" w:hAnsi="Cambria" w:cs="Calibri Light"/>
          <w:sz w:val="24"/>
          <w:szCs w:val="24"/>
        </w:rPr>
        <w:tab/>
      </w:r>
    </w:p>
    <w:p w14:paraId="73A0DF0D" w14:textId="79D0F6F3"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Similarly, youth workers must adhere to the EYST Youth Workers Code of Conduct, which emphasizes the importance of fostering inclusive environments and providing support to young people facing discrimination or social exclusion. They should collaborate with Efa to develop strategies for navigating challenging situations </w:t>
      </w:r>
      <w:r w:rsidR="008928EC" w:rsidRPr="008928EC">
        <w:rPr>
          <w:rFonts w:ascii="Cambria" w:hAnsi="Cambria" w:cs="Calibri Light"/>
          <w:sz w:val="24"/>
          <w:szCs w:val="24"/>
        </w:rPr>
        <w:t>( EYST,2003 )</w:t>
      </w:r>
      <w:r w:rsidRPr="008928EC">
        <w:rPr>
          <w:rFonts w:ascii="Cambria" w:hAnsi="Cambria" w:cs="Calibri Light"/>
          <w:sz w:val="24"/>
          <w:szCs w:val="24"/>
        </w:rPr>
        <w:t xml:space="preserve"> and accessing appropriate support services.</w:t>
      </w:r>
    </w:p>
    <w:p w14:paraId="7D99DB2C"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In conclusion, addressing Efa's situation requires a coordinated effort guided by the principles outlined in Equal Opportunities, Data Protection/GDPR, Confidentiality, Harassment Policy, EYST Mentoring Guidelines and Code of Conduct, and EYST Youth Workers Code of Conduct. By upholding these policies, educational institutions can ensure a supportive and inclusive environment for all students, regardless of their race or ethnicity.</w:t>
      </w:r>
    </w:p>
    <w:p w14:paraId="127A2518" w14:textId="77777777" w:rsidR="0015726C" w:rsidRPr="008928EC" w:rsidRDefault="0015726C" w:rsidP="008928EC">
      <w:pPr>
        <w:spacing w:line="276" w:lineRule="auto"/>
        <w:rPr>
          <w:rFonts w:ascii="Cambria" w:hAnsi="Cambria" w:cs="Calibri Light"/>
          <w:sz w:val="24"/>
          <w:szCs w:val="24"/>
        </w:rPr>
      </w:pPr>
    </w:p>
    <w:p w14:paraId="72EDB1CD"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Supporting Megan: Addressing Mental Health and Learning Needs Through Policy Implementation. The scenario involving Megan, a prospective student with mental health support needs and potential learning difficulties, necessitates a tailored approach guided by three specific policies: Health &amp; Safety Policy, EYST Mentoring Guidelines and Code of Conduct, and EYST Youth Workers Code of Conduct. By adhering to these policies, educational institutions can effectively support Megan's well-being and academic success.</w:t>
      </w:r>
    </w:p>
    <w:p w14:paraId="23CB0C7F" w14:textId="474CDF1E"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Health &amp; Safety Policy prioritizes the physical and mental well-being of students, staff, and visitors within the educational environment. In Megan's case, her disclosure of anxiety issues and difficulties with social interaction underscores the importance of creating a safe and supportive learning environment </w:t>
      </w:r>
      <w:r w:rsidR="008928EC" w:rsidRPr="008928EC">
        <w:rPr>
          <w:rFonts w:ascii="Cambria" w:hAnsi="Cambria" w:cs="Calibri Light"/>
          <w:sz w:val="24"/>
          <w:szCs w:val="24"/>
        </w:rPr>
        <w:t>( EYST,2003 )</w:t>
      </w:r>
      <w:r w:rsidRPr="008928EC">
        <w:rPr>
          <w:rFonts w:ascii="Cambria" w:hAnsi="Cambria" w:cs="Calibri Light"/>
          <w:sz w:val="24"/>
          <w:szCs w:val="24"/>
        </w:rPr>
        <w:t>. The policy mandates the provision of appropriate support and accommodations to ensure Megan's mental health needs are addressed effectively.</w:t>
      </w:r>
    </w:p>
    <w:p w14:paraId="3FAB23E7" w14:textId="77777777" w:rsidR="0015726C" w:rsidRPr="008928EC" w:rsidRDefault="0015726C" w:rsidP="008928EC">
      <w:pPr>
        <w:spacing w:line="276" w:lineRule="auto"/>
        <w:rPr>
          <w:rFonts w:ascii="Cambria" w:hAnsi="Cambria" w:cs="Calibri Light"/>
          <w:sz w:val="24"/>
          <w:szCs w:val="24"/>
        </w:rPr>
      </w:pPr>
    </w:p>
    <w:p w14:paraId="238D1E80" w14:textId="2305367F"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lastRenderedPageBreak/>
        <w:t xml:space="preserve">To comply with the Health &amp; Safety Policy, the educational institution must: Provide access to mental health support services, such as counseling or therapy, to assist Megan in managing her anxiety. </w:t>
      </w:r>
      <w:r w:rsidR="008928EC" w:rsidRPr="008928EC">
        <w:rPr>
          <w:rFonts w:ascii="Cambria" w:hAnsi="Cambria" w:cs="Calibri Light"/>
          <w:sz w:val="24"/>
          <w:szCs w:val="24"/>
        </w:rPr>
        <w:t>( EYST,2003 )</w:t>
      </w:r>
      <w:r w:rsidRPr="008928EC">
        <w:rPr>
          <w:rFonts w:ascii="Cambria" w:hAnsi="Cambria" w:cs="Calibri Light"/>
          <w:sz w:val="24"/>
          <w:szCs w:val="24"/>
        </w:rPr>
        <w:t xml:space="preserve"> </w:t>
      </w:r>
    </w:p>
    <w:p w14:paraId="77D7D636"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Implement measures to promote a supportive and inclusive learning environment, including awareness-raising initiatives and training for staff and students on mental health awareness and support strategies.</w:t>
      </w:r>
    </w:p>
    <w:p w14:paraId="2E41BAEC"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Conduct risk assessments to identify potential triggers for Megan's anxiety and implement mitigation measures to minimize any adverse effects on her well-being.</w:t>
      </w:r>
    </w:p>
    <w:p w14:paraId="2AACB964" w14:textId="4D966B61"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The EYST Mentoring Guidelines and Code of Conduct outline principles for supporting students from diverse backgrounds, including those with mental health support needs. According to these guidelines, mentors assigned to Megan must offer personalized support and guidance tailored to her specific needs. They should establish a trusting and supportive relationship with Megan, providing a safe space for her to discuss her concerns and seek advice. </w:t>
      </w:r>
      <w:r w:rsidR="008928EC" w:rsidRPr="008928EC">
        <w:rPr>
          <w:rFonts w:ascii="Cambria" w:hAnsi="Cambria" w:cs="Calibri Light"/>
          <w:sz w:val="24"/>
          <w:szCs w:val="24"/>
        </w:rPr>
        <w:t>( EYST,2003 )</w:t>
      </w:r>
    </w:p>
    <w:p w14:paraId="3F50FA02" w14:textId="521E4751"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Assist Megan in developing coping strategies to manage her anxiety and enhance her confidence in social and academic settings. Collaborate with other support services, such as mental health professionals, to ensure Megan receives holistic support that addresses both her academic and mental health needs. </w:t>
      </w:r>
      <w:r w:rsidR="008928EC" w:rsidRPr="008928EC">
        <w:rPr>
          <w:rFonts w:ascii="Cambria" w:hAnsi="Cambria" w:cs="Calibri Light"/>
          <w:sz w:val="24"/>
          <w:szCs w:val="24"/>
        </w:rPr>
        <w:t>( EYST,2003 )</w:t>
      </w:r>
    </w:p>
    <w:p w14:paraId="2093FFE9" w14:textId="75CCEBAA"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Similarly, youth workers must adhere to the EYST Youth Workers Code of Conduct, which emphasizes the importance of promoting the well-being and personal development of young people. In Megan's case, youth workers can play a crucial role in providing practical support and encouragement to help Megan overcome barriers related to social interaction </w:t>
      </w:r>
      <w:r w:rsidR="008928EC" w:rsidRPr="008928EC">
        <w:rPr>
          <w:rFonts w:ascii="Cambria" w:hAnsi="Cambria" w:cs="Calibri Light"/>
          <w:sz w:val="24"/>
          <w:szCs w:val="24"/>
        </w:rPr>
        <w:t>( EYST,2003 )</w:t>
      </w:r>
      <w:r w:rsidRPr="008928EC">
        <w:rPr>
          <w:rFonts w:ascii="Cambria" w:hAnsi="Cambria" w:cs="Calibri Light"/>
          <w:sz w:val="24"/>
          <w:szCs w:val="24"/>
        </w:rPr>
        <w:t xml:space="preserve"> and academic performance. Advocating for Megan's needs within the educational institution and ensuring that appropriate accommodations are made to facilitate her learning and participation.</w:t>
      </w:r>
    </w:p>
    <w:p w14:paraId="68CD57AC" w14:textId="77777777"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Creating a supportive peer environment where Megan feels accepted and valued, thus reducing feelings of isolation and anxiety. </w:t>
      </w:r>
    </w:p>
    <w:p w14:paraId="28A94D02" w14:textId="4AE122FA" w:rsidR="0015726C" w:rsidRPr="008928EC" w:rsidRDefault="0015726C" w:rsidP="008928EC">
      <w:pPr>
        <w:spacing w:line="276" w:lineRule="auto"/>
        <w:rPr>
          <w:rFonts w:ascii="Cambria" w:hAnsi="Cambria" w:cs="Calibri Light"/>
          <w:sz w:val="24"/>
          <w:szCs w:val="24"/>
        </w:rPr>
      </w:pPr>
      <w:r w:rsidRPr="008928EC">
        <w:rPr>
          <w:rFonts w:ascii="Cambria" w:hAnsi="Cambria" w:cs="Calibri Light"/>
          <w:sz w:val="24"/>
          <w:szCs w:val="24"/>
        </w:rPr>
        <w:t xml:space="preserve">In conclusion, supporting Megan's mental health and learning needs requires a collaborative and multi-faceted approach guided by the Health &amp; Safety Policy, EYST Mentoring Guidelines and Code of Conduct, and EYST Youth Workers Code of Conduct. By adhering to these policies, educational institutions can create an inclusive and supportive environment where Megan can thrive academically and personally. </w:t>
      </w:r>
      <w:r w:rsidR="008928EC" w:rsidRPr="008928EC">
        <w:rPr>
          <w:rFonts w:ascii="Cambria" w:hAnsi="Cambria" w:cs="Calibri Light"/>
          <w:sz w:val="24"/>
          <w:szCs w:val="24"/>
        </w:rPr>
        <w:t>( EYST,2003 )</w:t>
      </w:r>
    </w:p>
    <w:p w14:paraId="01FC124F" w14:textId="77777777" w:rsidR="0015726C" w:rsidRPr="008928EC" w:rsidRDefault="0015726C" w:rsidP="008928EC">
      <w:pPr>
        <w:spacing w:line="276" w:lineRule="auto"/>
        <w:rPr>
          <w:rFonts w:ascii="Cambria" w:hAnsi="Cambria" w:cs="Calibri Light"/>
          <w:sz w:val="24"/>
          <w:szCs w:val="24"/>
        </w:rPr>
      </w:pPr>
    </w:p>
    <w:p w14:paraId="3E57063D" w14:textId="77777777" w:rsidR="0015726C" w:rsidRPr="008928EC" w:rsidRDefault="0015726C" w:rsidP="008928EC">
      <w:pPr>
        <w:spacing w:line="276" w:lineRule="auto"/>
        <w:rPr>
          <w:rFonts w:ascii="Cambria" w:hAnsi="Cambria" w:cs="Calibri Light"/>
          <w:sz w:val="24"/>
          <w:szCs w:val="24"/>
        </w:rPr>
      </w:pPr>
    </w:p>
    <w:p w14:paraId="3DA388AE" w14:textId="77777777" w:rsidR="008928EC" w:rsidRPr="008928EC" w:rsidRDefault="008928EC" w:rsidP="008928EC">
      <w:pPr>
        <w:spacing w:line="276" w:lineRule="auto"/>
        <w:rPr>
          <w:rFonts w:ascii="Cambria" w:hAnsi="Cambria" w:cs="Calibri Light"/>
          <w:b/>
          <w:bCs/>
          <w:sz w:val="24"/>
          <w:szCs w:val="24"/>
          <w:u w:val="single"/>
        </w:rPr>
      </w:pPr>
      <w:r w:rsidRPr="008928EC">
        <w:rPr>
          <w:rFonts w:ascii="Cambria" w:hAnsi="Cambria" w:cs="Calibri Light"/>
          <w:b/>
          <w:bCs/>
          <w:sz w:val="24"/>
          <w:szCs w:val="24"/>
          <w:u w:val="single"/>
        </w:rPr>
        <w:t xml:space="preserve">Word count : </w:t>
      </w:r>
    </w:p>
    <w:p w14:paraId="6BBA5996" w14:textId="77777777" w:rsidR="008928EC" w:rsidRPr="008928EC" w:rsidRDefault="008928EC" w:rsidP="008928EC">
      <w:pPr>
        <w:spacing w:line="276" w:lineRule="auto"/>
        <w:rPr>
          <w:rFonts w:ascii="Cambria" w:hAnsi="Cambria" w:cs="Calibri Light"/>
          <w:sz w:val="24"/>
          <w:szCs w:val="24"/>
        </w:rPr>
      </w:pPr>
      <w:r w:rsidRPr="008928EC">
        <w:rPr>
          <w:rFonts w:ascii="Cambria" w:hAnsi="Cambria" w:cs="Calibri Light"/>
          <w:sz w:val="24"/>
          <w:szCs w:val="24"/>
        </w:rPr>
        <w:t>Part 1: 913 words</w:t>
      </w:r>
    </w:p>
    <w:p w14:paraId="11B61F10" w14:textId="45BF4F81" w:rsidR="0015726C" w:rsidRPr="008928EC" w:rsidRDefault="008928EC" w:rsidP="008928EC">
      <w:pPr>
        <w:spacing w:line="276" w:lineRule="auto"/>
        <w:rPr>
          <w:rFonts w:ascii="Cambria" w:hAnsi="Cambria" w:cs="Calibri Light"/>
          <w:sz w:val="24"/>
          <w:szCs w:val="24"/>
        </w:rPr>
      </w:pPr>
      <w:r>
        <w:rPr>
          <w:rFonts w:ascii="Cambria" w:hAnsi="Cambria" w:cs="Calibri Light"/>
          <w:sz w:val="24"/>
          <w:szCs w:val="24"/>
        </w:rPr>
        <w:lastRenderedPageBreak/>
        <w:t>Part 2 : 1493</w:t>
      </w:r>
    </w:p>
    <w:p w14:paraId="2BA9CEDE" w14:textId="77777777" w:rsidR="0015726C" w:rsidRPr="008928EC" w:rsidRDefault="0015726C" w:rsidP="008928EC">
      <w:pPr>
        <w:spacing w:line="276" w:lineRule="auto"/>
        <w:rPr>
          <w:rFonts w:ascii="Cambria" w:hAnsi="Cambria" w:cs="Calibri Light"/>
          <w:sz w:val="24"/>
          <w:szCs w:val="24"/>
        </w:rPr>
      </w:pPr>
    </w:p>
    <w:p w14:paraId="267EA1F8" w14:textId="77777777" w:rsidR="0015726C" w:rsidRPr="008928EC" w:rsidRDefault="0015726C" w:rsidP="008928EC">
      <w:pPr>
        <w:spacing w:line="276" w:lineRule="auto"/>
        <w:rPr>
          <w:rFonts w:ascii="Cambria" w:hAnsi="Cambria" w:cs="Calibri Light"/>
          <w:sz w:val="24"/>
          <w:szCs w:val="24"/>
        </w:rPr>
      </w:pPr>
    </w:p>
    <w:p w14:paraId="1041B6B6" w14:textId="44A52BC4" w:rsidR="0015726C" w:rsidRPr="008928EC" w:rsidRDefault="0015726C" w:rsidP="008928EC">
      <w:pPr>
        <w:shd w:val="clear" w:color="auto" w:fill="FFFFFF" w:themeFill="background1"/>
        <w:spacing w:after="120" w:line="276" w:lineRule="auto"/>
        <w:jc w:val="center"/>
        <w:textAlignment w:val="baseline"/>
        <w:rPr>
          <w:rFonts w:ascii="Cambria" w:eastAsia="Times New Roman" w:hAnsi="Cambria" w:cs="Segoe UI"/>
          <w:b/>
          <w:bCs/>
          <w:kern w:val="0"/>
          <w:sz w:val="24"/>
          <w:szCs w:val="24"/>
          <w:lang w:eastAsia="en-GB"/>
          <w14:ligatures w14:val="none"/>
        </w:rPr>
      </w:pPr>
      <w:r w:rsidRPr="008928EC">
        <w:rPr>
          <w:rFonts w:ascii="Cambria" w:eastAsia="Times New Roman" w:hAnsi="Cambria" w:cs="Segoe UI"/>
          <w:b/>
          <w:bCs/>
          <w:kern w:val="0"/>
          <w:sz w:val="24"/>
          <w:szCs w:val="24"/>
          <w:lang w:eastAsia="en-GB"/>
          <w14:ligatures w14:val="none"/>
        </w:rPr>
        <w:t>References:</w:t>
      </w:r>
    </w:p>
    <w:p w14:paraId="440B0BAE" w14:textId="77777777" w:rsidR="0015726C" w:rsidRPr="008928EC" w:rsidRDefault="0015726C" w:rsidP="008928EC">
      <w:pPr>
        <w:shd w:val="clear" w:color="auto" w:fill="FFFFFF" w:themeFill="background1"/>
        <w:spacing w:after="120" w:line="276" w:lineRule="auto"/>
        <w:textAlignment w:val="baseline"/>
        <w:rPr>
          <w:rFonts w:ascii="Cambria" w:eastAsia="Times New Roman" w:hAnsi="Cambria" w:cs="Segoe UI"/>
          <w:kern w:val="0"/>
          <w:sz w:val="24"/>
          <w:szCs w:val="24"/>
          <w:lang w:eastAsia="en-GB"/>
          <w14:ligatures w14:val="none"/>
        </w:rPr>
      </w:pPr>
    </w:p>
    <w:p w14:paraId="76CBE873" w14:textId="77777777" w:rsidR="0015726C" w:rsidRPr="008928EC" w:rsidRDefault="0015726C" w:rsidP="008928EC">
      <w:pPr>
        <w:shd w:val="clear" w:color="auto" w:fill="FFFFFF" w:themeFill="background1"/>
        <w:spacing w:after="120" w:line="276" w:lineRule="auto"/>
        <w:textAlignment w:val="baseline"/>
        <w:rPr>
          <w:rFonts w:ascii="Cambria" w:eastAsia="Times New Roman" w:hAnsi="Cambria" w:cs="Segoe UI"/>
          <w:b/>
          <w:bCs/>
          <w:kern w:val="0"/>
          <w:sz w:val="24"/>
          <w:szCs w:val="24"/>
          <w:lang w:eastAsia="en-GB"/>
          <w14:ligatures w14:val="none"/>
        </w:rPr>
      </w:pPr>
      <w:r w:rsidRPr="008928EC">
        <w:rPr>
          <w:rFonts w:ascii="Cambria" w:eastAsia="Times New Roman" w:hAnsi="Cambria" w:cs="Segoe UI"/>
          <w:b/>
          <w:bCs/>
          <w:kern w:val="0"/>
          <w:sz w:val="24"/>
          <w:szCs w:val="24"/>
          <w:lang w:eastAsia="en-GB"/>
          <w14:ligatures w14:val="none"/>
        </w:rPr>
        <w:t xml:space="preserve">Links: </w:t>
      </w:r>
    </w:p>
    <w:p w14:paraId="07A1869B" w14:textId="77777777" w:rsidR="0015726C" w:rsidRPr="008928EC" w:rsidRDefault="00000000" w:rsidP="008928EC">
      <w:pPr>
        <w:pStyle w:val="ListParagraph"/>
        <w:numPr>
          <w:ilvl w:val="0"/>
          <w:numId w:val="1"/>
        </w:numPr>
        <w:shd w:val="clear" w:color="auto" w:fill="FFFFFF" w:themeFill="background1"/>
        <w:spacing w:after="120" w:line="276" w:lineRule="auto"/>
        <w:textAlignment w:val="baseline"/>
        <w:rPr>
          <w:rFonts w:ascii="Cambria" w:eastAsia="Times New Roman" w:hAnsi="Cambria" w:cs="Segoe UI"/>
          <w:kern w:val="0"/>
          <w:sz w:val="24"/>
          <w:szCs w:val="24"/>
          <w:lang w:eastAsia="en-GB"/>
          <w14:ligatures w14:val="none"/>
        </w:rPr>
      </w:pPr>
      <w:hyperlink r:id="rId7" w:history="1">
        <w:r w:rsidR="0015726C" w:rsidRPr="008928EC">
          <w:rPr>
            <w:rStyle w:val="Hyperlink"/>
            <w:rFonts w:ascii="Cambria" w:eastAsia="Times New Roman" w:hAnsi="Cambria" w:cs="Segoe UI"/>
            <w:kern w:val="0"/>
            <w:sz w:val="24"/>
            <w:szCs w:val="24"/>
            <w:lang w:eastAsia="en-GB"/>
            <w14:ligatures w14:val="none"/>
          </w:rPr>
          <w:t>HTTP://www.equalityhumanrights.com/advice-and-guidance/public-sector-equality-duty/guidance-on-the-equality-duty/</w:t>
        </w:r>
      </w:hyperlink>
    </w:p>
    <w:p w14:paraId="5AB5A17A" w14:textId="77777777" w:rsidR="0015726C" w:rsidRPr="008928EC" w:rsidRDefault="00000000" w:rsidP="008928EC">
      <w:pPr>
        <w:pStyle w:val="ListParagraph"/>
        <w:numPr>
          <w:ilvl w:val="0"/>
          <w:numId w:val="1"/>
        </w:numPr>
        <w:shd w:val="clear" w:color="auto" w:fill="FFFFFF" w:themeFill="background1"/>
        <w:spacing w:after="120" w:line="276" w:lineRule="auto"/>
        <w:textAlignment w:val="baseline"/>
        <w:rPr>
          <w:rFonts w:ascii="Cambria" w:eastAsia="Times New Roman" w:hAnsi="Cambria" w:cs="Segoe UI"/>
          <w:kern w:val="0"/>
          <w:sz w:val="24"/>
          <w:szCs w:val="24"/>
          <w:lang w:eastAsia="en-GB"/>
          <w14:ligatures w14:val="none"/>
        </w:rPr>
      </w:pPr>
      <w:hyperlink r:id="rId8" w:history="1">
        <w:r w:rsidR="0015726C" w:rsidRPr="008928EC">
          <w:rPr>
            <w:rStyle w:val="Hyperlink"/>
            <w:rFonts w:ascii="Cambria" w:eastAsia="Times New Roman" w:hAnsi="Cambria" w:cs="Segoe UI"/>
            <w:kern w:val="0"/>
            <w:sz w:val="24"/>
            <w:szCs w:val="24"/>
            <w:lang w:eastAsia="en-GB"/>
            <w14:ligatures w14:val="none"/>
          </w:rPr>
          <w:t>HTTP://www.equalityhumanrights.com/scotland/public-sector-equality-duty-in-scotland/</w:t>
        </w:r>
      </w:hyperlink>
    </w:p>
    <w:p w14:paraId="0500B5DE" w14:textId="77777777" w:rsidR="0015726C" w:rsidRPr="008928EC" w:rsidRDefault="00000000" w:rsidP="008928EC">
      <w:pPr>
        <w:pStyle w:val="ListParagraph"/>
        <w:numPr>
          <w:ilvl w:val="0"/>
          <w:numId w:val="1"/>
        </w:numPr>
        <w:shd w:val="clear" w:color="auto" w:fill="FFFFFF" w:themeFill="background1"/>
        <w:spacing w:after="120" w:line="276" w:lineRule="auto"/>
        <w:textAlignment w:val="baseline"/>
        <w:rPr>
          <w:rFonts w:ascii="Cambria" w:eastAsia="Times New Roman" w:hAnsi="Cambria" w:cs="Segoe UI"/>
          <w:kern w:val="0"/>
          <w:sz w:val="24"/>
          <w:szCs w:val="24"/>
          <w:lang w:eastAsia="en-GB"/>
          <w14:ligatures w14:val="none"/>
        </w:rPr>
      </w:pPr>
      <w:hyperlink r:id="rId9" w:history="1">
        <w:r w:rsidR="0015726C" w:rsidRPr="008928EC">
          <w:rPr>
            <w:rStyle w:val="Hyperlink"/>
            <w:rFonts w:ascii="Cambria" w:eastAsia="Times New Roman" w:hAnsi="Cambria" w:cs="Segoe UI"/>
            <w:kern w:val="0"/>
            <w:sz w:val="24"/>
            <w:szCs w:val="24"/>
            <w:lang w:eastAsia="en-GB"/>
            <w14:ligatures w14:val="none"/>
          </w:rPr>
          <w:t>HTTP://www.equalityhumanrights.com/advice-and-guidance/guidance-for-workers/</w:t>
        </w:r>
      </w:hyperlink>
    </w:p>
    <w:p w14:paraId="074DB262" w14:textId="77777777" w:rsidR="0015726C" w:rsidRPr="008928EC" w:rsidRDefault="0015726C" w:rsidP="008928EC">
      <w:pPr>
        <w:shd w:val="clear" w:color="auto" w:fill="FFFFFF" w:themeFill="background1"/>
        <w:spacing w:after="120" w:line="276" w:lineRule="auto"/>
        <w:textAlignment w:val="baseline"/>
        <w:rPr>
          <w:rFonts w:ascii="Cambria" w:eastAsia="Times New Roman" w:hAnsi="Cambria" w:cs="Segoe UI"/>
          <w:kern w:val="0"/>
          <w:sz w:val="24"/>
          <w:szCs w:val="24"/>
          <w:lang w:eastAsia="en-GB"/>
          <w14:ligatures w14:val="none"/>
        </w:rPr>
      </w:pPr>
    </w:p>
    <w:p w14:paraId="4AC11DF0" w14:textId="77777777" w:rsidR="0015726C" w:rsidRPr="008928EC" w:rsidRDefault="0015726C" w:rsidP="008928EC">
      <w:pPr>
        <w:shd w:val="clear" w:color="auto" w:fill="FFFFFF" w:themeFill="background1"/>
        <w:spacing w:after="120" w:line="276" w:lineRule="auto"/>
        <w:textAlignment w:val="baseline"/>
        <w:rPr>
          <w:rFonts w:ascii="Cambria" w:eastAsia="Times New Roman" w:hAnsi="Cambria" w:cs="Segoe UI"/>
          <w:b/>
          <w:bCs/>
          <w:kern w:val="0"/>
          <w:sz w:val="24"/>
          <w:szCs w:val="24"/>
          <w:lang w:eastAsia="en-GB"/>
          <w14:ligatures w14:val="none"/>
        </w:rPr>
      </w:pPr>
      <w:r w:rsidRPr="008928EC">
        <w:rPr>
          <w:rFonts w:ascii="Cambria" w:eastAsia="Times New Roman" w:hAnsi="Cambria" w:cs="Segoe UI"/>
          <w:b/>
          <w:bCs/>
          <w:kern w:val="0"/>
          <w:sz w:val="24"/>
          <w:szCs w:val="24"/>
          <w:lang w:eastAsia="en-GB"/>
          <w14:ligatures w14:val="none"/>
        </w:rPr>
        <w:t>Books:</w:t>
      </w:r>
    </w:p>
    <w:p w14:paraId="6DA64CD6" w14:textId="77777777" w:rsidR="0015726C" w:rsidRPr="008928EC" w:rsidRDefault="0015726C" w:rsidP="008928EC">
      <w:pPr>
        <w:pStyle w:val="NormalWeb"/>
        <w:numPr>
          <w:ilvl w:val="0"/>
          <w:numId w:val="2"/>
        </w:numPr>
        <w:spacing w:line="276" w:lineRule="auto"/>
        <w:rPr>
          <w:rFonts w:ascii="Cambria" w:hAnsi="Cambria"/>
        </w:rPr>
      </w:pPr>
      <w:r w:rsidRPr="008928EC">
        <w:rPr>
          <w:rFonts w:ascii="Cambria" w:hAnsi="Cambria"/>
        </w:rPr>
        <w:t xml:space="preserve">Malone, tony (2022) </w:t>
      </w:r>
      <w:r w:rsidRPr="008928EC">
        <w:rPr>
          <w:rFonts w:ascii="Cambria" w:hAnsi="Cambria"/>
          <w:i/>
          <w:iCs/>
        </w:rPr>
        <w:t>Equality, diversity and inclusion: The practical guide: The essential handbook for terminology and communicating inclusion with dignity</w:t>
      </w:r>
      <w:r w:rsidRPr="008928EC">
        <w:rPr>
          <w:rFonts w:ascii="Cambria" w:hAnsi="Cambria"/>
        </w:rPr>
        <w:t xml:space="preserve">. United Kingdom: Pied Wagtail. </w:t>
      </w:r>
    </w:p>
    <w:p w14:paraId="1FDEA6FA" w14:textId="77777777" w:rsidR="0015726C" w:rsidRPr="008928EC" w:rsidRDefault="0015726C" w:rsidP="008928EC">
      <w:pPr>
        <w:pStyle w:val="NormalWeb"/>
        <w:numPr>
          <w:ilvl w:val="0"/>
          <w:numId w:val="2"/>
        </w:numPr>
        <w:spacing w:line="276" w:lineRule="auto"/>
        <w:rPr>
          <w:rFonts w:ascii="Cambria" w:hAnsi="Cambria"/>
        </w:rPr>
      </w:pPr>
      <w:r w:rsidRPr="008928EC">
        <w:rPr>
          <w:rFonts w:ascii="Cambria" w:hAnsi="Cambria"/>
        </w:rPr>
        <w:t xml:space="preserve">Barden, N. (2019) </w:t>
      </w:r>
      <w:r w:rsidRPr="008928EC">
        <w:rPr>
          <w:rFonts w:ascii="Cambria" w:hAnsi="Cambria"/>
          <w:i/>
          <w:iCs/>
        </w:rPr>
        <w:t>Student Mental Health and Wellbeing in higher education: A practical guide</w:t>
      </w:r>
      <w:r w:rsidRPr="008928EC">
        <w:rPr>
          <w:rFonts w:ascii="Cambria" w:hAnsi="Cambria"/>
        </w:rPr>
        <w:t xml:space="preserve">. Los Angeles etc.: Sage. </w:t>
      </w:r>
    </w:p>
    <w:p w14:paraId="3BB89AC3" w14:textId="77777777" w:rsidR="0015726C" w:rsidRPr="008928EC" w:rsidRDefault="0015726C" w:rsidP="008928EC">
      <w:pPr>
        <w:pStyle w:val="NormalWeb"/>
        <w:numPr>
          <w:ilvl w:val="0"/>
          <w:numId w:val="2"/>
        </w:numPr>
        <w:spacing w:line="276" w:lineRule="auto"/>
        <w:rPr>
          <w:rFonts w:ascii="Cambria" w:hAnsi="Cambria"/>
        </w:rPr>
      </w:pPr>
      <w:r w:rsidRPr="008928EC">
        <w:rPr>
          <w:rFonts w:ascii="Cambria" w:hAnsi="Cambria"/>
        </w:rPr>
        <w:t xml:space="preserve">Petty, G. (2014) </w:t>
      </w:r>
      <w:r w:rsidRPr="008928EC">
        <w:rPr>
          <w:rFonts w:ascii="Cambria" w:hAnsi="Cambria"/>
          <w:i/>
          <w:iCs/>
        </w:rPr>
        <w:t>Teaching Today: A practical guide</w:t>
      </w:r>
      <w:r w:rsidRPr="008928EC">
        <w:rPr>
          <w:rFonts w:ascii="Cambria" w:hAnsi="Cambria"/>
        </w:rPr>
        <w:t xml:space="preserve">. Oxford: Oxford university press. </w:t>
      </w:r>
    </w:p>
    <w:p w14:paraId="341611CB" w14:textId="77777777" w:rsidR="0015726C" w:rsidRPr="008928EC" w:rsidRDefault="0015726C" w:rsidP="008928EC">
      <w:pPr>
        <w:pStyle w:val="NormalWeb"/>
        <w:numPr>
          <w:ilvl w:val="0"/>
          <w:numId w:val="2"/>
        </w:numPr>
        <w:spacing w:line="276" w:lineRule="auto"/>
        <w:rPr>
          <w:rFonts w:ascii="Cambria" w:hAnsi="Cambria"/>
        </w:rPr>
      </w:pPr>
      <w:r w:rsidRPr="008928EC">
        <w:rPr>
          <w:rFonts w:ascii="Cambria" w:hAnsi="Cambria"/>
        </w:rPr>
        <w:t xml:space="preserve">Reece, I. and Walker, S. (2009) </w:t>
      </w:r>
      <w:r w:rsidRPr="008928EC">
        <w:rPr>
          <w:rFonts w:ascii="Cambria" w:hAnsi="Cambria"/>
          <w:i/>
          <w:iCs/>
        </w:rPr>
        <w:t>Teaching, training and learning: A practical guide</w:t>
      </w:r>
      <w:r w:rsidRPr="008928EC">
        <w:rPr>
          <w:rFonts w:ascii="Cambria" w:hAnsi="Cambria"/>
        </w:rPr>
        <w:t xml:space="preserve">. Tyne and Wear: Business Education Publ. </w:t>
      </w:r>
    </w:p>
    <w:p w14:paraId="58CA74EB" w14:textId="77777777" w:rsidR="0015726C" w:rsidRPr="008928EC" w:rsidRDefault="0015726C" w:rsidP="008928EC">
      <w:pPr>
        <w:spacing w:line="276" w:lineRule="auto"/>
        <w:rPr>
          <w:rFonts w:ascii="Cambria" w:hAnsi="Cambria" w:cs="Calibri Light"/>
          <w:sz w:val="24"/>
          <w:szCs w:val="24"/>
        </w:rPr>
      </w:pPr>
    </w:p>
    <w:p w14:paraId="7FF0FA4B" w14:textId="77777777" w:rsidR="0015726C" w:rsidRPr="008928EC" w:rsidRDefault="0015726C" w:rsidP="008928EC">
      <w:pPr>
        <w:shd w:val="clear" w:color="auto" w:fill="FFFFFF" w:themeFill="background1"/>
        <w:spacing w:after="120" w:line="276" w:lineRule="auto"/>
        <w:textAlignment w:val="baseline"/>
        <w:rPr>
          <w:rFonts w:ascii="Cambria" w:eastAsia="Times New Roman" w:hAnsi="Cambria" w:cs="Segoe UI"/>
          <w:b/>
          <w:bCs/>
          <w:kern w:val="0"/>
          <w:sz w:val="24"/>
          <w:szCs w:val="24"/>
          <w:lang w:eastAsia="en-GB"/>
          <w14:ligatures w14:val="none"/>
        </w:rPr>
      </w:pPr>
      <w:r w:rsidRPr="008928EC">
        <w:rPr>
          <w:rFonts w:ascii="Cambria" w:eastAsia="Times New Roman" w:hAnsi="Cambria" w:cs="Segoe UI"/>
          <w:b/>
          <w:bCs/>
          <w:kern w:val="0"/>
          <w:sz w:val="24"/>
          <w:szCs w:val="24"/>
          <w:lang w:eastAsia="en-GB"/>
          <w14:ligatures w14:val="none"/>
        </w:rPr>
        <w:t>EYST Organisation Policies:</w:t>
      </w:r>
    </w:p>
    <w:p w14:paraId="2B972C14" w14:textId="6B8440DD"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EYST ANTI-HARASSMENT AND BULLYING POLICY AND PROCEDURE (23).pdf - All Documents (sharepoint.com)</w:t>
      </w:r>
    </w:p>
    <w:p w14:paraId="6182C48B" w14:textId="1F288FD3"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EYST DISCIPLINARY RULES AND DISCIPLINARY PROCEDURE (23).pdf - All Documents (sharepoint.com)</w:t>
      </w:r>
    </w:p>
    <w:p w14:paraId="70BAFB0F" w14:textId="5C26619D"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EYST Domestic Abuse Policy (23).pdf - All Documents (sharepoint.com)</w:t>
      </w:r>
    </w:p>
    <w:p w14:paraId="503E643C" w14:textId="1BEEFBBC"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EYST EQUAL OPPORTUNITIES POLICY (23).pdf - All Documents (sharepoint.com)</w:t>
      </w:r>
    </w:p>
    <w:p w14:paraId="04984052" w14:textId="17489443"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EYST GRIEVANCE PROCEDURE (23).pdf - All Documents (sharepoint.com)</w:t>
      </w:r>
    </w:p>
    <w:p w14:paraId="5FE83A31" w14:textId="55E4C27E"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lastRenderedPageBreak/>
        <w:t>Ethnic Youth Support Team Team Site - EYST INFORMATION TECHNOLOGY AND SECURITY POLICY (23).pdf - All Documents (sharepoint.com)</w:t>
      </w:r>
    </w:p>
    <w:p w14:paraId="6B0D50AD" w14:textId="0C3510E6"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Team Site - All Policies - All Documents (sharepoint.com)</w:t>
      </w:r>
    </w:p>
    <w:p w14:paraId="78DCE5BE" w14:textId="63A25D5D"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 xml:space="preserve">EYST, E. (2023) SharePoint documentation, Microsoft Learn. Available at: https://learn.microsoft.com/en-us/sharepoint/ (Accessed: 21 March 2024). </w:t>
      </w:r>
    </w:p>
    <w:p w14:paraId="0182F244" w14:textId="4A225FE5" w:rsidR="0015726C" w:rsidRPr="008928EC" w:rsidRDefault="0015726C" w:rsidP="008928EC">
      <w:pPr>
        <w:pStyle w:val="ListParagraph"/>
        <w:numPr>
          <w:ilvl w:val="0"/>
          <w:numId w:val="3"/>
        </w:numPr>
        <w:spacing w:line="276" w:lineRule="auto"/>
        <w:rPr>
          <w:rFonts w:ascii="Cambria" w:hAnsi="Cambria" w:cs="Calibri Light"/>
          <w:sz w:val="24"/>
          <w:szCs w:val="24"/>
        </w:rPr>
      </w:pPr>
      <w:r w:rsidRPr="008928EC">
        <w:rPr>
          <w:rFonts w:ascii="Cambria" w:hAnsi="Cambria" w:cs="Calibri Light"/>
          <w:sz w:val="24"/>
          <w:szCs w:val="24"/>
        </w:rPr>
        <w:t>Ethnic Youth Support Team Site - EYST YOUTH WORKERS CODE OF CONDUCT (21).pdf - All Documents (sharepoint.com)</w:t>
      </w:r>
    </w:p>
    <w:p w14:paraId="4351C567" w14:textId="77777777" w:rsidR="0015726C" w:rsidRPr="008928EC" w:rsidRDefault="0015726C" w:rsidP="008928EC">
      <w:pPr>
        <w:spacing w:line="276" w:lineRule="auto"/>
        <w:rPr>
          <w:rFonts w:ascii="Cambria" w:hAnsi="Cambria" w:cs="Calibri Light"/>
          <w:sz w:val="24"/>
          <w:szCs w:val="24"/>
        </w:rPr>
      </w:pPr>
    </w:p>
    <w:sectPr w:rsidR="0015726C" w:rsidRPr="008928E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0A6F3" w14:textId="77777777" w:rsidR="008257AD" w:rsidRDefault="008257AD" w:rsidP="008928EC">
      <w:pPr>
        <w:spacing w:after="0" w:line="240" w:lineRule="auto"/>
      </w:pPr>
      <w:r>
        <w:separator/>
      </w:r>
    </w:p>
  </w:endnote>
  <w:endnote w:type="continuationSeparator" w:id="0">
    <w:p w14:paraId="2F575E99" w14:textId="77777777" w:rsidR="008257AD" w:rsidRDefault="008257AD" w:rsidP="00892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E95EF" w14:textId="77777777" w:rsidR="00E07003" w:rsidRDefault="00E070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743801"/>
      <w:docPartObj>
        <w:docPartGallery w:val="Page Numbers (Bottom of Page)"/>
        <w:docPartUnique/>
      </w:docPartObj>
    </w:sdtPr>
    <w:sdtEndPr>
      <w:rPr>
        <w:noProof/>
      </w:rPr>
    </w:sdtEndPr>
    <w:sdtContent>
      <w:p w14:paraId="63AC567C" w14:textId="0D273223" w:rsidR="008928EC" w:rsidRDefault="008928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F96B1" w14:textId="77777777" w:rsidR="008928EC" w:rsidRDefault="008928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85707" w14:textId="77777777" w:rsidR="00E07003" w:rsidRDefault="00E07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C6EAC" w14:textId="77777777" w:rsidR="008257AD" w:rsidRDefault="008257AD" w:rsidP="008928EC">
      <w:pPr>
        <w:spacing w:after="0" w:line="240" w:lineRule="auto"/>
      </w:pPr>
      <w:r>
        <w:separator/>
      </w:r>
    </w:p>
  </w:footnote>
  <w:footnote w:type="continuationSeparator" w:id="0">
    <w:p w14:paraId="23A9D4A2" w14:textId="77777777" w:rsidR="008257AD" w:rsidRDefault="008257AD" w:rsidP="00892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8128E" w14:textId="77777777" w:rsidR="00E07003" w:rsidRDefault="00E070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B702D" w14:textId="60A0D965" w:rsidR="008928EC" w:rsidRDefault="008928EC" w:rsidP="008928EC">
    <w:pPr>
      <w:spacing w:line="264" w:lineRule="auto"/>
      <w:rPr>
        <w:rFonts w:ascii="Cambria" w:hAnsi="Cambria"/>
        <w:sz w:val="24"/>
        <w:szCs w:val="24"/>
      </w:rPr>
    </w:pPr>
    <w:r>
      <w:rPr>
        <w:noProof/>
        <w:color w:val="000000"/>
      </w:rPr>
      <mc:AlternateContent>
        <mc:Choice Requires="wps">
          <w:drawing>
            <wp:anchor distT="0" distB="0" distL="114300" distR="114300" simplePos="0" relativeHeight="251659264" behindDoc="0" locked="0" layoutInCell="1" allowOverlap="1" wp14:anchorId="402025DA" wp14:editId="2C58F177">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25ACFC"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rFonts w:ascii="Cambria" w:hAnsi="Cambria"/>
          <w:sz w:val="24"/>
          <w:szCs w:val="24"/>
        </w:rPr>
        <w:alias w:val="Title"/>
        <w:id w:val="15524250"/>
        <w:placeholder>
          <w:docPart w:val="793B9C83BB1748E782119D725E7C54FF"/>
        </w:placeholder>
        <w:dataBinding w:prefixMappings="xmlns:ns0='http://schemas.openxmlformats.org/package/2006/metadata/core-properties' xmlns:ns1='http://purl.org/dc/elements/1.1/'" w:xpath="/ns0:coreProperties[1]/ns1:title[1]" w:storeItemID="{6C3C8BC8-F283-45AE-878A-BAB7291924A1}"/>
        <w:text/>
      </w:sdtPr>
      <w:sdtContent>
        <w:r w:rsidRPr="008928EC">
          <w:rPr>
            <w:rFonts w:ascii="Cambria" w:hAnsi="Cambria"/>
            <w:sz w:val="24"/>
            <w:szCs w:val="24"/>
          </w:rPr>
          <w:t>Learning support report</w:t>
        </w:r>
      </w:sdtContent>
    </w:sdt>
  </w:p>
  <w:p w14:paraId="730DB400" w14:textId="3F62EF77" w:rsidR="00E07003" w:rsidRPr="008928EC" w:rsidRDefault="00E07003" w:rsidP="00E07003">
    <w:pPr>
      <w:spacing w:line="264" w:lineRule="auto"/>
      <w:rPr>
        <w:rFonts w:ascii="Cambria" w:hAnsi="Cambria"/>
        <w:sz w:val="24"/>
        <w:szCs w:val="24"/>
      </w:rPr>
    </w:pPr>
    <w:r w:rsidRPr="00E07003">
      <w:rPr>
        <w:rFonts w:ascii="Cambria" w:hAnsi="Cambria"/>
        <w:sz w:val="24"/>
        <w:szCs w:val="24"/>
      </w:rPr>
      <w:t>GHURNATA TABBUSUM_2225368_ECPT6004_FINAL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57F90" w14:textId="77777777" w:rsidR="00E07003" w:rsidRDefault="00E070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F25EA"/>
    <w:multiLevelType w:val="hybridMultilevel"/>
    <w:tmpl w:val="84F2B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1E315F"/>
    <w:multiLevelType w:val="hybridMultilevel"/>
    <w:tmpl w:val="ACC0D9EA"/>
    <w:lvl w:ilvl="0" w:tplc="930A50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982CCE"/>
    <w:multiLevelType w:val="hybridMultilevel"/>
    <w:tmpl w:val="68889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0546261">
    <w:abstractNumId w:val="0"/>
  </w:num>
  <w:num w:numId="2" w16cid:durableId="404186566">
    <w:abstractNumId w:val="2"/>
  </w:num>
  <w:num w:numId="3" w16cid:durableId="17335038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F67"/>
    <w:rsid w:val="000A22A4"/>
    <w:rsid w:val="0015726C"/>
    <w:rsid w:val="001E43D7"/>
    <w:rsid w:val="00207A24"/>
    <w:rsid w:val="00241FA4"/>
    <w:rsid w:val="003E6ABE"/>
    <w:rsid w:val="004C44BB"/>
    <w:rsid w:val="00602F67"/>
    <w:rsid w:val="00821468"/>
    <w:rsid w:val="008257AD"/>
    <w:rsid w:val="008928EC"/>
    <w:rsid w:val="00A41C62"/>
    <w:rsid w:val="00A639F6"/>
    <w:rsid w:val="00AB4C37"/>
    <w:rsid w:val="00DB7649"/>
    <w:rsid w:val="00E07003"/>
    <w:rsid w:val="00E12F40"/>
    <w:rsid w:val="00E311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99707"/>
  <w15:chartTrackingRefBased/>
  <w15:docId w15:val="{871655DE-C3F5-46E6-8CFA-5ECAB76BF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F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2F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2F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2F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2F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2F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F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F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F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F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2F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2F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2F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2F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2F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F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F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F67"/>
    <w:rPr>
      <w:rFonts w:eastAsiaTheme="majorEastAsia" w:cstheme="majorBidi"/>
      <w:color w:val="272727" w:themeColor="text1" w:themeTint="D8"/>
    </w:rPr>
  </w:style>
  <w:style w:type="paragraph" w:styleId="Title">
    <w:name w:val="Title"/>
    <w:basedOn w:val="Normal"/>
    <w:next w:val="Normal"/>
    <w:link w:val="TitleChar"/>
    <w:uiPriority w:val="10"/>
    <w:qFormat/>
    <w:rsid w:val="00602F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2F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F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2F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F67"/>
    <w:pPr>
      <w:spacing w:before="160"/>
      <w:jc w:val="center"/>
    </w:pPr>
    <w:rPr>
      <w:i/>
      <w:iCs/>
      <w:color w:val="404040" w:themeColor="text1" w:themeTint="BF"/>
    </w:rPr>
  </w:style>
  <w:style w:type="character" w:customStyle="1" w:styleId="QuoteChar">
    <w:name w:val="Quote Char"/>
    <w:basedOn w:val="DefaultParagraphFont"/>
    <w:link w:val="Quote"/>
    <w:uiPriority w:val="29"/>
    <w:rsid w:val="00602F67"/>
    <w:rPr>
      <w:i/>
      <w:iCs/>
      <w:color w:val="404040" w:themeColor="text1" w:themeTint="BF"/>
    </w:rPr>
  </w:style>
  <w:style w:type="paragraph" w:styleId="ListParagraph">
    <w:name w:val="List Paragraph"/>
    <w:basedOn w:val="Normal"/>
    <w:uiPriority w:val="34"/>
    <w:qFormat/>
    <w:rsid w:val="00602F67"/>
    <w:pPr>
      <w:ind w:left="720"/>
      <w:contextualSpacing/>
    </w:pPr>
  </w:style>
  <w:style w:type="character" w:styleId="IntenseEmphasis">
    <w:name w:val="Intense Emphasis"/>
    <w:basedOn w:val="DefaultParagraphFont"/>
    <w:uiPriority w:val="21"/>
    <w:qFormat/>
    <w:rsid w:val="00602F67"/>
    <w:rPr>
      <w:i/>
      <w:iCs/>
      <w:color w:val="0F4761" w:themeColor="accent1" w:themeShade="BF"/>
    </w:rPr>
  </w:style>
  <w:style w:type="paragraph" w:styleId="IntenseQuote">
    <w:name w:val="Intense Quote"/>
    <w:basedOn w:val="Normal"/>
    <w:next w:val="Normal"/>
    <w:link w:val="IntenseQuoteChar"/>
    <w:uiPriority w:val="30"/>
    <w:qFormat/>
    <w:rsid w:val="00602F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2F67"/>
    <w:rPr>
      <w:i/>
      <w:iCs/>
      <w:color w:val="0F4761" w:themeColor="accent1" w:themeShade="BF"/>
    </w:rPr>
  </w:style>
  <w:style w:type="character" w:styleId="IntenseReference">
    <w:name w:val="Intense Reference"/>
    <w:basedOn w:val="DefaultParagraphFont"/>
    <w:uiPriority w:val="32"/>
    <w:qFormat/>
    <w:rsid w:val="00602F67"/>
    <w:rPr>
      <w:b/>
      <w:bCs/>
      <w:smallCaps/>
      <w:color w:val="0F4761" w:themeColor="accent1" w:themeShade="BF"/>
      <w:spacing w:val="5"/>
    </w:rPr>
  </w:style>
  <w:style w:type="paragraph" w:styleId="NormalWeb">
    <w:name w:val="Normal (Web)"/>
    <w:basedOn w:val="Normal"/>
    <w:uiPriority w:val="99"/>
    <w:semiHidden/>
    <w:unhideWhenUsed/>
    <w:rsid w:val="001572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5726C"/>
    <w:rPr>
      <w:color w:val="467886" w:themeColor="hyperlink"/>
      <w:u w:val="single"/>
    </w:rPr>
  </w:style>
  <w:style w:type="paragraph" w:styleId="Header">
    <w:name w:val="header"/>
    <w:basedOn w:val="Normal"/>
    <w:link w:val="HeaderChar"/>
    <w:uiPriority w:val="99"/>
    <w:unhideWhenUsed/>
    <w:rsid w:val="00892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8EC"/>
  </w:style>
  <w:style w:type="paragraph" w:styleId="Footer">
    <w:name w:val="footer"/>
    <w:basedOn w:val="Normal"/>
    <w:link w:val="FooterChar"/>
    <w:uiPriority w:val="99"/>
    <w:unhideWhenUsed/>
    <w:rsid w:val="00892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qualityhumanrights.com/scotland/public-sector-equality-duty-in-scotland/"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qualityhumanrights.com/advice-and-guidance/public-sector-equality-duty/guidance-on-the-equality-duty/" TargetMode="Externa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qualityhumanrights.com/advice-and-guidance/guidance-for-workers/" TargetMode="Externa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3B9C83BB1748E782119D725E7C54FF"/>
        <w:category>
          <w:name w:val="General"/>
          <w:gallery w:val="placeholder"/>
        </w:category>
        <w:types>
          <w:type w:val="bbPlcHdr"/>
        </w:types>
        <w:behaviors>
          <w:behavior w:val="content"/>
        </w:behaviors>
        <w:guid w:val="{58701DEB-4B18-47FA-BF20-0BAA5433F2F3}"/>
      </w:docPartPr>
      <w:docPartBody>
        <w:p w:rsidR="003641C1" w:rsidRDefault="00EC3393" w:rsidP="00EC3393">
          <w:pPr>
            <w:pStyle w:val="793B9C83BB1748E782119D725E7C54FF"/>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393"/>
    <w:rsid w:val="001B726B"/>
    <w:rsid w:val="002C5BCC"/>
    <w:rsid w:val="003641C1"/>
    <w:rsid w:val="00D90DF2"/>
    <w:rsid w:val="00EC33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3B9C83BB1748E782119D725E7C54FF">
    <w:name w:val="793B9C83BB1748E782119D725E7C54FF"/>
    <w:rsid w:val="00EC33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support report</dc:title>
  <dc:subject/>
  <dc:creator>Ghurnata Tabbusum</dc:creator>
  <cp:keywords/>
  <dc:description/>
  <cp:lastModifiedBy>Ghurnata Tabbusum (2225368)</cp:lastModifiedBy>
  <cp:revision>3</cp:revision>
  <dcterms:created xsi:type="dcterms:W3CDTF">2024-03-21T23:36:00Z</dcterms:created>
  <dcterms:modified xsi:type="dcterms:W3CDTF">2024-03-21T23:47:00Z</dcterms:modified>
</cp:coreProperties>
</file>