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BD8C5" w14:textId="11410C42" w:rsidR="00567965" w:rsidRPr="00567965" w:rsidRDefault="00B47E51" w:rsidP="00567965">
      <w:pPr>
        <w:rPr>
          <w:rFonts w:ascii="Arial" w:hAnsi="Arial" w:cs="Arial"/>
          <w:b/>
          <w:bCs/>
          <w:sz w:val="22"/>
          <w:szCs w:val="22"/>
        </w:rPr>
      </w:pPr>
      <w:r>
        <w:rPr>
          <w:rFonts w:ascii="Arial Nova" w:eastAsia="Arial Nova" w:hAnsi="Arial Nova" w:cs="Arial Nova"/>
          <w:kern w:val="0"/>
          <w:sz w:val="44"/>
          <w:szCs w:val="44"/>
          <w:lang w:eastAsia="ja-JP"/>
          <w14:ligatures w14:val="none"/>
        </w:rPr>
        <w:t xml:space="preserve">                        </w:t>
      </w:r>
      <w:r w:rsidR="00567965" w:rsidRPr="00567965">
        <w:rPr>
          <w:rFonts w:ascii="Arial Nova" w:eastAsia="Arial Nova" w:hAnsi="Arial Nova" w:cs="Arial Nova"/>
          <w:kern w:val="0"/>
          <w:sz w:val="44"/>
          <w:szCs w:val="44"/>
          <w:lang w:eastAsia="ja-JP"/>
          <w14:ligatures w14:val="none"/>
        </w:rPr>
        <w:t>Cover Page</w:t>
      </w:r>
    </w:p>
    <w:p w14:paraId="6087A3B4" w14:textId="77777777" w:rsidR="00567965" w:rsidRPr="00567965" w:rsidRDefault="00567965" w:rsidP="00567965">
      <w:pPr>
        <w:spacing w:line="279" w:lineRule="auto"/>
        <w:jc w:val="center"/>
        <w:rPr>
          <w:rFonts w:ascii="Arial" w:eastAsiaTheme="minorEastAsia" w:hAnsi="Arial" w:cs="Arial"/>
          <w:kern w:val="0"/>
          <w:sz w:val="36"/>
          <w:szCs w:val="36"/>
          <w:lang w:eastAsia="ja-JP"/>
          <w14:ligatures w14:val="none"/>
        </w:rPr>
      </w:pPr>
      <w:r w:rsidRPr="00567965">
        <w:rPr>
          <w:rFonts w:ascii="Arial" w:eastAsiaTheme="minorEastAsia" w:hAnsi="Arial" w:cs="Arial"/>
          <w:kern w:val="0"/>
          <w:sz w:val="36"/>
          <w:szCs w:val="36"/>
          <w:lang w:eastAsia="ja-JP"/>
          <w14:ligatures w14:val="none"/>
        </w:rPr>
        <w:t>Name: Sherelle Mclean</w:t>
      </w:r>
    </w:p>
    <w:p w14:paraId="4EA01BB0" w14:textId="77777777" w:rsidR="00567965" w:rsidRPr="00567965" w:rsidRDefault="00567965" w:rsidP="00567965">
      <w:pPr>
        <w:spacing w:line="279" w:lineRule="auto"/>
        <w:jc w:val="center"/>
        <w:rPr>
          <w:rFonts w:ascii="Arial" w:eastAsiaTheme="minorEastAsia" w:hAnsi="Arial" w:cs="Arial"/>
          <w:kern w:val="0"/>
          <w:sz w:val="36"/>
          <w:szCs w:val="36"/>
          <w:lang w:eastAsia="ja-JP"/>
          <w14:ligatures w14:val="none"/>
        </w:rPr>
      </w:pPr>
      <w:r w:rsidRPr="00567965">
        <w:rPr>
          <w:rFonts w:ascii="Arial" w:eastAsiaTheme="minorEastAsia" w:hAnsi="Arial" w:cs="Arial"/>
          <w:kern w:val="0"/>
          <w:sz w:val="36"/>
          <w:szCs w:val="36"/>
          <w:lang w:eastAsia="ja-JP"/>
          <w14:ligatures w14:val="none"/>
        </w:rPr>
        <w:t>Student Number: 2407059</w:t>
      </w:r>
    </w:p>
    <w:p w14:paraId="6F530CF8" w14:textId="6CA9DDE2" w:rsidR="00567965" w:rsidRPr="00567965" w:rsidRDefault="00567965" w:rsidP="00567965">
      <w:pPr>
        <w:spacing w:line="279" w:lineRule="auto"/>
        <w:jc w:val="center"/>
        <w:rPr>
          <w:rFonts w:ascii="Arial" w:eastAsiaTheme="minorEastAsia" w:hAnsi="Arial" w:cs="Arial"/>
          <w:kern w:val="0"/>
          <w:sz w:val="36"/>
          <w:szCs w:val="36"/>
          <w:lang w:eastAsia="ja-JP"/>
          <w14:ligatures w14:val="none"/>
        </w:rPr>
      </w:pPr>
      <w:r w:rsidRPr="00567965">
        <w:rPr>
          <w:rFonts w:ascii="Arial" w:eastAsiaTheme="minorEastAsia" w:hAnsi="Arial" w:cs="Arial"/>
          <w:kern w:val="0"/>
          <w:sz w:val="36"/>
          <w:szCs w:val="36"/>
          <w:lang w:eastAsia="ja-JP"/>
          <w14:ligatures w14:val="none"/>
        </w:rPr>
        <w:t xml:space="preserve">Module: </w:t>
      </w:r>
      <w:r w:rsidR="00844DB3">
        <w:rPr>
          <w:rFonts w:ascii="Arial" w:eastAsiaTheme="minorEastAsia" w:hAnsi="Arial" w:cs="Arial"/>
          <w:kern w:val="0"/>
          <w:sz w:val="36"/>
          <w:szCs w:val="36"/>
          <w:lang w:eastAsia="ja-JP"/>
          <w14:ligatures w14:val="none"/>
        </w:rPr>
        <w:t>Di</w:t>
      </w:r>
      <w:r w:rsidR="00327796">
        <w:rPr>
          <w:rFonts w:ascii="Arial" w:eastAsiaTheme="minorEastAsia" w:hAnsi="Arial" w:cs="Arial"/>
          <w:kern w:val="0"/>
          <w:sz w:val="36"/>
          <w:szCs w:val="36"/>
          <w:lang w:eastAsia="ja-JP"/>
          <w14:ligatures w14:val="none"/>
        </w:rPr>
        <w:t>gital Transformation in the Health and Care Pro</w:t>
      </w:r>
      <w:r w:rsidR="00CF6CE1">
        <w:rPr>
          <w:rFonts w:ascii="Arial" w:eastAsiaTheme="minorEastAsia" w:hAnsi="Arial" w:cs="Arial"/>
          <w:kern w:val="0"/>
          <w:sz w:val="36"/>
          <w:szCs w:val="36"/>
          <w:lang w:eastAsia="ja-JP"/>
          <w14:ligatures w14:val="none"/>
        </w:rPr>
        <w:t>fessions</w:t>
      </w:r>
    </w:p>
    <w:p w14:paraId="602584B9" w14:textId="0CCD8CCE" w:rsidR="00567965" w:rsidRPr="00567965" w:rsidRDefault="00567965" w:rsidP="00567965">
      <w:pPr>
        <w:spacing w:line="279" w:lineRule="auto"/>
        <w:jc w:val="center"/>
        <w:rPr>
          <w:rFonts w:ascii="Arial" w:eastAsiaTheme="minorEastAsia" w:hAnsi="Arial" w:cs="Arial"/>
          <w:kern w:val="0"/>
          <w:sz w:val="36"/>
          <w:szCs w:val="36"/>
          <w:lang w:eastAsia="ja-JP"/>
          <w14:ligatures w14:val="none"/>
        </w:rPr>
      </w:pPr>
      <w:r w:rsidRPr="00567965">
        <w:rPr>
          <w:rFonts w:ascii="Arial" w:eastAsiaTheme="minorEastAsia" w:hAnsi="Arial" w:cs="Arial"/>
          <w:kern w:val="0"/>
          <w:sz w:val="36"/>
          <w:szCs w:val="36"/>
          <w:lang w:eastAsia="ja-JP"/>
          <w14:ligatures w14:val="none"/>
        </w:rPr>
        <w:t>Module Code: BMHP</w:t>
      </w:r>
      <w:r w:rsidR="00CF6CE1">
        <w:rPr>
          <w:rFonts w:ascii="Arial" w:eastAsiaTheme="minorEastAsia" w:hAnsi="Arial" w:cs="Arial"/>
          <w:kern w:val="0"/>
          <w:sz w:val="36"/>
          <w:szCs w:val="36"/>
          <w:lang w:eastAsia="ja-JP"/>
          <w14:ligatures w14:val="none"/>
        </w:rPr>
        <w:t>6026</w:t>
      </w:r>
    </w:p>
    <w:p w14:paraId="1A618626" w14:textId="45AE7341" w:rsidR="00567965" w:rsidRPr="00567965" w:rsidRDefault="00567965" w:rsidP="00567965">
      <w:pPr>
        <w:spacing w:line="279" w:lineRule="auto"/>
        <w:jc w:val="center"/>
        <w:rPr>
          <w:rFonts w:ascii="Arial" w:eastAsiaTheme="minorEastAsia" w:hAnsi="Arial" w:cs="Arial"/>
          <w:kern w:val="0"/>
          <w:sz w:val="36"/>
          <w:szCs w:val="36"/>
          <w:lang w:eastAsia="ja-JP"/>
          <w14:ligatures w14:val="none"/>
        </w:rPr>
      </w:pPr>
      <w:r w:rsidRPr="00567965">
        <w:rPr>
          <w:rFonts w:ascii="Arial" w:eastAsiaTheme="minorEastAsia" w:hAnsi="Arial" w:cs="Arial"/>
          <w:kern w:val="0"/>
          <w:sz w:val="36"/>
          <w:szCs w:val="36"/>
          <w:lang w:eastAsia="ja-JP"/>
          <w14:ligatures w14:val="none"/>
        </w:rPr>
        <w:t xml:space="preserve">Lecturer: </w:t>
      </w:r>
      <w:r w:rsidR="00AF555C">
        <w:rPr>
          <w:rFonts w:ascii="Arial" w:eastAsiaTheme="minorEastAsia" w:hAnsi="Arial" w:cs="Arial"/>
          <w:kern w:val="0"/>
          <w:sz w:val="36"/>
          <w:szCs w:val="36"/>
          <w:lang w:eastAsia="ja-JP"/>
          <w14:ligatures w14:val="none"/>
        </w:rPr>
        <w:t>Martin Svejda</w:t>
      </w:r>
    </w:p>
    <w:p w14:paraId="2A642A96" w14:textId="2C3A9FF5" w:rsidR="00567965" w:rsidRPr="00567965" w:rsidRDefault="00567965" w:rsidP="00567965">
      <w:pPr>
        <w:spacing w:line="279" w:lineRule="auto"/>
        <w:jc w:val="center"/>
        <w:rPr>
          <w:rFonts w:ascii="Arial" w:eastAsiaTheme="minorEastAsia" w:hAnsi="Arial" w:cs="Arial"/>
          <w:kern w:val="0"/>
          <w:sz w:val="36"/>
          <w:szCs w:val="36"/>
          <w:lang w:eastAsia="ja-JP"/>
          <w14:ligatures w14:val="none"/>
        </w:rPr>
      </w:pPr>
      <w:r w:rsidRPr="00567965">
        <w:rPr>
          <w:rFonts w:ascii="Arial" w:eastAsiaTheme="minorEastAsia" w:hAnsi="Arial" w:cs="Arial"/>
          <w:kern w:val="0"/>
          <w:sz w:val="36"/>
          <w:szCs w:val="36"/>
          <w:lang w:eastAsia="ja-JP"/>
          <w14:ligatures w14:val="none"/>
        </w:rPr>
        <w:t xml:space="preserve">Assignment Title: Component </w:t>
      </w:r>
      <w:r w:rsidR="00AF555C">
        <w:rPr>
          <w:rFonts w:ascii="Arial" w:eastAsiaTheme="minorEastAsia" w:hAnsi="Arial" w:cs="Arial"/>
          <w:kern w:val="0"/>
          <w:sz w:val="36"/>
          <w:szCs w:val="36"/>
          <w:lang w:eastAsia="ja-JP"/>
          <w14:ligatures w14:val="none"/>
        </w:rPr>
        <w:t>1</w:t>
      </w:r>
      <w:r w:rsidRPr="00567965">
        <w:rPr>
          <w:rFonts w:ascii="Arial" w:eastAsiaTheme="minorEastAsia" w:hAnsi="Arial" w:cs="Arial"/>
          <w:kern w:val="0"/>
          <w:sz w:val="36"/>
          <w:szCs w:val="36"/>
          <w:lang w:eastAsia="ja-JP"/>
          <w14:ligatures w14:val="none"/>
        </w:rPr>
        <w:t xml:space="preserve">: </w:t>
      </w:r>
      <w:r w:rsidR="005F277A">
        <w:rPr>
          <w:rFonts w:ascii="Arial" w:eastAsiaTheme="minorEastAsia" w:hAnsi="Arial" w:cs="Arial"/>
          <w:kern w:val="0"/>
          <w:sz w:val="36"/>
          <w:szCs w:val="36"/>
          <w:lang w:eastAsia="ja-JP"/>
          <w14:ligatures w14:val="none"/>
        </w:rPr>
        <w:t xml:space="preserve">Written </w:t>
      </w:r>
      <w:r w:rsidRPr="00567965">
        <w:rPr>
          <w:rFonts w:ascii="Arial" w:eastAsiaTheme="minorEastAsia" w:hAnsi="Arial" w:cs="Arial"/>
          <w:kern w:val="0"/>
          <w:sz w:val="36"/>
          <w:szCs w:val="36"/>
          <w:lang w:eastAsia="ja-JP"/>
          <w14:ligatures w14:val="none"/>
        </w:rPr>
        <w:t>Report</w:t>
      </w:r>
    </w:p>
    <w:p w14:paraId="5FC27A9B" w14:textId="77777777" w:rsidR="00567965" w:rsidRPr="00567965" w:rsidRDefault="00567965" w:rsidP="00567965">
      <w:pPr>
        <w:spacing w:line="279" w:lineRule="auto"/>
        <w:jc w:val="center"/>
        <w:rPr>
          <w:rFonts w:ascii="Arial" w:eastAsiaTheme="minorEastAsia" w:hAnsi="Arial" w:cs="Arial"/>
          <w:kern w:val="0"/>
          <w:sz w:val="36"/>
          <w:szCs w:val="36"/>
          <w:lang w:eastAsia="ja-JP"/>
          <w14:ligatures w14:val="none"/>
        </w:rPr>
      </w:pPr>
    </w:p>
    <w:p w14:paraId="3F30084A" w14:textId="77777777" w:rsidR="00B47E51" w:rsidRDefault="00B47E51" w:rsidP="00532A56">
      <w:pPr>
        <w:spacing w:line="360" w:lineRule="auto"/>
        <w:rPr>
          <w:rFonts w:ascii="Arial" w:hAnsi="Arial" w:cs="Arial"/>
          <w:b/>
          <w:bCs/>
          <w:sz w:val="22"/>
          <w:szCs w:val="22"/>
        </w:rPr>
      </w:pPr>
    </w:p>
    <w:p w14:paraId="08A93EF2" w14:textId="77777777" w:rsidR="00B47E51" w:rsidRDefault="00B47E51" w:rsidP="00532A56">
      <w:pPr>
        <w:spacing w:line="360" w:lineRule="auto"/>
        <w:rPr>
          <w:rFonts w:ascii="Arial" w:hAnsi="Arial" w:cs="Arial"/>
          <w:b/>
          <w:bCs/>
          <w:sz w:val="22"/>
          <w:szCs w:val="22"/>
        </w:rPr>
      </w:pPr>
    </w:p>
    <w:p w14:paraId="43EF0337" w14:textId="77777777" w:rsidR="00B47E51" w:rsidRDefault="00B47E51" w:rsidP="00532A56">
      <w:pPr>
        <w:spacing w:line="360" w:lineRule="auto"/>
        <w:rPr>
          <w:rFonts w:ascii="Arial" w:hAnsi="Arial" w:cs="Arial"/>
          <w:b/>
          <w:bCs/>
          <w:sz w:val="22"/>
          <w:szCs w:val="22"/>
        </w:rPr>
      </w:pPr>
    </w:p>
    <w:p w14:paraId="198DBD94" w14:textId="77777777" w:rsidR="00B47E51" w:rsidRDefault="00B47E51" w:rsidP="00532A56">
      <w:pPr>
        <w:spacing w:line="360" w:lineRule="auto"/>
        <w:rPr>
          <w:rFonts w:ascii="Arial" w:hAnsi="Arial" w:cs="Arial"/>
          <w:b/>
          <w:bCs/>
          <w:sz w:val="22"/>
          <w:szCs w:val="22"/>
        </w:rPr>
      </w:pPr>
    </w:p>
    <w:p w14:paraId="5F5B7744" w14:textId="77777777" w:rsidR="00B47E51" w:rsidRDefault="00B47E51" w:rsidP="00532A56">
      <w:pPr>
        <w:spacing w:line="360" w:lineRule="auto"/>
        <w:rPr>
          <w:rFonts w:ascii="Arial" w:hAnsi="Arial" w:cs="Arial"/>
          <w:b/>
          <w:bCs/>
          <w:sz w:val="22"/>
          <w:szCs w:val="22"/>
        </w:rPr>
      </w:pPr>
    </w:p>
    <w:p w14:paraId="106D8BB8" w14:textId="77777777" w:rsidR="00B47E51" w:rsidRDefault="00B47E51" w:rsidP="00532A56">
      <w:pPr>
        <w:spacing w:line="360" w:lineRule="auto"/>
        <w:rPr>
          <w:rFonts w:ascii="Arial" w:hAnsi="Arial" w:cs="Arial"/>
          <w:b/>
          <w:bCs/>
          <w:sz w:val="22"/>
          <w:szCs w:val="22"/>
        </w:rPr>
      </w:pPr>
    </w:p>
    <w:p w14:paraId="6D247371" w14:textId="77777777" w:rsidR="00B47E51" w:rsidRDefault="00B47E51" w:rsidP="00532A56">
      <w:pPr>
        <w:spacing w:line="360" w:lineRule="auto"/>
        <w:rPr>
          <w:rFonts w:ascii="Arial" w:hAnsi="Arial" w:cs="Arial"/>
          <w:b/>
          <w:bCs/>
          <w:sz w:val="22"/>
          <w:szCs w:val="22"/>
        </w:rPr>
      </w:pPr>
    </w:p>
    <w:p w14:paraId="4CBF3B54" w14:textId="77777777" w:rsidR="00B47E51" w:rsidRDefault="00B47E51" w:rsidP="00532A56">
      <w:pPr>
        <w:spacing w:line="360" w:lineRule="auto"/>
        <w:rPr>
          <w:rFonts w:ascii="Arial" w:hAnsi="Arial" w:cs="Arial"/>
          <w:b/>
          <w:bCs/>
          <w:sz w:val="22"/>
          <w:szCs w:val="22"/>
        </w:rPr>
      </w:pPr>
    </w:p>
    <w:p w14:paraId="2E5C26DD" w14:textId="77777777" w:rsidR="00B47E51" w:rsidRDefault="00B47E51" w:rsidP="00532A56">
      <w:pPr>
        <w:spacing w:line="360" w:lineRule="auto"/>
        <w:rPr>
          <w:rFonts w:ascii="Arial" w:hAnsi="Arial" w:cs="Arial"/>
          <w:b/>
          <w:bCs/>
          <w:sz w:val="22"/>
          <w:szCs w:val="22"/>
        </w:rPr>
      </w:pPr>
    </w:p>
    <w:p w14:paraId="137008A8" w14:textId="77777777" w:rsidR="00B47E51" w:rsidRDefault="00B47E51" w:rsidP="00532A56">
      <w:pPr>
        <w:spacing w:line="360" w:lineRule="auto"/>
        <w:rPr>
          <w:rFonts w:ascii="Arial" w:hAnsi="Arial" w:cs="Arial"/>
          <w:b/>
          <w:bCs/>
          <w:sz w:val="22"/>
          <w:szCs w:val="22"/>
        </w:rPr>
      </w:pPr>
    </w:p>
    <w:p w14:paraId="0A25FC33" w14:textId="77777777" w:rsidR="00B47E51" w:rsidRDefault="00B47E51" w:rsidP="00532A56">
      <w:pPr>
        <w:spacing w:line="360" w:lineRule="auto"/>
        <w:rPr>
          <w:rFonts w:ascii="Arial" w:hAnsi="Arial" w:cs="Arial"/>
          <w:b/>
          <w:bCs/>
          <w:sz w:val="22"/>
          <w:szCs w:val="22"/>
        </w:rPr>
      </w:pPr>
    </w:p>
    <w:p w14:paraId="00148CDF" w14:textId="77777777" w:rsidR="00B47E51" w:rsidRDefault="00B47E51" w:rsidP="00532A56">
      <w:pPr>
        <w:spacing w:line="360" w:lineRule="auto"/>
        <w:rPr>
          <w:rFonts w:ascii="Arial" w:hAnsi="Arial" w:cs="Arial"/>
          <w:b/>
          <w:bCs/>
          <w:sz w:val="22"/>
          <w:szCs w:val="22"/>
        </w:rPr>
      </w:pPr>
    </w:p>
    <w:p w14:paraId="0367D85D" w14:textId="77777777" w:rsidR="00B47E51" w:rsidRDefault="00B47E51" w:rsidP="00532A56">
      <w:pPr>
        <w:spacing w:line="360" w:lineRule="auto"/>
        <w:rPr>
          <w:rFonts w:ascii="Arial" w:hAnsi="Arial" w:cs="Arial"/>
          <w:b/>
          <w:bCs/>
          <w:sz w:val="22"/>
          <w:szCs w:val="22"/>
        </w:rPr>
      </w:pPr>
    </w:p>
    <w:p w14:paraId="65923B0C" w14:textId="77777777" w:rsidR="00B47E51" w:rsidRDefault="00B47E51" w:rsidP="00532A56">
      <w:pPr>
        <w:spacing w:line="360" w:lineRule="auto"/>
        <w:rPr>
          <w:rFonts w:ascii="Arial" w:hAnsi="Arial" w:cs="Arial"/>
          <w:b/>
          <w:bCs/>
          <w:sz w:val="22"/>
          <w:szCs w:val="22"/>
        </w:rPr>
      </w:pPr>
    </w:p>
    <w:p w14:paraId="583042C4" w14:textId="77777777" w:rsidR="00B47E51" w:rsidRDefault="00B47E51" w:rsidP="00532A56">
      <w:pPr>
        <w:spacing w:line="360" w:lineRule="auto"/>
        <w:rPr>
          <w:rFonts w:ascii="Arial" w:hAnsi="Arial" w:cs="Arial"/>
          <w:b/>
          <w:bCs/>
          <w:sz w:val="22"/>
          <w:szCs w:val="22"/>
        </w:rPr>
      </w:pPr>
    </w:p>
    <w:p w14:paraId="0E71F0EA" w14:textId="35F0210A" w:rsidR="00814721" w:rsidRPr="006B0C33" w:rsidRDefault="00C15AAF" w:rsidP="00347A42">
      <w:pPr>
        <w:spacing w:line="360" w:lineRule="auto"/>
        <w:rPr>
          <w:rFonts w:ascii="Arial" w:hAnsi="Arial" w:cs="Arial"/>
          <w:b/>
          <w:bCs/>
          <w:sz w:val="22"/>
          <w:szCs w:val="22"/>
        </w:rPr>
      </w:pPr>
      <w:r w:rsidRPr="006B0C33">
        <w:rPr>
          <w:rFonts w:ascii="Arial" w:hAnsi="Arial" w:cs="Arial"/>
          <w:b/>
          <w:bCs/>
          <w:sz w:val="22"/>
          <w:szCs w:val="22"/>
        </w:rPr>
        <w:lastRenderedPageBreak/>
        <w:t>Brainomix e-Stroke: A Cr</w:t>
      </w:r>
      <w:r w:rsidR="00AB3C8E" w:rsidRPr="006B0C33">
        <w:rPr>
          <w:rFonts w:ascii="Arial" w:hAnsi="Arial" w:cs="Arial"/>
          <w:b/>
          <w:bCs/>
          <w:sz w:val="22"/>
          <w:szCs w:val="22"/>
        </w:rPr>
        <w:t>itical SWOT Analysis of Workforce and Ser</w:t>
      </w:r>
      <w:r w:rsidR="00F166AE" w:rsidRPr="006B0C33">
        <w:rPr>
          <w:rFonts w:ascii="Arial" w:hAnsi="Arial" w:cs="Arial"/>
          <w:b/>
          <w:bCs/>
          <w:sz w:val="22"/>
          <w:szCs w:val="22"/>
        </w:rPr>
        <w:t xml:space="preserve">vice Delivery </w:t>
      </w:r>
    </w:p>
    <w:p w14:paraId="18AFC54A" w14:textId="77777777" w:rsidR="00814721" w:rsidRPr="006B0C33" w:rsidRDefault="00814721" w:rsidP="00347A42">
      <w:pPr>
        <w:spacing w:line="360" w:lineRule="auto"/>
        <w:rPr>
          <w:rFonts w:ascii="Arial" w:hAnsi="Arial" w:cs="Arial"/>
          <w:b/>
          <w:bCs/>
          <w:sz w:val="22"/>
          <w:szCs w:val="22"/>
        </w:rPr>
      </w:pPr>
    </w:p>
    <w:p w14:paraId="6844FAE9" w14:textId="4433F7A1" w:rsidR="006A1799" w:rsidRPr="006B0C33" w:rsidRDefault="00A04D8C" w:rsidP="00347A42">
      <w:pPr>
        <w:spacing w:line="360" w:lineRule="auto"/>
        <w:rPr>
          <w:rFonts w:ascii="Arial" w:hAnsi="Arial" w:cs="Arial"/>
          <w:b/>
          <w:bCs/>
          <w:sz w:val="22"/>
          <w:szCs w:val="22"/>
        </w:rPr>
      </w:pPr>
      <w:r w:rsidRPr="006B0C33">
        <w:rPr>
          <w:rFonts w:ascii="Arial" w:hAnsi="Arial" w:cs="Arial"/>
          <w:b/>
          <w:bCs/>
          <w:sz w:val="22"/>
          <w:szCs w:val="22"/>
        </w:rPr>
        <w:t>Introduction</w:t>
      </w:r>
    </w:p>
    <w:p w14:paraId="0E69D394" w14:textId="491B618C" w:rsidR="00485620" w:rsidRPr="006B0C33" w:rsidRDefault="00485620" w:rsidP="00347A42">
      <w:pPr>
        <w:pStyle w:val="NormalWeb"/>
        <w:spacing w:line="360" w:lineRule="auto"/>
        <w:rPr>
          <w:rFonts w:ascii="Arial" w:hAnsi="Arial" w:cs="Arial"/>
          <w:sz w:val="22"/>
          <w:szCs w:val="22"/>
        </w:rPr>
      </w:pPr>
      <w:r w:rsidRPr="006B0C33">
        <w:rPr>
          <w:rFonts w:ascii="Arial" w:hAnsi="Arial" w:cs="Arial"/>
          <w:sz w:val="22"/>
          <w:szCs w:val="22"/>
        </w:rPr>
        <w:t xml:space="preserve">In acute stroke care, delays in interpreting brain scans and coordinating specialist treatment can affect treatment options. Brainomix e-Stroke is an artificial intelligence (AI) clinical decision-support technology that analyses brain imaging to help clinicians assess stroke-related abnormalities and make treatment and transfer decisions. It also supports the sharing of imaging information between hospitals. Its implementation in </w:t>
      </w:r>
      <w:r w:rsidR="00716E83" w:rsidRPr="006B0C33">
        <w:rPr>
          <w:rFonts w:ascii="Arial" w:hAnsi="Arial" w:cs="Arial"/>
          <w:sz w:val="22"/>
          <w:szCs w:val="22"/>
        </w:rPr>
        <w:t>National</w:t>
      </w:r>
      <w:r w:rsidR="00CC0738" w:rsidRPr="006B0C33">
        <w:rPr>
          <w:rFonts w:ascii="Arial" w:hAnsi="Arial" w:cs="Arial"/>
          <w:sz w:val="22"/>
          <w:szCs w:val="22"/>
        </w:rPr>
        <w:t xml:space="preserve"> Health Service</w:t>
      </w:r>
      <w:r w:rsidRPr="006B0C33">
        <w:rPr>
          <w:rFonts w:ascii="Arial" w:hAnsi="Arial" w:cs="Arial"/>
          <w:sz w:val="22"/>
          <w:szCs w:val="22"/>
        </w:rPr>
        <w:t xml:space="preserve"> stroke services is evidenced by peer-reviewed research at University College London Hospitals (Mallon et al., 2024) and its rollout through the N</w:t>
      </w:r>
      <w:r w:rsidR="00A20704" w:rsidRPr="006B0C33">
        <w:rPr>
          <w:rFonts w:ascii="Arial" w:hAnsi="Arial" w:cs="Arial"/>
          <w:sz w:val="22"/>
          <w:szCs w:val="22"/>
        </w:rPr>
        <w:t xml:space="preserve">ational </w:t>
      </w:r>
      <w:r w:rsidRPr="006B0C33">
        <w:rPr>
          <w:rFonts w:ascii="Arial" w:hAnsi="Arial" w:cs="Arial"/>
          <w:sz w:val="22"/>
          <w:szCs w:val="22"/>
        </w:rPr>
        <w:t>H</w:t>
      </w:r>
      <w:r w:rsidR="00A20704" w:rsidRPr="006B0C33">
        <w:rPr>
          <w:rFonts w:ascii="Arial" w:hAnsi="Arial" w:cs="Arial"/>
          <w:sz w:val="22"/>
          <w:szCs w:val="22"/>
        </w:rPr>
        <w:t xml:space="preserve">ealth </w:t>
      </w:r>
      <w:r w:rsidRPr="006B0C33">
        <w:rPr>
          <w:rFonts w:ascii="Arial" w:hAnsi="Arial" w:cs="Arial"/>
          <w:sz w:val="22"/>
          <w:szCs w:val="22"/>
        </w:rPr>
        <w:t>S</w:t>
      </w:r>
      <w:r w:rsidR="00A20704" w:rsidRPr="006B0C33">
        <w:rPr>
          <w:rFonts w:ascii="Arial" w:hAnsi="Arial" w:cs="Arial"/>
          <w:sz w:val="22"/>
          <w:szCs w:val="22"/>
        </w:rPr>
        <w:t>er</w:t>
      </w:r>
      <w:r w:rsidR="009B7080" w:rsidRPr="006B0C33">
        <w:rPr>
          <w:rFonts w:ascii="Arial" w:hAnsi="Arial" w:cs="Arial"/>
          <w:sz w:val="22"/>
          <w:szCs w:val="22"/>
        </w:rPr>
        <w:t>vice</w:t>
      </w:r>
      <w:r w:rsidRPr="006B0C33">
        <w:rPr>
          <w:rFonts w:ascii="Arial" w:hAnsi="Arial" w:cs="Arial"/>
          <w:sz w:val="22"/>
          <w:szCs w:val="22"/>
        </w:rPr>
        <w:t xml:space="preserve"> AI in Health and Care Award programme (NHS England, 2020).</w:t>
      </w:r>
    </w:p>
    <w:p w14:paraId="0CE6962E" w14:textId="37442682" w:rsidR="00485620" w:rsidRPr="006B0C33" w:rsidRDefault="00485620" w:rsidP="00347A42">
      <w:pPr>
        <w:pStyle w:val="NormalWeb"/>
        <w:spacing w:line="360" w:lineRule="auto"/>
        <w:rPr>
          <w:rFonts w:ascii="Arial" w:hAnsi="Arial" w:cs="Arial"/>
          <w:sz w:val="22"/>
          <w:szCs w:val="22"/>
        </w:rPr>
      </w:pPr>
      <w:r w:rsidRPr="006B0C33">
        <w:rPr>
          <w:rFonts w:ascii="Arial" w:hAnsi="Arial" w:cs="Arial"/>
          <w:sz w:val="22"/>
          <w:szCs w:val="22"/>
        </w:rPr>
        <w:t xml:space="preserve">This report critically evaluates Brainomix e-Stroke using a SWOT framework and two analytical lenses: workforce and service delivery. Workforce analysis examines professional judgement, </w:t>
      </w:r>
      <w:r w:rsidR="004139FD" w:rsidRPr="006B0C33">
        <w:rPr>
          <w:rFonts w:ascii="Arial" w:hAnsi="Arial" w:cs="Arial"/>
          <w:sz w:val="22"/>
          <w:szCs w:val="22"/>
        </w:rPr>
        <w:t>responsibilities,</w:t>
      </w:r>
      <w:r w:rsidRPr="006B0C33">
        <w:rPr>
          <w:rFonts w:ascii="Arial" w:hAnsi="Arial" w:cs="Arial"/>
          <w:sz w:val="22"/>
          <w:szCs w:val="22"/>
        </w:rPr>
        <w:t xml:space="preserve"> and training, while service delivery considers treatment pathways, transfer times, reliability, </w:t>
      </w:r>
      <w:r w:rsidR="004139FD" w:rsidRPr="006B0C33">
        <w:rPr>
          <w:rFonts w:ascii="Arial" w:hAnsi="Arial" w:cs="Arial"/>
          <w:sz w:val="22"/>
          <w:szCs w:val="22"/>
        </w:rPr>
        <w:t>costs,</w:t>
      </w:r>
      <w:r w:rsidRPr="006B0C33">
        <w:rPr>
          <w:rFonts w:ascii="Arial" w:hAnsi="Arial" w:cs="Arial"/>
          <w:sz w:val="22"/>
          <w:szCs w:val="22"/>
        </w:rPr>
        <w:t xml:space="preserve"> and information governance. By comparing implementation evidence with its limitations, the report argues that Brainomix can support faster, better-coordinated stroke care, but its success depends on appropriate workforce preparation, reliable </w:t>
      </w:r>
      <w:r w:rsidR="004139FD" w:rsidRPr="006B0C33">
        <w:rPr>
          <w:rFonts w:ascii="Arial" w:hAnsi="Arial" w:cs="Arial"/>
          <w:sz w:val="22"/>
          <w:szCs w:val="22"/>
        </w:rPr>
        <w:t>infrastructure,</w:t>
      </w:r>
      <w:r w:rsidRPr="006B0C33">
        <w:rPr>
          <w:rFonts w:ascii="Arial" w:hAnsi="Arial" w:cs="Arial"/>
          <w:sz w:val="22"/>
          <w:szCs w:val="22"/>
        </w:rPr>
        <w:t xml:space="preserve"> and effective governance.</w:t>
      </w:r>
    </w:p>
    <w:p w14:paraId="7C78417C" w14:textId="42E6CD1F" w:rsidR="00293C86" w:rsidRPr="006B0C33" w:rsidRDefault="008960AF" w:rsidP="00347A42">
      <w:pPr>
        <w:spacing w:line="360" w:lineRule="auto"/>
        <w:rPr>
          <w:rFonts w:ascii="Arial" w:hAnsi="Arial" w:cs="Arial"/>
          <w:b/>
          <w:bCs/>
          <w:sz w:val="22"/>
          <w:szCs w:val="22"/>
        </w:rPr>
      </w:pPr>
      <w:r w:rsidRPr="006B0C33">
        <w:rPr>
          <w:rFonts w:ascii="Arial" w:hAnsi="Arial" w:cs="Arial"/>
          <w:b/>
          <w:bCs/>
          <w:sz w:val="22"/>
          <w:szCs w:val="22"/>
        </w:rPr>
        <w:t>Strengths</w:t>
      </w:r>
    </w:p>
    <w:p w14:paraId="66B9676E" w14:textId="6738815B" w:rsidR="008960AF" w:rsidRPr="006B0C33" w:rsidRDefault="008960AF" w:rsidP="00347A42">
      <w:pPr>
        <w:spacing w:line="360" w:lineRule="auto"/>
        <w:rPr>
          <w:rFonts w:ascii="Arial" w:hAnsi="Arial" w:cs="Arial"/>
          <w:sz w:val="22"/>
          <w:szCs w:val="22"/>
        </w:rPr>
      </w:pPr>
      <w:r w:rsidRPr="006B0C33">
        <w:rPr>
          <w:rFonts w:ascii="Arial" w:hAnsi="Arial" w:cs="Arial"/>
          <w:b/>
          <w:bCs/>
          <w:sz w:val="22"/>
          <w:szCs w:val="22"/>
        </w:rPr>
        <w:t xml:space="preserve">Workforce </w:t>
      </w:r>
    </w:p>
    <w:p w14:paraId="4629E378" w14:textId="69B1B88C" w:rsidR="00D13393" w:rsidRPr="006B0C33" w:rsidRDefault="00D13393" w:rsidP="00347A42">
      <w:pPr>
        <w:pStyle w:val="NormalWeb"/>
        <w:spacing w:line="360" w:lineRule="auto"/>
        <w:rPr>
          <w:rFonts w:ascii="Arial" w:hAnsi="Arial" w:cs="Arial"/>
          <w:sz w:val="22"/>
          <w:szCs w:val="22"/>
        </w:rPr>
      </w:pPr>
      <w:r w:rsidRPr="006B0C33">
        <w:rPr>
          <w:rFonts w:ascii="Arial" w:hAnsi="Arial" w:cs="Arial"/>
          <w:sz w:val="22"/>
          <w:szCs w:val="22"/>
        </w:rPr>
        <w:t>A significant strength of Brainomix e-Stroke is its ability to provide rapid imaging analysis during time-critical stroke assessment. A real-world evaluation at University College London Hospitals examined 1,163 imaging studies from 551 patients. Overall, 97.2% of studies were successfully processed, with an average processing time of four minutes (Mallon et al., 2024). This suggests that AI can provide clinicians with timely imaging information, particularly when specialist expertise is not immediately available.</w:t>
      </w:r>
    </w:p>
    <w:p w14:paraId="47E77433" w14:textId="1469C91A" w:rsidR="00175D15" w:rsidRPr="006B0C33" w:rsidRDefault="00175D15" w:rsidP="00347A42">
      <w:pPr>
        <w:pStyle w:val="isselectedend"/>
        <w:spacing w:line="360" w:lineRule="auto"/>
        <w:rPr>
          <w:rFonts w:ascii="Arial" w:hAnsi="Arial" w:cs="Arial"/>
          <w:sz w:val="22"/>
          <w:szCs w:val="22"/>
        </w:rPr>
      </w:pPr>
    </w:p>
    <w:p w14:paraId="5F81AC18" w14:textId="15E19481" w:rsidR="00175D15" w:rsidRPr="006B0C33" w:rsidRDefault="00175D15" w:rsidP="00347A42">
      <w:pPr>
        <w:pStyle w:val="isselectedend"/>
        <w:spacing w:line="360" w:lineRule="auto"/>
        <w:rPr>
          <w:rFonts w:ascii="Arial" w:hAnsi="Arial" w:cs="Arial"/>
          <w:sz w:val="22"/>
          <w:szCs w:val="22"/>
        </w:rPr>
      </w:pPr>
    </w:p>
    <w:p w14:paraId="6D7D7980" w14:textId="29C1D701" w:rsidR="00175D15" w:rsidRPr="006B0C33" w:rsidRDefault="00175D15" w:rsidP="00347A42">
      <w:pPr>
        <w:pStyle w:val="isselectedend"/>
        <w:spacing w:line="360" w:lineRule="auto"/>
        <w:rPr>
          <w:rFonts w:ascii="Arial" w:hAnsi="Arial" w:cs="Arial"/>
          <w:sz w:val="22"/>
          <w:szCs w:val="22"/>
        </w:rPr>
      </w:pPr>
    </w:p>
    <w:p w14:paraId="18FC3663" w14:textId="45A839DB" w:rsidR="00175D15" w:rsidRPr="006B0C33" w:rsidRDefault="00175D15" w:rsidP="00347A42">
      <w:pPr>
        <w:pStyle w:val="isselectedend"/>
        <w:spacing w:line="360" w:lineRule="auto"/>
        <w:rPr>
          <w:rFonts w:ascii="Arial" w:hAnsi="Arial" w:cs="Arial"/>
          <w:sz w:val="22"/>
          <w:szCs w:val="22"/>
        </w:rPr>
      </w:pPr>
    </w:p>
    <w:p w14:paraId="299D7D18" w14:textId="08DC7186" w:rsidR="00175D15" w:rsidRPr="006B0C33" w:rsidRDefault="00175D15" w:rsidP="00347A42">
      <w:pPr>
        <w:pStyle w:val="isselectedend"/>
        <w:spacing w:line="360" w:lineRule="auto"/>
        <w:rPr>
          <w:rFonts w:ascii="Arial" w:hAnsi="Arial" w:cs="Arial"/>
          <w:sz w:val="22"/>
          <w:szCs w:val="22"/>
        </w:rPr>
      </w:pPr>
    </w:p>
    <w:p w14:paraId="4CE74759" w14:textId="77777777" w:rsidR="00C05150" w:rsidRPr="006B0C33" w:rsidRDefault="00CF6A9D" w:rsidP="00347A42">
      <w:pPr>
        <w:pStyle w:val="isselectedend"/>
        <w:spacing w:line="360" w:lineRule="auto"/>
        <w:rPr>
          <w:rFonts w:ascii="Arial" w:hAnsi="Arial" w:cs="Arial"/>
          <w:sz w:val="22"/>
          <w:szCs w:val="22"/>
        </w:rPr>
      </w:pPr>
      <w:r w:rsidRPr="006B0C33">
        <w:rPr>
          <w:rFonts w:ascii="Arial" w:hAnsi="Arial" w:cs="Arial"/>
          <w:noProof/>
          <w:sz w:val="22"/>
          <w:szCs w:val="22"/>
        </w:rPr>
        <w:drawing>
          <wp:inline distT="0" distB="0" distL="0" distR="0" wp14:anchorId="39DAF440" wp14:editId="1FD90D86">
            <wp:extent cx="2291311" cy="2532185"/>
            <wp:effectExtent l="0" t="0" r="0" b="0"/>
            <wp:docPr id="881678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268" t="-1830" r="-2751" b="-81997"/>
                    <a:stretch>
                      <a:fillRect/>
                    </a:stretch>
                  </pic:blipFill>
                  <pic:spPr bwMode="auto">
                    <a:xfrm>
                      <a:off x="0" y="0"/>
                      <a:ext cx="2312996" cy="2556150"/>
                    </a:xfrm>
                    <a:prstGeom prst="rect">
                      <a:avLst/>
                    </a:prstGeom>
                    <a:noFill/>
                    <a:ln>
                      <a:noFill/>
                    </a:ln>
                    <a:extLst>
                      <a:ext uri="{53640926-AAD7-44D8-BBD7-CCE9431645EC}">
                        <a14:shadowObscured xmlns:a14="http://schemas.microsoft.com/office/drawing/2010/main"/>
                      </a:ext>
                    </a:extLst>
                  </pic:spPr>
                </pic:pic>
              </a:graphicData>
            </a:graphic>
          </wp:inline>
        </w:drawing>
      </w:r>
    </w:p>
    <w:p w14:paraId="1829D0DA" w14:textId="41FAC869" w:rsidR="00816426" w:rsidRPr="006B0C33" w:rsidRDefault="00816426" w:rsidP="00347A42">
      <w:pPr>
        <w:pStyle w:val="isselectedend"/>
        <w:spacing w:line="360" w:lineRule="auto"/>
        <w:rPr>
          <w:rFonts w:ascii="Arial" w:hAnsi="Arial" w:cs="Arial"/>
          <w:sz w:val="22"/>
          <w:szCs w:val="22"/>
        </w:rPr>
      </w:pPr>
      <w:r w:rsidRPr="006B0C33">
        <w:rPr>
          <w:rFonts w:ascii="Arial" w:hAnsi="Arial" w:cs="Arial"/>
          <w:sz w:val="22"/>
          <w:szCs w:val="22"/>
        </w:rPr>
        <w:t>Figure 1. Performance of Brainomix e-ASPECTS in detecting stroke-related abnormalities. Source: Mallon et al. (2024, Figure 2).</w:t>
      </w:r>
    </w:p>
    <w:p w14:paraId="17705D7C" w14:textId="77777777" w:rsidR="00907B26" w:rsidRPr="006B0C33" w:rsidRDefault="00907B26" w:rsidP="00347A42">
      <w:pPr>
        <w:pStyle w:val="NormalWeb"/>
        <w:spacing w:line="360" w:lineRule="auto"/>
        <w:rPr>
          <w:rFonts w:ascii="Arial" w:hAnsi="Arial" w:cs="Arial"/>
          <w:sz w:val="22"/>
          <w:szCs w:val="22"/>
        </w:rPr>
      </w:pPr>
      <w:r w:rsidRPr="006B0C33">
        <w:rPr>
          <w:rFonts w:ascii="Arial" w:hAnsi="Arial" w:cs="Arial"/>
          <w:sz w:val="22"/>
          <w:szCs w:val="22"/>
        </w:rPr>
        <w:t>Figure 1 demonstrates that Brainomix e-Stroke does not perform equally across all imaging tasks. The software achieved 77.0% accuracy in detecting acute ischaemia, compared with 97.8% for identifying acute haemorrhage (Mallon et al., 2024). This variation is important because clinicians could make inappropriate treatment or transfer decisions if AI outputs are accepted without verification. Therefore, although rapid analysis can support the workforce, staff must retain professional judgement and interpret results alongside clinical findings.</w:t>
      </w:r>
    </w:p>
    <w:p w14:paraId="2F921107" w14:textId="77777777" w:rsidR="009A4D05" w:rsidRPr="006B0C33" w:rsidRDefault="009A4D05" w:rsidP="00347A42">
      <w:pPr>
        <w:pStyle w:val="NormalWeb"/>
        <w:spacing w:line="360" w:lineRule="auto"/>
        <w:rPr>
          <w:rFonts w:ascii="Arial" w:hAnsi="Arial" w:cs="Arial"/>
          <w:sz w:val="22"/>
          <w:szCs w:val="22"/>
        </w:rPr>
      </w:pPr>
      <w:r w:rsidRPr="006B0C33">
        <w:rPr>
          <w:rFonts w:ascii="Arial" w:hAnsi="Arial" w:cs="Arial"/>
          <w:sz w:val="22"/>
          <w:szCs w:val="22"/>
        </w:rPr>
        <w:t>However, processing speed alone does not establish clinical effectiveness. Mallon et al. (2024) identified variation in performance across different imaging functions. Clinicians must therefore understand that AI outputs are decision-support information rather than definitive diagnoses. The workforce benefit depends on staff being able to interpret results critically and recognise when expert review is necessary.</w:t>
      </w:r>
    </w:p>
    <w:p w14:paraId="11A3F32A" w14:textId="5C6514D8" w:rsidR="009A4D05" w:rsidRPr="006B0C33" w:rsidRDefault="009A4D05" w:rsidP="00347A42">
      <w:pPr>
        <w:pStyle w:val="NormalWeb"/>
        <w:spacing w:line="360" w:lineRule="auto"/>
        <w:rPr>
          <w:rFonts w:ascii="Arial" w:hAnsi="Arial" w:cs="Arial"/>
          <w:sz w:val="22"/>
          <w:szCs w:val="22"/>
        </w:rPr>
      </w:pPr>
      <w:r w:rsidRPr="006B0C33">
        <w:rPr>
          <w:rFonts w:ascii="Arial" w:hAnsi="Arial" w:cs="Arial"/>
          <w:sz w:val="22"/>
          <w:szCs w:val="22"/>
        </w:rPr>
        <w:t>Brainomix has also been deployed across stroke networks, potentially supporting communication between professionals at different hospitals. N</w:t>
      </w:r>
      <w:r w:rsidR="00BE6B6A" w:rsidRPr="006B0C33">
        <w:rPr>
          <w:rFonts w:ascii="Arial" w:hAnsi="Arial" w:cs="Arial"/>
          <w:sz w:val="22"/>
          <w:szCs w:val="22"/>
        </w:rPr>
        <w:t xml:space="preserve">ational </w:t>
      </w:r>
      <w:r w:rsidRPr="006B0C33">
        <w:rPr>
          <w:rFonts w:ascii="Arial" w:hAnsi="Arial" w:cs="Arial"/>
          <w:sz w:val="22"/>
          <w:szCs w:val="22"/>
        </w:rPr>
        <w:t>H</w:t>
      </w:r>
      <w:r w:rsidR="00BE6B6A" w:rsidRPr="006B0C33">
        <w:rPr>
          <w:rFonts w:ascii="Arial" w:hAnsi="Arial" w:cs="Arial"/>
          <w:sz w:val="22"/>
          <w:szCs w:val="22"/>
        </w:rPr>
        <w:t xml:space="preserve">ealth </w:t>
      </w:r>
      <w:r w:rsidRPr="006B0C33">
        <w:rPr>
          <w:rFonts w:ascii="Arial" w:hAnsi="Arial" w:cs="Arial"/>
          <w:sz w:val="22"/>
          <w:szCs w:val="22"/>
        </w:rPr>
        <w:t>S</w:t>
      </w:r>
      <w:r w:rsidR="00695D1E" w:rsidRPr="006B0C33">
        <w:rPr>
          <w:rFonts w:ascii="Arial" w:hAnsi="Arial" w:cs="Arial"/>
          <w:sz w:val="22"/>
          <w:szCs w:val="22"/>
        </w:rPr>
        <w:t>ervice</w:t>
      </w:r>
      <w:r w:rsidRPr="006B0C33">
        <w:rPr>
          <w:rFonts w:ascii="Arial" w:hAnsi="Arial" w:cs="Arial"/>
          <w:sz w:val="22"/>
          <w:szCs w:val="22"/>
        </w:rPr>
        <w:t xml:space="preserve"> England (2024) reported its initial introduction across the Thames Valley stroke network and subsequent deployment to more than 35 N</w:t>
      </w:r>
      <w:r w:rsidR="00695D1E" w:rsidRPr="006B0C33">
        <w:rPr>
          <w:rFonts w:ascii="Arial" w:hAnsi="Arial" w:cs="Arial"/>
          <w:sz w:val="22"/>
          <w:szCs w:val="22"/>
        </w:rPr>
        <w:t>ati</w:t>
      </w:r>
      <w:r w:rsidR="00125F61" w:rsidRPr="006B0C33">
        <w:rPr>
          <w:rFonts w:ascii="Arial" w:hAnsi="Arial" w:cs="Arial"/>
          <w:sz w:val="22"/>
          <w:szCs w:val="22"/>
        </w:rPr>
        <w:t xml:space="preserve">onal </w:t>
      </w:r>
      <w:r w:rsidRPr="006B0C33">
        <w:rPr>
          <w:rFonts w:ascii="Arial" w:hAnsi="Arial" w:cs="Arial"/>
          <w:sz w:val="22"/>
          <w:szCs w:val="22"/>
        </w:rPr>
        <w:t>H</w:t>
      </w:r>
      <w:r w:rsidR="00125F61" w:rsidRPr="006B0C33">
        <w:rPr>
          <w:rFonts w:ascii="Arial" w:hAnsi="Arial" w:cs="Arial"/>
          <w:sz w:val="22"/>
          <w:szCs w:val="22"/>
        </w:rPr>
        <w:t xml:space="preserve">ealth </w:t>
      </w:r>
      <w:r w:rsidRPr="006B0C33">
        <w:rPr>
          <w:rFonts w:ascii="Arial" w:hAnsi="Arial" w:cs="Arial"/>
          <w:sz w:val="22"/>
          <w:szCs w:val="22"/>
        </w:rPr>
        <w:t>S</w:t>
      </w:r>
      <w:r w:rsidR="00125F61" w:rsidRPr="006B0C33">
        <w:rPr>
          <w:rFonts w:ascii="Arial" w:hAnsi="Arial" w:cs="Arial"/>
          <w:sz w:val="22"/>
          <w:szCs w:val="22"/>
        </w:rPr>
        <w:t>ervice</w:t>
      </w:r>
      <w:r w:rsidRPr="006B0C33">
        <w:rPr>
          <w:rFonts w:ascii="Arial" w:hAnsi="Arial" w:cs="Arial"/>
          <w:sz w:val="22"/>
          <w:szCs w:val="22"/>
        </w:rPr>
        <w:t xml:space="preserve"> hospitals within 12 months. This demonstrates the potential to support regional working, although the scale of rollout </w:t>
      </w:r>
      <w:r w:rsidRPr="006B0C33">
        <w:rPr>
          <w:rFonts w:ascii="Arial" w:hAnsi="Arial" w:cs="Arial"/>
          <w:sz w:val="22"/>
          <w:szCs w:val="22"/>
        </w:rPr>
        <w:lastRenderedPageBreak/>
        <w:t>does not itself prove that communication or clinical decisions improved in every participating service.</w:t>
      </w:r>
    </w:p>
    <w:p w14:paraId="42ACBCB6" w14:textId="77777777" w:rsidR="00AD0803" w:rsidRPr="006B0C33" w:rsidRDefault="00AD0803" w:rsidP="00347A42">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65EDE990" w14:textId="77D07099" w:rsidR="003D5828" w:rsidRPr="006B0C33" w:rsidRDefault="00AD0803" w:rsidP="00347A42">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6B0C33">
        <w:rPr>
          <w:rFonts w:ascii="Arial" w:eastAsia="Times New Roman" w:hAnsi="Arial" w:cs="Arial"/>
          <w:b/>
          <w:bCs/>
          <w:kern w:val="0"/>
          <w:sz w:val="22"/>
          <w:szCs w:val="22"/>
          <w:lang w:eastAsia="en-GB"/>
          <w14:ligatures w14:val="none"/>
        </w:rPr>
        <w:br/>
      </w:r>
      <w:r w:rsidR="005F3011" w:rsidRPr="006B0C33">
        <w:rPr>
          <w:rFonts w:ascii="Arial" w:eastAsia="Times New Roman" w:hAnsi="Arial" w:cs="Arial"/>
          <w:b/>
          <w:bCs/>
          <w:kern w:val="0"/>
          <w:sz w:val="22"/>
          <w:szCs w:val="22"/>
          <w:lang w:eastAsia="en-GB"/>
          <w14:ligatures w14:val="none"/>
        </w:rPr>
        <w:t>Service Delivery</w:t>
      </w:r>
    </w:p>
    <w:p w14:paraId="7AD5C16D" w14:textId="0AEC56C9" w:rsidR="00B90F8C" w:rsidRPr="006B0C33" w:rsidRDefault="00B90F8C" w:rsidP="00347A42">
      <w:pPr>
        <w:pStyle w:val="NormalWeb"/>
        <w:spacing w:line="360" w:lineRule="auto"/>
        <w:rPr>
          <w:rFonts w:ascii="Arial" w:hAnsi="Arial" w:cs="Arial"/>
          <w:sz w:val="22"/>
          <w:szCs w:val="22"/>
        </w:rPr>
      </w:pPr>
      <w:r w:rsidRPr="006B0C33">
        <w:rPr>
          <w:rFonts w:ascii="Arial" w:hAnsi="Arial" w:cs="Arial"/>
          <w:sz w:val="22"/>
          <w:szCs w:val="22"/>
        </w:rPr>
        <w:t>Brainomix may improve the coordination and speed of stroke pathways by enabling imaging information to be shared more rapidly between hospitals (</w:t>
      </w:r>
      <w:r w:rsidR="00125F61" w:rsidRPr="006B0C33">
        <w:rPr>
          <w:rFonts w:ascii="Arial" w:hAnsi="Arial" w:cs="Arial"/>
          <w:sz w:val="22"/>
          <w:szCs w:val="22"/>
        </w:rPr>
        <w:t xml:space="preserve">National </w:t>
      </w:r>
      <w:r w:rsidRPr="006B0C33">
        <w:rPr>
          <w:rFonts w:ascii="Arial" w:hAnsi="Arial" w:cs="Arial"/>
          <w:sz w:val="22"/>
          <w:szCs w:val="22"/>
        </w:rPr>
        <w:t>H</w:t>
      </w:r>
      <w:r w:rsidR="00125F61" w:rsidRPr="006B0C33">
        <w:rPr>
          <w:rFonts w:ascii="Arial" w:hAnsi="Arial" w:cs="Arial"/>
          <w:sz w:val="22"/>
          <w:szCs w:val="22"/>
        </w:rPr>
        <w:t xml:space="preserve">ealth </w:t>
      </w:r>
      <w:r w:rsidRPr="006B0C33">
        <w:rPr>
          <w:rFonts w:ascii="Arial" w:hAnsi="Arial" w:cs="Arial"/>
          <w:sz w:val="22"/>
          <w:szCs w:val="22"/>
        </w:rPr>
        <w:t>S</w:t>
      </w:r>
      <w:r w:rsidR="00125F61" w:rsidRPr="006B0C33">
        <w:rPr>
          <w:rFonts w:ascii="Arial" w:hAnsi="Arial" w:cs="Arial"/>
          <w:sz w:val="22"/>
          <w:szCs w:val="22"/>
        </w:rPr>
        <w:t>ervice</w:t>
      </w:r>
      <w:r w:rsidRPr="006B0C33">
        <w:rPr>
          <w:rFonts w:ascii="Arial" w:hAnsi="Arial" w:cs="Arial"/>
          <w:sz w:val="22"/>
          <w:szCs w:val="22"/>
        </w:rPr>
        <w:t xml:space="preserve"> England, 2020). N</w:t>
      </w:r>
      <w:r w:rsidR="00AA4D60" w:rsidRPr="006B0C33">
        <w:rPr>
          <w:rFonts w:ascii="Arial" w:hAnsi="Arial" w:cs="Arial"/>
          <w:sz w:val="22"/>
          <w:szCs w:val="22"/>
        </w:rPr>
        <w:t xml:space="preserve">ational </w:t>
      </w:r>
      <w:r w:rsidRPr="006B0C33">
        <w:rPr>
          <w:rFonts w:ascii="Arial" w:hAnsi="Arial" w:cs="Arial"/>
          <w:sz w:val="22"/>
          <w:szCs w:val="22"/>
        </w:rPr>
        <w:t>H</w:t>
      </w:r>
      <w:r w:rsidR="00AA4D60" w:rsidRPr="006B0C33">
        <w:rPr>
          <w:rFonts w:ascii="Arial" w:hAnsi="Arial" w:cs="Arial"/>
          <w:sz w:val="22"/>
          <w:szCs w:val="22"/>
        </w:rPr>
        <w:t xml:space="preserve">ealth </w:t>
      </w:r>
      <w:r w:rsidRPr="006B0C33">
        <w:rPr>
          <w:rFonts w:ascii="Arial" w:hAnsi="Arial" w:cs="Arial"/>
          <w:sz w:val="22"/>
          <w:szCs w:val="22"/>
        </w:rPr>
        <w:t>S</w:t>
      </w:r>
      <w:r w:rsidR="00AA4D60" w:rsidRPr="006B0C33">
        <w:rPr>
          <w:rFonts w:ascii="Arial" w:hAnsi="Arial" w:cs="Arial"/>
          <w:sz w:val="22"/>
          <w:szCs w:val="22"/>
        </w:rPr>
        <w:t>ervice</w:t>
      </w:r>
      <w:r w:rsidRPr="006B0C33">
        <w:rPr>
          <w:rFonts w:ascii="Arial" w:hAnsi="Arial" w:cs="Arial"/>
          <w:sz w:val="22"/>
          <w:szCs w:val="22"/>
        </w:rPr>
        <w:t xml:space="preserve"> England (2024) reported early improvements, including increases of more than 50% in thrombectomy rates at some sites and over an hour saved in treatment time. These findings suggest potential operational benefits, but reported early improvements should not automatically be interpreted as outcomes caused exclusively by the software.</w:t>
      </w:r>
    </w:p>
    <w:p w14:paraId="756A7ABD" w14:textId="77777777" w:rsidR="00B90F8C" w:rsidRPr="006B0C33" w:rsidRDefault="00B90F8C" w:rsidP="00347A42">
      <w:pPr>
        <w:pStyle w:val="NormalWeb"/>
        <w:spacing w:line="360" w:lineRule="auto"/>
        <w:rPr>
          <w:rFonts w:ascii="Arial" w:hAnsi="Arial" w:cs="Arial"/>
          <w:sz w:val="22"/>
          <w:szCs w:val="22"/>
        </w:rPr>
      </w:pPr>
      <w:r w:rsidRPr="006B0C33">
        <w:rPr>
          <w:rFonts w:ascii="Arial" w:hAnsi="Arial" w:cs="Arial"/>
          <w:sz w:val="22"/>
          <w:szCs w:val="22"/>
        </w:rPr>
        <w:t>More substantial evidence comes from Nagaratnam et al. (2025), who examined 452,952 stroke admissions across 107 hospitals in England. At 26 evaluation hospitals, thrombectomy rates increased from 2.3% before implementation to 4.6% afterwards. At comparison hospitals, rates also increased, from 1.6% to 2.6%. AI-supported pathways were additionally associated with a 64-minute reduction in door-in-door-out time at primary stroke centres.</w:t>
      </w:r>
    </w:p>
    <w:p w14:paraId="10F3A684" w14:textId="37348B06" w:rsidR="00B90F8C" w:rsidRPr="006B0C33" w:rsidRDefault="00B90F8C" w:rsidP="00347A42">
      <w:pPr>
        <w:pStyle w:val="NormalWeb"/>
        <w:spacing w:line="360" w:lineRule="auto"/>
        <w:rPr>
          <w:rFonts w:ascii="Arial" w:hAnsi="Arial" w:cs="Arial"/>
          <w:sz w:val="22"/>
          <w:szCs w:val="22"/>
        </w:rPr>
      </w:pPr>
      <w:r w:rsidRPr="006B0C33">
        <w:rPr>
          <w:rFonts w:ascii="Arial" w:hAnsi="Arial" w:cs="Arial"/>
          <w:sz w:val="22"/>
          <w:szCs w:val="22"/>
        </w:rPr>
        <w:t xml:space="preserve">The comparison is important because it demonstrates that improvements were occurring beyond the evaluation sites. Changes in clinical practice, national stroke </w:t>
      </w:r>
      <w:r w:rsidR="004139FD" w:rsidRPr="006B0C33">
        <w:rPr>
          <w:rFonts w:ascii="Arial" w:hAnsi="Arial" w:cs="Arial"/>
          <w:sz w:val="22"/>
          <w:szCs w:val="22"/>
        </w:rPr>
        <w:t>pathways,</w:t>
      </w:r>
      <w:r w:rsidRPr="006B0C33">
        <w:rPr>
          <w:rFonts w:ascii="Arial" w:hAnsi="Arial" w:cs="Arial"/>
          <w:sz w:val="22"/>
          <w:szCs w:val="22"/>
        </w:rPr>
        <w:t xml:space="preserve"> and access to thrombectomy may also have contributed. Although the findings support an association between AI implementation and improved service performance, the observational design cannot establish that Brainomix alone caused these changes. Its strength is therefore its potential to enable more effective pathways, rather than a guarantee of improved outcomes.</w:t>
      </w:r>
    </w:p>
    <w:p w14:paraId="7D99E37B" w14:textId="4510AB01" w:rsidR="001239EB" w:rsidRPr="006B0C33" w:rsidRDefault="00F00394" w:rsidP="00347A42">
      <w:pPr>
        <w:spacing w:line="360" w:lineRule="auto"/>
        <w:rPr>
          <w:rFonts w:ascii="Arial" w:hAnsi="Arial" w:cs="Arial"/>
          <w:b/>
          <w:bCs/>
          <w:sz w:val="22"/>
          <w:szCs w:val="22"/>
        </w:rPr>
      </w:pPr>
      <w:r w:rsidRPr="006B0C33">
        <w:rPr>
          <w:rFonts w:ascii="Arial" w:hAnsi="Arial" w:cs="Arial"/>
          <w:b/>
          <w:bCs/>
          <w:sz w:val="22"/>
          <w:szCs w:val="22"/>
        </w:rPr>
        <w:t xml:space="preserve">Weaknesses </w:t>
      </w:r>
    </w:p>
    <w:p w14:paraId="78EC6D87" w14:textId="6BD9936C" w:rsidR="00F00394" w:rsidRPr="006B0C33" w:rsidRDefault="00F00394" w:rsidP="00347A42">
      <w:pPr>
        <w:spacing w:line="360" w:lineRule="auto"/>
        <w:rPr>
          <w:rFonts w:ascii="Arial" w:hAnsi="Arial" w:cs="Arial"/>
          <w:b/>
          <w:bCs/>
          <w:sz w:val="22"/>
          <w:szCs w:val="22"/>
        </w:rPr>
      </w:pPr>
      <w:r w:rsidRPr="006B0C33">
        <w:rPr>
          <w:rFonts w:ascii="Arial" w:hAnsi="Arial" w:cs="Arial"/>
          <w:b/>
          <w:bCs/>
          <w:sz w:val="22"/>
          <w:szCs w:val="22"/>
        </w:rPr>
        <w:t>Workforce</w:t>
      </w:r>
    </w:p>
    <w:p w14:paraId="20E70763" w14:textId="77777777" w:rsidR="00D07834" w:rsidRPr="006B0C33" w:rsidRDefault="00D07834" w:rsidP="00347A42">
      <w:pPr>
        <w:pStyle w:val="NormalWeb"/>
        <w:spacing w:line="360" w:lineRule="auto"/>
        <w:rPr>
          <w:rFonts w:ascii="Arial" w:hAnsi="Arial" w:cs="Arial"/>
          <w:sz w:val="22"/>
          <w:szCs w:val="22"/>
        </w:rPr>
      </w:pPr>
      <w:r w:rsidRPr="006B0C33">
        <w:rPr>
          <w:rFonts w:ascii="Arial" w:hAnsi="Arial" w:cs="Arial"/>
          <w:sz w:val="22"/>
          <w:szCs w:val="22"/>
        </w:rPr>
        <w:t>A key weakness is that Brainomix introduces new responsibilities rather than removing the need for clinical expertise. Staff must interpret AI outputs alongside clinical presentation and conventional imaging. When results conflict with professional judgement, clinicians may face additional cognitive and accountability pressures.</w:t>
      </w:r>
    </w:p>
    <w:p w14:paraId="5A1321ED" w14:textId="06027FE4" w:rsidR="00D07834" w:rsidRPr="006B0C33" w:rsidRDefault="00D07834" w:rsidP="00347A42">
      <w:pPr>
        <w:pStyle w:val="NormalWeb"/>
        <w:spacing w:line="360" w:lineRule="auto"/>
        <w:rPr>
          <w:rFonts w:ascii="Arial" w:hAnsi="Arial" w:cs="Arial"/>
          <w:sz w:val="22"/>
          <w:szCs w:val="22"/>
        </w:rPr>
      </w:pPr>
      <w:r w:rsidRPr="006B0C33">
        <w:rPr>
          <w:rFonts w:ascii="Arial" w:hAnsi="Arial" w:cs="Arial"/>
          <w:sz w:val="22"/>
          <w:szCs w:val="22"/>
        </w:rPr>
        <w:lastRenderedPageBreak/>
        <w:t xml:space="preserve">Automation bias is another concern: professionals may place excessive confidence in automated recommendations. As Mallon et al. (2024) identified variation in the accuracy of different imaging functions, uncritical reliance could influence treatment or transfer decisions. Faster analysis is not necessarily more accurate analysis. Therefore, staff need training to question outputs, compare them with other clinical </w:t>
      </w:r>
      <w:r w:rsidR="004139FD" w:rsidRPr="006B0C33">
        <w:rPr>
          <w:rFonts w:ascii="Arial" w:hAnsi="Arial" w:cs="Arial"/>
          <w:sz w:val="22"/>
          <w:szCs w:val="22"/>
        </w:rPr>
        <w:t>findings,</w:t>
      </w:r>
      <w:r w:rsidRPr="006B0C33">
        <w:rPr>
          <w:rFonts w:ascii="Arial" w:hAnsi="Arial" w:cs="Arial"/>
          <w:sz w:val="22"/>
          <w:szCs w:val="22"/>
        </w:rPr>
        <w:t xml:space="preserve"> and retain responsibility for decisions.</w:t>
      </w:r>
    </w:p>
    <w:p w14:paraId="2B096D72" w14:textId="77777777" w:rsidR="00D07834" w:rsidRPr="006B0C33" w:rsidRDefault="00D07834" w:rsidP="00347A42">
      <w:pPr>
        <w:pStyle w:val="NormalWeb"/>
        <w:spacing w:line="360" w:lineRule="auto"/>
        <w:rPr>
          <w:rFonts w:ascii="Arial" w:hAnsi="Arial" w:cs="Arial"/>
          <w:sz w:val="22"/>
          <w:szCs w:val="22"/>
        </w:rPr>
      </w:pPr>
      <w:r w:rsidRPr="006B0C33">
        <w:rPr>
          <w:rFonts w:ascii="Arial" w:hAnsi="Arial" w:cs="Arial"/>
          <w:sz w:val="22"/>
          <w:szCs w:val="22"/>
        </w:rPr>
        <w:t>Training also requires staff time and resources. If professionals lack confidence or technical support, they may need to verify outputs repeatedly, troubleshoot failures or duplicate existing processes. Consequently, the expected efficiency gains may not materialise. The weakness is not that Brainomix inevitably increases workload, but that its effectiveness depends on workforce readiness and appropriate clinical governance.</w:t>
      </w:r>
    </w:p>
    <w:p w14:paraId="76156CEB" w14:textId="10F64ECF" w:rsidR="00D65FA5" w:rsidRPr="006B0C33" w:rsidRDefault="008D53DA" w:rsidP="00347A42">
      <w:pPr>
        <w:spacing w:line="360" w:lineRule="auto"/>
        <w:rPr>
          <w:rFonts w:ascii="Arial" w:hAnsi="Arial" w:cs="Arial"/>
          <w:b/>
          <w:bCs/>
          <w:sz w:val="22"/>
          <w:szCs w:val="22"/>
        </w:rPr>
      </w:pPr>
      <w:r w:rsidRPr="006B0C33">
        <w:rPr>
          <w:rFonts w:ascii="Arial" w:hAnsi="Arial" w:cs="Arial"/>
          <w:b/>
          <w:bCs/>
          <w:sz w:val="22"/>
          <w:szCs w:val="22"/>
        </w:rPr>
        <w:t xml:space="preserve">Service Delivery </w:t>
      </w:r>
    </w:p>
    <w:p w14:paraId="35A719A2" w14:textId="77777777" w:rsidR="00C941F1" w:rsidRPr="006B0C33" w:rsidRDefault="00C941F1" w:rsidP="00347A42">
      <w:pPr>
        <w:pStyle w:val="NormalWeb"/>
        <w:spacing w:line="360" w:lineRule="auto"/>
        <w:rPr>
          <w:rFonts w:ascii="Arial" w:hAnsi="Arial" w:cs="Arial"/>
          <w:sz w:val="22"/>
          <w:szCs w:val="22"/>
        </w:rPr>
      </w:pPr>
      <w:r w:rsidRPr="006B0C33">
        <w:rPr>
          <w:rFonts w:ascii="Arial" w:hAnsi="Arial" w:cs="Arial"/>
          <w:sz w:val="22"/>
          <w:szCs w:val="22"/>
        </w:rPr>
        <w:t>Brainomix is not completely reliable in every case. Although 97.2% of studies were successfully processed in the Mallon et al. (2024) evaluation, some were unsuccessful. Technical problems or unsuitable image quality may prevent analysis. Stroke services must therefore maintain an alternative pathway that allows clinical assessment to continue without waiting for an AI result.</w:t>
      </w:r>
    </w:p>
    <w:p w14:paraId="668F2EF2" w14:textId="72552EF8" w:rsidR="00C941F1" w:rsidRPr="006B0C33" w:rsidRDefault="00C941F1" w:rsidP="00347A42">
      <w:pPr>
        <w:pStyle w:val="NormalWeb"/>
        <w:spacing w:line="360" w:lineRule="auto"/>
        <w:rPr>
          <w:rFonts w:ascii="Arial" w:hAnsi="Arial" w:cs="Arial"/>
          <w:sz w:val="22"/>
          <w:szCs w:val="22"/>
        </w:rPr>
      </w:pPr>
      <w:r w:rsidRPr="006B0C33">
        <w:rPr>
          <w:rFonts w:ascii="Arial" w:hAnsi="Arial" w:cs="Arial"/>
          <w:sz w:val="22"/>
          <w:szCs w:val="22"/>
        </w:rPr>
        <w:t xml:space="preserve">Interoperability presents a further weakness. The software must work alongside existing imaging systems, clinical </w:t>
      </w:r>
      <w:r w:rsidR="004139FD" w:rsidRPr="006B0C33">
        <w:rPr>
          <w:rFonts w:ascii="Arial" w:hAnsi="Arial" w:cs="Arial"/>
          <w:sz w:val="22"/>
          <w:szCs w:val="22"/>
        </w:rPr>
        <w:t>records,</w:t>
      </w:r>
      <w:r w:rsidRPr="006B0C33">
        <w:rPr>
          <w:rFonts w:ascii="Arial" w:hAnsi="Arial" w:cs="Arial"/>
          <w:sz w:val="22"/>
          <w:szCs w:val="22"/>
        </w:rPr>
        <w:t xml:space="preserve"> and communication processes. Poor integration could require staff to transfer or retrieve information manually, undermining potential time savings. This illustrates why software performance alone is insufficient to demonstrate service effectiveness: benefits depend on the wider infrastructure.</w:t>
      </w:r>
    </w:p>
    <w:p w14:paraId="1E08E49D" w14:textId="708A6CA6" w:rsidR="00C941F1" w:rsidRPr="006B0C33" w:rsidRDefault="00C941F1" w:rsidP="00347A42">
      <w:pPr>
        <w:pStyle w:val="NormalWeb"/>
        <w:spacing w:line="360" w:lineRule="auto"/>
        <w:rPr>
          <w:rFonts w:ascii="Arial" w:hAnsi="Arial" w:cs="Arial"/>
          <w:sz w:val="22"/>
          <w:szCs w:val="22"/>
        </w:rPr>
      </w:pPr>
      <w:r w:rsidRPr="006B0C33">
        <w:rPr>
          <w:rFonts w:ascii="Arial" w:hAnsi="Arial" w:cs="Arial"/>
          <w:sz w:val="22"/>
          <w:szCs w:val="22"/>
        </w:rPr>
        <w:t xml:space="preserve">Cost also requires consideration. NICE (2024) identifies approximate annual licence costs of £30,000 for a comprehensive stroke centre and £15,000 for an acute stroke centre. These fees do not necessarily represent the total cost of implementation, which may include training, infrastructure, technical support, </w:t>
      </w:r>
      <w:r w:rsidR="004139FD" w:rsidRPr="006B0C33">
        <w:rPr>
          <w:rFonts w:ascii="Arial" w:hAnsi="Arial" w:cs="Arial"/>
          <w:sz w:val="22"/>
          <w:szCs w:val="22"/>
        </w:rPr>
        <w:t>maintenance,</w:t>
      </w:r>
      <w:r w:rsidRPr="006B0C33">
        <w:rPr>
          <w:rFonts w:ascii="Arial" w:hAnsi="Arial" w:cs="Arial"/>
          <w:sz w:val="22"/>
          <w:szCs w:val="22"/>
        </w:rPr>
        <w:t xml:space="preserve"> and staff time. Service managers must therefore evaluate total cost of ownership against measurable improvements rather than assuming that clinical potential automatically represents value for money.</w:t>
      </w:r>
    </w:p>
    <w:p w14:paraId="17EEFA66" w14:textId="3F234F77" w:rsidR="00593711" w:rsidRPr="006B0C33" w:rsidRDefault="007D3810" w:rsidP="00347A42">
      <w:pPr>
        <w:pStyle w:val="NormalWeb"/>
        <w:spacing w:line="360" w:lineRule="auto"/>
        <w:rPr>
          <w:rFonts w:ascii="Arial" w:hAnsi="Arial" w:cs="Arial"/>
          <w:b/>
          <w:bCs/>
          <w:sz w:val="22"/>
          <w:szCs w:val="22"/>
        </w:rPr>
      </w:pPr>
      <w:r w:rsidRPr="006B0C33">
        <w:rPr>
          <w:rFonts w:ascii="Arial" w:hAnsi="Arial" w:cs="Arial"/>
          <w:b/>
          <w:bCs/>
          <w:sz w:val="22"/>
          <w:szCs w:val="22"/>
        </w:rPr>
        <w:t>Op</w:t>
      </w:r>
      <w:r w:rsidR="00593711" w:rsidRPr="006B0C33">
        <w:rPr>
          <w:rFonts w:ascii="Arial" w:hAnsi="Arial" w:cs="Arial"/>
          <w:b/>
          <w:bCs/>
          <w:sz w:val="22"/>
          <w:szCs w:val="22"/>
        </w:rPr>
        <w:t xml:space="preserve">portunities </w:t>
      </w:r>
    </w:p>
    <w:p w14:paraId="18469DB2" w14:textId="01EBFE3F" w:rsidR="00593711" w:rsidRPr="006B0C33" w:rsidRDefault="00593711" w:rsidP="00347A42">
      <w:pPr>
        <w:pStyle w:val="NormalWeb"/>
        <w:spacing w:line="360" w:lineRule="auto"/>
        <w:rPr>
          <w:rFonts w:ascii="Arial" w:hAnsi="Arial" w:cs="Arial"/>
          <w:b/>
          <w:bCs/>
          <w:sz w:val="22"/>
          <w:szCs w:val="22"/>
        </w:rPr>
      </w:pPr>
      <w:r w:rsidRPr="006B0C33">
        <w:rPr>
          <w:rFonts w:ascii="Arial" w:hAnsi="Arial" w:cs="Arial"/>
          <w:b/>
          <w:bCs/>
          <w:sz w:val="22"/>
          <w:szCs w:val="22"/>
        </w:rPr>
        <w:t>Workforce</w:t>
      </w:r>
    </w:p>
    <w:p w14:paraId="07051887" w14:textId="26D9F509" w:rsidR="00AC6318" w:rsidRPr="006B0C33" w:rsidRDefault="00AC6318" w:rsidP="00347A42">
      <w:pPr>
        <w:pStyle w:val="NormalWeb"/>
        <w:spacing w:line="360" w:lineRule="auto"/>
        <w:rPr>
          <w:rFonts w:ascii="Arial" w:hAnsi="Arial" w:cs="Arial"/>
          <w:sz w:val="22"/>
          <w:szCs w:val="22"/>
        </w:rPr>
      </w:pPr>
      <w:r w:rsidRPr="006B0C33">
        <w:rPr>
          <w:rFonts w:ascii="Arial" w:hAnsi="Arial" w:cs="Arial"/>
          <w:sz w:val="22"/>
          <w:szCs w:val="22"/>
        </w:rPr>
        <w:lastRenderedPageBreak/>
        <w:t xml:space="preserve">Brainomix provides an opportunity to develop workforce AI literacy. Role-specific training could help clinicians interpret outputs, recognise limitations, identify potential </w:t>
      </w:r>
      <w:r w:rsidR="004139FD" w:rsidRPr="006B0C33">
        <w:rPr>
          <w:rFonts w:ascii="Arial" w:hAnsi="Arial" w:cs="Arial"/>
          <w:sz w:val="22"/>
          <w:szCs w:val="22"/>
        </w:rPr>
        <w:t>errors,</w:t>
      </w:r>
      <w:r w:rsidRPr="006B0C33">
        <w:rPr>
          <w:rFonts w:ascii="Arial" w:hAnsi="Arial" w:cs="Arial"/>
          <w:sz w:val="22"/>
          <w:szCs w:val="22"/>
        </w:rPr>
        <w:t xml:space="preserve"> and understand professional accountability. This would encourage safe use rather than dependence on automated recommendations.</w:t>
      </w:r>
    </w:p>
    <w:p w14:paraId="698AACE3" w14:textId="3704BCE4" w:rsidR="00AC6318" w:rsidRPr="006B0C33" w:rsidRDefault="00AC6318" w:rsidP="00347A42">
      <w:pPr>
        <w:pStyle w:val="NormalWeb"/>
        <w:spacing w:line="360" w:lineRule="auto"/>
        <w:rPr>
          <w:rFonts w:ascii="Arial" w:hAnsi="Arial" w:cs="Arial"/>
          <w:sz w:val="22"/>
          <w:szCs w:val="22"/>
        </w:rPr>
      </w:pPr>
      <w:r w:rsidRPr="006B0C33">
        <w:rPr>
          <w:rFonts w:ascii="Arial" w:hAnsi="Arial" w:cs="Arial"/>
          <w:sz w:val="22"/>
          <w:szCs w:val="22"/>
        </w:rPr>
        <w:t xml:space="preserve">This opportunity aligns with </w:t>
      </w:r>
      <w:r w:rsidRPr="006B0C33">
        <w:rPr>
          <w:rStyle w:val="Emphasis"/>
          <w:rFonts w:ascii="Arial" w:hAnsi="Arial" w:cs="Arial"/>
          <w:i w:val="0"/>
          <w:iCs w:val="0"/>
          <w:sz w:val="22"/>
          <w:szCs w:val="22"/>
        </w:rPr>
        <w:t>A plan for digital health and social care</w:t>
      </w:r>
      <w:r w:rsidRPr="006B0C33">
        <w:rPr>
          <w:rFonts w:ascii="Arial" w:hAnsi="Arial" w:cs="Arial"/>
          <w:sz w:val="22"/>
          <w:szCs w:val="22"/>
        </w:rPr>
        <w:t xml:space="preserve">, which identifies digital skills, workforce </w:t>
      </w:r>
      <w:r w:rsidR="004139FD" w:rsidRPr="006B0C33">
        <w:rPr>
          <w:rFonts w:ascii="Arial" w:hAnsi="Arial" w:cs="Arial"/>
          <w:sz w:val="22"/>
          <w:szCs w:val="22"/>
        </w:rPr>
        <w:t>capability,</w:t>
      </w:r>
      <w:r w:rsidRPr="006B0C33">
        <w:rPr>
          <w:rFonts w:ascii="Arial" w:hAnsi="Arial" w:cs="Arial"/>
          <w:sz w:val="22"/>
          <w:szCs w:val="22"/>
        </w:rPr>
        <w:t xml:space="preserve"> and connected systems as important foundations for transformation (Department of Health and Social Care and N</w:t>
      </w:r>
      <w:r w:rsidR="00693669" w:rsidRPr="006B0C33">
        <w:rPr>
          <w:rFonts w:ascii="Arial" w:hAnsi="Arial" w:cs="Arial"/>
          <w:sz w:val="22"/>
          <w:szCs w:val="22"/>
        </w:rPr>
        <w:t>a</w:t>
      </w:r>
      <w:r w:rsidR="00D9191E" w:rsidRPr="006B0C33">
        <w:rPr>
          <w:rFonts w:ascii="Arial" w:hAnsi="Arial" w:cs="Arial"/>
          <w:sz w:val="22"/>
          <w:szCs w:val="22"/>
        </w:rPr>
        <w:t xml:space="preserve">tional </w:t>
      </w:r>
      <w:r w:rsidRPr="006B0C33">
        <w:rPr>
          <w:rFonts w:ascii="Arial" w:hAnsi="Arial" w:cs="Arial"/>
          <w:sz w:val="22"/>
          <w:szCs w:val="22"/>
        </w:rPr>
        <w:t>H</w:t>
      </w:r>
      <w:r w:rsidR="00D9191E" w:rsidRPr="006B0C33">
        <w:rPr>
          <w:rFonts w:ascii="Arial" w:hAnsi="Arial" w:cs="Arial"/>
          <w:sz w:val="22"/>
          <w:szCs w:val="22"/>
        </w:rPr>
        <w:t xml:space="preserve">ealth </w:t>
      </w:r>
      <w:r w:rsidRPr="006B0C33">
        <w:rPr>
          <w:rFonts w:ascii="Arial" w:hAnsi="Arial" w:cs="Arial"/>
          <w:sz w:val="22"/>
          <w:szCs w:val="22"/>
        </w:rPr>
        <w:t>S</w:t>
      </w:r>
      <w:r w:rsidR="00D9191E" w:rsidRPr="006B0C33">
        <w:rPr>
          <w:rFonts w:ascii="Arial" w:hAnsi="Arial" w:cs="Arial"/>
          <w:sz w:val="22"/>
          <w:szCs w:val="22"/>
        </w:rPr>
        <w:t>ervice</w:t>
      </w:r>
      <w:r w:rsidRPr="006B0C33">
        <w:rPr>
          <w:rFonts w:ascii="Arial" w:hAnsi="Arial" w:cs="Arial"/>
          <w:sz w:val="22"/>
          <w:szCs w:val="22"/>
        </w:rPr>
        <w:t xml:space="preserve"> England, 2022). The N</w:t>
      </w:r>
      <w:r w:rsidR="00D9191E" w:rsidRPr="006B0C33">
        <w:rPr>
          <w:rFonts w:ascii="Arial" w:hAnsi="Arial" w:cs="Arial"/>
          <w:sz w:val="22"/>
          <w:szCs w:val="22"/>
        </w:rPr>
        <w:t xml:space="preserve">ational </w:t>
      </w:r>
      <w:r w:rsidRPr="006B0C33">
        <w:rPr>
          <w:rFonts w:ascii="Arial" w:hAnsi="Arial" w:cs="Arial"/>
          <w:sz w:val="22"/>
          <w:szCs w:val="22"/>
        </w:rPr>
        <w:t>H</w:t>
      </w:r>
      <w:r w:rsidR="00D9191E" w:rsidRPr="006B0C33">
        <w:rPr>
          <w:rFonts w:ascii="Arial" w:hAnsi="Arial" w:cs="Arial"/>
          <w:sz w:val="22"/>
          <w:szCs w:val="22"/>
        </w:rPr>
        <w:t xml:space="preserve">ealth </w:t>
      </w:r>
      <w:r w:rsidRPr="006B0C33">
        <w:rPr>
          <w:rFonts w:ascii="Arial" w:hAnsi="Arial" w:cs="Arial"/>
          <w:sz w:val="22"/>
          <w:szCs w:val="22"/>
        </w:rPr>
        <w:t>S</w:t>
      </w:r>
      <w:r w:rsidR="00D9191E" w:rsidRPr="006B0C33">
        <w:rPr>
          <w:rFonts w:ascii="Arial" w:hAnsi="Arial" w:cs="Arial"/>
          <w:sz w:val="22"/>
          <w:szCs w:val="22"/>
        </w:rPr>
        <w:t>ervice</w:t>
      </w:r>
      <w:r w:rsidRPr="006B0C33">
        <w:rPr>
          <w:rFonts w:ascii="Arial" w:hAnsi="Arial" w:cs="Arial"/>
          <w:sz w:val="22"/>
          <w:szCs w:val="22"/>
        </w:rPr>
        <w:t xml:space="preserve"> England </w:t>
      </w:r>
      <w:r w:rsidRPr="006B0C33">
        <w:rPr>
          <w:rStyle w:val="Emphasis"/>
          <w:rFonts w:ascii="Arial" w:hAnsi="Arial" w:cs="Arial"/>
          <w:i w:val="0"/>
          <w:iCs w:val="0"/>
          <w:sz w:val="22"/>
          <w:szCs w:val="22"/>
        </w:rPr>
        <w:t>What Good Looks Like</w:t>
      </w:r>
      <w:r w:rsidRPr="006B0C33">
        <w:rPr>
          <w:rFonts w:ascii="Arial" w:hAnsi="Arial" w:cs="Arial"/>
          <w:sz w:val="22"/>
          <w:szCs w:val="22"/>
        </w:rPr>
        <w:t xml:space="preserve"> framework also emphasises the organisational capabilities required to digitise, </w:t>
      </w:r>
      <w:r w:rsidR="00A92C46" w:rsidRPr="006B0C33">
        <w:rPr>
          <w:rFonts w:ascii="Arial" w:hAnsi="Arial" w:cs="Arial"/>
          <w:sz w:val="22"/>
          <w:szCs w:val="22"/>
        </w:rPr>
        <w:t>connect,</w:t>
      </w:r>
      <w:r w:rsidRPr="006B0C33">
        <w:rPr>
          <w:rFonts w:ascii="Arial" w:hAnsi="Arial" w:cs="Arial"/>
          <w:sz w:val="22"/>
          <w:szCs w:val="22"/>
        </w:rPr>
        <w:t xml:space="preserve"> and transform services safely (N</w:t>
      </w:r>
      <w:r w:rsidR="00D9191E" w:rsidRPr="006B0C33">
        <w:rPr>
          <w:rFonts w:ascii="Arial" w:hAnsi="Arial" w:cs="Arial"/>
          <w:sz w:val="22"/>
          <w:szCs w:val="22"/>
        </w:rPr>
        <w:t xml:space="preserve">ational </w:t>
      </w:r>
      <w:r w:rsidRPr="006B0C33">
        <w:rPr>
          <w:rFonts w:ascii="Arial" w:hAnsi="Arial" w:cs="Arial"/>
          <w:sz w:val="22"/>
          <w:szCs w:val="22"/>
        </w:rPr>
        <w:t>H</w:t>
      </w:r>
      <w:r w:rsidR="00D9191E" w:rsidRPr="006B0C33">
        <w:rPr>
          <w:rFonts w:ascii="Arial" w:hAnsi="Arial" w:cs="Arial"/>
          <w:sz w:val="22"/>
          <w:szCs w:val="22"/>
        </w:rPr>
        <w:t xml:space="preserve">ealth </w:t>
      </w:r>
      <w:r w:rsidRPr="006B0C33">
        <w:rPr>
          <w:rFonts w:ascii="Arial" w:hAnsi="Arial" w:cs="Arial"/>
          <w:sz w:val="22"/>
          <w:szCs w:val="22"/>
        </w:rPr>
        <w:t>S</w:t>
      </w:r>
      <w:r w:rsidR="00D9191E" w:rsidRPr="006B0C33">
        <w:rPr>
          <w:rFonts w:ascii="Arial" w:hAnsi="Arial" w:cs="Arial"/>
          <w:sz w:val="22"/>
          <w:szCs w:val="22"/>
        </w:rPr>
        <w:t>ervice</w:t>
      </w:r>
      <w:r w:rsidRPr="006B0C33">
        <w:rPr>
          <w:rFonts w:ascii="Arial" w:hAnsi="Arial" w:cs="Arial"/>
          <w:sz w:val="22"/>
          <w:szCs w:val="22"/>
        </w:rPr>
        <w:t xml:space="preserve"> England, 2021). Brainomix could contribute to these ambitions if training and clinical oversight are built into implementation rather than treated as optional additions.</w:t>
      </w:r>
    </w:p>
    <w:p w14:paraId="08176300" w14:textId="60610CAC" w:rsidR="00AC6318" w:rsidRPr="006B0C33" w:rsidRDefault="00AC6318" w:rsidP="00347A42">
      <w:pPr>
        <w:pStyle w:val="NormalWeb"/>
        <w:spacing w:line="360" w:lineRule="auto"/>
        <w:rPr>
          <w:rFonts w:ascii="Arial" w:hAnsi="Arial" w:cs="Arial"/>
          <w:sz w:val="22"/>
          <w:szCs w:val="22"/>
        </w:rPr>
      </w:pPr>
      <w:r w:rsidRPr="006B0C33">
        <w:rPr>
          <w:rFonts w:ascii="Arial" w:hAnsi="Arial" w:cs="Arial"/>
          <w:sz w:val="22"/>
          <w:szCs w:val="22"/>
        </w:rPr>
        <w:t xml:space="preserve">There is also potential to strengthen multidisciplinary working. Emergency clinicians, stroke physicians, radiologists, nurses, transfer </w:t>
      </w:r>
      <w:r w:rsidR="00A92C46" w:rsidRPr="006B0C33">
        <w:rPr>
          <w:rFonts w:ascii="Arial" w:hAnsi="Arial" w:cs="Arial"/>
          <w:sz w:val="22"/>
          <w:szCs w:val="22"/>
        </w:rPr>
        <w:t>teams,</w:t>
      </w:r>
      <w:r w:rsidRPr="006B0C33">
        <w:rPr>
          <w:rFonts w:ascii="Arial" w:hAnsi="Arial" w:cs="Arial"/>
          <w:sz w:val="22"/>
          <w:szCs w:val="22"/>
        </w:rPr>
        <w:t xml:space="preserve"> and specialist centres all contribute to stroke pathways. Rapid access to imaging information may improve shared decision-making. Nevertheless, digital access does not automatically produce effective teamwork. Clear responsibilities, staff </w:t>
      </w:r>
      <w:r w:rsidR="00A92C46" w:rsidRPr="006B0C33">
        <w:rPr>
          <w:rFonts w:ascii="Arial" w:hAnsi="Arial" w:cs="Arial"/>
          <w:sz w:val="22"/>
          <w:szCs w:val="22"/>
        </w:rPr>
        <w:t>engagement,</w:t>
      </w:r>
      <w:r w:rsidRPr="006B0C33">
        <w:rPr>
          <w:rFonts w:ascii="Arial" w:hAnsi="Arial" w:cs="Arial"/>
          <w:sz w:val="22"/>
          <w:szCs w:val="22"/>
        </w:rPr>
        <w:t xml:space="preserve"> and compatible working practices remain necessary.</w:t>
      </w:r>
    </w:p>
    <w:p w14:paraId="41D36CB0" w14:textId="1FDCF7B2" w:rsidR="00AD3242" w:rsidRPr="006B0C33" w:rsidRDefault="00AD3242" w:rsidP="00347A42">
      <w:pPr>
        <w:pStyle w:val="NormalWeb"/>
        <w:spacing w:line="360" w:lineRule="auto"/>
        <w:rPr>
          <w:rFonts w:ascii="Arial" w:hAnsi="Arial" w:cs="Arial"/>
          <w:b/>
          <w:bCs/>
          <w:sz w:val="22"/>
          <w:szCs w:val="22"/>
        </w:rPr>
      </w:pPr>
      <w:r w:rsidRPr="006B0C33">
        <w:rPr>
          <w:rFonts w:ascii="Arial" w:hAnsi="Arial" w:cs="Arial"/>
          <w:b/>
          <w:bCs/>
          <w:sz w:val="22"/>
          <w:szCs w:val="22"/>
        </w:rPr>
        <w:t>Ser</w:t>
      </w:r>
      <w:r w:rsidR="00A736E8" w:rsidRPr="006B0C33">
        <w:rPr>
          <w:rFonts w:ascii="Arial" w:hAnsi="Arial" w:cs="Arial"/>
          <w:b/>
          <w:bCs/>
          <w:sz w:val="22"/>
          <w:szCs w:val="22"/>
        </w:rPr>
        <w:t xml:space="preserve">vice Delivery </w:t>
      </w:r>
    </w:p>
    <w:p w14:paraId="4BA7F243" w14:textId="49C0C47A" w:rsidR="00DB5BE0" w:rsidRPr="006B0C33" w:rsidRDefault="00DB5BE0" w:rsidP="00347A42">
      <w:pPr>
        <w:pStyle w:val="NormalWeb"/>
        <w:spacing w:line="360" w:lineRule="auto"/>
        <w:rPr>
          <w:rFonts w:ascii="Arial" w:hAnsi="Arial" w:cs="Arial"/>
          <w:sz w:val="22"/>
          <w:szCs w:val="22"/>
        </w:rPr>
      </w:pPr>
      <w:r w:rsidRPr="006B0C33">
        <w:rPr>
          <w:rFonts w:ascii="Arial" w:hAnsi="Arial" w:cs="Arial"/>
          <w:sz w:val="22"/>
          <w:szCs w:val="22"/>
        </w:rPr>
        <w:t>A major opportunity is the development of more integrated regional stroke pathways. Brainomix can help primary stroke centres identify patients who may require specialist assessment for thrombectomy, potentially supporting earlier transfer decisions. This is consistent with national ambitions to use digital technology and connected information to improve service coordination (Department of Health and Social Care and N</w:t>
      </w:r>
      <w:r w:rsidR="000D305D" w:rsidRPr="006B0C33">
        <w:rPr>
          <w:rFonts w:ascii="Arial" w:hAnsi="Arial" w:cs="Arial"/>
          <w:sz w:val="22"/>
          <w:szCs w:val="22"/>
        </w:rPr>
        <w:t xml:space="preserve">ational </w:t>
      </w:r>
      <w:r w:rsidRPr="006B0C33">
        <w:rPr>
          <w:rFonts w:ascii="Arial" w:hAnsi="Arial" w:cs="Arial"/>
          <w:sz w:val="22"/>
          <w:szCs w:val="22"/>
        </w:rPr>
        <w:t>H</w:t>
      </w:r>
      <w:r w:rsidR="000D305D" w:rsidRPr="006B0C33">
        <w:rPr>
          <w:rFonts w:ascii="Arial" w:hAnsi="Arial" w:cs="Arial"/>
          <w:sz w:val="22"/>
          <w:szCs w:val="22"/>
        </w:rPr>
        <w:t xml:space="preserve">ealth </w:t>
      </w:r>
      <w:r w:rsidRPr="006B0C33">
        <w:rPr>
          <w:rFonts w:ascii="Arial" w:hAnsi="Arial" w:cs="Arial"/>
          <w:sz w:val="22"/>
          <w:szCs w:val="22"/>
        </w:rPr>
        <w:t>S</w:t>
      </w:r>
      <w:r w:rsidR="000D305D" w:rsidRPr="006B0C33">
        <w:rPr>
          <w:rFonts w:ascii="Arial" w:hAnsi="Arial" w:cs="Arial"/>
          <w:sz w:val="22"/>
          <w:szCs w:val="22"/>
        </w:rPr>
        <w:t xml:space="preserve">ervice </w:t>
      </w:r>
      <w:r w:rsidRPr="006B0C33">
        <w:rPr>
          <w:rFonts w:ascii="Arial" w:hAnsi="Arial" w:cs="Arial"/>
          <w:sz w:val="22"/>
          <w:szCs w:val="22"/>
        </w:rPr>
        <w:t>England, 2022).</w:t>
      </w:r>
    </w:p>
    <w:p w14:paraId="0505C98A" w14:textId="28AA0E7C" w:rsidR="00DB5BE0" w:rsidRPr="006B0C33" w:rsidRDefault="00DB5BE0" w:rsidP="00347A42">
      <w:pPr>
        <w:pStyle w:val="NormalWeb"/>
        <w:spacing w:line="360" w:lineRule="auto"/>
        <w:rPr>
          <w:rFonts w:ascii="Arial" w:hAnsi="Arial" w:cs="Arial"/>
          <w:sz w:val="22"/>
          <w:szCs w:val="22"/>
        </w:rPr>
      </w:pPr>
      <w:r w:rsidRPr="006B0C33">
        <w:rPr>
          <w:rFonts w:ascii="Arial" w:hAnsi="Arial" w:cs="Arial"/>
          <w:sz w:val="22"/>
          <w:szCs w:val="22"/>
        </w:rPr>
        <w:t xml:space="preserve">Nagaratnam et al. (2025) provide evidence that this opportunity may be meaningful through the observed increases in thrombectomy rates and reductions in transfer times. However, improvements at comparison hospitals mean the software should not be viewed as the sole explanation. Local services need to establish whether benefits are sustained and whether they reflect changes in practice, </w:t>
      </w:r>
      <w:r w:rsidR="00A92C46" w:rsidRPr="006B0C33">
        <w:rPr>
          <w:rFonts w:ascii="Arial" w:hAnsi="Arial" w:cs="Arial"/>
          <w:sz w:val="22"/>
          <w:szCs w:val="22"/>
        </w:rPr>
        <w:t>technology,</w:t>
      </w:r>
      <w:r w:rsidRPr="006B0C33">
        <w:rPr>
          <w:rFonts w:ascii="Arial" w:hAnsi="Arial" w:cs="Arial"/>
          <w:sz w:val="22"/>
          <w:szCs w:val="22"/>
        </w:rPr>
        <w:t xml:space="preserve"> or both.</w:t>
      </w:r>
    </w:p>
    <w:p w14:paraId="4A115467" w14:textId="4EA1877B" w:rsidR="00DB5BE0" w:rsidRPr="006B0C33" w:rsidRDefault="00DB5BE0" w:rsidP="00347A42">
      <w:pPr>
        <w:pStyle w:val="NormalWeb"/>
        <w:spacing w:line="360" w:lineRule="auto"/>
        <w:rPr>
          <w:rFonts w:ascii="Arial" w:hAnsi="Arial" w:cs="Arial"/>
          <w:sz w:val="22"/>
          <w:szCs w:val="22"/>
        </w:rPr>
      </w:pPr>
      <w:r w:rsidRPr="006B0C33">
        <w:rPr>
          <w:rFonts w:ascii="Arial" w:hAnsi="Arial" w:cs="Arial"/>
          <w:sz w:val="22"/>
          <w:szCs w:val="22"/>
        </w:rPr>
        <w:t>Implementation also creates an opportunity for continuous evaluation. N</w:t>
      </w:r>
      <w:r w:rsidR="00810B85" w:rsidRPr="006B0C33">
        <w:rPr>
          <w:rFonts w:ascii="Arial" w:hAnsi="Arial" w:cs="Arial"/>
          <w:sz w:val="22"/>
          <w:szCs w:val="22"/>
        </w:rPr>
        <w:t xml:space="preserve">ational </w:t>
      </w:r>
      <w:r w:rsidRPr="006B0C33">
        <w:rPr>
          <w:rFonts w:ascii="Arial" w:hAnsi="Arial" w:cs="Arial"/>
          <w:sz w:val="22"/>
          <w:szCs w:val="22"/>
        </w:rPr>
        <w:t>H</w:t>
      </w:r>
      <w:r w:rsidR="00810B85" w:rsidRPr="006B0C33">
        <w:rPr>
          <w:rFonts w:ascii="Arial" w:hAnsi="Arial" w:cs="Arial"/>
          <w:sz w:val="22"/>
          <w:szCs w:val="22"/>
        </w:rPr>
        <w:t xml:space="preserve">ealth </w:t>
      </w:r>
      <w:r w:rsidRPr="006B0C33">
        <w:rPr>
          <w:rFonts w:ascii="Arial" w:hAnsi="Arial" w:cs="Arial"/>
          <w:sz w:val="22"/>
          <w:szCs w:val="22"/>
        </w:rPr>
        <w:t>S</w:t>
      </w:r>
      <w:r w:rsidR="00810B85" w:rsidRPr="006B0C33">
        <w:rPr>
          <w:rFonts w:ascii="Arial" w:hAnsi="Arial" w:cs="Arial"/>
          <w:sz w:val="22"/>
          <w:szCs w:val="22"/>
        </w:rPr>
        <w:t xml:space="preserve">ervice </w:t>
      </w:r>
      <w:r w:rsidRPr="006B0C33">
        <w:rPr>
          <w:rFonts w:ascii="Arial" w:hAnsi="Arial" w:cs="Arial"/>
          <w:sz w:val="22"/>
          <w:szCs w:val="22"/>
        </w:rPr>
        <w:t xml:space="preserve">organisations should monitor processing success, transfer times, thrombectomy rates, technical failures, staff </w:t>
      </w:r>
      <w:r w:rsidR="00A92C46" w:rsidRPr="006B0C33">
        <w:rPr>
          <w:rFonts w:ascii="Arial" w:hAnsi="Arial" w:cs="Arial"/>
          <w:sz w:val="22"/>
          <w:szCs w:val="22"/>
        </w:rPr>
        <w:t>experience,</w:t>
      </w:r>
      <w:r w:rsidRPr="006B0C33">
        <w:rPr>
          <w:rFonts w:ascii="Arial" w:hAnsi="Arial" w:cs="Arial"/>
          <w:sz w:val="22"/>
          <w:szCs w:val="22"/>
        </w:rPr>
        <w:t xml:space="preserve"> and relevant patient outcomes. These measures </w:t>
      </w:r>
      <w:r w:rsidRPr="006B0C33">
        <w:rPr>
          <w:rFonts w:ascii="Arial" w:hAnsi="Arial" w:cs="Arial"/>
          <w:sz w:val="22"/>
          <w:szCs w:val="22"/>
        </w:rPr>
        <w:lastRenderedPageBreak/>
        <w:t>would allow services to identify where the software adds value and where further improvement is needed. Wider deployment should therefore be guided by local evidence rather than assumptions that adoption alone guarantees better performance.</w:t>
      </w:r>
    </w:p>
    <w:p w14:paraId="30CBD8DB" w14:textId="5928C68D" w:rsidR="00C740A4" w:rsidRPr="006B0C33" w:rsidRDefault="00C740A4" w:rsidP="00347A42">
      <w:pPr>
        <w:pStyle w:val="NormalWeb"/>
        <w:spacing w:line="360" w:lineRule="auto"/>
        <w:rPr>
          <w:rFonts w:ascii="Arial" w:hAnsi="Arial" w:cs="Arial"/>
          <w:b/>
          <w:bCs/>
          <w:sz w:val="22"/>
          <w:szCs w:val="22"/>
        </w:rPr>
      </w:pPr>
      <w:r w:rsidRPr="006B0C33">
        <w:rPr>
          <w:rFonts w:ascii="Arial" w:hAnsi="Arial" w:cs="Arial"/>
          <w:b/>
          <w:bCs/>
          <w:sz w:val="22"/>
          <w:szCs w:val="22"/>
        </w:rPr>
        <w:t xml:space="preserve">Threats </w:t>
      </w:r>
    </w:p>
    <w:p w14:paraId="662D86EF" w14:textId="531FCE1D" w:rsidR="00263F6D" w:rsidRPr="006B0C33" w:rsidRDefault="00263F6D" w:rsidP="00347A42">
      <w:pPr>
        <w:pStyle w:val="NormalWeb"/>
        <w:spacing w:line="360" w:lineRule="auto"/>
        <w:rPr>
          <w:rFonts w:ascii="Arial" w:hAnsi="Arial" w:cs="Arial"/>
          <w:b/>
          <w:bCs/>
          <w:sz w:val="22"/>
          <w:szCs w:val="22"/>
        </w:rPr>
      </w:pPr>
      <w:r w:rsidRPr="006B0C33">
        <w:rPr>
          <w:rFonts w:ascii="Arial" w:hAnsi="Arial" w:cs="Arial"/>
          <w:b/>
          <w:bCs/>
          <w:sz w:val="22"/>
          <w:szCs w:val="22"/>
        </w:rPr>
        <w:t>Workforce</w:t>
      </w:r>
    </w:p>
    <w:p w14:paraId="3CA3A01B" w14:textId="77777777" w:rsidR="001F7976" w:rsidRPr="006B0C33" w:rsidRDefault="001F7976" w:rsidP="00347A42">
      <w:pPr>
        <w:pStyle w:val="NormalWeb"/>
        <w:spacing w:line="360" w:lineRule="auto"/>
        <w:rPr>
          <w:rFonts w:ascii="Arial" w:hAnsi="Arial" w:cs="Arial"/>
          <w:sz w:val="22"/>
          <w:szCs w:val="22"/>
        </w:rPr>
      </w:pPr>
      <w:r w:rsidRPr="006B0C33">
        <w:rPr>
          <w:rFonts w:ascii="Arial" w:hAnsi="Arial" w:cs="Arial"/>
          <w:sz w:val="22"/>
          <w:szCs w:val="22"/>
        </w:rPr>
        <w:t>Over-reliance on AI remains a significant threat. If staff perceive its outputs as authoritative, independent clinical judgement may be weakened, particularly when the result conflicts with a patient's presentation. This risk reinforces the need for clear professional accountability and training that encourages staff to question recommendations rather than accept them automatically.</w:t>
      </w:r>
    </w:p>
    <w:p w14:paraId="6C41EF04" w14:textId="77777777" w:rsidR="001F7976" w:rsidRPr="006B0C33" w:rsidRDefault="001F7976" w:rsidP="00347A42">
      <w:pPr>
        <w:pStyle w:val="NormalWeb"/>
        <w:spacing w:line="360" w:lineRule="auto"/>
        <w:rPr>
          <w:rFonts w:ascii="Arial" w:hAnsi="Arial" w:cs="Arial"/>
          <w:sz w:val="22"/>
          <w:szCs w:val="22"/>
        </w:rPr>
      </w:pPr>
      <w:r w:rsidRPr="006B0C33">
        <w:rPr>
          <w:rFonts w:ascii="Arial" w:hAnsi="Arial" w:cs="Arial"/>
          <w:sz w:val="22"/>
          <w:szCs w:val="22"/>
        </w:rPr>
        <w:t>Resistance to technological change may also limit implementation. Staff who do not understand the system or feel excluded from decisions may distrust it, while others may place excessive confidence in its outputs. Both responses can undermine safe use. In addition, differences in digital maturity, staffing and technical support between hospitals could result in unequal workforce benefits. National rollout must therefore consider whether organisations have the capacity to use the technology effectively, not simply whether they can purchase it.</w:t>
      </w:r>
    </w:p>
    <w:p w14:paraId="756F0B43" w14:textId="2BA9FCEC" w:rsidR="00981995" w:rsidRPr="006B0C33" w:rsidRDefault="00981995" w:rsidP="00347A42">
      <w:pPr>
        <w:pStyle w:val="NormalWeb"/>
        <w:spacing w:line="360" w:lineRule="auto"/>
        <w:rPr>
          <w:rFonts w:ascii="Arial" w:hAnsi="Arial" w:cs="Arial"/>
          <w:b/>
          <w:bCs/>
          <w:sz w:val="22"/>
          <w:szCs w:val="22"/>
        </w:rPr>
      </w:pPr>
      <w:r w:rsidRPr="006B0C33">
        <w:rPr>
          <w:rFonts w:ascii="Arial" w:hAnsi="Arial" w:cs="Arial"/>
          <w:b/>
          <w:bCs/>
          <w:sz w:val="22"/>
          <w:szCs w:val="22"/>
        </w:rPr>
        <w:t>Service Delivery</w:t>
      </w:r>
    </w:p>
    <w:p w14:paraId="393D3C88" w14:textId="77777777" w:rsidR="0088038D" w:rsidRPr="006B0C33" w:rsidRDefault="0088038D" w:rsidP="00347A42">
      <w:pPr>
        <w:pStyle w:val="NormalWeb"/>
        <w:spacing w:line="360" w:lineRule="auto"/>
        <w:rPr>
          <w:rFonts w:ascii="Arial" w:hAnsi="Arial" w:cs="Arial"/>
          <w:sz w:val="22"/>
          <w:szCs w:val="22"/>
        </w:rPr>
      </w:pPr>
      <w:r w:rsidRPr="006B0C33">
        <w:rPr>
          <w:rFonts w:ascii="Arial" w:hAnsi="Arial" w:cs="Arial"/>
          <w:sz w:val="22"/>
          <w:szCs w:val="22"/>
        </w:rPr>
        <w:t>Information governance is an important threat because Brainomix processes sensitive health information. Health data are special category data under the UK General Data Protection Regulation (UK GDPR), requiring additional protection (Information Commissioner's Office, 2024). The Data Protection Act 2018 operates alongside the UK GDPR and supports lawful and accountable processing (UK Government, 2018).</w:t>
      </w:r>
    </w:p>
    <w:p w14:paraId="7D48097D" w14:textId="77777777" w:rsidR="0088038D" w:rsidRPr="006B0C33" w:rsidRDefault="0088038D" w:rsidP="00347A42">
      <w:pPr>
        <w:pStyle w:val="NormalWeb"/>
        <w:spacing w:line="360" w:lineRule="auto"/>
        <w:rPr>
          <w:rFonts w:ascii="Arial" w:hAnsi="Arial" w:cs="Arial"/>
          <w:sz w:val="22"/>
          <w:szCs w:val="22"/>
        </w:rPr>
      </w:pPr>
      <w:r w:rsidRPr="006B0C33">
        <w:rPr>
          <w:rFonts w:ascii="Arial" w:hAnsi="Arial" w:cs="Arial"/>
          <w:sz w:val="22"/>
          <w:szCs w:val="22"/>
        </w:rPr>
        <w:t>The challenge is to balance timely information sharing with confidentiality. Rapid access to imaging may support urgent transfer decisions, but inappropriate access or disclosure could threaten privacy and public trust. Conversely, unnecessarily restrictive sharing arrangements could delay care. The Caldicott Principles provide a framework for ensuring that information use is justified, proportionate and appropriate, while recognising the importance of sharing information for individual care when necessary (National Data Guardian, 2020).</w:t>
      </w:r>
    </w:p>
    <w:p w14:paraId="4FA109AE" w14:textId="77777777" w:rsidR="0088038D" w:rsidRPr="006B0C33" w:rsidRDefault="0088038D" w:rsidP="00347A42">
      <w:pPr>
        <w:pStyle w:val="NormalWeb"/>
        <w:spacing w:line="360" w:lineRule="auto"/>
        <w:rPr>
          <w:rFonts w:ascii="Arial" w:hAnsi="Arial" w:cs="Arial"/>
          <w:sz w:val="22"/>
          <w:szCs w:val="22"/>
        </w:rPr>
      </w:pPr>
      <w:r w:rsidRPr="006B0C33">
        <w:rPr>
          <w:rFonts w:ascii="Arial" w:hAnsi="Arial" w:cs="Arial"/>
          <w:sz w:val="22"/>
          <w:szCs w:val="22"/>
        </w:rPr>
        <w:t xml:space="preserve">Before implementation, organisations should establish appropriate access controls, clear information-sharing arrangements and a Data Protection Impact Assessment where </w:t>
      </w:r>
      <w:r w:rsidRPr="006B0C33">
        <w:rPr>
          <w:rFonts w:ascii="Arial" w:hAnsi="Arial" w:cs="Arial"/>
          <w:sz w:val="22"/>
          <w:szCs w:val="22"/>
        </w:rPr>
        <w:lastRenderedPageBreak/>
        <w:t>required. These safeguards are not evidence that Brainomix has breached data-protection law; they are conditions for responsible implementation. Information governance must therefore be integrated into service design rather than treated as an administrative task separate from clinical delivery.</w:t>
      </w:r>
    </w:p>
    <w:p w14:paraId="137EE203" w14:textId="77777777" w:rsidR="0088038D" w:rsidRPr="006B0C33" w:rsidRDefault="0088038D" w:rsidP="00347A42">
      <w:pPr>
        <w:pStyle w:val="NormalWeb"/>
        <w:spacing w:line="360" w:lineRule="auto"/>
        <w:rPr>
          <w:rFonts w:ascii="Arial" w:hAnsi="Arial" w:cs="Arial"/>
          <w:b/>
          <w:bCs/>
          <w:sz w:val="22"/>
          <w:szCs w:val="22"/>
        </w:rPr>
      </w:pPr>
    </w:p>
    <w:p w14:paraId="2DD0D5E9" w14:textId="3FEEA95F" w:rsidR="00511606" w:rsidRPr="006B0C33" w:rsidRDefault="00476171" w:rsidP="00347A42">
      <w:pPr>
        <w:pStyle w:val="NormalWeb"/>
        <w:spacing w:line="360" w:lineRule="auto"/>
        <w:rPr>
          <w:rFonts w:ascii="Arial" w:hAnsi="Arial" w:cs="Arial"/>
          <w:b/>
          <w:bCs/>
          <w:sz w:val="22"/>
          <w:szCs w:val="22"/>
        </w:rPr>
      </w:pPr>
      <w:r w:rsidRPr="006B0C33">
        <w:rPr>
          <w:rFonts w:ascii="Arial" w:hAnsi="Arial" w:cs="Arial"/>
          <w:b/>
          <w:bCs/>
          <w:sz w:val="22"/>
          <w:szCs w:val="22"/>
        </w:rPr>
        <w:t>Conclusion and Rec</w:t>
      </w:r>
      <w:r w:rsidR="00EE119A" w:rsidRPr="006B0C33">
        <w:rPr>
          <w:rFonts w:ascii="Arial" w:hAnsi="Arial" w:cs="Arial"/>
          <w:b/>
          <w:bCs/>
          <w:sz w:val="22"/>
          <w:szCs w:val="22"/>
        </w:rPr>
        <w:t>ommendations</w:t>
      </w:r>
    </w:p>
    <w:p w14:paraId="47B5F749" w14:textId="6ABDC428" w:rsidR="00EC5549" w:rsidRPr="006B0C33" w:rsidRDefault="00EC5549" w:rsidP="00347A42">
      <w:pPr>
        <w:pStyle w:val="NormalWeb"/>
        <w:spacing w:line="360" w:lineRule="auto"/>
        <w:rPr>
          <w:rFonts w:ascii="Arial" w:hAnsi="Arial" w:cs="Arial"/>
          <w:sz w:val="22"/>
          <w:szCs w:val="22"/>
        </w:rPr>
      </w:pPr>
      <w:r w:rsidRPr="006B0C33">
        <w:rPr>
          <w:rFonts w:ascii="Arial" w:hAnsi="Arial" w:cs="Arial"/>
          <w:sz w:val="22"/>
          <w:szCs w:val="22"/>
        </w:rPr>
        <w:t xml:space="preserve">Brainomix e-Stroke demonstrates the potential of AI to support faster imaging analysis, professional </w:t>
      </w:r>
      <w:r w:rsidR="00A92C46" w:rsidRPr="006B0C33">
        <w:rPr>
          <w:rFonts w:ascii="Arial" w:hAnsi="Arial" w:cs="Arial"/>
          <w:sz w:val="22"/>
          <w:szCs w:val="22"/>
        </w:rPr>
        <w:t>decision-making,</w:t>
      </w:r>
      <w:r w:rsidRPr="006B0C33">
        <w:rPr>
          <w:rFonts w:ascii="Arial" w:hAnsi="Arial" w:cs="Arial"/>
          <w:sz w:val="22"/>
          <w:szCs w:val="22"/>
        </w:rPr>
        <w:t xml:space="preserve"> and coordination between N</w:t>
      </w:r>
      <w:r w:rsidR="00302AC1" w:rsidRPr="006B0C33">
        <w:rPr>
          <w:rFonts w:ascii="Arial" w:hAnsi="Arial" w:cs="Arial"/>
          <w:sz w:val="22"/>
          <w:szCs w:val="22"/>
        </w:rPr>
        <w:t xml:space="preserve">ational </w:t>
      </w:r>
      <w:r w:rsidRPr="006B0C33">
        <w:rPr>
          <w:rFonts w:ascii="Arial" w:hAnsi="Arial" w:cs="Arial"/>
          <w:sz w:val="22"/>
          <w:szCs w:val="22"/>
        </w:rPr>
        <w:t>H</w:t>
      </w:r>
      <w:r w:rsidR="00302AC1" w:rsidRPr="006B0C33">
        <w:rPr>
          <w:rFonts w:ascii="Arial" w:hAnsi="Arial" w:cs="Arial"/>
          <w:sz w:val="22"/>
          <w:szCs w:val="22"/>
        </w:rPr>
        <w:t xml:space="preserve">ealth </w:t>
      </w:r>
      <w:r w:rsidRPr="006B0C33">
        <w:rPr>
          <w:rFonts w:ascii="Arial" w:hAnsi="Arial" w:cs="Arial"/>
          <w:sz w:val="22"/>
          <w:szCs w:val="22"/>
        </w:rPr>
        <w:t>S</w:t>
      </w:r>
      <w:r w:rsidR="00302AC1" w:rsidRPr="006B0C33">
        <w:rPr>
          <w:rFonts w:ascii="Arial" w:hAnsi="Arial" w:cs="Arial"/>
          <w:sz w:val="22"/>
          <w:szCs w:val="22"/>
        </w:rPr>
        <w:t>ervice</w:t>
      </w:r>
      <w:r w:rsidRPr="006B0C33">
        <w:rPr>
          <w:rFonts w:ascii="Arial" w:hAnsi="Arial" w:cs="Arial"/>
          <w:sz w:val="22"/>
          <w:szCs w:val="22"/>
        </w:rPr>
        <w:t xml:space="preserve"> stroke services. Evidence indicates increased thrombectomy rates and shorter transfer times at evaluation sites, but improvements at comparison hospitals and the observational nature of the evidence mean that the software cannot be credited as the sole cause. Its effectiveness depends on implementation, workforce </w:t>
      </w:r>
      <w:r w:rsidR="00A92C46" w:rsidRPr="006B0C33">
        <w:rPr>
          <w:rFonts w:ascii="Arial" w:hAnsi="Arial" w:cs="Arial"/>
          <w:sz w:val="22"/>
          <w:szCs w:val="22"/>
        </w:rPr>
        <w:t>readiness,</w:t>
      </w:r>
      <w:r w:rsidRPr="006B0C33">
        <w:rPr>
          <w:rFonts w:ascii="Arial" w:hAnsi="Arial" w:cs="Arial"/>
          <w:sz w:val="22"/>
          <w:szCs w:val="22"/>
        </w:rPr>
        <w:t xml:space="preserve"> and the reliability of surrounding systems.</w:t>
      </w:r>
    </w:p>
    <w:p w14:paraId="2ADC8A61" w14:textId="2FE67C5D" w:rsidR="00EC5549" w:rsidRPr="006B0C33" w:rsidRDefault="00EC5549" w:rsidP="00347A42">
      <w:pPr>
        <w:pStyle w:val="NormalWeb"/>
        <w:spacing w:line="360" w:lineRule="auto"/>
        <w:rPr>
          <w:rFonts w:ascii="Arial" w:hAnsi="Arial" w:cs="Arial"/>
          <w:sz w:val="22"/>
          <w:szCs w:val="22"/>
        </w:rPr>
      </w:pPr>
      <w:r w:rsidRPr="006B0C33">
        <w:rPr>
          <w:rFonts w:ascii="Arial" w:hAnsi="Arial" w:cs="Arial"/>
          <w:sz w:val="22"/>
          <w:szCs w:val="22"/>
        </w:rPr>
        <w:t xml:space="preserve">The SWOT analysis identifies workforce training, clinical oversight, interoperability, sustainable </w:t>
      </w:r>
      <w:r w:rsidR="00A92C46" w:rsidRPr="006B0C33">
        <w:rPr>
          <w:rFonts w:ascii="Arial" w:hAnsi="Arial" w:cs="Arial"/>
          <w:sz w:val="22"/>
          <w:szCs w:val="22"/>
        </w:rPr>
        <w:t>funding,</w:t>
      </w:r>
      <w:r w:rsidRPr="006B0C33">
        <w:rPr>
          <w:rFonts w:ascii="Arial" w:hAnsi="Arial" w:cs="Arial"/>
          <w:sz w:val="22"/>
          <w:szCs w:val="22"/>
        </w:rPr>
        <w:t xml:space="preserve"> and information governance as essential conditions for success. The principal recommendation is that N</w:t>
      </w:r>
      <w:r w:rsidR="001706A8" w:rsidRPr="006B0C33">
        <w:rPr>
          <w:rFonts w:ascii="Arial" w:hAnsi="Arial" w:cs="Arial"/>
          <w:sz w:val="22"/>
          <w:szCs w:val="22"/>
        </w:rPr>
        <w:t xml:space="preserve">ational </w:t>
      </w:r>
      <w:r w:rsidRPr="006B0C33">
        <w:rPr>
          <w:rFonts w:ascii="Arial" w:hAnsi="Arial" w:cs="Arial"/>
          <w:sz w:val="22"/>
          <w:szCs w:val="22"/>
        </w:rPr>
        <w:t>H</w:t>
      </w:r>
      <w:r w:rsidR="001706A8" w:rsidRPr="006B0C33">
        <w:rPr>
          <w:rFonts w:ascii="Arial" w:hAnsi="Arial" w:cs="Arial"/>
          <w:sz w:val="22"/>
          <w:szCs w:val="22"/>
        </w:rPr>
        <w:t xml:space="preserve">ealth </w:t>
      </w:r>
      <w:r w:rsidRPr="006B0C33">
        <w:rPr>
          <w:rFonts w:ascii="Arial" w:hAnsi="Arial" w:cs="Arial"/>
          <w:sz w:val="22"/>
          <w:szCs w:val="22"/>
        </w:rPr>
        <w:t>S</w:t>
      </w:r>
      <w:r w:rsidR="001706A8" w:rsidRPr="006B0C33">
        <w:rPr>
          <w:rFonts w:ascii="Arial" w:hAnsi="Arial" w:cs="Arial"/>
          <w:sz w:val="22"/>
          <w:szCs w:val="22"/>
        </w:rPr>
        <w:t>ervice</w:t>
      </w:r>
      <w:r w:rsidRPr="006B0C33">
        <w:rPr>
          <w:rFonts w:ascii="Arial" w:hAnsi="Arial" w:cs="Arial"/>
          <w:sz w:val="22"/>
          <w:szCs w:val="22"/>
        </w:rPr>
        <w:t xml:space="preserve"> organisations provide mandatory, role-specific training for relevant clinical staff. Training should cover interpretation of AI outputs, recognition of limitations, responses to conflicting findings and procedures for seeking expert review. Practical scenarios should help staff retain professional responsibility rather than rely uncritically on automated results.</w:t>
      </w:r>
    </w:p>
    <w:p w14:paraId="69B5836D" w14:textId="5D015EB5" w:rsidR="00EC5549" w:rsidRPr="006B0C33" w:rsidRDefault="00EC5549" w:rsidP="00347A42">
      <w:pPr>
        <w:pStyle w:val="NormalWeb"/>
        <w:spacing w:line="360" w:lineRule="auto"/>
        <w:rPr>
          <w:rFonts w:ascii="Arial" w:hAnsi="Arial" w:cs="Arial"/>
          <w:sz w:val="22"/>
          <w:szCs w:val="22"/>
        </w:rPr>
      </w:pPr>
      <w:r w:rsidRPr="006B0C33">
        <w:rPr>
          <w:rFonts w:ascii="Arial" w:hAnsi="Arial" w:cs="Arial"/>
          <w:sz w:val="22"/>
          <w:szCs w:val="22"/>
        </w:rPr>
        <w:t xml:space="preserve">Organisations should evaluate training through competency assessments, clinical </w:t>
      </w:r>
      <w:r w:rsidR="00A92C46" w:rsidRPr="006B0C33">
        <w:rPr>
          <w:rFonts w:ascii="Arial" w:hAnsi="Arial" w:cs="Arial"/>
          <w:sz w:val="22"/>
          <w:szCs w:val="22"/>
        </w:rPr>
        <w:t>audits,</w:t>
      </w:r>
      <w:r w:rsidRPr="006B0C33">
        <w:rPr>
          <w:rFonts w:ascii="Arial" w:hAnsi="Arial" w:cs="Arial"/>
          <w:sz w:val="22"/>
          <w:szCs w:val="22"/>
        </w:rPr>
        <w:t xml:space="preserve"> and staff feedback. They should also monitor processing failures, transfer times, thrombectomy rates and total implementation costs. These measures would help managers determine whether local benefits justify ongoing investment.</w:t>
      </w:r>
    </w:p>
    <w:p w14:paraId="36E2DACB" w14:textId="2238A373" w:rsidR="00EC5549" w:rsidRPr="006B0C33" w:rsidRDefault="00EC5549" w:rsidP="00347A42">
      <w:pPr>
        <w:pStyle w:val="NormalWeb"/>
        <w:spacing w:line="360" w:lineRule="auto"/>
        <w:rPr>
          <w:rFonts w:ascii="Arial" w:hAnsi="Arial" w:cs="Arial"/>
          <w:sz w:val="22"/>
          <w:szCs w:val="22"/>
        </w:rPr>
      </w:pPr>
      <w:r w:rsidRPr="006B0C33">
        <w:rPr>
          <w:rFonts w:ascii="Arial" w:hAnsi="Arial" w:cs="Arial"/>
          <w:sz w:val="22"/>
          <w:szCs w:val="22"/>
        </w:rPr>
        <w:t xml:space="preserve">Overall, Brainomix should be regarded as a decision-support tool, not a replacement for clinical expertise. Its value depends on combining technological capability with professional judgement, effective </w:t>
      </w:r>
      <w:r w:rsidR="00A92C46" w:rsidRPr="006B0C33">
        <w:rPr>
          <w:rFonts w:ascii="Arial" w:hAnsi="Arial" w:cs="Arial"/>
          <w:sz w:val="22"/>
          <w:szCs w:val="22"/>
        </w:rPr>
        <w:t>governance,</w:t>
      </w:r>
      <w:r w:rsidRPr="006B0C33">
        <w:rPr>
          <w:rFonts w:ascii="Arial" w:hAnsi="Arial" w:cs="Arial"/>
          <w:sz w:val="22"/>
          <w:szCs w:val="22"/>
        </w:rPr>
        <w:t xml:space="preserve"> and evidence-based service </w:t>
      </w:r>
      <w:r w:rsidRPr="006B0C33">
        <w:rPr>
          <w:rFonts w:ascii="Arial" w:hAnsi="Arial" w:cs="Arial"/>
          <w:sz w:val="22"/>
          <w:szCs w:val="22"/>
        </w:rPr>
        <w:t>design.</w:t>
      </w:r>
    </w:p>
    <w:p w14:paraId="3344F184" w14:textId="77777777" w:rsidR="00A92C46" w:rsidRPr="006B0C33" w:rsidRDefault="00A92C46" w:rsidP="00347A42">
      <w:pPr>
        <w:pStyle w:val="NormalWeb"/>
        <w:spacing w:line="360" w:lineRule="auto"/>
        <w:rPr>
          <w:rFonts w:ascii="Arial" w:hAnsi="Arial" w:cs="Arial"/>
          <w:b/>
          <w:bCs/>
          <w:sz w:val="22"/>
          <w:szCs w:val="22"/>
        </w:rPr>
      </w:pPr>
    </w:p>
    <w:p w14:paraId="45362531" w14:textId="77777777" w:rsidR="00A92C46" w:rsidRPr="006B0C33" w:rsidRDefault="00A92C46" w:rsidP="00347A42">
      <w:pPr>
        <w:pStyle w:val="NormalWeb"/>
        <w:spacing w:line="360" w:lineRule="auto"/>
        <w:rPr>
          <w:rFonts w:ascii="Arial" w:hAnsi="Arial" w:cs="Arial"/>
          <w:b/>
          <w:bCs/>
          <w:sz w:val="22"/>
          <w:szCs w:val="22"/>
        </w:rPr>
      </w:pPr>
    </w:p>
    <w:p w14:paraId="7995A5C3" w14:textId="77777777" w:rsidR="007A1458" w:rsidRDefault="007A1458" w:rsidP="00347A42">
      <w:pPr>
        <w:pStyle w:val="NormalWeb"/>
        <w:spacing w:line="360" w:lineRule="auto"/>
        <w:rPr>
          <w:rFonts w:ascii="Arial" w:hAnsi="Arial" w:cs="Arial"/>
          <w:b/>
          <w:bCs/>
          <w:sz w:val="22"/>
          <w:szCs w:val="22"/>
        </w:rPr>
      </w:pPr>
    </w:p>
    <w:p w14:paraId="4B8B4E9F" w14:textId="74FBC3DB" w:rsidR="00F74934" w:rsidRPr="006B0C33" w:rsidRDefault="006A2CD0" w:rsidP="00347A42">
      <w:pPr>
        <w:pStyle w:val="NormalWeb"/>
        <w:spacing w:line="360" w:lineRule="auto"/>
        <w:rPr>
          <w:rFonts w:ascii="Arial" w:hAnsi="Arial" w:cs="Arial"/>
          <w:sz w:val="22"/>
          <w:szCs w:val="22"/>
        </w:rPr>
      </w:pPr>
      <w:r w:rsidRPr="006B0C33">
        <w:rPr>
          <w:rFonts w:ascii="Arial" w:hAnsi="Arial" w:cs="Arial"/>
          <w:b/>
          <w:bCs/>
          <w:sz w:val="22"/>
          <w:szCs w:val="22"/>
        </w:rPr>
        <w:lastRenderedPageBreak/>
        <w:t>Ref</w:t>
      </w:r>
      <w:r w:rsidR="004D39AF" w:rsidRPr="006B0C33">
        <w:rPr>
          <w:rFonts w:ascii="Arial" w:hAnsi="Arial" w:cs="Arial"/>
          <w:b/>
          <w:bCs/>
          <w:sz w:val="22"/>
          <w:szCs w:val="22"/>
        </w:rPr>
        <w:t xml:space="preserve">erence </w:t>
      </w:r>
    </w:p>
    <w:p w14:paraId="04647DAC" w14:textId="2824703E" w:rsidR="0033701F" w:rsidRPr="006B0C33" w:rsidRDefault="0033701F" w:rsidP="00347A42">
      <w:pPr>
        <w:spacing w:before="100" w:beforeAutospacing="1" w:after="100" w:afterAutospacing="1" w:line="360" w:lineRule="auto"/>
        <w:rPr>
          <w:rFonts w:ascii="Arial" w:eastAsia="Times New Roman" w:hAnsi="Arial" w:cs="Arial"/>
          <w:kern w:val="0"/>
          <w:sz w:val="22"/>
          <w:szCs w:val="22"/>
          <w:lang w:eastAsia="en-GB"/>
          <w14:ligatures w14:val="none"/>
        </w:rPr>
      </w:pPr>
      <w:r w:rsidRPr="006B0C33">
        <w:rPr>
          <w:rFonts w:ascii="Arial" w:eastAsia="Times New Roman" w:hAnsi="Arial" w:cs="Arial"/>
          <w:kern w:val="0"/>
          <w:sz w:val="22"/>
          <w:szCs w:val="22"/>
          <w:lang w:eastAsia="en-GB"/>
          <w14:ligatures w14:val="none"/>
        </w:rPr>
        <w:t xml:space="preserve">Department of Health and Social Care and NHS England (2022) </w:t>
      </w:r>
      <w:r w:rsidRPr="006B0C33">
        <w:rPr>
          <w:rFonts w:ascii="Arial" w:eastAsia="Times New Roman" w:hAnsi="Arial" w:cs="Arial"/>
          <w:i/>
          <w:iCs/>
          <w:kern w:val="0"/>
          <w:sz w:val="22"/>
          <w:szCs w:val="22"/>
          <w:lang w:eastAsia="en-GB"/>
          <w14:ligatures w14:val="none"/>
        </w:rPr>
        <w:t>A plan for digital health and social care</w:t>
      </w:r>
      <w:r w:rsidRPr="006B0C33">
        <w:rPr>
          <w:rFonts w:ascii="Arial" w:eastAsia="Times New Roman" w:hAnsi="Arial" w:cs="Arial"/>
          <w:kern w:val="0"/>
          <w:sz w:val="22"/>
          <w:szCs w:val="22"/>
          <w:lang w:eastAsia="en-GB"/>
          <w14:ligatures w14:val="none"/>
        </w:rPr>
        <w:t xml:space="preserve">. Available at: </w:t>
      </w:r>
      <w:hyperlink r:id="rId7" w:history="1">
        <w:r w:rsidRPr="006B0C33">
          <w:rPr>
            <w:rFonts w:ascii="Arial" w:eastAsia="Times New Roman" w:hAnsi="Arial" w:cs="Arial"/>
            <w:color w:val="0000FF"/>
            <w:kern w:val="0"/>
            <w:sz w:val="22"/>
            <w:szCs w:val="22"/>
            <w:u w:val="single"/>
            <w:lang w:eastAsia="en-GB"/>
            <w14:ligatures w14:val="none"/>
          </w:rPr>
          <w:t>https://www.gov.uk/government/publications/a-plan-for-digital-health-and-social-care/a-plan-for-digital-health-and-social-care</w:t>
        </w:r>
      </w:hyperlink>
      <w:r w:rsidRPr="006B0C33">
        <w:rPr>
          <w:rFonts w:ascii="Arial" w:eastAsia="Times New Roman" w:hAnsi="Arial" w:cs="Arial"/>
          <w:kern w:val="0"/>
          <w:sz w:val="22"/>
          <w:szCs w:val="22"/>
          <w:lang w:eastAsia="en-GB"/>
          <w14:ligatures w14:val="none"/>
        </w:rPr>
        <w:t xml:space="preserve"> (Accessed:  October 2026).</w:t>
      </w:r>
    </w:p>
    <w:p w14:paraId="1E35D8FF" w14:textId="5FCD57F8" w:rsidR="0033701F" w:rsidRPr="006B0C33" w:rsidRDefault="0033701F" w:rsidP="00347A42">
      <w:pPr>
        <w:spacing w:before="100" w:beforeAutospacing="1" w:after="100" w:afterAutospacing="1" w:line="360" w:lineRule="auto"/>
        <w:rPr>
          <w:rFonts w:ascii="Arial" w:eastAsia="Times New Roman" w:hAnsi="Arial" w:cs="Arial"/>
          <w:kern w:val="0"/>
          <w:sz w:val="22"/>
          <w:szCs w:val="22"/>
          <w:lang w:eastAsia="en-GB"/>
          <w14:ligatures w14:val="none"/>
        </w:rPr>
      </w:pPr>
      <w:r w:rsidRPr="006B0C33">
        <w:rPr>
          <w:rFonts w:ascii="Arial" w:eastAsia="Times New Roman" w:hAnsi="Arial" w:cs="Arial"/>
          <w:kern w:val="0"/>
          <w:sz w:val="22"/>
          <w:szCs w:val="22"/>
          <w:lang w:eastAsia="en-GB"/>
          <w14:ligatures w14:val="none"/>
        </w:rPr>
        <w:t xml:space="preserve">Information Commissioner's Office (2024) </w:t>
      </w:r>
      <w:r w:rsidRPr="006B0C33">
        <w:rPr>
          <w:rFonts w:ascii="Arial" w:eastAsia="Times New Roman" w:hAnsi="Arial" w:cs="Arial"/>
          <w:i/>
          <w:iCs/>
          <w:kern w:val="0"/>
          <w:sz w:val="22"/>
          <w:szCs w:val="22"/>
          <w:lang w:eastAsia="en-GB"/>
          <w14:ligatures w14:val="none"/>
        </w:rPr>
        <w:t>What is special category data?</w:t>
      </w:r>
      <w:r w:rsidRPr="006B0C33">
        <w:rPr>
          <w:rFonts w:ascii="Arial" w:eastAsia="Times New Roman" w:hAnsi="Arial" w:cs="Arial"/>
          <w:kern w:val="0"/>
          <w:sz w:val="22"/>
          <w:szCs w:val="22"/>
          <w:lang w:eastAsia="en-GB"/>
          <w14:ligatures w14:val="none"/>
        </w:rPr>
        <w:t xml:space="preserve"> Available at: </w:t>
      </w:r>
      <w:hyperlink r:id="rId8" w:history="1">
        <w:r w:rsidRPr="006B0C33">
          <w:rPr>
            <w:rFonts w:ascii="Arial" w:eastAsia="Times New Roman" w:hAnsi="Arial" w:cs="Arial"/>
            <w:color w:val="0000FF"/>
            <w:kern w:val="0"/>
            <w:sz w:val="22"/>
            <w:szCs w:val="22"/>
            <w:u w:val="single"/>
            <w:lang w:eastAsia="en-GB"/>
            <w14:ligatures w14:val="none"/>
          </w:rPr>
          <w:t>https://ico.org.uk/for-organisations/uk-gdpr-guidance-and-resources/lawful-basis/special-category-data/what-is-special-category-data/</w:t>
        </w:r>
      </w:hyperlink>
      <w:r w:rsidRPr="006B0C33">
        <w:rPr>
          <w:rFonts w:ascii="Arial" w:eastAsia="Times New Roman" w:hAnsi="Arial" w:cs="Arial"/>
          <w:kern w:val="0"/>
          <w:sz w:val="22"/>
          <w:szCs w:val="22"/>
          <w:lang w:eastAsia="en-GB"/>
          <w14:ligatures w14:val="none"/>
        </w:rPr>
        <w:t xml:space="preserve"> (Accessed: </w:t>
      </w:r>
      <w:r w:rsidR="00725F7C" w:rsidRPr="006B0C33">
        <w:rPr>
          <w:rFonts w:ascii="Arial" w:eastAsia="Times New Roman" w:hAnsi="Arial" w:cs="Arial"/>
          <w:kern w:val="0"/>
          <w:sz w:val="22"/>
          <w:szCs w:val="22"/>
          <w:lang w:eastAsia="en-GB"/>
          <w14:ligatures w14:val="none"/>
        </w:rPr>
        <w:t>8th</w:t>
      </w:r>
      <w:r w:rsidRPr="006B0C33">
        <w:rPr>
          <w:rFonts w:ascii="Arial" w:eastAsia="Times New Roman" w:hAnsi="Arial" w:cs="Arial"/>
          <w:kern w:val="0"/>
          <w:sz w:val="22"/>
          <w:szCs w:val="22"/>
          <w:lang w:eastAsia="en-GB"/>
          <w14:ligatures w14:val="none"/>
        </w:rPr>
        <w:t xml:space="preserve"> October 2026).</w:t>
      </w:r>
    </w:p>
    <w:p w14:paraId="12D27A3E" w14:textId="17E56D4F" w:rsidR="0033701F" w:rsidRPr="006B0C33" w:rsidRDefault="0033701F" w:rsidP="00347A42">
      <w:pPr>
        <w:spacing w:before="100" w:beforeAutospacing="1" w:after="100" w:afterAutospacing="1" w:line="360" w:lineRule="auto"/>
        <w:rPr>
          <w:rFonts w:ascii="Arial" w:hAnsi="Arial" w:cs="Arial"/>
          <w:sz w:val="22"/>
          <w:szCs w:val="22"/>
        </w:rPr>
      </w:pPr>
      <w:r w:rsidRPr="006B0C33">
        <w:rPr>
          <w:rFonts w:ascii="Arial" w:eastAsia="Times New Roman" w:hAnsi="Arial" w:cs="Arial"/>
          <w:kern w:val="0"/>
          <w:sz w:val="22"/>
          <w:szCs w:val="22"/>
          <w:lang w:eastAsia="en-GB"/>
          <w14:ligatures w14:val="none"/>
        </w:rPr>
        <w:t xml:space="preserve">Mallon, D., Fallon, M., Blana, E. </w:t>
      </w:r>
      <w:r w:rsidRPr="006B0C33">
        <w:rPr>
          <w:rFonts w:ascii="Arial" w:eastAsia="Times New Roman" w:hAnsi="Arial" w:cs="Arial"/>
          <w:i/>
          <w:iCs/>
          <w:kern w:val="0"/>
          <w:sz w:val="22"/>
          <w:szCs w:val="22"/>
          <w:lang w:eastAsia="en-GB"/>
          <w14:ligatures w14:val="none"/>
        </w:rPr>
        <w:t>et al.</w:t>
      </w:r>
      <w:r w:rsidRPr="006B0C33">
        <w:rPr>
          <w:rFonts w:ascii="Arial" w:eastAsia="Times New Roman" w:hAnsi="Arial" w:cs="Arial"/>
          <w:kern w:val="0"/>
          <w:sz w:val="22"/>
          <w:szCs w:val="22"/>
          <w:lang w:eastAsia="en-GB"/>
          <w14:ligatures w14:val="none"/>
        </w:rPr>
        <w:t xml:space="preserve"> (2024) ‘Real-world evaluation of Brainomix e-Stroke software’, </w:t>
      </w:r>
      <w:r w:rsidRPr="006B0C33">
        <w:rPr>
          <w:rFonts w:ascii="Arial" w:eastAsia="Times New Roman" w:hAnsi="Arial" w:cs="Arial"/>
          <w:i/>
          <w:iCs/>
          <w:kern w:val="0"/>
          <w:sz w:val="22"/>
          <w:szCs w:val="22"/>
          <w:lang w:eastAsia="en-GB"/>
          <w14:ligatures w14:val="none"/>
        </w:rPr>
        <w:t xml:space="preserve">Stroke and Vascular </w:t>
      </w:r>
      <w:r w:rsidR="00910691" w:rsidRPr="006B0C33">
        <w:rPr>
          <w:rFonts w:ascii="Arial" w:eastAsia="Times New Roman" w:hAnsi="Arial" w:cs="Arial"/>
          <w:i/>
          <w:iCs/>
          <w:kern w:val="0"/>
          <w:sz w:val="22"/>
          <w:szCs w:val="22"/>
          <w:lang w:eastAsia="en-GB"/>
          <w14:ligatures w14:val="none"/>
        </w:rPr>
        <w:t>Neurology</w:t>
      </w:r>
      <w:r w:rsidR="00910691" w:rsidRPr="006B0C33">
        <w:rPr>
          <w:rFonts w:ascii="Arial" w:eastAsia="Times New Roman" w:hAnsi="Arial" w:cs="Arial"/>
          <w:kern w:val="0"/>
          <w:sz w:val="22"/>
          <w:szCs w:val="22"/>
          <w:lang w:eastAsia="en-GB"/>
          <w14:ligatures w14:val="none"/>
        </w:rPr>
        <w:t>. Available</w:t>
      </w:r>
      <w:r w:rsidR="00611C75" w:rsidRPr="006B0C33">
        <w:rPr>
          <w:rFonts w:ascii="Arial" w:eastAsia="Times New Roman" w:hAnsi="Arial" w:cs="Arial"/>
          <w:kern w:val="0"/>
          <w:sz w:val="22"/>
          <w:szCs w:val="22"/>
          <w:lang w:eastAsia="en-GB"/>
          <w14:ligatures w14:val="none"/>
        </w:rPr>
        <w:t xml:space="preserve"> at:</w:t>
      </w:r>
      <w:r w:rsidR="005340FE" w:rsidRPr="006B0C33">
        <w:rPr>
          <w:rFonts w:ascii="Arial" w:hAnsi="Arial" w:cs="Arial"/>
          <w:sz w:val="22"/>
          <w:szCs w:val="22"/>
        </w:rPr>
        <w:t xml:space="preserve"> </w:t>
      </w:r>
      <w:hyperlink r:id="rId9" w:history="1">
        <w:r w:rsidR="005340FE" w:rsidRPr="006B0C33">
          <w:rPr>
            <w:rStyle w:val="Hyperlink"/>
            <w:rFonts w:ascii="Arial" w:hAnsi="Arial" w:cs="Arial"/>
            <w:sz w:val="22"/>
            <w:szCs w:val="22"/>
          </w:rPr>
          <w:t>https://pmc.ncbi.nlm.nih.gov/articles/PMC11732836/</w:t>
        </w:r>
      </w:hyperlink>
      <w:r w:rsidR="005340FE" w:rsidRPr="006B0C33">
        <w:rPr>
          <w:rFonts w:ascii="Arial" w:hAnsi="Arial" w:cs="Arial"/>
          <w:sz w:val="22"/>
          <w:szCs w:val="22"/>
        </w:rPr>
        <w:t xml:space="preserve"> </w:t>
      </w:r>
      <w:r w:rsidR="00611C75" w:rsidRPr="006B0C33">
        <w:rPr>
          <w:rFonts w:ascii="Arial" w:eastAsia="Times New Roman" w:hAnsi="Arial" w:cs="Arial"/>
          <w:kern w:val="0"/>
          <w:sz w:val="22"/>
          <w:szCs w:val="22"/>
          <w:lang w:eastAsia="en-GB"/>
          <w14:ligatures w14:val="none"/>
        </w:rPr>
        <w:t>(A</w:t>
      </w:r>
      <w:r w:rsidR="00910691" w:rsidRPr="006B0C33">
        <w:rPr>
          <w:rFonts w:ascii="Arial" w:eastAsia="Times New Roman" w:hAnsi="Arial" w:cs="Arial"/>
          <w:kern w:val="0"/>
          <w:sz w:val="22"/>
          <w:szCs w:val="22"/>
          <w:lang w:eastAsia="en-GB"/>
          <w14:ligatures w14:val="none"/>
        </w:rPr>
        <w:t>ccessed:7</w:t>
      </w:r>
      <w:r w:rsidR="00910691" w:rsidRPr="006B0C33">
        <w:rPr>
          <w:rFonts w:ascii="Arial" w:eastAsia="Times New Roman" w:hAnsi="Arial" w:cs="Arial"/>
          <w:kern w:val="0"/>
          <w:sz w:val="22"/>
          <w:szCs w:val="22"/>
          <w:vertAlign w:val="superscript"/>
          <w:lang w:eastAsia="en-GB"/>
          <w14:ligatures w14:val="none"/>
        </w:rPr>
        <w:t>th</w:t>
      </w:r>
      <w:r w:rsidR="00910691" w:rsidRPr="006B0C33">
        <w:rPr>
          <w:rFonts w:ascii="Arial" w:eastAsia="Times New Roman" w:hAnsi="Arial" w:cs="Arial"/>
          <w:kern w:val="0"/>
          <w:sz w:val="22"/>
          <w:szCs w:val="22"/>
          <w:lang w:eastAsia="en-GB"/>
          <w14:ligatures w14:val="none"/>
        </w:rPr>
        <w:t xml:space="preserve"> October 2026).</w:t>
      </w:r>
    </w:p>
    <w:p w14:paraId="2FA85A91" w14:textId="1AFAA263" w:rsidR="0033701F" w:rsidRPr="006B0C33" w:rsidRDefault="0033701F" w:rsidP="00347A42">
      <w:pPr>
        <w:spacing w:before="100" w:beforeAutospacing="1" w:after="100" w:afterAutospacing="1" w:line="360" w:lineRule="auto"/>
        <w:rPr>
          <w:rFonts w:ascii="Arial" w:eastAsia="Times New Roman" w:hAnsi="Arial" w:cs="Arial"/>
          <w:kern w:val="0"/>
          <w:sz w:val="22"/>
          <w:szCs w:val="22"/>
          <w:lang w:eastAsia="en-GB"/>
          <w14:ligatures w14:val="none"/>
        </w:rPr>
      </w:pPr>
      <w:r w:rsidRPr="006B0C33">
        <w:rPr>
          <w:rFonts w:ascii="Arial" w:eastAsia="Times New Roman" w:hAnsi="Arial" w:cs="Arial"/>
          <w:kern w:val="0"/>
          <w:sz w:val="22"/>
          <w:szCs w:val="22"/>
          <w:lang w:eastAsia="en-GB"/>
          <w14:ligatures w14:val="none"/>
        </w:rPr>
        <w:t xml:space="preserve">National Data Guardian (2020) </w:t>
      </w:r>
      <w:r w:rsidRPr="006B0C33">
        <w:rPr>
          <w:rFonts w:ascii="Arial" w:eastAsia="Times New Roman" w:hAnsi="Arial" w:cs="Arial"/>
          <w:i/>
          <w:iCs/>
          <w:kern w:val="0"/>
          <w:sz w:val="22"/>
          <w:szCs w:val="22"/>
          <w:lang w:eastAsia="en-GB"/>
          <w14:ligatures w14:val="none"/>
        </w:rPr>
        <w:t>The Caldicott Principles</w:t>
      </w:r>
      <w:r w:rsidRPr="006B0C33">
        <w:rPr>
          <w:rFonts w:ascii="Arial" w:eastAsia="Times New Roman" w:hAnsi="Arial" w:cs="Arial"/>
          <w:kern w:val="0"/>
          <w:sz w:val="22"/>
          <w:szCs w:val="22"/>
          <w:lang w:eastAsia="en-GB"/>
          <w14:ligatures w14:val="none"/>
        </w:rPr>
        <w:t xml:space="preserve">. Available at: </w:t>
      </w:r>
      <w:hyperlink r:id="rId10" w:history="1">
        <w:r w:rsidRPr="006B0C33">
          <w:rPr>
            <w:rFonts w:ascii="Arial" w:eastAsia="Times New Roman" w:hAnsi="Arial" w:cs="Arial"/>
            <w:color w:val="0000FF"/>
            <w:kern w:val="0"/>
            <w:sz w:val="22"/>
            <w:szCs w:val="22"/>
            <w:u w:val="single"/>
            <w:lang w:eastAsia="en-GB"/>
            <w14:ligatures w14:val="none"/>
          </w:rPr>
          <w:t>https://www.gov.uk/government/publications/the-caldicott-principles</w:t>
        </w:r>
      </w:hyperlink>
      <w:r w:rsidRPr="006B0C33">
        <w:rPr>
          <w:rFonts w:ascii="Arial" w:eastAsia="Times New Roman" w:hAnsi="Arial" w:cs="Arial"/>
          <w:kern w:val="0"/>
          <w:sz w:val="22"/>
          <w:szCs w:val="22"/>
          <w:lang w:eastAsia="en-GB"/>
          <w14:ligatures w14:val="none"/>
        </w:rPr>
        <w:t xml:space="preserve"> (Accessed: </w:t>
      </w:r>
      <w:r w:rsidR="00725F7C" w:rsidRPr="006B0C33">
        <w:rPr>
          <w:rFonts w:ascii="Arial" w:eastAsia="Times New Roman" w:hAnsi="Arial" w:cs="Arial"/>
          <w:kern w:val="0"/>
          <w:sz w:val="22"/>
          <w:szCs w:val="22"/>
          <w:lang w:eastAsia="en-GB"/>
          <w14:ligatures w14:val="none"/>
        </w:rPr>
        <w:t>8th</w:t>
      </w:r>
      <w:r w:rsidRPr="006B0C33">
        <w:rPr>
          <w:rFonts w:ascii="Arial" w:eastAsia="Times New Roman" w:hAnsi="Arial" w:cs="Arial"/>
          <w:kern w:val="0"/>
          <w:sz w:val="22"/>
          <w:szCs w:val="22"/>
          <w:lang w:eastAsia="en-GB"/>
          <w14:ligatures w14:val="none"/>
        </w:rPr>
        <w:t xml:space="preserve"> October 2026).</w:t>
      </w:r>
    </w:p>
    <w:p w14:paraId="68A72F6F" w14:textId="7ED0708E" w:rsidR="0033701F" w:rsidRPr="006B0C33" w:rsidRDefault="0033701F" w:rsidP="00347A42">
      <w:pPr>
        <w:spacing w:before="100" w:beforeAutospacing="1" w:after="100" w:afterAutospacing="1" w:line="360" w:lineRule="auto"/>
        <w:rPr>
          <w:rFonts w:ascii="Arial" w:eastAsia="Times New Roman" w:hAnsi="Arial" w:cs="Arial"/>
          <w:kern w:val="0"/>
          <w:sz w:val="22"/>
          <w:szCs w:val="22"/>
          <w:lang w:eastAsia="en-GB"/>
          <w14:ligatures w14:val="none"/>
        </w:rPr>
      </w:pPr>
      <w:r w:rsidRPr="006B0C33">
        <w:rPr>
          <w:rFonts w:ascii="Arial" w:eastAsia="Times New Roman" w:hAnsi="Arial" w:cs="Arial"/>
          <w:kern w:val="0"/>
          <w:sz w:val="22"/>
          <w:szCs w:val="22"/>
          <w:lang w:eastAsia="en-GB"/>
          <w14:ligatures w14:val="none"/>
        </w:rPr>
        <w:t xml:space="preserve">National Institute for Health and Care Excellence (NICE) (2024) </w:t>
      </w:r>
      <w:r w:rsidRPr="006B0C33">
        <w:rPr>
          <w:rFonts w:ascii="Arial" w:eastAsia="Times New Roman" w:hAnsi="Arial" w:cs="Arial"/>
          <w:i/>
          <w:iCs/>
          <w:kern w:val="0"/>
          <w:sz w:val="22"/>
          <w:szCs w:val="22"/>
          <w:lang w:eastAsia="en-GB"/>
          <w14:ligatures w14:val="none"/>
        </w:rPr>
        <w:t>Artificial intelligence (AI)-derived software to help clinical decision making in stroke (HTG708)</w:t>
      </w:r>
      <w:r w:rsidRPr="006B0C33">
        <w:rPr>
          <w:rFonts w:ascii="Arial" w:eastAsia="Times New Roman" w:hAnsi="Arial" w:cs="Arial"/>
          <w:kern w:val="0"/>
          <w:sz w:val="22"/>
          <w:szCs w:val="22"/>
          <w:lang w:eastAsia="en-GB"/>
          <w14:ligatures w14:val="none"/>
        </w:rPr>
        <w:t xml:space="preserve">. Available at: </w:t>
      </w:r>
      <w:hyperlink r:id="rId11" w:history="1">
        <w:r w:rsidRPr="006B0C33">
          <w:rPr>
            <w:rFonts w:ascii="Arial" w:eastAsia="Times New Roman" w:hAnsi="Arial" w:cs="Arial"/>
            <w:color w:val="0000FF"/>
            <w:kern w:val="0"/>
            <w:sz w:val="22"/>
            <w:szCs w:val="22"/>
            <w:u w:val="single"/>
            <w:lang w:eastAsia="en-GB"/>
            <w14:ligatures w14:val="none"/>
          </w:rPr>
          <w:t>https://www.nice.org.uk/guidance/htg708</w:t>
        </w:r>
      </w:hyperlink>
      <w:r w:rsidRPr="006B0C33">
        <w:rPr>
          <w:rFonts w:ascii="Arial" w:eastAsia="Times New Roman" w:hAnsi="Arial" w:cs="Arial"/>
          <w:kern w:val="0"/>
          <w:sz w:val="22"/>
          <w:szCs w:val="22"/>
          <w:lang w:eastAsia="en-GB"/>
          <w14:ligatures w14:val="none"/>
        </w:rPr>
        <w:t xml:space="preserve"> (Accessed: </w:t>
      </w:r>
      <w:r w:rsidR="00A0292F" w:rsidRPr="006B0C33">
        <w:rPr>
          <w:rFonts w:ascii="Arial" w:eastAsia="Times New Roman" w:hAnsi="Arial" w:cs="Arial"/>
          <w:kern w:val="0"/>
          <w:sz w:val="22"/>
          <w:szCs w:val="22"/>
          <w:lang w:eastAsia="en-GB"/>
          <w14:ligatures w14:val="none"/>
        </w:rPr>
        <w:t>8th</w:t>
      </w:r>
      <w:r w:rsidRPr="006B0C33">
        <w:rPr>
          <w:rFonts w:ascii="Arial" w:eastAsia="Times New Roman" w:hAnsi="Arial" w:cs="Arial"/>
          <w:kern w:val="0"/>
          <w:sz w:val="22"/>
          <w:szCs w:val="22"/>
          <w:lang w:eastAsia="en-GB"/>
          <w14:ligatures w14:val="none"/>
        </w:rPr>
        <w:t xml:space="preserve"> October 2026).</w:t>
      </w:r>
    </w:p>
    <w:p w14:paraId="70D3AF74" w14:textId="67676606" w:rsidR="0033701F" w:rsidRPr="006B0C33" w:rsidRDefault="0033701F" w:rsidP="00347A42">
      <w:pPr>
        <w:spacing w:before="100" w:beforeAutospacing="1" w:after="100" w:afterAutospacing="1" w:line="360" w:lineRule="auto"/>
        <w:rPr>
          <w:rFonts w:ascii="Arial" w:eastAsia="Times New Roman" w:hAnsi="Arial" w:cs="Arial"/>
          <w:kern w:val="0"/>
          <w:sz w:val="22"/>
          <w:szCs w:val="22"/>
          <w:lang w:eastAsia="en-GB"/>
          <w14:ligatures w14:val="none"/>
        </w:rPr>
      </w:pPr>
      <w:r w:rsidRPr="006B0C33">
        <w:rPr>
          <w:rFonts w:ascii="Arial" w:eastAsia="Times New Roman" w:hAnsi="Arial" w:cs="Arial"/>
          <w:kern w:val="0"/>
          <w:sz w:val="22"/>
          <w:szCs w:val="22"/>
          <w:lang w:eastAsia="en-GB"/>
          <w14:ligatures w14:val="none"/>
        </w:rPr>
        <w:t xml:space="preserve">Nagaratnam, K. </w:t>
      </w:r>
      <w:r w:rsidRPr="006B0C33">
        <w:rPr>
          <w:rFonts w:ascii="Arial" w:eastAsia="Times New Roman" w:hAnsi="Arial" w:cs="Arial"/>
          <w:i/>
          <w:iCs/>
          <w:kern w:val="0"/>
          <w:sz w:val="22"/>
          <w:szCs w:val="22"/>
          <w:lang w:eastAsia="en-GB"/>
          <w14:ligatures w14:val="none"/>
        </w:rPr>
        <w:t>et al.</w:t>
      </w:r>
      <w:r w:rsidRPr="006B0C33">
        <w:rPr>
          <w:rFonts w:ascii="Arial" w:eastAsia="Times New Roman" w:hAnsi="Arial" w:cs="Arial"/>
          <w:kern w:val="0"/>
          <w:sz w:val="22"/>
          <w:szCs w:val="22"/>
          <w:lang w:eastAsia="en-GB"/>
          <w14:ligatures w14:val="none"/>
        </w:rPr>
        <w:t xml:space="preserve"> (2025) ‘Artificial intelligence imaging decision support for acute stroke treatment in England: a prospective observational study’, </w:t>
      </w:r>
      <w:r w:rsidRPr="006B0C33">
        <w:rPr>
          <w:rFonts w:ascii="Arial" w:eastAsia="Times New Roman" w:hAnsi="Arial" w:cs="Arial"/>
          <w:i/>
          <w:iCs/>
          <w:kern w:val="0"/>
          <w:sz w:val="22"/>
          <w:szCs w:val="22"/>
          <w:lang w:eastAsia="en-GB"/>
          <w14:ligatures w14:val="none"/>
        </w:rPr>
        <w:t>The Lancet Digital Health</w:t>
      </w:r>
      <w:r w:rsidRPr="006B0C33">
        <w:rPr>
          <w:rFonts w:ascii="Arial" w:eastAsia="Times New Roman" w:hAnsi="Arial" w:cs="Arial"/>
          <w:kern w:val="0"/>
          <w:sz w:val="22"/>
          <w:szCs w:val="22"/>
          <w:lang w:eastAsia="en-GB"/>
          <w14:ligatures w14:val="none"/>
        </w:rPr>
        <w:t>, 7(12).</w:t>
      </w:r>
      <w:r w:rsidR="00235EA0" w:rsidRPr="006B0C33">
        <w:rPr>
          <w:rFonts w:ascii="Arial" w:eastAsia="Times New Roman" w:hAnsi="Arial" w:cs="Arial"/>
          <w:kern w:val="0"/>
          <w:sz w:val="22"/>
          <w:szCs w:val="22"/>
          <w:lang w:eastAsia="en-GB"/>
          <w14:ligatures w14:val="none"/>
        </w:rPr>
        <w:t>Av</w:t>
      </w:r>
      <w:r w:rsidR="00E81E24" w:rsidRPr="006B0C33">
        <w:rPr>
          <w:rFonts w:ascii="Arial" w:eastAsia="Times New Roman" w:hAnsi="Arial" w:cs="Arial"/>
          <w:kern w:val="0"/>
          <w:sz w:val="22"/>
          <w:szCs w:val="22"/>
          <w:lang w:eastAsia="en-GB"/>
          <w14:ligatures w14:val="none"/>
        </w:rPr>
        <w:t>ailable at:</w:t>
      </w:r>
      <w:r w:rsidR="00E81E24" w:rsidRPr="006B0C33">
        <w:rPr>
          <w:rFonts w:ascii="Arial" w:hAnsi="Arial" w:cs="Arial"/>
          <w:sz w:val="22"/>
          <w:szCs w:val="22"/>
        </w:rPr>
        <w:t xml:space="preserve"> </w:t>
      </w:r>
      <w:hyperlink r:id="rId12" w:history="1">
        <w:r w:rsidR="00B47C13" w:rsidRPr="006B0C33">
          <w:rPr>
            <w:rStyle w:val="Hyperlink"/>
            <w:rFonts w:ascii="Arial" w:hAnsi="Arial" w:cs="Arial"/>
            <w:sz w:val="22"/>
            <w:szCs w:val="22"/>
          </w:rPr>
          <w:t>https://www.sciencedirect.com/science/article/pii/S2589750025001098</w:t>
        </w:r>
      </w:hyperlink>
      <w:r w:rsidR="00B47C13" w:rsidRPr="006B0C33">
        <w:rPr>
          <w:rFonts w:ascii="Arial" w:hAnsi="Arial" w:cs="Arial"/>
          <w:sz w:val="22"/>
          <w:szCs w:val="22"/>
        </w:rPr>
        <w:t xml:space="preserve"> (Ac</w:t>
      </w:r>
      <w:r w:rsidR="003F61C9" w:rsidRPr="006B0C33">
        <w:rPr>
          <w:rFonts w:ascii="Arial" w:hAnsi="Arial" w:cs="Arial"/>
          <w:sz w:val="22"/>
          <w:szCs w:val="22"/>
        </w:rPr>
        <w:t>cessed: 7</w:t>
      </w:r>
      <w:r w:rsidR="003F61C9" w:rsidRPr="006B0C33">
        <w:rPr>
          <w:rFonts w:ascii="Arial" w:hAnsi="Arial" w:cs="Arial"/>
          <w:sz w:val="22"/>
          <w:szCs w:val="22"/>
          <w:vertAlign w:val="superscript"/>
        </w:rPr>
        <w:t>th</w:t>
      </w:r>
      <w:r w:rsidR="003F61C9" w:rsidRPr="006B0C33">
        <w:rPr>
          <w:rFonts w:ascii="Arial" w:hAnsi="Arial" w:cs="Arial"/>
          <w:sz w:val="22"/>
          <w:szCs w:val="22"/>
        </w:rPr>
        <w:t xml:space="preserve"> October 2026).</w:t>
      </w:r>
    </w:p>
    <w:p w14:paraId="03FEF832" w14:textId="45A1E340" w:rsidR="0033701F" w:rsidRPr="006B0C33" w:rsidRDefault="0033701F" w:rsidP="00347A42">
      <w:pPr>
        <w:spacing w:before="100" w:beforeAutospacing="1" w:after="100" w:afterAutospacing="1" w:line="360" w:lineRule="auto"/>
        <w:rPr>
          <w:rFonts w:ascii="Arial" w:eastAsia="Times New Roman" w:hAnsi="Arial" w:cs="Arial"/>
          <w:kern w:val="0"/>
          <w:sz w:val="22"/>
          <w:szCs w:val="22"/>
          <w:lang w:eastAsia="en-GB"/>
          <w14:ligatures w14:val="none"/>
        </w:rPr>
      </w:pPr>
      <w:r w:rsidRPr="006B0C33">
        <w:rPr>
          <w:rFonts w:ascii="Arial" w:eastAsia="Times New Roman" w:hAnsi="Arial" w:cs="Arial"/>
          <w:kern w:val="0"/>
          <w:sz w:val="22"/>
          <w:szCs w:val="22"/>
          <w:lang w:eastAsia="en-GB"/>
          <w14:ligatures w14:val="none"/>
        </w:rPr>
        <w:t>N</w:t>
      </w:r>
      <w:r w:rsidR="00332CD4">
        <w:rPr>
          <w:rFonts w:ascii="Arial" w:eastAsia="Times New Roman" w:hAnsi="Arial" w:cs="Arial"/>
          <w:kern w:val="0"/>
          <w:sz w:val="22"/>
          <w:szCs w:val="22"/>
          <w:lang w:eastAsia="en-GB"/>
          <w14:ligatures w14:val="none"/>
        </w:rPr>
        <w:t xml:space="preserve">ational </w:t>
      </w:r>
      <w:r w:rsidRPr="006B0C33">
        <w:rPr>
          <w:rFonts w:ascii="Arial" w:eastAsia="Times New Roman" w:hAnsi="Arial" w:cs="Arial"/>
          <w:kern w:val="0"/>
          <w:sz w:val="22"/>
          <w:szCs w:val="22"/>
          <w:lang w:eastAsia="en-GB"/>
          <w14:ligatures w14:val="none"/>
        </w:rPr>
        <w:t>H</w:t>
      </w:r>
      <w:r w:rsidR="00332CD4">
        <w:rPr>
          <w:rFonts w:ascii="Arial" w:eastAsia="Times New Roman" w:hAnsi="Arial" w:cs="Arial"/>
          <w:kern w:val="0"/>
          <w:sz w:val="22"/>
          <w:szCs w:val="22"/>
          <w:lang w:eastAsia="en-GB"/>
          <w14:ligatures w14:val="none"/>
        </w:rPr>
        <w:t xml:space="preserve">ealth </w:t>
      </w:r>
      <w:r w:rsidRPr="006B0C33">
        <w:rPr>
          <w:rFonts w:ascii="Arial" w:eastAsia="Times New Roman" w:hAnsi="Arial" w:cs="Arial"/>
          <w:kern w:val="0"/>
          <w:sz w:val="22"/>
          <w:szCs w:val="22"/>
          <w:lang w:eastAsia="en-GB"/>
          <w14:ligatures w14:val="none"/>
        </w:rPr>
        <w:t>S</w:t>
      </w:r>
      <w:r w:rsidR="00332CD4">
        <w:rPr>
          <w:rFonts w:ascii="Arial" w:eastAsia="Times New Roman" w:hAnsi="Arial" w:cs="Arial"/>
          <w:kern w:val="0"/>
          <w:sz w:val="22"/>
          <w:szCs w:val="22"/>
          <w:lang w:eastAsia="en-GB"/>
          <w14:ligatures w14:val="none"/>
        </w:rPr>
        <w:t>ervice</w:t>
      </w:r>
      <w:r w:rsidRPr="006B0C33">
        <w:rPr>
          <w:rFonts w:ascii="Arial" w:eastAsia="Times New Roman" w:hAnsi="Arial" w:cs="Arial"/>
          <w:kern w:val="0"/>
          <w:sz w:val="22"/>
          <w:szCs w:val="22"/>
          <w:lang w:eastAsia="en-GB"/>
          <w14:ligatures w14:val="none"/>
        </w:rPr>
        <w:t xml:space="preserve"> England (2020) </w:t>
      </w:r>
      <w:r w:rsidRPr="006B0C33">
        <w:rPr>
          <w:rFonts w:ascii="Arial" w:eastAsia="Times New Roman" w:hAnsi="Arial" w:cs="Arial"/>
          <w:i/>
          <w:iCs/>
          <w:kern w:val="0"/>
          <w:sz w:val="22"/>
          <w:szCs w:val="22"/>
          <w:lang w:eastAsia="en-GB"/>
          <w14:ligatures w14:val="none"/>
        </w:rPr>
        <w:t>Round 1 AI in Health and Care Awards</w:t>
      </w:r>
      <w:r w:rsidRPr="006B0C33">
        <w:rPr>
          <w:rFonts w:ascii="Arial" w:eastAsia="Times New Roman" w:hAnsi="Arial" w:cs="Arial"/>
          <w:kern w:val="0"/>
          <w:sz w:val="22"/>
          <w:szCs w:val="22"/>
          <w:lang w:eastAsia="en-GB"/>
          <w14:ligatures w14:val="none"/>
        </w:rPr>
        <w:t xml:space="preserve">. Available at: </w:t>
      </w:r>
      <w:hyperlink r:id="rId13" w:history="1">
        <w:r w:rsidRPr="006B0C33">
          <w:rPr>
            <w:rFonts w:ascii="Arial" w:eastAsia="Times New Roman" w:hAnsi="Arial" w:cs="Arial"/>
            <w:color w:val="0000FF"/>
            <w:kern w:val="0"/>
            <w:sz w:val="22"/>
            <w:szCs w:val="22"/>
            <w:u w:val="single"/>
            <w:lang w:eastAsia="en-GB"/>
            <w14:ligatures w14:val="none"/>
          </w:rPr>
          <w:t>https://www.england.nhs.uk/aac/what-we-do/how-can-the-aac-help-me/ai-award/round-1/</w:t>
        </w:r>
      </w:hyperlink>
      <w:r w:rsidRPr="006B0C33">
        <w:rPr>
          <w:rFonts w:ascii="Arial" w:eastAsia="Times New Roman" w:hAnsi="Arial" w:cs="Arial"/>
          <w:kern w:val="0"/>
          <w:sz w:val="22"/>
          <w:szCs w:val="22"/>
          <w:lang w:eastAsia="en-GB"/>
          <w14:ligatures w14:val="none"/>
        </w:rPr>
        <w:t xml:space="preserve"> (Accessed: </w:t>
      </w:r>
      <w:r w:rsidR="00B32C38" w:rsidRPr="006B0C33">
        <w:rPr>
          <w:rFonts w:ascii="Arial" w:eastAsia="Times New Roman" w:hAnsi="Arial" w:cs="Arial"/>
          <w:kern w:val="0"/>
          <w:sz w:val="22"/>
          <w:szCs w:val="22"/>
          <w:lang w:eastAsia="en-GB"/>
          <w14:ligatures w14:val="none"/>
        </w:rPr>
        <w:t>8</w:t>
      </w:r>
      <w:r w:rsidR="00A0292F" w:rsidRPr="006B0C33">
        <w:rPr>
          <w:rFonts w:ascii="Arial" w:eastAsia="Times New Roman" w:hAnsi="Arial" w:cs="Arial"/>
          <w:kern w:val="0"/>
          <w:sz w:val="22"/>
          <w:szCs w:val="22"/>
          <w:lang w:eastAsia="en-GB"/>
          <w14:ligatures w14:val="none"/>
        </w:rPr>
        <w:t>th</w:t>
      </w:r>
      <w:r w:rsidRPr="006B0C33">
        <w:rPr>
          <w:rFonts w:ascii="Arial" w:eastAsia="Times New Roman" w:hAnsi="Arial" w:cs="Arial"/>
          <w:kern w:val="0"/>
          <w:sz w:val="22"/>
          <w:szCs w:val="22"/>
          <w:lang w:eastAsia="en-GB"/>
          <w14:ligatures w14:val="none"/>
        </w:rPr>
        <w:t xml:space="preserve"> October 2026).</w:t>
      </w:r>
    </w:p>
    <w:p w14:paraId="4F496DEE" w14:textId="08B735C5" w:rsidR="00C82173" w:rsidRPr="006B0C33" w:rsidRDefault="00C82173" w:rsidP="00347A42">
      <w:pPr>
        <w:spacing w:before="100" w:beforeAutospacing="1" w:after="100" w:afterAutospacing="1" w:line="360" w:lineRule="auto"/>
        <w:rPr>
          <w:rFonts w:ascii="Arial" w:eastAsia="Times New Roman" w:hAnsi="Arial" w:cs="Arial"/>
          <w:kern w:val="0"/>
          <w:sz w:val="22"/>
          <w:szCs w:val="22"/>
          <w:lang w:eastAsia="en-GB"/>
          <w14:ligatures w14:val="none"/>
        </w:rPr>
      </w:pPr>
      <w:r w:rsidRPr="006B0C33">
        <w:rPr>
          <w:rFonts w:ascii="Arial" w:eastAsia="Times New Roman" w:hAnsi="Arial" w:cs="Arial"/>
          <w:kern w:val="0"/>
          <w:sz w:val="22"/>
          <w:szCs w:val="22"/>
          <w:lang w:eastAsia="en-GB"/>
          <w14:ligatures w14:val="none"/>
        </w:rPr>
        <w:t>N</w:t>
      </w:r>
      <w:r w:rsidR="00332CD4">
        <w:rPr>
          <w:rFonts w:ascii="Arial" w:eastAsia="Times New Roman" w:hAnsi="Arial" w:cs="Arial"/>
          <w:kern w:val="0"/>
          <w:sz w:val="22"/>
          <w:szCs w:val="22"/>
          <w:lang w:eastAsia="en-GB"/>
          <w14:ligatures w14:val="none"/>
        </w:rPr>
        <w:t xml:space="preserve">ational </w:t>
      </w:r>
      <w:r w:rsidRPr="006B0C33">
        <w:rPr>
          <w:rFonts w:ascii="Arial" w:eastAsia="Times New Roman" w:hAnsi="Arial" w:cs="Arial"/>
          <w:kern w:val="0"/>
          <w:sz w:val="22"/>
          <w:szCs w:val="22"/>
          <w:lang w:eastAsia="en-GB"/>
          <w14:ligatures w14:val="none"/>
        </w:rPr>
        <w:t>H</w:t>
      </w:r>
      <w:r w:rsidR="00332CD4">
        <w:rPr>
          <w:rFonts w:ascii="Arial" w:eastAsia="Times New Roman" w:hAnsi="Arial" w:cs="Arial"/>
          <w:kern w:val="0"/>
          <w:sz w:val="22"/>
          <w:szCs w:val="22"/>
          <w:lang w:eastAsia="en-GB"/>
          <w14:ligatures w14:val="none"/>
        </w:rPr>
        <w:t xml:space="preserve">ealth </w:t>
      </w:r>
      <w:r w:rsidRPr="006B0C33">
        <w:rPr>
          <w:rFonts w:ascii="Arial" w:eastAsia="Times New Roman" w:hAnsi="Arial" w:cs="Arial"/>
          <w:kern w:val="0"/>
          <w:sz w:val="22"/>
          <w:szCs w:val="22"/>
          <w:lang w:eastAsia="en-GB"/>
          <w14:ligatures w14:val="none"/>
        </w:rPr>
        <w:t>S</w:t>
      </w:r>
      <w:r w:rsidR="00332CD4">
        <w:rPr>
          <w:rFonts w:ascii="Arial" w:eastAsia="Times New Roman" w:hAnsi="Arial" w:cs="Arial"/>
          <w:kern w:val="0"/>
          <w:sz w:val="22"/>
          <w:szCs w:val="22"/>
          <w:lang w:eastAsia="en-GB"/>
          <w14:ligatures w14:val="none"/>
        </w:rPr>
        <w:t>ervice</w:t>
      </w:r>
      <w:r w:rsidRPr="006B0C33">
        <w:rPr>
          <w:rFonts w:ascii="Arial" w:eastAsia="Times New Roman" w:hAnsi="Arial" w:cs="Arial"/>
          <w:kern w:val="0"/>
          <w:sz w:val="22"/>
          <w:szCs w:val="22"/>
          <w:lang w:eastAsia="en-GB"/>
          <w14:ligatures w14:val="none"/>
        </w:rPr>
        <w:t xml:space="preserve"> England (2021) </w:t>
      </w:r>
      <w:r w:rsidRPr="006B0C33">
        <w:rPr>
          <w:rFonts w:ascii="Arial" w:eastAsia="Times New Roman" w:hAnsi="Arial" w:cs="Arial"/>
          <w:i/>
          <w:iCs/>
          <w:kern w:val="0"/>
          <w:sz w:val="22"/>
          <w:szCs w:val="22"/>
          <w:lang w:eastAsia="en-GB"/>
          <w14:ligatures w14:val="none"/>
        </w:rPr>
        <w:t>What Good Looks Like framework</w:t>
      </w:r>
      <w:r w:rsidRPr="006B0C33">
        <w:rPr>
          <w:rFonts w:ascii="Arial" w:eastAsia="Times New Roman" w:hAnsi="Arial" w:cs="Arial"/>
          <w:kern w:val="0"/>
          <w:sz w:val="22"/>
          <w:szCs w:val="22"/>
          <w:lang w:eastAsia="en-GB"/>
          <w14:ligatures w14:val="none"/>
        </w:rPr>
        <w:t xml:space="preserve">. Available at: </w:t>
      </w:r>
      <w:hyperlink r:id="rId14" w:history="1">
        <w:r w:rsidRPr="006B0C33">
          <w:rPr>
            <w:rFonts w:ascii="Arial" w:eastAsia="Times New Roman" w:hAnsi="Arial" w:cs="Arial"/>
            <w:color w:val="0000FF"/>
            <w:kern w:val="0"/>
            <w:sz w:val="22"/>
            <w:szCs w:val="22"/>
            <w:u w:val="single"/>
            <w:lang w:eastAsia="en-GB"/>
            <w14:ligatures w14:val="none"/>
          </w:rPr>
          <w:t>https://future.nhs.uk/WhatGood</w:t>
        </w:r>
        <w:r w:rsidRPr="006B0C33">
          <w:rPr>
            <w:rFonts w:ascii="Arial" w:eastAsia="Times New Roman" w:hAnsi="Arial" w:cs="Arial"/>
            <w:color w:val="0000FF"/>
            <w:kern w:val="0"/>
            <w:sz w:val="22"/>
            <w:szCs w:val="22"/>
            <w:u w:val="single"/>
            <w:lang w:eastAsia="en-GB"/>
            <w14:ligatures w14:val="none"/>
          </w:rPr>
          <w:t>L</w:t>
        </w:r>
        <w:r w:rsidRPr="006B0C33">
          <w:rPr>
            <w:rFonts w:ascii="Arial" w:eastAsia="Times New Roman" w:hAnsi="Arial" w:cs="Arial"/>
            <w:color w:val="0000FF"/>
            <w:kern w:val="0"/>
            <w:sz w:val="22"/>
            <w:szCs w:val="22"/>
            <w:u w:val="single"/>
            <w:lang w:eastAsia="en-GB"/>
            <w14:ligatures w14:val="none"/>
          </w:rPr>
          <w:t>ooksLikeKnowledge</w:t>
        </w:r>
      </w:hyperlink>
      <w:r w:rsidRPr="006B0C33">
        <w:rPr>
          <w:rFonts w:ascii="Arial" w:eastAsia="Times New Roman" w:hAnsi="Arial" w:cs="Arial"/>
          <w:kern w:val="0"/>
          <w:sz w:val="22"/>
          <w:szCs w:val="22"/>
          <w:lang w:eastAsia="en-GB"/>
          <w14:ligatures w14:val="none"/>
        </w:rPr>
        <w:t xml:space="preserve"> (Accessed: </w:t>
      </w:r>
      <w:r w:rsidR="00B32C38" w:rsidRPr="006B0C33">
        <w:rPr>
          <w:rFonts w:ascii="Arial" w:eastAsia="Times New Roman" w:hAnsi="Arial" w:cs="Arial"/>
          <w:kern w:val="0"/>
          <w:sz w:val="22"/>
          <w:szCs w:val="22"/>
          <w:lang w:eastAsia="en-GB"/>
          <w14:ligatures w14:val="none"/>
        </w:rPr>
        <w:t>7</w:t>
      </w:r>
      <w:r w:rsidR="00A0292F" w:rsidRPr="006B0C33">
        <w:rPr>
          <w:rFonts w:ascii="Arial" w:eastAsia="Times New Roman" w:hAnsi="Arial" w:cs="Arial"/>
          <w:kern w:val="0"/>
          <w:sz w:val="22"/>
          <w:szCs w:val="22"/>
          <w:lang w:eastAsia="en-GB"/>
          <w14:ligatures w14:val="none"/>
        </w:rPr>
        <w:t>th</w:t>
      </w:r>
      <w:r w:rsidRPr="006B0C33">
        <w:rPr>
          <w:rFonts w:ascii="Arial" w:eastAsia="Times New Roman" w:hAnsi="Arial" w:cs="Arial"/>
          <w:kern w:val="0"/>
          <w:sz w:val="22"/>
          <w:szCs w:val="22"/>
          <w:lang w:eastAsia="en-GB"/>
          <w14:ligatures w14:val="none"/>
        </w:rPr>
        <w:t xml:space="preserve"> October 2026).</w:t>
      </w:r>
    </w:p>
    <w:p w14:paraId="5743BEAF" w14:textId="442362FC" w:rsidR="0033701F" w:rsidRPr="006B0C33" w:rsidRDefault="0033701F" w:rsidP="00347A42">
      <w:pPr>
        <w:spacing w:before="100" w:beforeAutospacing="1" w:after="100" w:afterAutospacing="1" w:line="360" w:lineRule="auto"/>
        <w:rPr>
          <w:rFonts w:ascii="Arial" w:eastAsia="Times New Roman" w:hAnsi="Arial" w:cs="Arial"/>
          <w:kern w:val="0"/>
          <w:sz w:val="22"/>
          <w:szCs w:val="22"/>
          <w:lang w:eastAsia="en-GB"/>
          <w14:ligatures w14:val="none"/>
        </w:rPr>
      </w:pPr>
      <w:r w:rsidRPr="006B0C33">
        <w:rPr>
          <w:rFonts w:ascii="Arial" w:eastAsia="Times New Roman" w:hAnsi="Arial" w:cs="Arial"/>
          <w:kern w:val="0"/>
          <w:sz w:val="22"/>
          <w:szCs w:val="22"/>
          <w:lang w:eastAsia="en-GB"/>
          <w14:ligatures w14:val="none"/>
        </w:rPr>
        <w:t>N</w:t>
      </w:r>
      <w:r w:rsidR="003C5D79">
        <w:rPr>
          <w:rFonts w:ascii="Arial" w:eastAsia="Times New Roman" w:hAnsi="Arial" w:cs="Arial"/>
          <w:kern w:val="0"/>
          <w:sz w:val="22"/>
          <w:szCs w:val="22"/>
          <w:lang w:eastAsia="en-GB"/>
          <w14:ligatures w14:val="none"/>
        </w:rPr>
        <w:t xml:space="preserve">ational </w:t>
      </w:r>
      <w:r w:rsidRPr="006B0C33">
        <w:rPr>
          <w:rFonts w:ascii="Arial" w:eastAsia="Times New Roman" w:hAnsi="Arial" w:cs="Arial"/>
          <w:kern w:val="0"/>
          <w:sz w:val="22"/>
          <w:szCs w:val="22"/>
          <w:lang w:eastAsia="en-GB"/>
          <w14:ligatures w14:val="none"/>
        </w:rPr>
        <w:t>H</w:t>
      </w:r>
      <w:r w:rsidR="003C5D79">
        <w:rPr>
          <w:rFonts w:ascii="Arial" w:eastAsia="Times New Roman" w:hAnsi="Arial" w:cs="Arial"/>
          <w:kern w:val="0"/>
          <w:sz w:val="22"/>
          <w:szCs w:val="22"/>
          <w:lang w:eastAsia="en-GB"/>
          <w14:ligatures w14:val="none"/>
        </w:rPr>
        <w:t xml:space="preserve">ealth </w:t>
      </w:r>
      <w:r w:rsidRPr="006B0C33">
        <w:rPr>
          <w:rFonts w:ascii="Arial" w:eastAsia="Times New Roman" w:hAnsi="Arial" w:cs="Arial"/>
          <w:kern w:val="0"/>
          <w:sz w:val="22"/>
          <w:szCs w:val="22"/>
          <w:lang w:eastAsia="en-GB"/>
          <w14:ligatures w14:val="none"/>
        </w:rPr>
        <w:t>S</w:t>
      </w:r>
      <w:r w:rsidR="003C5D79">
        <w:rPr>
          <w:rFonts w:ascii="Arial" w:eastAsia="Times New Roman" w:hAnsi="Arial" w:cs="Arial"/>
          <w:kern w:val="0"/>
          <w:sz w:val="22"/>
          <w:szCs w:val="22"/>
          <w:lang w:eastAsia="en-GB"/>
          <w14:ligatures w14:val="none"/>
        </w:rPr>
        <w:t>ervice</w:t>
      </w:r>
      <w:r w:rsidRPr="006B0C33">
        <w:rPr>
          <w:rFonts w:ascii="Arial" w:eastAsia="Times New Roman" w:hAnsi="Arial" w:cs="Arial"/>
          <w:kern w:val="0"/>
          <w:sz w:val="22"/>
          <w:szCs w:val="22"/>
          <w:lang w:eastAsia="en-GB"/>
          <w14:ligatures w14:val="none"/>
        </w:rPr>
        <w:t xml:space="preserve"> England (2024) </w:t>
      </w:r>
      <w:r w:rsidRPr="006B0C33">
        <w:rPr>
          <w:rFonts w:ascii="Arial" w:eastAsia="Times New Roman" w:hAnsi="Arial" w:cs="Arial"/>
          <w:i/>
          <w:iCs/>
          <w:kern w:val="0"/>
          <w:sz w:val="22"/>
          <w:szCs w:val="22"/>
          <w:lang w:eastAsia="en-GB"/>
          <w14:ligatures w14:val="none"/>
        </w:rPr>
        <w:t>The Innovation Ecosystem Programme: how the UK can lead the way globally in health gains and life sciences powered growth</w:t>
      </w:r>
      <w:r w:rsidRPr="006B0C33">
        <w:rPr>
          <w:rFonts w:ascii="Arial" w:eastAsia="Times New Roman" w:hAnsi="Arial" w:cs="Arial"/>
          <w:kern w:val="0"/>
          <w:sz w:val="22"/>
          <w:szCs w:val="22"/>
          <w:lang w:eastAsia="en-GB"/>
          <w14:ligatures w14:val="none"/>
        </w:rPr>
        <w:t xml:space="preserve">. Available at: </w:t>
      </w:r>
      <w:hyperlink r:id="rId15" w:history="1">
        <w:r w:rsidRPr="006B0C33">
          <w:rPr>
            <w:rFonts w:ascii="Arial" w:eastAsia="Times New Roman" w:hAnsi="Arial" w:cs="Arial"/>
            <w:color w:val="0000FF"/>
            <w:kern w:val="0"/>
            <w:sz w:val="22"/>
            <w:szCs w:val="22"/>
            <w:u w:val="single"/>
            <w:lang w:eastAsia="en-GB"/>
            <w14:ligatures w14:val="none"/>
          </w:rPr>
          <w:t>https://www.england.nhs.uk/long-read/the-innovation-ecosystem-progr</w:t>
        </w:r>
        <w:r w:rsidRPr="006B0C33">
          <w:rPr>
            <w:rFonts w:ascii="Arial" w:eastAsia="Times New Roman" w:hAnsi="Arial" w:cs="Arial"/>
            <w:color w:val="0000FF"/>
            <w:kern w:val="0"/>
            <w:sz w:val="22"/>
            <w:szCs w:val="22"/>
            <w:u w:val="single"/>
            <w:lang w:eastAsia="en-GB"/>
            <w14:ligatures w14:val="none"/>
          </w:rPr>
          <w:t>a</w:t>
        </w:r>
        <w:r w:rsidRPr="006B0C33">
          <w:rPr>
            <w:rFonts w:ascii="Arial" w:eastAsia="Times New Roman" w:hAnsi="Arial" w:cs="Arial"/>
            <w:color w:val="0000FF"/>
            <w:kern w:val="0"/>
            <w:sz w:val="22"/>
            <w:szCs w:val="22"/>
            <w:u w:val="single"/>
            <w:lang w:eastAsia="en-GB"/>
            <w14:ligatures w14:val="none"/>
          </w:rPr>
          <w:t>mme/</w:t>
        </w:r>
      </w:hyperlink>
      <w:r w:rsidRPr="006B0C33">
        <w:rPr>
          <w:rFonts w:ascii="Arial" w:eastAsia="Times New Roman" w:hAnsi="Arial" w:cs="Arial"/>
          <w:kern w:val="0"/>
          <w:sz w:val="22"/>
          <w:szCs w:val="22"/>
          <w:lang w:eastAsia="en-GB"/>
          <w14:ligatures w14:val="none"/>
        </w:rPr>
        <w:t xml:space="preserve"> (Accessed: </w:t>
      </w:r>
      <w:r w:rsidR="00B32C38" w:rsidRPr="006B0C33">
        <w:rPr>
          <w:rFonts w:ascii="Arial" w:eastAsia="Times New Roman" w:hAnsi="Arial" w:cs="Arial"/>
          <w:kern w:val="0"/>
          <w:sz w:val="22"/>
          <w:szCs w:val="22"/>
          <w:lang w:eastAsia="en-GB"/>
          <w14:ligatures w14:val="none"/>
        </w:rPr>
        <w:t xml:space="preserve">7 </w:t>
      </w:r>
      <w:r w:rsidRPr="006B0C33">
        <w:rPr>
          <w:rFonts w:ascii="Arial" w:eastAsia="Times New Roman" w:hAnsi="Arial" w:cs="Arial"/>
          <w:kern w:val="0"/>
          <w:sz w:val="22"/>
          <w:szCs w:val="22"/>
          <w:lang w:eastAsia="en-GB"/>
          <w14:ligatures w14:val="none"/>
        </w:rPr>
        <w:t>October 2026).</w:t>
      </w:r>
    </w:p>
    <w:p w14:paraId="5CF717EA" w14:textId="77777777" w:rsidR="0033701F" w:rsidRPr="006B0C33" w:rsidRDefault="0033701F" w:rsidP="00347A42">
      <w:pPr>
        <w:spacing w:before="100" w:beforeAutospacing="1" w:after="100" w:afterAutospacing="1" w:line="360" w:lineRule="auto"/>
        <w:rPr>
          <w:rFonts w:ascii="Arial" w:eastAsia="Times New Roman" w:hAnsi="Arial" w:cs="Arial"/>
          <w:kern w:val="0"/>
          <w:sz w:val="22"/>
          <w:szCs w:val="22"/>
          <w:lang w:eastAsia="en-GB"/>
          <w14:ligatures w14:val="none"/>
        </w:rPr>
      </w:pPr>
      <w:r w:rsidRPr="006B0C33">
        <w:rPr>
          <w:rFonts w:ascii="Arial" w:eastAsia="Times New Roman" w:hAnsi="Arial" w:cs="Arial"/>
          <w:kern w:val="0"/>
          <w:sz w:val="22"/>
          <w:szCs w:val="22"/>
          <w:lang w:eastAsia="en-GB"/>
          <w14:ligatures w14:val="none"/>
        </w:rPr>
        <w:lastRenderedPageBreak/>
        <w:t xml:space="preserve">UK Government (2018) </w:t>
      </w:r>
      <w:r w:rsidRPr="006B0C33">
        <w:rPr>
          <w:rFonts w:ascii="Arial" w:eastAsia="Times New Roman" w:hAnsi="Arial" w:cs="Arial"/>
          <w:i/>
          <w:iCs/>
          <w:kern w:val="0"/>
          <w:sz w:val="22"/>
          <w:szCs w:val="22"/>
          <w:lang w:eastAsia="en-GB"/>
          <w14:ligatures w14:val="none"/>
        </w:rPr>
        <w:t>Data Protection Act 2018</w:t>
      </w:r>
      <w:r w:rsidRPr="006B0C33">
        <w:rPr>
          <w:rFonts w:ascii="Arial" w:eastAsia="Times New Roman" w:hAnsi="Arial" w:cs="Arial"/>
          <w:kern w:val="0"/>
          <w:sz w:val="22"/>
          <w:szCs w:val="22"/>
          <w:lang w:eastAsia="en-GB"/>
          <w14:ligatures w14:val="none"/>
        </w:rPr>
        <w:t xml:space="preserve">. Available at: </w:t>
      </w:r>
      <w:hyperlink r:id="rId16" w:history="1">
        <w:r w:rsidRPr="006B0C33">
          <w:rPr>
            <w:rFonts w:ascii="Arial" w:eastAsia="Times New Roman" w:hAnsi="Arial" w:cs="Arial"/>
            <w:color w:val="0000FF"/>
            <w:kern w:val="0"/>
            <w:sz w:val="22"/>
            <w:szCs w:val="22"/>
            <w:u w:val="single"/>
            <w:lang w:eastAsia="en-GB"/>
            <w14:ligatures w14:val="none"/>
          </w:rPr>
          <w:t>https://www.legislation.gov.uk/ukpga/2018/12</w:t>
        </w:r>
      </w:hyperlink>
      <w:r w:rsidRPr="006B0C33">
        <w:rPr>
          <w:rFonts w:ascii="Arial" w:eastAsia="Times New Roman" w:hAnsi="Arial" w:cs="Arial"/>
          <w:kern w:val="0"/>
          <w:sz w:val="22"/>
          <w:szCs w:val="22"/>
          <w:lang w:eastAsia="en-GB"/>
          <w14:ligatures w14:val="none"/>
        </w:rPr>
        <w:t xml:space="preserve"> (Accessed: 15 October 2026).</w:t>
      </w:r>
    </w:p>
    <w:p w14:paraId="539B5BCD" w14:textId="77777777" w:rsidR="00B76F8C" w:rsidRPr="006B0C33" w:rsidRDefault="00B76F8C" w:rsidP="00347A42">
      <w:pPr>
        <w:tabs>
          <w:tab w:val="left" w:pos="3187"/>
        </w:tabs>
        <w:spacing w:line="360" w:lineRule="auto"/>
        <w:rPr>
          <w:rFonts w:ascii="Arial" w:hAnsi="Arial" w:cs="Arial"/>
          <w:b/>
          <w:bCs/>
          <w:sz w:val="22"/>
          <w:szCs w:val="22"/>
        </w:rPr>
      </w:pPr>
    </w:p>
    <w:sectPr w:rsidR="00B76F8C" w:rsidRPr="006B0C33">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76E92" w14:textId="77777777" w:rsidR="002F4A40" w:rsidRDefault="002F4A40" w:rsidP="00572DEE">
      <w:pPr>
        <w:spacing w:after="0" w:line="240" w:lineRule="auto"/>
      </w:pPr>
      <w:r>
        <w:separator/>
      </w:r>
    </w:p>
  </w:endnote>
  <w:endnote w:type="continuationSeparator" w:id="0">
    <w:p w14:paraId="0DA02DB8" w14:textId="77777777" w:rsidR="002F4A40" w:rsidRDefault="002F4A40" w:rsidP="00572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789966"/>
      <w:docPartObj>
        <w:docPartGallery w:val="Page Numbers (Bottom of Page)"/>
        <w:docPartUnique/>
      </w:docPartObj>
    </w:sdtPr>
    <w:sdtContent>
      <w:p w14:paraId="118DE862" w14:textId="2939F202" w:rsidR="00572DEE" w:rsidRDefault="00572DEE">
        <w:pPr>
          <w:pStyle w:val="Footer"/>
        </w:pPr>
        <w:r>
          <w:fldChar w:fldCharType="begin"/>
        </w:r>
        <w:r>
          <w:instrText>PAGE   \* MERGEFORMAT</w:instrText>
        </w:r>
        <w:r>
          <w:fldChar w:fldCharType="separate"/>
        </w:r>
        <w:r>
          <w:t>2</w:t>
        </w:r>
        <w:r>
          <w:fldChar w:fldCharType="end"/>
        </w:r>
      </w:p>
    </w:sdtContent>
  </w:sdt>
  <w:p w14:paraId="5BA6472E" w14:textId="77777777" w:rsidR="00572DEE" w:rsidRDefault="00572D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9D720" w14:textId="77777777" w:rsidR="002F4A40" w:rsidRDefault="002F4A40" w:rsidP="00572DEE">
      <w:pPr>
        <w:spacing w:after="0" w:line="240" w:lineRule="auto"/>
      </w:pPr>
      <w:r>
        <w:separator/>
      </w:r>
    </w:p>
  </w:footnote>
  <w:footnote w:type="continuationSeparator" w:id="0">
    <w:p w14:paraId="2D59AA36" w14:textId="77777777" w:rsidR="002F4A40" w:rsidRDefault="002F4A40" w:rsidP="00572DE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D8C"/>
    <w:rsid w:val="00006B15"/>
    <w:rsid w:val="0001080F"/>
    <w:rsid w:val="0001115D"/>
    <w:rsid w:val="00013C9C"/>
    <w:rsid w:val="00015A7D"/>
    <w:rsid w:val="00025F49"/>
    <w:rsid w:val="000303D8"/>
    <w:rsid w:val="000529BE"/>
    <w:rsid w:val="00055E02"/>
    <w:rsid w:val="00056FA6"/>
    <w:rsid w:val="00062D7B"/>
    <w:rsid w:val="00065A6B"/>
    <w:rsid w:val="000677E3"/>
    <w:rsid w:val="00076B6C"/>
    <w:rsid w:val="00083F86"/>
    <w:rsid w:val="00094732"/>
    <w:rsid w:val="000950F3"/>
    <w:rsid w:val="000A1ABE"/>
    <w:rsid w:val="000A6597"/>
    <w:rsid w:val="000B0ADB"/>
    <w:rsid w:val="000B2BDB"/>
    <w:rsid w:val="000B38A9"/>
    <w:rsid w:val="000C1B0A"/>
    <w:rsid w:val="000C2B79"/>
    <w:rsid w:val="000C4C25"/>
    <w:rsid w:val="000D0784"/>
    <w:rsid w:val="000D305D"/>
    <w:rsid w:val="000D5D26"/>
    <w:rsid w:val="000E6813"/>
    <w:rsid w:val="000F099D"/>
    <w:rsid w:val="000F0BE8"/>
    <w:rsid w:val="000F332F"/>
    <w:rsid w:val="000F5A40"/>
    <w:rsid w:val="00110C35"/>
    <w:rsid w:val="00110F94"/>
    <w:rsid w:val="00111FA5"/>
    <w:rsid w:val="001143DE"/>
    <w:rsid w:val="00114E63"/>
    <w:rsid w:val="001158BE"/>
    <w:rsid w:val="00120B17"/>
    <w:rsid w:val="00121AD1"/>
    <w:rsid w:val="00123365"/>
    <w:rsid w:val="001239EB"/>
    <w:rsid w:val="001258A2"/>
    <w:rsid w:val="00125F61"/>
    <w:rsid w:val="00130899"/>
    <w:rsid w:val="001318A0"/>
    <w:rsid w:val="00143D1E"/>
    <w:rsid w:val="00145E17"/>
    <w:rsid w:val="00146DC7"/>
    <w:rsid w:val="00147C3D"/>
    <w:rsid w:val="00151A7B"/>
    <w:rsid w:val="00151AA2"/>
    <w:rsid w:val="00154550"/>
    <w:rsid w:val="00155EC1"/>
    <w:rsid w:val="00156DFF"/>
    <w:rsid w:val="00161B0B"/>
    <w:rsid w:val="00163592"/>
    <w:rsid w:val="001706A8"/>
    <w:rsid w:val="001719F8"/>
    <w:rsid w:val="00174EF0"/>
    <w:rsid w:val="00175D15"/>
    <w:rsid w:val="00177A79"/>
    <w:rsid w:val="00177EF9"/>
    <w:rsid w:val="00182DF0"/>
    <w:rsid w:val="00190496"/>
    <w:rsid w:val="001A0EB5"/>
    <w:rsid w:val="001A42FA"/>
    <w:rsid w:val="001B1BC3"/>
    <w:rsid w:val="001B23BE"/>
    <w:rsid w:val="001C1789"/>
    <w:rsid w:val="001C1DF7"/>
    <w:rsid w:val="001C30A9"/>
    <w:rsid w:val="001C395B"/>
    <w:rsid w:val="001C5921"/>
    <w:rsid w:val="001D2998"/>
    <w:rsid w:val="001D5E2E"/>
    <w:rsid w:val="001E0A04"/>
    <w:rsid w:val="001E75DA"/>
    <w:rsid w:val="001F7976"/>
    <w:rsid w:val="001F7CB7"/>
    <w:rsid w:val="00203543"/>
    <w:rsid w:val="00204439"/>
    <w:rsid w:val="00206C6B"/>
    <w:rsid w:val="00207047"/>
    <w:rsid w:val="0021107F"/>
    <w:rsid w:val="00214DDA"/>
    <w:rsid w:val="00216E54"/>
    <w:rsid w:val="0021727A"/>
    <w:rsid w:val="00217AAD"/>
    <w:rsid w:val="00217B93"/>
    <w:rsid w:val="0022561B"/>
    <w:rsid w:val="0022571E"/>
    <w:rsid w:val="00235EA0"/>
    <w:rsid w:val="0023611E"/>
    <w:rsid w:val="00236EFD"/>
    <w:rsid w:val="00244830"/>
    <w:rsid w:val="0024698F"/>
    <w:rsid w:val="00251E0D"/>
    <w:rsid w:val="00253C0F"/>
    <w:rsid w:val="00262999"/>
    <w:rsid w:val="00263F6D"/>
    <w:rsid w:val="00265496"/>
    <w:rsid w:val="00266A9F"/>
    <w:rsid w:val="00277E8D"/>
    <w:rsid w:val="00284F02"/>
    <w:rsid w:val="00292EBC"/>
    <w:rsid w:val="00293C86"/>
    <w:rsid w:val="0029446E"/>
    <w:rsid w:val="00294EB8"/>
    <w:rsid w:val="002957C6"/>
    <w:rsid w:val="00295C14"/>
    <w:rsid w:val="0029725E"/>
    <w:rsid w:val="002A50D2"/>
    <w:rsid w:val="002A54A7"/>
    <w:rsid w:val="002A6149"/>
    <w:rsid w:val="002B1EDA"/>
    <w:rsid w:val="002B3468"/>
    <w:rsid w:val="002B39AF"/>
    <w:rsid w:val="002B3FE6"/>
    <w:rsid w:val="002C3E43"/>
    <w:rsid w:val="002C6199"/>
    <w:rsid w:val="002C7A57"/>
    <w:rsid w:val="002D142C"/>
    <w:rsid w:val="002D5DA8"/>
    <w:rsid w:val="002E104D"/>
    <w:rsid w:val="002F1495"/>
    <w:rsid w:val="002F3468"/>
    <w:rsid w:val="002F3829"/>
    <w:rsid w:val="002F4A40"/>
    <w:rsid w:val="002F67DA"/>
    <w:rsid w:val="00302AC1"/>
    <w:rsid w:val="00304E33"/>
    <w:rsid w:val="00304F8C"/>
    <w:rsid w:val="003072AB"/>
    <w:rsid w:val="003174C9"/>
    <w:rsid w:val="00321612"/>
    <w:rsid w:val="00324176"/>
    <w:rsid w:val="00327796"/>
    <w:rsid w:val="00327F28"/>
    <w:rsid w:val="00330BBC"/>
    <w:rsid w:val="00332CD4"/>
    <w:rsid w:val="00332EBE"/>
    <w:rsid w:val="00334928"/>
    <w:rsid w:val="00335395"/>
    <w:rsid w:val="00335787"/>
    <w:rsid w:val="0033701F"/>
    <w:rsid w:val="00337EBD"/>
    <w:rsid w:val="00343FB5"/>
    <w:rsid w:val="00344BFA"/>
    <w:rsid w:val="00347A42"/>
    <w:rsid w:val="003518D0"/>
    <w:rsid w:val="0035391E"/>
    <w:rsid w:val="00357846"/>
    <w:rsid w:val="0036046B"/>
    <w:rsid w:val="00366928"/>
    <w:rsid w:val="00372CAB"/>
    <w:rsid w:val="003758DC"/>
    <w:rsid w:val="003824DA"/>
    <w:rsid w:val="00385F1B"/>
    <w:rsid w:val="00387574"/>
    <w:rsid w:val="00390A65"/>
    <w:rsid w:val="00396473"/>
    <w:rsid w:val="00396EF9"/>
    <w:rsid w:val="003972B0"/>
    <w:rsid w:val="00397817"/>
    <w:rsid w:val="003A090D"/>
    <w:rsid w:val="003A1A19"/>
    <w:rsid w:val="003B04A8"/>
    <w:rsid w:val="003B2D10"/>
    <w:rsid w:val="003B5F92"/>
    <w:rsid w:val="003C110F"/>
    <w:rsid w:val="003C15C6"/>
    <w:rsid w:val="003C15CD"/>
    <w:rsid w:val="003C200D"/>
    <w:rsid w:val="003C295E"/>
    <w:rsid w:val="003C592A"/>
    <w:rsid w:val="003C5D79"/>
    <w:rsid w:val="003C77CF"/>
    <w:rsid w:val="003C7A58"/>
    <w:rsid w:val="003D31E7"/>
    <w:rsid w:val="003D4DC0"/>
    <w:rsid w:val="003D5828"/>
    <w:rsid w:val="003E35B2"/>
    <w:rsid w:val="003E3E96"/>
    <w:rsid w:val="003E671D"/>
    <w:rsid w:val="003F1685"/>
    <w:rsid w:val="003F3EF6"/>
    <w:rsid w:val="003F61C9"/>
    <w:rsid w:val="004004F8"/>
    <w:rsid w:val="00405FD6"/>
    <w:rsid w:val="004139FD"/>
    <w:rsid w:val="00417604"/>
    <w:rsid w:val="00421623"/>
    <w:rsid w:val="00437553"/>
    <w:rsid w:val="004410B4"/>
    <w:rsid w:val="0045011A"/>
    <w:rsid w:val="00451C2A"/>
    <w:rsid w:val="00455953"/>
    <w:rsid w:val="00462724"/>
    <w:rsid w:val="0046371B"/>
    <w:rsid w:val="00474CB2"/>
    <w:rsid w:val="00476171"/>
    <w:rsid w:val="0047776F"/>
    <w:rsid w:val="004777C9"/>
    <w:rsid w:val="00481700"/>
    <w:rsid w:val="0048402E"/>
    <w:rsid w:val="00485620"/>
    <w:rsid w:val="0049215F"/>
    <w:rsid w:val="004929AF"/>
    <w:rsid w:val="00497278"/>
    <w:rsid w:val="004A50F7"/>
    <w:rsid w:val="004B08F2"/>
    <w:rsid w:val="004B49BC"/>
    <w:rsid w:val="004C15C1"/>
    <w:rsid w:val="004C2247"/>
    <w:rsid w:val="004C2E0B"/>
    <w:rsid w:val="004D0C8C"/>
    <w:rsid w:val="004D2D8D"/>
    <w:rsid w:val="004D39AF"/>
    <w:rsid w:val="004D4B79"/>
    <w:rsid w:val="004D4C4C"/>
    <w:rsid w:val="004F4039"/>
    <w:rsid w:val="005019F6"/>
    <w:rsid w:val="005024E6"/>
    <w:rsid w:val="005070E3"/>
    <w:rsid w:val="0050725B"/>
    <w:rsid w:val="00511606"/>
    <w:rsid w:val="00520F24"/>
    <w:rsid w:val="00524599"/>
    <w:rsid w:val="005311A8"/>
    <w:rsid w:val="0053242E"/>
    <w:rsid w:val="00532A56"/>
    <w:rsid w:val="00532FE7"/>
    <w:rsid w:val="005340FE"/>
    <w:rsid w:val="0053535E"/>
    <w:rsid w:val="0053640F"/>
    <w:rsid w:val="00541131"/>
    <w:rsid w:val="0055795D"/>
    <w:rsid w:val="0056268E"/>
    <w:rsid w:val="005636A3"/>
    <w:rsid w:val="0056638C"/>
    <w:rsid w:val="00567965"/>
    <w:rsid w:val="00572DEE"/>
    <w:rsid w:val="005734E6"/>
    <w:rsid w:val="00577011"/>
    <w:rsid w:val="0058281A"/>
    <w:rsid w:val="00584CCD"/>
    <w:rsid w:val="005857FE"/>
    <w:rsid w:val="005910EE"/>
    <w:rsid w:val="0059337C"/>
    <w:rsid w:val="00593711"/>
    <w:rsid w:val="00594C79"/>
    <w:rsid w:val="005A260F"/>
    <w:rsid w:val="005A4BEB"/>
    <w:rsid w:val="005A61C2"/>
    <w:rsid w:val="005B2236"/>
    <w:rsid w:val="005B603B"/>
    <w:rsid w:val="005B6250"/>
    <w:rsid w:val="005C1597"/>
    <w:rsid w:val="005C1B2F"/>
    <w:rsid w:val="005C3780"/>
    <w:rsid w:val="005C6892"/>
    <w:rsid w:val="005D0B8A"/>
    <w:rsid w:val="005D2306"/>
    <w:rsid w:val="005D330A"/>
    <w:rsid w:val="005D3429"/>
    <w:rsid w:val="005D34A7"/>
    <w:rsid w:val="005D3747"/>
    <w:rsid w:val="005D66CB"/>
    <w:rsid w:val="005D6AC7"/>
    <w:rsid w:val="005D7456"/>
    <w:rsid w:val="005E1A2C"/>
    <w:rsid w:val="005E7834"/>
    <w:rsid w:val="005F17A9"/>
    <w:rsid w:val="005F277A"/>
    <w:rsid w:val="005F3011"/>
    <w:rsid w:val="005F4580"/>
    <w:rsid w:val="00603EFA"/>
    <w:rsid w:val="006068F4"/>
    <w:rsid w:val="00611C75"/>
    <w:rsid w:val="00611F68"/>
    <w:rsid w:val="006145FC"/>
    <w:rsid w:val="006225FC"/>
    <w:rsid w:val="00626A0E"/>
    <w:rsid w:val="00631FFA"/>
    <w:rsid w:val="00640469"/>
    <w:rsid w:val="00640B62"/>
    <w:rsid w:val="00641425"/>
    <w:rsid w:val="00652DB3"/>
    <w:rsid w:val="00653EB2"/>
    <w:rsid w:val="00657582"/>
    <w:rsid w:val="00667D97"/>
    <w:rsid w:val="00670FBF"/>
    <w:rsid w:val="00672DF5"/>
    <w:rsid w:val="00682D12"/>
    <w:rsid w:val="006836AE"/>
    <w:rsid w:val="00684E4F"/>
    <w:rsid w:val="00684FF1"/>
    <w:rsid w:val="006923B0"/>
    <w:rsid w:val="0069329D"/>
    <w:rsid w:val="00693669"/>
    <w:rsid w:val="00695D1E"/>
    <w:rsid w:val="006A1799"/>
    <w:rsid w:val="006A1D09"/>
    <w:rsid w:val="006A2CD0"/>
    <w:rsid w:val="006B0C33"/>
    <w:rsid w:val="006C3A4A"/>
    <w:rsid w:val="006D359A"/>
    <w:rsid w:val="006E354E"/>
    <w:rsid w:val="006E6338"/>
    <w:rsid w:val="006F3A4C"/>
    <w:rsid w:val="006F62E3"/>
    <w:rsid w:val="006F7245"/>
    <w:rsid w:val="00700A16"/>
    <w:rsid w:val="00703E0D"/>
    <w:rsid w:val="00703F60"/>
    <w:rsid w:val="00715AAE"/>
    <w:rsid w:val="00716E83"/>
    <w:rsid w:val="00724BC9"/>
    <w:rsid w:val="00725F7C"/>
    <w:rsid w:val="00726027"/>
    <w:rsid w:val="00733D1B"/>
    <w:rsid w:val="00742681"/>
    <w:rsid w:val="007511B1"/>
    <w:rsid w:val="00751332"/>
    <w:rsid w:val="00752DC0"/>
    <w:rsid w:val="00762687"/>
    <w:rsid w:val="00762863"/>
    <w:rsid w:val="0076384F"/>
    <w:rsid w:val="007709AE"/>
    <w:rsid w:val="00775ACA"/>
    <w:rsid w:val="0078240D"/>
    <w:rsid w:val="00793443"/>
    <w:rsid w:val="007973B7"/>
    <w:rsid w:val="007A1458"/>
    <w:rsid w:val="007A6D1C"/>
    <w:rsid w:val="007B19F0"/>
    <w:rsid w:val="007C366D"/>
    <w:rsid w:val="007D3810"/>
    <w:rsid w:val="007D5BA0"/>
    <w:rsid w:val="007D6557"/>
    <w:rsid w:val="007D7A6B"/>
    <w:rsid w:val="007E16A4"/>
    <w:rsid w:val="007E3576"/>
    <w:rsid w:val="007E6D66"/>
    <w:rsid w:val="007E7709"/>
    <w:rsid w:val="007F3702"/>
    <w:rsid w:val="007F40E2"/>
    <w:rsid w:val="007F51ED"/>
    <w:rsid w:val="008045E5"/>
    <w:rsid w:val="00810B85"/>
    <w:rsid w:val="00814721"/>
    <w:rsid w:val="00814877"/>
    <w:rsid w:val="00815A49"/>
    <w:rsid w:val="00816426"/>
    <w:rsid w:val="00817743"/>
    <w:rsid w:val="00820282"/>
    <w:rsid w:val="00822F4D"/>
    <w:rsid w:val="00824F85"/>
    <w:rsid w:val="0083262C"/>
    <w:rsid w:val="00833CA8"/>
    <w:rsid w:val="00843723"/>
    <w:rsid w:val="00843AFB"/>
    <w:rsid w:val="00844DB3"/>
    <w:rsid w:val="0085027C"/>
    <w:rsid w:val="008515C9"/>
    <w:rsid w:val="0085567F"/>
    <w:rsid w:val="00860F17"/>
    <w:rsid w:val="00861537"/>
    <w:rsid w:val="008625ED"/>
    <w:rsid w:val="008658A9"/>
    <w:rsid w:val="0087428A"/>
    <w:rsid w:val="00877DA0"/>
    <w:rsid w:val="0088038D"/>
    <w:rsid w:val="008856AB"/>
    <w:rsid w:val="00893C90"/>
    <w:rsid w:val="008960AF"/>
    <w:rsid w:val="008979A9"/>
    <w:rsid w:val="008A2491"/>
    <w:rsid w:val="008A4027"/>
    <w:rsid w:val="008A4D9D"/>
    <w:rsid w:val="008A6A14"/>
    <w:rsid w:val="008B2651"/>
    <w:rsid w:val="008B39CF"/>
    <w:rsid w:val="008B3B79"/>
    <w:rsid w:val="008B5018"/>
    <w:rsid w:val="008B601F"/>
    <w:rsid w:val="008C6354"/>
    <w:rsid w:val="008D0383"/>
    <w:rsid w:val="008D53DA"/>
    <w:rsid w:val="008E006F"/>
    <w:rsid w:val="008E17D5"/>
    <w:rsid w:val="008E2DB3"/>
    <w:rsid w:val="008E6F31"/>
    <w:rsid w:val="008F0EEF"/>
    <w:rsid w:val="008F33D2"/>
    <w:rsid w:val="008F56CD"/>
    <w:rsid w:val="008F7CED"/>
    <w:rsid w:val="00903B89"/>
    <w:rsid w:val="00907B26"/>
    <w:rsid w:val="00910691"/>
    <w:rsid w:val="00916BDD"/>
    <w:rsid w:val="00917B85"/>
    <w:rsid w:val="00927908"/>
    <w:rsid w:val="009308CC"/>
    <w:rsid w:val="00931384"/>
    <w:rsid w:val="00931B8E"/>
    <w:rsid w:val="0093376E"/>
    <w:rsid w:val="0094231C"/>
    <w:rsid w:val="0094775C"/>
    <w:rsid w:val="00947D5E"/>
    <w:rsid w:val="009508D5"/>
    <w:rsid w:val="009530E0"/>
    <w:rsid w:val="0095399E"/>
    <w:rsid w:val="00957A2D"/>
    <w:rsid w:val="00961DD3"/>
    <w:rsid w:val="009644F3"/>
    <w:rsid w:val="00966E9C"/>
    <w:rsid w:val="00971C5D"/>
    <w:rsid w:val="00975DEC"/>
    <w:rsid w:val="00977D1B"/>
    <w:rsid w:val="00981386"/>
    <w:rsid w:val="00981995"/>
    <w:rsid w:val="00983947"/>
    <w:rsid w:val="00983D19"/>
    <w:rsid w:val="00986996"/>
    <w:rsid w:val="009871B0"/>
    <w:rsid w:val="0098734F"/>
    <w:rsid w:val="00995C4E"/>
    <w:rsid w:val="009A1946"/>
    <w:rsid w:val="009A48BB"/>
    <w:rsid w:val="009A4D05"/>
    <w:rsid w:val="009A7EBA"/>
    <w:rsid w:val="009B4635"/>
    <w:rsid w:val="009B7080"/>
    <w:rsid w:val="009C3415"/>
    <w:rsid w:val="009C472E"/>
    <w:rsid w:val="009C47DD"/>
    <w:rsid w:val="009D1AF9"/>
    <w:rsid w:val="009D2626"/>
    <w:rsid w:val="009D2915"/>
    <w:rsid w:val="009D5CA5"/>
    <w:rsid w:val="009E1E87"/>
    <w:rsid w:val="009E2306"/>
    <w:rsid w:val="009F12CB"/>
    <w:rsid w:val="009F1903"/>
    <w:rsid w:val="009F4877"/>
    <w:rsid w:val="009F4A2D"/>
    <w:rsid w:val="009F4D1B"/>
    <w:rsid w:val="00A00910"/>
    <w:rsid w:val="00A02330"/>
    <w:rsid w:val="00A0292F"/>
    <w:rsid w:val="00A02F32"/>
    <w:rsid w:val="00A04D8C"/>
    <w:rsid w:val="00A0620B"/>
    <w:rsid w:val="00A0689B"/>
    <w:rsid w:val="00A06C7B"/>
    <w:rsid w:val="00A15A37"/>
    <w:rsid w:val="00A20704"/>
    <w:rsid w:val="00A27AD6"/>
    <w:rsid w:val="00A33446"/>
    <w:rsid w:val="00A4048D"/>
    <w:rsid w:val="00A50C0C"/>
    <w:rsid w:val="00A50E61"/>
    <w:rsid w:val="00A6693D"/>
    <w:rsid w:val="00A67CCD"/>
    <w:rsid w:val="00A7084F"/>
    <w:rsid w:val="00A736E8"/>
    <w:rsid w:val="00A816EB"/>
    <w:rsid w:val="00A8427A"/>
    <w:rsid w:val="00A843D5"/>
    <w:rsid w:val="00A85D73"/>
    <w:rsid w:val="00A92C46"/>
    <w:rsid w:val="00AA04D2"/>
    <w:rsid w:val="00AA35F2"/>
    <w:rsid w:val="00AA4397"/>
    <w:rsid w:val="00AA4D60"/>
    <w:rsid w:val="00AB111F"/>
    <w:rsid w:val="00AB11F6"/>
    <w:rsid w:val="00AB13A2"/>
    <w:rsid w:val="00AB374F"/>
    <w:rsid w:val="00AB3C8E"/>
    <w:rsid w:val="00AB4E1E"/>
    <w:rsid w:val="00AC13DE"/>
    <w:rsid w:val="00AC627D"/>
    <w:rsid w:val="00AC6312"/>
    <w:rsid w:val="00AC6318"/>
    <w:rsid w:val="00AC6A4E"/>
    <w:rsid w:val="00AC6BEE"/>
    <w:rsid w:val="00AD0803"/>
    <w:rsid w:val="00AD1435"/>
    <w:rsid w:val="00AD2D6D"/>
    <w:rsid w:val="00AD3242"/>
    <w:rsid w:val="00AD5E6B"/>
    <w:rsid w:val="00AD6B5D"/>
    <w:rsid w:val="00AE0812"/>
    <w:rsid w:val="00AE0BCB"/>
    <w:rsid w:val="00AF20E0"/>
    <w:rsid w:val="00AF555C"/>
    <w:rsid w:val="00B0232B"/>
    <w:rsid w:val="00B112B6"/>
    <w:rsid w:val="00B117C8"/>
    <w:rsid w:val="00B25F0F"/>
    <w:rsid w:val="00B30F3D"/>
    <w:rsid w:val="00B32C38"/>
    <w:rsid w:val="00B42072"/>
    <w:rsid w:val="00B47C13"/>
    <w:rsid w:val="00B47E51"/>
    <w:rsid w:val="00B53482"/>
    <w:rsid w:val="00B554C4"/>
    <w:rsid w:val="00B62C6F"/>
    <w:rsid w:val="00B67F26"/>
    <w:rsid w:val="00B76F8C"/>
    <w:rsid w:val="00B83B60"/>
    <w:rsid w:val="00B842A8"/>
    <w:rsid w:val="00B847BA"/>
    <w:rsid w:val="00B8682B"/>
    <w:rsid w:val="00B871B3"/>
    <w:rsid w:val="00B87652"/>
    <w:rsid w:val="00B90F8C"/>
    <w:rsid w:val="00B92050"/>
    <w:rsid w:val="00B938B6"/>
    <w:rsid w:val="00B946A6"/>
    <w:rsid w:val="00B94E72"/>
    <w:rsid w:val="00BA168C"/>
    <w:rsid w:val="00BA20B1"/>
    <w:rsid w:val="00BA59A8"/>
    <w:rsid w:val="00BA764E"/>
    <w:rsid w:val="00BC22BF"/>
    <w:rsid w:val="00BC4C9D"/>
    <w:rsid w:val="00BC4EAA"/>
    <w:rsid w:val="00BC67A6"/>
    <w:rsid w:val="00BD2EB5"/>
    <w:rsid w:val="00BE0DEE"/>
    <w:rsid w:val="00BE28F5"/>
    <w:rsid w:val="00BE6B6A"/>
    <w:rsid w:val="00BF2DA2"/>
    <w:rsid w:val="00C009B1"/>
    <w:rsid w:val="00C01C2C"/>
    <w:rsid w:val="00C031BD"/>
    <w:rsid w:val="00C0424D"/>
    <w:rsid w:val="00C05150"/>
    <w:rsid w:val="00C0598E"/>
    <w:rsid w:val="00C0695D"/>
    <w:rsid w:val="00C1199C"/>
    <w:rsid w:val="00C15AAF"/>
    <w:rsid w:val="00C17DEE"/>
    <w:rsid w:val="00C23FE9"/>
    <w:rsid w:val="00C24714"/>
    <w:rsid w:val="00C4252C"/>
    <w:rsid w:val="00C4443F"/>
    <w:rsid w:val="00C556D7"/>
    <w:rsid w:val="00C67E1E"/>
    <w:rsid w:val="00C740A4"/>
    <w:rsid w:val="00C74E93"/>
    <w:rsid w:val="00C75D21"/>
    <w:rsid w:val="00C76B39"/>
    <w:rsid w:val="00C7736B"/>
    <w:rsid w:val="00C8139F"/>
    <w:rsid w:val="00C82173"/>
    <w:rsid w:val="00C941F1"/>
    <w:rsid w:val="00C95277"/>
    <w:rsid w:val="00CA0273"/>
    <w:rsid w:val="00CA03A2"/>
    <w:rsid w:val="00CA6F84"/>
    <w:rsid w:val="00CB3147"/>
    <w:rsid w:val="00CC0738"/>
    <w:rsid w:val="00CC4C59"/>
    <w:rsid w:val="00CD3903"/>
    <w:rsid w:val="00CD5C38"/>
    <w:rsid w:val="00CD7EC6"/>
    <w:rsid w:val="00CE03CD"/>
    <w:rsid w:val="00CF3804"/>
    <w:rsid w:val="00CF44CA"/>
    <w:rsid w:val="00CF6A9D"/>
    <w:rsid w:val="00CF6CE1"/>
    <w:rsid w:val="00D073E1"/>
    <w:rsid w:val="00D07834"/>
    <w:rsid w:val="00D12D2F"/>
    <w:rsid w:val="00D13393"/>
    <w:rsid w:val="00D24417"/>
    <w:rsid w:val="00D25B6B"/>
    <w:rsid w:val="00D30ABD"/>
    <w:rsid w:val="00D325F5"/>
    <w:rsid w:val="00D33837"/>
    <w:rsid w:val="00D41536"/>
    <w:rsid w:val="00D44AC9"/>
    <w:rsid w:val="00D519A2"/>
    <w:rsid w:val="00D52329"/>
    <w:rsid w:val="00D52C06"/>
    <w:rsid w:val="00D551EF"/>
    <w:rsid w:val="00D56C24"/>
    <w:rsid w:val="00D5772D"/>
    <w:rsid w:val="00D63A39"/>
    <w:rsid w:val="00D65DEA"/>
    <w:rsid w:val="00D65FA5"/>
    <w:rsid w:val="00D76B94"/>
    <w:rsid w:val="00D8504B"/>
    <w:rsid w:val="00D9191E"/>
    <w:rsid w:val="00D96D53"/>
    <w:rsid w:val="00D972DA"/>
    <w:rsid w:val="00DA2F9D"/>
    <w:rsid w:val="00DA31F9"/>
    <w:rsid w:val="00DA5112"/>
    <w:rsid w:val="00DA6433"/>
    <w:rsid w:val="00DB5BE0"/>
    <w:rsid w:val="00DC179A"/>
    <w:rsid w:val="00DC4189"/>
    <w:rsid w:val="00DC6849"/>
    <w:rsid w:val="00DD13B5"/>
    <w:rsid w:val="00DD7F8B"/>
    <w:rsid w:val="00DE0992"/>
    <w:rsid w:val="00DE6236"/>
    <w:rsid w:val="00DE70F2"/>
    <w:rsid w:val="00DF0E6D"/>
    <w:rsid w:val="00E0389D"/>
    <w:rsid w:val="00E072B3"/>
    <w:rsid w:val="00E133F3"/>
    <w:rsid w:val="00E23FCB"/>
    <w:rsid w:val="00E240AC"/>
    <w:rsid w:val="00E26988"/>
    <w:rsid w:val="00E30786"/>
    <w:rsid w:val="00E32D08"/>
    <w:rsid w:val="00E33EE9"/>
    <w:rsid w:val="00E40F7A"/>
    <w:rsid w:val="00E41CCA"/>
    <w:rsid w:val="00E42EE3"/>
    <w:rsid w:val="00E439C5"/>
    <w:rsid w:val="00E46AF8"/>
    <w:rsid w:val="00E5022C"/>
    <w:rsid w:val="00E516A6"/>
    <w:rsid w:val="00E56978"/>
    <w:rsid w:val="00E57AC3"/>
    <w:rsid w:val="00E64D1E"/>
    <w:rsid w:val="00E674C5"/>
    <w:rsid w:val="00E747C1"/>
    <w:rsid w:val="00E76ADC"/>
    <w:rsid w:val="00E77499"/>
    <w:rsid w:val="00E81E24"/>
    <w:rsid w:val="00E83905"/>
    <w:rsid w:val="00E855AA"/>
    <w:rsid w:val="00EA0CB5"/>
    <w:rsid w:val="00EA3268"/>
    <w:rsid w:val="00EA5B58"/>
    <w:rsid w:val="00EB3DA7"/>
    <w:rsid w:val="00EC4454"/>
    <w:rsid w:val="00EC5549"/>
    <w:rsid w:val="00ED34FF"/>
    <w:rsid w:val="00EE119A"/>
    <w:rsid w:val="00EE22EC"/>
    <w:rsid w:val="00EF47DC"/>
    <w:rsid w:val="00EF5DDF"/>
    <w:rsid w:val="00F00394"/>
    <w:rsid w:val="00F01577"/>
    <w:rsid w:val="00F02D64"/>
    <w:rsid w:val="00F05B95"/>
    <w:rsid w:val="00F157B5"/>
    <w:rsid w:val="00F166AE"/>
    <w:rsid w:val="00F20C44"/>
    <w:rsid w:val="00F210CF"/>
    <w:rsid w:val="00F25F6B"/>
    <w:rsid w:val="00F348FA"/>
    <w:rsid w:val="00F367E6"/>
    <w:rsid w:val="00F377C1"/>
    <w:rsid w:val="00F5015B"/>
    <w:rsid w:val="00F72A03"/>
    <w:rsid w:val="00F74934"/>
    <w:rsid w:val="00F7505C"/>
    <w:rsid w:val="00F756AC"/>
    <w:rsid w:val="00F76713"/>
    <w:rsid w:val="00F8056B"/>
    <w:rsid w:val="00F83BC7"/>
    <w:rsid w:val="00F84C78"/>
    <w:rsid w:val="00F9253C"/>
    <w:rsid w:val="00FA4828"/>
    <w:rsid w:val="00FB7779"/>
    <w:rsid w:val="00FC245D"/>
    <w:rsid w:val="00FC2851"/>
    <w:rsid w:val="00FC4C30"/>
    <w:rsid w:val="00FD01D7"/>
    <w:rsid w:val="00FD6803"/>
    <w:rsid w:val="00FD70CA"/>
    <w:rsid w:val="00FE338E"/>
    <w:rsid w:val="00FE6D38"/>
    <w:rsid w:val="00FF5C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615C2"/>
  <w15:chartTrackingRefBased/>
  <w15:docId w15:val="{CDCA5C6E-C404-48A8-B324-E373FEDA7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4D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4D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4D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4D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4D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4D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4D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4D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4D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4D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4D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4D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4D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4D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4D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4D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4D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4D8C"/>
    <w:rPr>
      <w:rFonts w:eastAsiaTheme="majorEastAsia" w:cstheme="majorBidi"/>
      <w:color w:val="272727" w:themeColor="text1" w:themeTint="D8"/>
    </w:rPr>
  </w:style>
  <w:style w:type="paragraph" w:styleId="Title">
    <w:name w:val="Title"/>
    <w:basedOn w:val="Normal"/>
    <w:next w:val="Normal"/>
    <w:link w:val="TitleChar"/>
    <w:uiPriority w:val="10"/>
    <w:qFormat/>
    <w:rsid w:val="00A04D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4D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4D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4D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4D8C"/>
    <w:pPr>
      <w:spacing w:before="160"/>
      <w:jc w:val="center"/>
    </w:pPr>
    <w:rPr>
      <w:i/>
      <w:iCs/>
      <w:color w:val="404040" w:themeColor="text1" w:themeTint="BF"/>
    </w:rPr>
  </w:style>
  <w:style w:type="character" w:customStyle="1" w:styleId="QuoteChar">
    <w:name w:val="Quote Char"/>
    <w:basedOn w:val="DefaultParagraphFont"/>
    <w:link w:val="Quote"/>
    <w:uiPriority w:val="29"/>
    <w:rsid w:val="00A04D8C"/>
    <w:rPr>
      <w:i/>
      <w:iCs/>
      <w:color w:val="404040" w:themeColor="text1" w:themeTint="BF"/>
    </w:rPr>
  </w:style>
  <w:style w:type="paragraph" w:styleId="ListParagraph">
    <w:name w:val="List Paragraph"/>
    <w:basedOn w:val="Normal"/>
    <w:uiPriority w:val="34"/>
    <w:qFormat/>
    <w:rsid w:val="00A04D8C"/>
    <w:pPr>
      <w:ind w:left="720"/>
      <w:contextualSpacing/>
    </w:pPr>
  </w:style>
  <w:style w:type="character" w:styleId="IntenseEmphasis">
    <w:name w:val="Intense Emphasis"/>
    <w:basedOn w:val="DefaultParagraphFont"/>
    <w:uiPriority w:val="21"/>
    <w:qFormat/>
    <w:rsid w:val="00A04D8C"/>
    <w:rPr>
      <w:i/>
      <w:iCs/>
      <w:color w:val="0F4761" w:themeColor="accent1" w:themeShade="BF"/>
    </w:rPr>
  </w:style>
  <w:style w:type="paragraph" w:styleId="IntenseQuote">
    <w:name w:val="Intense Quote"/>
    <w:basedOn w:val="Normal"/>
    <w:next w:val="Normal"/>
    <w:link w:val="IntenseQuoteChar"/>
    <w:uiPriority w:val="30"/>
    <w:qFormat/>
    <w:rsid w:val="00A04D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4D8C"/>
    <w:rPr>
      <w:i/>
      <w:iCs/>
      <w:color w:val="0F4761" w:themeColor="accent1" w:themeShade="BF"/>
    </w:rPr>
  </w:style>
  <w:style w:type="character" w:styleId="IntenseReference">
    <w:name w:val="Intense Reference"/>
    <w:basedOn w:val="DefaultParagraphFont"/>
    <w:uiPriority w:val="32"/>
    <w:qFormat/>
    <w:rsid w:val="00A04D8C"/>
    <w:rPr>
      <w:b/>
      <w:bCs/>
      <w:smallCaps/>
      <w:color w:val="0F4761" w:themeColor="accent1" w:themeShade="BF"/>
      <w:spacing w:val="5"/>
    </w:rPr>
  </w:style>
  <w:style w:type="paragraph" w:styleId="NormalWeb">
    <w:name w:val="Normal (Web)"/>
    <w:basedOn w:val="Normal"/>
    <w:uiPriority w:val="99"/>
    <w:unhideWhenUsed/>
    <w:rsid w:val="00966E9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966E9C"/>
    <w:rPr>
      <w:b/>
      <w:bCs/>
    </w:rPr>
  </w:style>
  <w:style w:type="paragraph" w:customStyle="1" w:styleId="isselectedend">
    <w:name w:val="isselectedend"/>
    <w:basedOn w:val="Normal"/>
    <w:rsid w:val="00D65FA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3E3E96"/>
    <w:rPr>
      <w:i/>
      <w:iCs/>
    </w:rPr>
  </w:style>
  <w:style w:type="character" w:styleId="Hyperlink">
    <w:name w:val="Hyperlink"/>
    <w:basedOn w:val="DefaultParagraphFont"/>
    <w:uiPriority w:val="99"/>
    <w:unhideWhenUsed/>
    <w:rsid w:val="003E3E96"/>
    <w:rPr>
      <w:color w:val="0000FF"/>
      <w:u w:val="single"/>
    </w:rPr>
  </w:style>
  <w:style w:type="paragraph" w:styleId="Header">
    <w:name w:val="header"/>
    <w:basedOn w:val="Normal"/>
    <w:link w:val="HeaderChar"/>
    <w:uiPriority w:val="99"/>
    <w:unhideWhenUsed/>
    <w:rsid w:val="00572D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2DEE"/>
  </w:style>
  <w:style w:type="paragraph" w:styleId="Footer">
    <w:name w:val="footer"/>
    <w:basedOn w:val="Normal"/>
    <w:link w:val="FooterChar"/>
    <w:uiPriority w:val="99"/>
    <w:unhideWhenUsed/>
    <w:rsid w:val="00572D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2DEE"/>
  </w:style>
  <w:style w:type="character" w:styleId="UnresolvedMention">
    <w:name w:val="Unresolved Mention"/>
    <w:basedOn w:val="DefaultParagraphFont"/>
    <w:uiPriority w:val="99"/>
    <w:semiHidden/>
    <w:unhideWhenUsed/>
    <w:rsid w:val="005340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uk-gdpr-guidance-and-resources/lawful-basis/special-category-data/what-is-special-category-data/" TargetMode="External"/><Relationship Id="rId13" Type="http://schemas.openxmlformats.org/officeDocument/2006/relationships/hyperlink" Target="https://www.england.nhs.uk/aac/what-we-do/how-can-the-aac-help-me/ai-award/round-1/"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overnment/publications/a-plan-for-digital-health-and-social-care/a-plan-for-digital-health-and-social-care" TargetMode="External"/><Relationship Id="rId12" Type="http://schemas.openxmlformats.org/officeDocument/2006/relationships/hyperlink" Target="https://www.sciencedirect.com/science/article/pii/S2589750025001098"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legislation.gov.uk/ukpga/2018/12"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nice.org.uk/guidance/htg708" TargetMode="External"/><Relationship Id="rId5" Type="http://schemas.openxmlformats.org/officeDocument/2006/relationships/endnotes" Target="endnotes.xml"/><Relationship Id="rId15" Type="http://schemas.openxmlformats.org/officeDocument/2006/relationships/hyperlink" Target="https://www.england.nhs.uk/long-read/the-innovation-ecosystem-programme/" TargetMode="External"/><Relationship Id="rId10" Type="http://schemas.openxmlformats.org/officeDocument/2006/relationships/hyperlink" Target="https://www.gov.uk/government/publications/the-caldicott-principles"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pmc.ncbi.nlm.nih.gov/articles/PMC11732836/" TargetMode="External"/><Relationship Id="rId14" Type="http://schemas.openxmlformats.org/officeDocument/2006/relationships/hyperlink" Target="https://future.nhs.uk/WhatGoodLooksLikeKnowled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24736</TotalTime>
  <Pages>10</Pages>
  <Words>2690</Words>
  <Characters>15334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Sherelle McLean (2407059)</dc:creator>
  <cp:keywords/>
  <dc:description/>
  <cp:lastModifiedBy>Sherelle McLean (2407059)</cp:lastModifiedBy>
  <cp:revision>676</cp:revision>
  <dcterms:created xsi:type="dcterms:W3CDTF">2026-09-26T13:28:00Z</dcterms:created>
  <dcterms:modified xsi:type="dcterms:W3CDTF">2026-10-17T12:55:00Z</dcterms:modified>
</cp:coreProperties>
</file>