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7A8763" w14:textId="77777777" w:rsidR="000327F4" w:rsidRDefault="000327F4" w:rsidP="000327F4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13546067" wp14:editId="7BDD6808">
            <wp:extent cx="1906905" cy="638175"/>
            <wp:effectExtent l="25400" t="25400" r="10795" b="9525"/>
            <wp:docPr id="1" name="Picture 1" descr="A black and white logo&#10;&#10;AI-generated content may be incorrect.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and white logo&#10;&#10;AI-generated content may be incorrect."/>
                    <pic:cNvPicPr>
                      <a:picLocks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905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3CA89950" w14:textId="77777777" w:rsidR="000327F4" w:rsidRDefault="000327F4" w:rsidP="000327F4">
      <w:pPr>
        <w:pStyle w:val="NormalWeb"/>
        <w:spacing w:before="0" w:beforeAutospacing="0" w:after="0" w:afterAutospacing="0"/>
        <w:ind w:left="-180" w:right="-334"/>
      </w:pPr>
    </w:p>
    <w:p w14:paraId="2B0E5C51" w14:textId="77777777" w:rsidR="000327F4" w:rsidRDefault="000327F4" w:rsidP="000327F4">
      <w:pPr>
        <w:pStyle w:val="NormalWeb"/>
        <w:spacing w:before="0" w:beforeAutospacing="0" w:after="0" w:afterAutospacing="0"/>
        <w:ind w:left="-180" w:right="-334"/>
      </w:pPr>
    </w:p>
    <w:p w14:paraId="60F8697D" w14:textId="77777777" w:rsidR="000327F4" w:rsidRDefault="000327F4" w:rsidP="000327F4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34F3C6FD" w14:textId="77777777" w:rsidR="000327F4" w:rsidRPr="00230F35" w:rsidRDefault="000327F4" w:rsidP="000327F4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0725A4F1" w14:textId="77777777" w:rsidR="000327F4" w:rsidRPr="00230F35" w:rsidRDefault="000327F4" w:rsidP="000327F4">
      <w:pPr>
        <w:rPr>
          <w:rFonts w:ascii="Arial" w:hAnsi="Arial" w:cs="Arial"/>
          <w:sz w:val="28"/>
          <w:szCs w:val="28"/>
          <w:lang w:val="cy-GB"/>
        </w:rPr>
      </w:pPr>
    </w:p>
    <w:p w14:paraId="4A355A89" w14:textId="77777777" w:rsidR="000327F4" w:rsidRDefault="000327F4" w:rsidP="000327F4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7BDF2151" w14:textId="77777777" w:rsidR="000327F4" w:rsidRDefault="000327F4" w:rsidP="000327F4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0327F4" w:rsidRPr="00230F35" w14:paraId="4B2ED06D" w14:textId="77777777" w:rsidTr="000B1C1F">
        <w:trPr>
          <w:trHeight w:val="614"/>
        </w:trPr>
        <w:tc>
          <w:tcPr>
            <w:tcW w:w="8856" w:type="dxa"/>
            <w:gridSpan w:val="5"/>
          </w:tcPr>
          <w:p w14:paraId="3A0E21AE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0327F4" w:rsidRPr="00230F35" w14:paraId="070CE61E" w14:textId="77777777" w:rsidTr="000B1C1F">
        <w:trPr>
          <w:trHeight w:val="718"/>
        </w:trPr>
        <w:tc>
          <w:tcPr>
            <w:tcW w:w="8856" w:type="dxa"/>
            <w:gridSpan w:val="5"/>
          </w:tcPr>
          <w:p w14:paraId="5DFEB29F" w14:textId="77777777" w:rsidR="000327F4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Robert Abrahamsen</w:t>
            </w:r>
          </w:p>
          <w:p w14:paraId="0F17737A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1B5D083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hyperlink r:id="rId8" w:history="1">
              <w:r>
                <w:rPr>
                  <w:rStyle w:val="Hyperlink"/>
                  <w:rFonts w:ascii="Arial" w:hAnsi="Arial" w:cs="Arial"/>
                  <w:sz w:val="22"/>
                  <w:szCs w:val="22"/>
                </w:rPr>
                <w:t>1704905@student.uwtsd.ac</w:t>
              </w:r>
            </w:hyperlink>
            <w:r>
              <w:rPr>
                <w:rFonts w:ascii="Arial" w:hAnsi="Arial" w:cs="Arial"/>
                <w:sz w:val="22"/>
                <w:szCs w:val="22"/>
              </w:rPr>
              <w:t>.uk</w:t>
            </w:r>
          </w:p>
        </w:tc>
      </w:tr>
      <w:tr w:rsidR="000327F4" w:rsidRPr="00230F35" w14:paraId="4C433FE5" w14:textId="77777777" w:rsidTr="000B1C1F">
        <w:trPr>
          <w:trHeight w:val="849"/>
        </w:trPr>
        <w:tc>
          <w:tcPr>
            <w:tcW w:w="4788" w:type="dxa"/>
          </w:tcPr>
          <w:p w14:paraId="14E4CD0A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HPCA7028</w:t>
            </w:r>
          </w:p>
          <w:p w14:paraId="289ABEB1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3925FC5" w14:textId="77777777" w:rsidR="000327F4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Sacred Skies</w:t>
            </w:r>
          </w:p>
          <w:p w14:paraId="3170EFBE" w14:textId="77777777" w:rsidR="000327F4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4AA2A6F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1F2AB912" w14:textId="77777777" w:rsidR="000327F4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450AABB9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1704904</w:t>
            </w:r>
          </w:p>
        </w:tc>
        <w:tc>
          <w:tcPr>
            <w:tcW w:w="1802" w:type="dxa"/>
          </w:tcPr>
          <w:p w14:paraId="456ABD49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2AEC74A2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0327F4" w:rsidRPr="00230F35" w14:paraId="65D1CEEE" w14:textId="77777777" w:rsidTr="000B1C1F">
        <w:trPr>
          <w:trHeight w:val="1139"/>
        </w:trPr>
        <w:tc>
          <w:tcPr>
            <w:tcW w:w="8856" w:type="dxa"/>
            <w:gridSpan w:val="5"/>
          </w:tcPr>
          <w:p w14:paraId="4AF71440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Explore the cultural significance of the descent of Ishtar</w:t>
            </w:r>
          </w:p>
          <w:p w14:paraId="03D0AFD9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7F6CE14" w14:textId="77777777" w:rsidR="000327F4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24CC296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3/4/2025</w:t>
            </w:r>
          </w:p>
        </w:tc>
      </w:tr>
      <w:tr w:rsidR="000327F4" w:rsidRPr="00230F35" w14:paraId="39829DBD" w14:textId="77777777" w:rsidTr="000B1C1F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3CFC6384" w14:textId="77777777" w:rsidR="000327F4" w:rsidRPr="00230F35" w:rsidRDefault="000327F4" w:rsidP="000B1C1F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0327F4" w:rsidRPr="00230F35" w14:paraId="12CFBCC4" w14:textId="77777777" w:rsidTr="000B1C1F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62EA2CE1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4CC8B00B" w14:textId="77777777" w:rsidR="000327F4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4A167CF3" w14:textId="77777777" w:rsidR="000327F4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sym w:font="Symbol" w:char="F0D6"/>
            </w:r>
          </w:p>
          <w:p w14:paraId="5BC43FC8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0327F4" w:rsidRPr="00230F35" w14:paraId="46CF9413" w14:textId="77777777" w:rsidTr="000B1C1F">
        <w:trPr>
          <w:trHeight w:val="3972"/>
        </w:trPr>
        <w:tc>
          <w:tcPr>
            <w:tcW w:w="8856" w:type="dxa"/>
            <w:gridSpan w:val="5"/>
          </w:tcPr>
          <w:p w14:paraId="46896E44" w14:textId="77777777" w:rsidR="000327F4" w:rsidRDefault="000327F4" w:rsidP="000B1C1F">
            <w:pPr>
              <w:rPr>
                <w:rFonts w:ascii="Arial" w:hAnsi="Arial"/>
                <w:b/>
              </w:rPr>
            </w:pPr>
          </w:p>
          <w:p w14:paraId="2157EFFC" w14:textId="77777777" w:rsidR="000327F4" w:rsidRPr="00116CE6" w:rsidRDefault="000327F4" w:rsidP="000B1C1F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0327F4" w:rsidRPr="00116CE6" w14:paraId="676AC0A1" w14:textId="77777777" w:rsidTr="000B1C1F">
              <w:tc>
                <w:tcPr>
                  <w:tcW w:w="6970" w:type="dxa"/>
                </w:tcPr>
                <w:p w14:paraId="459E62C0" w14:textId="77777777" w:rsidR="000327F4" w:rsidRPr="00116CE6" w:rsidRDefault="000327F4" w:rsidP="000B1C1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83F2F2C" w14:textId="77777777" w:rsidR="000327F4" w:rsidRPr="00116CE6" w:rsidRDefault="000327F4" w:rsidP="000B1C1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5B019981" w14:textId="77777777" w:rsidR="000327F4" w:rsidRPr="00116CE6" w:rsidRDefault="000327F4" w:rsidP="000B1C1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0327F4" w:rsidRPr="00116CE6" w14:paraId="23F90286" w14:textId="77777777" w:rsidTr="000B1C1F">
              <w:tc>
                <w:tcPr>
                  <w:tcW w:w="6970" w:type="dxa"/>
                </w:tcPr>
                <w:p w14:paraId="056CC75E" w14:textId="77777777" w:rsidR="000327F4" w:rsidRPr="00116CE6" w:rsidRDefault="000327F4" w:rsidP="000B1C1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92923AF" w14:textId="77777777" w:rsidR="000327F4" w:rsidRPr="00116CE6" w:rsidRDefault="000327F4" w:rsidP="000B1C1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7A4AD5CD" w14:textId="77777777" w:rsidR="000327F4" w:rsidRPr="00116CE6" w:rsidRDefault="000327F4" w:rsidP="000B1C1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0327F4" w:rsidRPr="00116CE6" w14:paraId="7C02EAEA" w14:textId="77777777" w:rsidTr="000B1C1F">
              <w:tc>
                <w:tcPr>
                  <w:tcW w:w="6970" w:type="dxa"/>
                </w:tcPr>
                <w:p w14:paraId="22E29B7C" w14:textId="77777777" w:rsidR="000327F4" w:rsidRPr="00116CE6" w:rsidRDefault="000327F4" w:rsidP="000B1C1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A739E7D" w14:textId="77777777" w:rsidR="000327F4" w:rsidRPr="00116CE6" w:rsidRDefault="000327F4" w:rsidP="000B1C1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70941552" w14:textId="77777777" w:rsidR="000327F4" w:rsidRPr="00116CE6" w:rsidRDefault="000327F4" w:rsidP="000B1C1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0327F4" w:rsidRPr="00116CE6" w14:paraId="422C1773" w14:textId="77777777" w:rsidTr="000B1C1F">
              <w:tc>
                <w:tcPr>
                  <w:tcW w:w="6970" w:type="dxa"/>
                </w:tcPr>
                <w:p w14:paraId="16FB0414" w14:textId="77777777" w:rsidR="000327F4" w:rsidRDefault="000327F4" w:rsidP="000B1C1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6D82A7D" w14:textId="77777777" w:rsidR="000327F4" w:rsidRPr="00022345" w:rsidRDefault="000327F4" w:rsidP="000B1C1F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1DE2D23B" w14:textId="77777777" w:rsidR="000327F4" w:rsidRPr="00116CE6" w:rsidRDefault="000327F4" w:rsidP="000B1C1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21A7EC97" w14:textId="77777777" w:rsidR="000327F4" w:rsidRPr="00116CE6" w:rsidRDefault="000327F4" w:rsidP="000B1C1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308C7244" w14:textId="77777777" w:rsidR="000327F4" w:rsidRDefault="000327F4" w:rsidP="000B1C1F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7086C3A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392CB886" w14:textId="77777777" w:rsidR="000327F4" w:rsidRDefault="000327F4" w:rsidP="000B1C1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3AFC327" w14:textId="77777777" w:rsidR="000327F4" w:rsidRDefault="000327F4" w:rsidP="000B1C1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8DE53D0" w14:textId="77777777" w:rsidR="000327F4" w:rsidRDefault="000327F4" w:rsidP="000B1C1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441FF38" w14:textId="77777777" w:rsidR="000327F4" w:rsidRDefault="000327F4" w:rsidP="000B1C1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2E8EB14" w14:textId="77777777" w:rsidR="000327F4" w:rsidRDefault="000327F4" w:rsidP="000B1C1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C8F08AD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564CA758" w14:textId="77777777" w:rsidR="000327F4" w:rsidRDefault="000327F4" w:rsidP="000B1C1F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55BCCB49" w14:textId="77777777" w:rsidR="000327F4" w:rsidRPr="00001C3B" w:rsidRDefault="000327F4" w:rsidP="000B1C1F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327F4" w:rsidRPr="00230F35" w14:paraId="39FF9765" w14:textId="77777777" w:rsidTr="000B1C1F">
        <w:trPr>
          <w:trHeight w:val="492"/>
        </w:trPr>
        <w:tc>
          <w:tcPr>
            <w:tcW w:w="6768" w:type="dxa"/>
            <w:gridSpan w:val="3"/>
          </w:tcPr>
          <w:p w14:paraId="24706D9A" w14:textId="77777777" w:rsidR="000327F4" w:rsidRPr="00230F35" w:rsidRDefault="000327F4" w:rsidP="000B1C1F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0829787A" w14:textId="77777777" w:rsidR="000327F4" w:rsidRPr="00230F35" w:rsidRDefault="000327F4" w:rsidP="000B1C1F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0327F4" w:rsidRPr="002F467C" w14:paraId="67B94405" w14:textId="77777777" w:rsidTr="000B1C1F">
        <w:tc>
          <w:tcPr>
            <w:tcW w:w="8856" w:type="dxa"/>
            <w:gridSpan w:val="5"/>
          </w:tcPr>
          <w:p w14:paraId="1D5FC493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7E050ECB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23158852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C1B6DF6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13562460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ABE3E94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F73AD74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3D1EE05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A4F61C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823DCE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589D310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372F4BD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23CE08" w14:textId="77777777" w:rsidR="000327F4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4A3B470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4E1AFC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A6DF768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327F4" w:rsidRPr="002F467C" w14:paraId="79327D71" w14:textId="77777777" w:rsidTr="000B1C1F">
        <w:trPr>
          <w:trHeight w:val="720"/>
        </w:trPr>
        <w:tc>
          <w:tcPr>
            <w:tcW w:w="5211" w:type="dxa"/>
            <w:gridSpan w:val="2"/>
          </w:tcPr>
          <w:p w14:paraId="49735B98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698D9FA5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0327F4" w:rsidRPr="002F467C" w14:paraId="5A961542" w14:textId="77777777" w:rsidTr="000B1C1F">
        <w:trPr>
          <w:trHeight w:val="720"/>
        </w:trPr>
        <w:tc>
          <w:tcPr>
            <w:tcW w:w="8856" w:type="dxa"/>
            <w:gridSpan w:val="5"/>
          </w:tcPr>
          <w:p w14:paraId="21034599" w14:textId="77777777" w:rsidR="000327F4" w:rsidRPr="00B34964" w:rsidRDefault="000327F4" w:rsidP="000B1C1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lastRenderedPageBreak/>
              <w:t>External Examiner’s comments (if relevant)</w:t>
            </w:r>
          </w:p>
          <w:p w14:paraId="1591C77D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9ED623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C89BA62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AC007E3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3FB5179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B719023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EB347E3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ED999A4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E82209" w14:textId="77777777" w:rsidR="000327F4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06E9DF7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EAEFFBF" w14:textId="77777777" w:rsidR="000327F4" w:rsidRPr="00230F35" w:rsidRDefault="000327F4" w:rsidP="000B1C1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327F4" w:rsidRPr="002F467C" w14:paraId="2A3DF5E1" w14:textId="77777777" w:rsidTr="000B1C1F">
        <w:trPr>
          <w:trHeight w:val="720"/>
        </w:trPr>
        <w:tc>
          <w:tcPr>
            <w:tcW w:w="5211" w:type="dxa"/>
            <w:gridSpan w:val="2"/>
          </w:tcPr>
          <w:p w14:paraId="4ABA5AC5" w14:textId="77777777" w:rsidR="000327F4" w:rsidRPr="00230F35" w:rsidRDefault="000327F4" w:rsidP="000B1C1F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6A391094" w14:textId="77777777" w:rsidR="000327F4" w:rsidRPr="00230F35" w:rsidRDefault="000327F4" w:rsidP="000B1C1F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685891EE" w14:textId="77777777" w:rsidR="000327F4" w:rsidRDefault="000327F4" w:rsidP="00CB36F5">
      <w:pPr>
        <w:jc w:val="center"/>
      </w:pPr>
    </w:p>
    <w:p w14:paraId="2FAA9FDA" w14:textId="77777777" w:rsidR="000327F4" w:rsidRDefault="000327F4" w:rsidP="00CB36F5">
      <w:pPr>
        <w:jc w:val="center"/>
      </w:pPr>
    </w:p>
    <w:p w14:paraId="2F35B033" w14:textId="77777777" w:rsidR="000327F4" w:rsidRDefault="000327F4" w:rsidP="00CB36F5">
      <w:pPr>
        <w:jc w:val="center"/>
      </w:pPr>
    </w:p>
    <w:p w14:paraId="7DB73C14" w14:textId="77777777" w:rsidR="000327F4" w:rsidRDefault="000327F4" w:rsidP="00CB36F5">
      <w:pPr>
        <w:jc w:val="center"/>
      </w:pPr>
    </w:p>
    <w:p w14:paraId="10AA8411" w14:textId="77777777" w:rsidR="000327F4" w:rsidRDefault="000327F4" w:rsidP="00CB36F5">
      <w:pPr>
        <w:jc w:val="center"/>
      </w:pPr>
    </w:p>
    <w:p w14:paraId="2A144BAF" w14:textId="77777777" w:rsidR="000327F4" w:rsidRDefault="000327F4" w:rsidP="00CB36F5">
      <w:pPr>
        <w:jc w:val="center"/>
      </w:pPr>
    </w:p>
    <w:p w14:paraId="3D7A54AF" w14:textId="77777777" w:rsidR="000327F4" w:rsidRDefault="000327F4" w:rsidP="00CB36F5">
      <w:pPr>
        <w:jc w:val="center"/>
      </w:pPr>
    </w:p>
    <w:p w14:paraId="04592465" w14:textId="77777777" w:rsidR="000327F4" w:rsidRDefault="000327F4" w:rsidP="00CB36F5">
      <w:pPr>
        <w:jc w:val="center"/>
      </w:pPr>
    </w:p>
    <w:p w14:paraId="29409F6B" w14:textId="77777777" w:rsidR="000327F4" w:rsidRDefault="000327F4" w:rsidP="00CB36F5">
      <w:pPr>
        <w:jc w:val="center"/>
      </w:pPr>
    </w:p>
    <w:p w14:paraId="76861D7A" w14:textId="77777777" w:rsidR="000327F4" w:rsidRDefault="000327F4" w:rsidP="00CB36F5">
      <w:pPr>
        <w:jc w:val="center"/>
      </w:pPr>
    </w:p>
    <w:p w14:paraId="50E687C9" w14:textId="77777777" w:rsidR="000327F4" w:rsidRDefault="000327F4" w:rsidP="00CB36F5">
      <w:pPr>
        <w:jc w:val="center"/>
      </w:pPr>
    </w:p>
    <w:p w14:paraId="4D279F5B" w14:textId="77777777" w:rsidR="000327F4" w:rsidRDefault="000327F4" w:rsidP="00CB36F5">
      <w:pPr>
        <w:jc w:val="center"/>
      </w:pPr>
    </w:p>
    <w:p w14:paraId="59E5B302" w14:textId="77777777" w:rsidR="000327F4" w:rsidRDefault="000327F4" w:rsidP="00CB36F5">
      <w:pPr>
        <w:jc w:val="center"/>
      </w:pPr>
    </w:p>
    <w:p w14:paraId="1A4A42A2" w14:textId="77777777" w:rsidR="000327F4" w:rsidRDefault="000327F4" w:rsidP="00CB36F5">
      <w:pPr>
        <w:jc w:val="center"/>
      </w:pPr>
    </w:p>
    <w:p w14:paraId="2DE1FBB1" w14:textId="77777777" w:rsidR="000327F4" w:rsidRDefault="000327F4" w:rsidP="00CB36F5">
      <w:pPr>
        <w:jc w:val="center"/>
      </w:pPr>
    </w:p>
    <w:p w14:paraId="70AB1D47" w14:textId="77777777" w:rsidR="000327F4" w:rsidRDefault="000327F4" w:rsidP="00CB36F5">
      <w:pPr>
        <w:jc w:val="center"/>
      </w:pPr>
    </w:p>
    <w:p w14:paraId="5E31D8AF" w14:textId="77777777" w:rsidR="000327F4" w:rsidRDefault="000327F4" w:rsidP="00CB36F5">
      <w:pPr>
        <w:jc w:val="center"/>
      </w:pPr>
    </w:p>
    <w:p w14:paraId="31955255" w14:textId="77777777" w:rsidR="000327F4" w:rsidRDefault="000327F4" w:rsidP="00CB36F5">
      <w:pPr>
        <w:jc w:val="center"/>
      </w:pPr>
    </w:p>
    <w:p w14:paraId="17CA582D" w14:textId="77777777" w:rsidR="000327F4" w:rsidRDefault="000327F4" w:rsidP="00CB36F5">
      <w:pPr>
        <w:jc w:val="center"/>
      </w:pPr>
    </w:p>
    <w:p w14:paraId="0EAB4060" w14:textId="77777777" w:rsidR="000327F4" w:rsidRDefault="000327F4" w:rsidP="00CB36F5">
      <w:pPr>
        <w:jc w:val="center"/>
      </w:pPr>
    </w:p>
    <w:p w14:paraId="7C17C74B" w14:textId="48A575F6" w:rsidR="00870EC2" w:rsidRDefault="00674604" w:rsidP="00CB36F5">
      <w:pPr>
        <w:jc w:val="center"/>
      </w:pPr>
      <w:r>
        <w:lastRenderedPageBreak/>
        <w:t xml:space="preserve">Explore </w:t>
      </w:r>
      <w:r w:rsidR="004B594C">
        <w:t>t</w:t>
      </w:r>
      <w:r>
        <w:t xml:space="preserve">he </w:t>
      </w:r>
      <w:r w:rsidR="004B594C">
        <w:t>c</w:t>
      </w:r>
      <w:r>
        <w:t xml:space="preserve">ultural </w:t>
      </w:r>
      <w:r w:rsidR="004B594C">
        <w:t>s</w:t>
      </w:r>
      <w:r>
        <w:t xml:space="preserve">ignificance </w:t>
      </w:r>
      <w:r w:rsidR="004B594C">
        <w:t>o</w:t>
      </w:r>
      <w:r>
        <w:t xml:space="preserve">f </w:t>
      </w:r>
      <w:r w:rsidR="004B594C">
        <w:t>t</w:t>
      </w:r>
      <w:r>
        <w:t xml:space="preserve">he </w:t>
      </w:r>
      <w:r w:rsidR="004B594C">
        <w:t>d</w:t>
      </w:r>
      <w:r>
        <w:t xml:space="preserve">escent </w:t>
      </w:r>
      <w:r w:rsidR="004B594C">
        <w:t>o</w:t>
      </w:r>
      <w:r>
        <w:t>f Ishtar</w:t>
      </w:r>
      <w:r w:rsidR="00CB36F5">
        <w:t>.</w:t>
      </w:r>
    </w:p>
    <w:p w14:paraId="2693E776" w14:textId="138BCCC8" w:rsidR="005A343A" w:rsidRDefault="005A343A" w:rsidP="00A02876">
      <w:pPr>
        <w:spacing w:line="240" w:lineRule="auto"/>
        <w:jc w:val="both"/>
      </w:pPr>
      <w:r>
        <w:t xml:space="preserve">          </w:t>
      </w:r>
      <w:r w:rsidR="00D41E43" w:rsidRPr="00D41E43">
        <w:t xml:space="preserve">This essay will explore the cultural </w:t>
      </w:r>
      <w:r w:rsidR="00D41E43">
        <w:t xml:space="preserve">significance of the Mesopotamian myth of </w:t>
      </w:r>
      <w:r w:rsidR="00D41E43" w:rsidRPr="00D41E43">
        <w:rPr>
          <w:i/>
          <w:iCs/>
        </w:rPr>
        <w:t>The Descent of Ishtar</w:t>
      </w:r>
      <w:r w:rsidR="005C5234" w:rsidRPr="004B594C">
        <w:rPr>
          <w:i/>
          <w:iCs/>
        </w:rPr>
        <w:t xml:space="preserve"> </w:t>
      </w:r>
      <w:r w:rsidR="004B594C" w:rsidRPr="004B594C">
        <w:rPr>
          <w:i/>
          <w:iCs/>
        </w:rPr>
        <w:t>to the Nether World</w:t>
      </w:r>
      <w:r w:rsidR="001931F4" w:rsidRPr="00706564">
        <w:rPr>
          <w:rStyle w:val="FootnoteReference"/>
        </w:rPr>
        <w:footnoteReference w:id="1"/>
      </w:r>
      <w:r w:rsidR="004B594C" w:rsidRPr="004B594C">
        <w:rPr>
          <w:i/>
          <w:iCs/>
        </w:rPr>
        <w:t xml:space="preserve"> </w:t>
      </w:r>
      <w:r w:rsidR="004B594C">
        <w:t xml:space="preserve">(hereafter </w:t>
      </w:r>
      <w:r w:rsidR="004B594C" w:rsidRPr="004B594C">
        <w:rPr>
          <w:i/>
          <w:iCs/>
        </w:rPr>
        <w:t>The</w:t>
      </w:r>
      <w:r w:rsidR="004B594C">
        <w:t xml:space="preserve"> </w:t>
      </w:r>
      <w:r w:rsidR="004B594C" w:rsidRPr="004B594C">
        <w:rPr>
          <w:i/>
          <w:iCs/>
        </w:rPr>
        <w:t>Descent of Ishtar</w:t>
      </w:r>
      <w:r w:rsidR="004B594C">
        <w:t>)</w:t>
      </w:r>
      <w:r w:rsidR="00C344A4">
        <w:t>.</w:t>
      </w:r>
      <w:r w:rsidR="004B594C">
        <w:t xml:space="preserve"> </w:t>
      </w:r>
      <w:r w:rsidR="00A54373">
        <w:t>While such cultural</w:t>
      </w:r>
      <w:r w:rsidR="00445E80">
        <w:t xml:space="preserve"> significance</w:t>
      </w:r>
      <w:r w:rsidR="00A54373">
        <w:t xml:space="preserve"> can be widely </w:t>
      </w:r>
      <w:r w:rsidR="00445E80">
        <w:t>explored</w:t>
      </w:r>
      <w:r w:rsidR="00A54373">
        <w:t xml:space="preserve"> throughout history and across genres</w:t>
      </w:r>
      <w:r w:rsidR="00FB6933">
        <w:t xml:space="preserve">, including film, art and literature, </w:t>
      </w:r>
      <w:r w:rsidR="00A54373">
        <w:t xml:space="preserve"> th</w:t>
      </w:r>
      <w:r w:rsidR="00445E80">
        <w:t>is</w:t>
      </w:r>
      <w:r w:rsidR="00A54373">
        <w:t xml:space="preserve"> essay will</w:t>
      </w:r>
      <w:r w:rsidR="00763B96">
        <w:t xml:space="preserve"> specifically </w:t>
      </w:r>
      <w:r w:rsidR="00A54373">
        <w:t>consider</w:t>
      </w:r>
      <w:r w:rsidR="00D41E43">
        <w:t xml:space="preserve"> Mozart’s </w:t>
      </w:r>
      <w:r w:rsidR="00D41E43" w:rsidRPr="00D41E43">
        <w:rPr>
          <w:i/>
          <w:iCs/>
        </w:rPr>
        <w:t>The Magic Flute</w:t>
      </w:r>
      <w:r w:rsidR="00F06CB4">
        <w:rPr>
          <w:rStyle w:val="FootnoteReference"/>
          <w:i/>
          <w:iCs/>
        </w:rPr>
        <w:footnoteReference w:id="2"/>
      </w:r>
      <w:r w:rsidR="00D41E43">
        <w:t xml:space="preserve"> opera </w:t>
      </w:r>
      <w:r w:rsidR="00445E80">
        <w:t>to</w:t>
      </w:r>
      <w:r w:rsidR="00C344A4">
        <w:t xml:space="preserve"> explore cultural </w:t>
      </w:r>
      <w:r w:rsidR="001056A5">
        <w:t>significance</w:t>
      </w:r>
      <w:r w:rsidR="00C344A4">
        <w:t xml:space="preserve"> of the myth </w:t>
      </w:r>
      <w:r w:rsidR="00A54373">
        <w:t xml:space="preserve">for this early modern </w:t>
      </w:r>
      <w:r w:rsidR="002D34FA">
        <w:t xml:space="preserve">work. </w:t>
      </w:r>
      <w:r w:rsidR="005C5234">
        <w:t>A</w:t>
      </w:r>
      <w:r w:rsidR="002D34FA">
        <w:t>n</w:t>
      </w:r>
      <w:r w:rsidR="006E0002">
        <w:t xml:space="preserve"> introductory description and</w:t>
      </w:r>
      <w:r w:rsidR="005C5234">
        <w:t xml:space="preserve"> contextualisation of the Ishtar narrative will be followed by </w:t>
      </w:r>
      <w:r w:rsidR="002D34FA">
        <w:t xml:space="preserve">a brief consideration </w:t>
      </w:r>
      <w:r w:rsidR="005C5234">
        <w:t xml:space="preserve">of </w:t>
      </w:r>
      <w:r w:rsidR="00445E80">
        <w:t>what is meant by</w:t>
      </w:r>
      <w:r w:rsidR="002D34FA">
        <w:t xml:space="preserve"> </w:t>
      </w:r>
      <w:r w:rsidR="00D171E9">
        <w:t xml:space="preserve">myth and </w:t>
      </w:r>
      <w:r w:rsidR="002D34FA">
        <w:t>culture</w:t>
      </w:r>
      <w:r w:rsidR="0071013D">
        <w:t xml:space="preserve">. </w:t>
      </w:r>
      <w:r w:rsidR="006E0002">
        <w:t>The essay will then explor</w:t>
      </w:r>
      <w:r w:rsidR="00835CFF">
        <w:t>e</w:t>
      </w:r>
      <w:r w:rsidR="006E0002">
        <w:t xml:space="preserve"> </w:t>
      </w:r>
      <w:r w:rsidR="002D34FA">
        <w:t>three</w:t>
      </w:r>
      <w:r w:rsidR="0046560E">
        <w:t xml:space="preserve"> </w:t>
      </w:r>
      <w:r w:rsidR="006E0002">
        <w:t xml:space="preserve">cultural </w:t>
      </w:r>
      <w:r w:rsidR="0046560E">
        <w:t xml:space="preserve">themes or motifs that are shared by </w:t>
      </w:r>
      <w:r w:rsidR="004B594C">
        <w:rPr>
          <w:i/>
          <w:iCs/>
        </w:rPr>
        <w:t xml:space="preserve">The </w:t>
      </w:r>
      <w:r w:rsidR="006E0002" w:rsidRPr="006E0002">
        <w:rPr>
          <w:i/>
          <w:iCs/>
        </w:rPr>
        <w:t xml:space="preserve">Descent </w:t>
      </w:r>
      <w:r w:rsidR="001931F4">
        <w:rPr>
          <w:i/>
          <w:iCs/>
        </w:rPr>
        <w:t>o</w:t>
      </w:r>
      <w:r w:rsidR="006E0002" w:rsidRPr="006E0002">
        <w:rPr>
          <w:i/>
          <w:iCs/>
        </w:rPr>
        <w:t>f Ishtar</w:t>
      </w:r>
      <w:r w:rsidR="006E0002">
        <w:t xml:space="preserve"> and </w:t>
      </w:r>
      <w:r w:rsidR="006E0002" w:rsidRPr="006E0002">
        <w:rPr>
          <w:i/>
          <w:iCs/>
        </w:rPr>
        <w:t>The Magic Flute</w:t>
      </w:r>
      <w:r w:rsidR="008B2E90">
        <w:t xml:space="preserve"> </w:t>
      </w:r>
      <w:r w:rsidR="007D4E87">
        <w:t>as</w:t>
      </w:r>
      <w:r w:rsidR="008C6575">
        <w:t xml:space="preserve"> instances </w:t>
      </w:r>
      <w:r w:rsidR="007D4E87">
        <w:t>of cultural significance.</w:t>
      </w:r>
    </w:p>
    <w:p w14:paraId="7D5CDCAE" w14:textId="58083732" w:rsidR="003332C9" w:rsidRDefault="003332C9" w:rsidP="003332C9">
      <w:pPr>
        <w:spacing w:line="240" w:lineRule="auto"/>
        <w:jc w:val="center"/>
      </w:pPr>
      <w:r>
        <w:t>The Ishtar Myth</w:t>
      </w:r>
    </w:p>
    <w:p w14:paraId="73B25E6F" w14:textId="599329DF" w:rsidR="00711479" w:rsidRDefault="005A343A" w:rsidP="00A02876">
      <w:pPr>
        <w:spacing w:line="240" w:lineRule="auto"/>
        <w:jc w:val="both"/>
      </w:pPr>
      <w:r>
        <w:t xml:space="preserve">          </w:t>
      </w:r>
      <w:r w:rsidR="00685E52">
        <w:t xml:space="preserve">The </w:t>
      </w:r>
      <w:r w:rsidR="000032AA">
        <w:t>Mesopotamian myth</w:t>
      </w:r>
      <w:r w:rsidR="00685E52">
        <w:t xml:space="preserve"> </w:t>
      </w:r>
      <w:r w:rsidR="00685E52" w:rsidRPr="000032AA">
        <w:rPr>
          <w:i/>
          <w:iCs/>
        </w:rPr>
        <w:t>The Descent of Ishtar</w:t>
      </w:r>
      <w:r w:rsidR="00685E52">
        <w:t xml:space="preserve"> </w:t>
      </w:r>
      <w:r w:rsidR="00711479">
        <w:t>describ</w:t>
      </w:r>
      <w:r w:rsidR="006A4674">
        <w:t>ing</w:t>
      </w:r>
      <w:r w:rsidR="00711479">
        <w:t xml:space="preserve"> the descent of </w:t>
      </w:r>
      <w:r w:rsidR="00377881">
        <w:t xml:space="preserve">the </w:t>
      </w:r>
      <w:r w:rsidR="00DA65BB">
        <w:t>g</w:t>
      </w:r>
      <w:r w:rsidR="00711479">
        <w:t>oddess</w:t>
      </w:r>
      <w:r w:rsidR="00377881">
        <w:t xml:space="preserve"> </w:t>
      </w:r>
      <w:r w:rsidR="00711479">
        <w:t xml:space="preserve">Ishtar into a realm of the </w:t>
      </w:r>
      <w:r w:rsidR="00685E52">
        <w:t>d</w:t>
      </w:r>
      <w:r w:rsidR="00711479">
        <w:t>ead</w:t>
      </w:r>
      <w:r w:rsidR="006A4674">
        <w:t>, and her subsequent liberation,</w:t>
      </w:r>
      <w:r w:rsidR="00D2246B">
        <w:t xml:space="preserve"> </w:t>
      </w:r>
      <w:r w:rsidR="006A4674">
        <w:t xml:space="preserve">is </w:t>
      </w:r>
      <w:r w:rsidR="0063599F">
        <w:t xml:space="preserve">viewed </w:t>
      </w:r>
      <w:r w:rsidR="000032AA">
        <w:t>as a later</w:t>
      </w:r>
      <w:r w:rsidR="00183519">
        <w:t xml:space="preserve"> (</w:t>
      </w:r>
      <w:r w:rsidR="000032AA">
        <w:t>shorter</w:t>
      </w:r>
      <w:r w:rsidR="00183519">
        <w:t>)</w:t>
      </w:r>
      <w:r w:rsidR="000032AA">
        <w:t xml:space="preserve"> version of a Sumerian narrative, </w:t>
      </w:r>
      <w:r w:rsidR="000032AA" w:rsidRPr="000032AA">
        <w:rPr>
          <w:i/>
          <w:iCs/>
        </w:rPr>
        <w:t>The Descent of Inann</w:t>
      </w:r>
      <w:r w:rsidR="000A3D94">
        <w:rPr>
          <w:i/>
          <w:iCs/>
        </w:rPr>
        <w:t>a</w:t>
      </w:r>
      <w:r w:rsidR="00141BF4">
        <w:rPr>
          <w:i/>
          <w:iCs/>
        </w:rPr>
        <w:t xml:space="preserve">. </w:t>
      </w:r>
      <w:r w:rsidR="007C3997">
        <w:t xml:space="preserve">Stephanie </w:t>
      </w:r>
      <w:r w:rsidR="00F2409B">
        <w:t>Dalley</w:t>
      </w:r>
      <w:r w:rsidR="00F2409B">
        <w:rPr>
          <w:rStyle w:val="FootnoteReference"/>
        </w:rPr>
        <w:footnoteReference w:id="3"/>
      </w:r>
      <w:r w:rsidR="00F2409B">
        <w:t xml:space="preserve"> notes that i</w:t>
      </w:r>
      <w:r w:rsidR="00992D09">
        <w:t xml:space="preserve">t was not unusual for different versions of a story to appear with either additions or omissions. </w:t>
      </w:r>
      <w:r w:rsidR="00763B96">
        <w:t>M</w:t>
      </w:r>
      <w:r w:rsidR="00685E52">
        <w:t>yth</w:t>
      </w:r>
      <w:r w:rsidR="007873BD">
        <w:t xml:space="preserve"> </w:t>
      </w:r>
      <w:r w:rsidR="00F75D12">
        <w:t>fulfilled various functions</w:t>
      </w:r>
      <w:r w:rsidR="007873BD">
        <w:t xml:space="preserve"> </w:t>
      </w:r>
      <w:r w:rsidR="00D73530">
        <w:t xml:space="preserve">in </w:t>
      </w:r>
      <w:r w:rsidR="00FF6DCA">
        <w:t xml:space="preserve">Mesopotamian </w:t>
      </w:r>
      <w:r w:rsidR="00D73530">
        <w:t xml:space="preserve">society </w:t>
      </w:r>
      <w:r w:rsidR="007873BD">
        <w:t>includ</w:t>
      </w:r>
      <w:r w:rsidR="001931F4">
        <w:t>ing</w:t>
      </w:r>
      <w:r w:rsidR="007873BD">
        <w:t xml:space="preserve"> </w:t>
      </w:r>
      <w:r w:rsidR="00884CA6">
        <w:t>its</w:t>
      </w:r>
      <w:r w:rsidR="00F2409B">
        <w:t xml:space="preserve"> </w:t>
      </w:r>
      <w:r w:rsidR="00F75D12">
        <w:t xml:space="preserve">use in </w:t>
      </w:r>
      <w:r w:rsidR="007873BD">
        <w:t>ritual</w:t>
      </w:r>
      <w:r w:rsidR="006A4674">
        <w:t xml:space="preserve"> ceremonies</w:t>
      </w:r>
      <w:r w:rsidR="007873BD">
        <w:t xml:space="preserve">, </w:t>
      </w:r>
      <w:r w:rsidR="00F75D12">
        <w:t>a</w:t>
      </w:r>
      <w:r w:rsidR="00884CA6">
        <w:t xml:space="preserve">s </w:t>
      </w:r>
      <w:r w:rsidR="006A4674">
        <w:t xml:space="preserve">an </w:t>
      </w:r>
      <w:r w:rsidR="00252DC7">
        <w:t>explanat</w:t>
      </w:r>
      <w:r w:rsidR="006A4674">
        <w:t>ory narrative</w:t>
      </w:r>
      <w:r w:rsidR="00252DC7">
        <w:t xml:space="preserve"> </w:t>
      </w:r>
      <w:r w:rsidR="006A4674">
        <w:t>regarding</w:t>
      </w:r>
      <w:r w:rsidR="007873BD">
        <w:t xml:space="preserve"> </w:t>
      </w:r>
      <w:r w:rsidR="002F67C3">
        <w:t xml:space="preserve">natural </w:t>
      </w:r>
      <w:r w:rsidR="007873BD">
        <w:t xml:space="preserve">events and </w:t>
      </w:r>
      <w:r w:rsidR="00252DC7">
        <w:t xml:space="preserve">a role in </w:t>
      </w:r>
      <w:r w:rsidR="007873BD">
        <w:t>supporting incantations.</w:t>
      </w:r>
      <w:r w:rsidR="007873BD">
        <w:rPr>
          <w:rStyle w:val="FootnoteReference"/>
        </w:rPr>
        <w:footnoteReference w:id="4"/>
      </w:r>
      <w:r w:rsidR="00992D09">
        <w:t xml:space="preserve">  </w:t>
      </w:r>
      <w:r w:rsidR="00012538">
        <w:t xml:space="preserve">Ishtar has been </w:t>
      </w:r>
      <w:r w:rsidR="00D11CD2">
        <w:t>described</w:t>
      </w:r>
      <w:r w:rsidR="00012538">
        <w:t xml:space="preserve"> </w:t>
      </w:r>
      <w:r w:rsidR="00D11CD2">
        <w:t xml:space="preserve">by Markovitch </w:t>
      </w:r>
      <w:r w:rsidR="00012538">
        <w:t xml:space="preserve">as a Goddess of </w:t>
      </w:r>
      <w:r w:rsidR="0063599F">
        <w:t>‘</w:t>
      </w:r>
      <w:r w:rsidR="00012538">
        <w:t>love, war and heaven</w:t>
      </w:r>
      <w:r w:rsidR="00676DB2">
        <w:t>’</w:t>
      </w:r>
      <w:r w:rsidR="008B7CF9">
        <w:t>,</w:t>
      </w:r>
      <w:r w:rsidR="00012538">
        <w:rPr>
          <w:rStyle w:val="FootnoteReference"/>
        </w:rPr>
        <w:footnoteReference w:id="5"/>
      </w:r>
      <w:r w:rsidR="008B7CF9">
        <w:t xml:space="preserve"> </w:t>
      </w:r>
      <w:r w:rsidR="00685E52">
        <w:t>and</w:t>
      </w:r>
      <w:r w:rsidR="00DA7A33">
        <w:t xml:space="preserve"> </w:t>
      </w:r>
      <w:r w:rsidR="00D11CD2">
        <w:t xml:space="preserve">she </w:t>
      </w:r>
      <w:r w:rsidR="002F67C3">
        <w:t>was</w:t>
      </w:r>
      <w:r w:rsidR="00DA7A33">
        <w:t xml:space="preserve"> </w:t>
      </w:r>
      <w:r w:rsidR="002F67C3">
        <w:t xml:space="preserve">associated with the planet Venus, as an evening and morning star, </w:t>
      </w:r>
      <w:r w:rsidR="0089064C">
        <w:t xml:space="preserve">suggesting </w:t>
      </w:r>
      <w:r w:rsidR="002F67C3">
        <w:t xml:space="preserve">a </w:t>
      </w:r>
      <w:r w:rsidR="00AB7D19">
        <w:t>setting</w:t>
      </w:r>
      <w:r w:rsidR="002F67C3">
        <w:t xml:space="preserve"> into and </w:t>
      </w:r>
      <w:r w:rsidR="00AB7D19">
        <w:t>rising</w:t>
      </w:r>
      <w:r w:rsidR="002F67C3">
        <w:t xml:space="preserve"> out of an underworld. </w:t>
      </w:r>
      <w:r w:rsidR="00676DB2">
        <w:t>Even accepting the problems with ascribing definitive qualities of Mesopotamian deities too rigidly</w:t>
      </w:r>
      <w:r w:rsidR="0089064C">
        <w:t>,</w:t>
      </w:r>
      <w:r w:rsidR="00293909">
        <w:t xml:space="preserve"> as Dalley </w:t>
      </w:r>
      <w:r w:rsidR="00763B96">
        <w:t xml:space="preserve">has pointed </w:t>
      </w:r>
      <w:r w:rsidR="00293909">
        <w:t>out,</w:t>
      </w:r>
      <w:r w:rsidR="00450C2C">
        <w:rPr>
          <w:rStyle w:val="FootnoteReference"/>
        </w:rPr>
        <w:footnoteReference w:id="6"/>
      </w:r>
      <w:r w:rsidR="008B7CF9">
        <w:t xml:space="preserve"> </w:t>
      </w:r>
      <w:r w:rsidR="00763B96">
        <w:t xml:space="preserve">Ishtar </w:t>
      </w:r>
      <w:r w:rsidR="00D73530">
        <w:t xml:space="preserve">was </w:t>
      </w:r>
      <w:r w:rsidR="00330537">
        <w:t xml:space="preserve">clearly </w:t>
      </w:r>
      <w:r w:rsidR="00D73530">
        <w:t xml:space="preserve">associated with fertility, given the sudden widespread halt to procreation </w:t>
      </w:r>
      <w:r w:rsidR="00A77F4F">
        <w:t>in society</w:t>
      </w:r>
      <w:r w:rsidR="004B594C">
        <w:t>,</w:t>
      </w:r>
      <w:r w:rsidR="00DA65BB">
        <w:t xml:space="preserve"> </w:t>
      </w:r>
      <w:r w:rsidR="00D73530">
        <w:t>while she was held in the underworld.</w:t>
      </w:r>
      <w:r w:rsidR="002F67C3">
        <w:t xml:space="preserve"> </w:t>
      </w:r>
      <w:r w:rsidR="001931F4">
        <w:t>Her myth</w:t>
      </w:r>
      <w:r w:rsidR="00DA65BB">
        <w:t xml:space="preserve"> </w:t>
      </w:r>
      <w:r w:rsidR="002F67C3">
        <w:t xml:space="preserve">was widespread </w:t>
      </w:r>
      <w:r w:rsidR="00676DB2">
        <w:t>throughout Mesopotamia</w:t>
      </w:r>
      <w:r w:rsidR="00A14F98">
        <w:rPr>
          <w:rStyle w:val="FootnoteReference"/>
        </w:rPr>
        <w:footnoteReference w:id="7"/>
      </w:r>
      <w:r w:rsidR="00676DB2">
        <w:t xml:space="preserve"> </w:t>
      </w:r>
      <w:r w:rsidR="00FB6CA0">
        <w:t>and t</w:t>
      </w:r>
      <w:r w:rsidR="00094F0C">
        <w:t xml:space="preserve">he persistence of </w:t>
      </w:r>
      <w:r w:rsidR="006A4674">
        <w:t>certain</w:t>
      </w:r>
      <w:r w:rsidR="006D2B28">
        <w:t xml:space="preserve"> </w:t>
      </w:r>
      <w:r w:rsidR="00094F0C">
        <w:t xml:space="preserve">godly attributes </w:t>
      </w:r>
      <w:r w:rsidR="006D2B28">
        <w:t xml:space="preserve">throughout </w:t>
      </w:r>
      <w:r w:rsidR="00FB6CA0">
        <w:t xml:space="preserve">other </w:t>
      </w:r>
      <w:r w:rsidR="006D2B28">
        <w:t xml:space="preserve">cultures </w:t>
      </w:r>
      <w:r w:rsidR="00094F0C">
        <w:t>is borne out by later goddesses in Greek and Egyptian culture such as Aphrodite, Venus and Isis who shared</w:t>
      </w:r>
      <w:r w:rsidR="006D2B28">
        <w:t xml:space="preserve"> a number </w:t>
      </w:r>
      <w:r w:rsidR="00094F0C">
        <w:t>of Ishtar’s qualities such as love and fertility.</w:t>
      </w:r>
      <w:r w:rsidR="00AB51B7">
        <w:t xml:space="preserve"> </w:t>
      </w:r>
    </w:p>
    <w:p w14:paraId="328011A5" w14:textId="3490D86A" w:rsidR="003332C9" w:rsidRDefault="002F10B1" w:rsidP="003332C9">
      <w:pPr>
        <w:spacing w:line="240" w:lineRule="auto"/>
        <w:jc w:val="center"/>
      </w:pPr>
      <w:r>
        <w:t xml:space="preserve">The Nature of </w:t>
      </w:r>
      <w:r w:rsidR="003332C9">
        <w:t>Myth</w:t>
      </w:r>
    </w:p>
    <w:p w14:paraId="49D5871B" w14:textId="2A6378CC" w:rsidR="00BA6CE2" w:rsidRDefault="005A343A" w:rsidP="00A02876">
      <w:pPr>
        <w:spacing w:line="240" w:lineRule="auto"/>
        <w:jc w:val="both"/>
      </w:pPr>
      <w:r>
        <w:t xml:space="preserve">          </w:t>
      </w:r>
      <w:r w:rsidR="007C3997">
        <w:t>Various c</w:t>
      </w:r>
      <w:r w:rsidR="0089064C">
        <w:t>ultural</w:t>
      </w:r>
      <w:r w:rsidR="001056A5">
        <w:t>ly</w:t>
      </w:r>
      <w:r w:rsidR="0089064C">
        <w:t xml:space="preserve"> </w:t>
      </w:r>
      <w:r w:rsidR="001056A5">
        <w:t>symbolic</w:t>
      </w:r>
      <w:r w:rsidR="0089064C">
        <w:t xml:space="preserve"> </w:t>
      </w:r>
      <w:r w:rsidR="00C52FDE">
        <w:t xml:space="preserve">themes within </w:t>
      </w:r>
      <w:r w:rsidR="0089064C">
        <w:t xml:space="preserve">Ishtar’s descent myth have </w:t>
      </w:r>
      <w:r w:rsidR="00C52FDE">
        <w:t xml:space="preserve">resonated throughout history. Given the nature of myths this is not surprising. </w:t>
      </w:r>
      <w:r w:rsidR="00E4727B">
        <w:t>McCafferty</w:t>
      </w:r>
      <w:r w:rsidR="00E4727B">
        <w:rPr>
          <w:rStyle w:val="FootnoteReference"/>
        </w:rPr>
        <w:footnoteReference w:id="8"/>
      </w:r>
      <w:r w:rsidR="00E4727B">
        <w:t xml:space="preserve"> </w:t>
      </w:r>
      <w:r w:rsidR="00AE49E3">
        <w:t>notes th</w:t>
      </w:r>
      <w:r w:rsidR="00630AFD">
        <w:t xml:space="preserve">at the word </w:t>
      </w:r>
      <w:r w:rsidR="00746771">
        <w:t>“</w:t>
      </w:r>
      <w:r w:rsidR="00E4727B">
        <w:t>myth</w:t>
      </w:r>
      <w:r w:rsidR="00746771">
        <w:t>”</w:t>
      </w:r>
      <w:r w:rsidR="00E4727B">
        <w:t xml:space="preserve"> comes from the Greek word</w:t>
      </w:r>
      <w:r w:rsidR="00E4727B" w:rsidRPr="00AE49E3">
        <w:rPr>
          <w:i/>
          <w:iCs/>
        </w:rPr>
        <w:t xml:space="preserve"> muthos</w:t>
      </w:r>
      <w:r w:rsidR="00AE49E3">
        <w:rPr>
          <w:i/>
          <w:iCs/>
        </w:rPr>
        <w:t xml:space="preserve">, </w:t>
      </w:r>
      <w:r w:rsidR="00AE49E3">
        <w:t>meaning story</w:t>
      </w:r>
      <w:r w:rsidR="00630AFD">
        <w:t xml:space="preserve">, as opposed to </w:t>
      </w:r>
      <w:r w:rsidR="00630AFD" w:rsidRPr="00630AFD">
        <w:rPr>
          <w:i/>
          <w:iCs/>
        </w:rPr>
        <w:t xml:space="preserve">logos </w:t>
      </w:r>
      <w:r w:rsidR="00630AFD">
        <w:t xml:space="preserve">meaning rational argument, and he </w:t>
      </w:r>
      <w:r w:rsidR="00D11CD2">
        <w:t>cites</w:t>
      </w:r>
      <w:r w:rsidR="00630AFD">
        <w:t xml:space="preserve"> Karen Armstrong as arguing against the </w:t>
      </w:r>
      <w:r w:rsidR="00630AFD">
        <w:lastRenderedPageBreak/>
        <w:t>view that ‘myth is false or that it represents an inferior mode of thought’.</w:t>
      </w:r>
      <w:r w:rsidR="00630AFD">
        <w:rPr>
          <w:rStyle w:val="FootnoteReference"/>
        </w:rPr>
        <w:footnoteReference w:id="9"/>
      </w:r>
      <w:r w:rsidR="00E4727B">
        <w:t xml:space="preserve"> </w:t>
      </w:r>
      <w:r w:rsidR="00667797">
        <w:t xml:space="preserve">These comments support the </w:t>
      </w:r>
      <w:r w:rsidR="00627B7A">
        <w:t xml:space="preserve">positive value of myths which are succinctly described </w:t>
      </w:r>
      <w:r w:rsidR="00BC2DAB">
        <w:t>by</w:t>
      </w:r>
      <w:r w:rsidR="00C52FDE">
        <w:t xml:space="preserve"> Mary Midgley</w:t>
      </w:r>
      <w:r w:rsidR="00627B7A">
        <w:t>, as</w:t>
      </w:r>
      <w:r w:rsidR="00C52FDE">
        <w:t xml:space="preserve"> </w:t>
      </w:r>
      <w:r w:rsidR="0086180A">
        <w:t>‘</w:t>
      </w:r>
      <w:r w:rsidR="00C52FDE">
        <w:t>imaginative patterns, networks of powerful symbols that suggest particular ways of interpreting the world’.</w:t>
      </w:r>
      <w:r w:rsidR="00CF3F4E">
        <w:rPr>
          <w:rStyle w:val="FootnoteReference"/>
        </w:rPr>
        <w:footnoteReference w:id="10"/>
      </w:r>
      <w:r w:rsidR="00BC2DAB">
        <w:t xml:space="preserve"> </w:t>
      </w:r>
      <w:r w:rsidR="00627B7A">
        <w:t xml:space="preserve">This </w:t>
      </w:r>
      <w:r w:rsidR="00CF5E6D">
        <w:t xml:space="preserve">description captures well the </w:t>
      </w:r>
      <w:r w:rsidR="0056592B">
        <w:t>openness to various iterations through time and place as the main themes within a myth are re-interpreted within different cultures</w:t>
      </w:r>
      <w:r w:rsidR="00235C1B">
        <w:t>.</w:t>
      </w:r>
      <w:r w:rsidR="0056592B">
        <w:t xml:space="preserve"> </w:t>
      </w:r>
      <w:r w:rsidR="00941B00">
        <w:t xml:space="preserve">Mozart’s </w:t>
      </w:r>
      <w:r w:rsidR="00B401C9">
        <w:t>opera</w:t>
      </w:r>
      <w:r w:rsidR="00FE3814">
        <w:t xml:space="preserve"> has</w:t>
      </w:r>
      <w:r w:rsidR="00235C1B">
        <w:t xml:space="preserve"> </w:t>
      </w:r>
      <w:r w:rsidR="001056A5">
        <w:t xml:space="preserve">a number of </w:t>
      </w:r>
      <w:r w:rsidR="00B401C9">
        <w:t xml:space="preserve">themes that </w:t>
      </w:r>
      <w:r w:rsidR="00356994">
        <w:t xml:space="preserve">reflect some of those </w:t>
      </w:r>
      <w:r w:rsidR="00BC2DAB">
        <w:t>present i</w:t>
      </w:r>
      <w:r w:rsidR="00356994">
        <w:t xml:space="preserve">n </w:t>
      </w:r>
      <w:r w:rsidR="004B594C" w:rsidRPr="004B594C">
        <w:rPr>
          <w:i/>
          <w:iCs/>
        </w:rPr>
        <w:t>T</w:t>
      </w:r>
      <w:r w:rsidR="00356994" w:rsidRPr="004B594C">
        <w:rPr>
          <w:i/>
          <w:iCs/>
        </w:rPr>
        <w:t xml:space="preserve">he </w:t>
      </w:r>
      <w:r w:rsidR="00356994" w:rsidRPr="00BC2DAB">
        <w:rPr>
          <w:i/>
          <w:iCs/>
        </w:rPr>
        <w:t>Descent of Ishtar</w:t>
      </w:r>
      <w:r w:rsidR="005850EA">
        <w:t xml:space="preserve"> </w:t>
      </w:r>
      <w:r w:rsidR="00620B8D">
        <w:t xml:space="preserve">and which </w:t>
      </w:r>
      <w:r w:rsidR="005850EA">
        <w:t xml:space="preserve">serve to explore the myth’s cultural </w:t>
      </w:r>
      <w:r w:rsidR="001056A5">
        <w:t>significance</w:t>
      </w:r>
      <w:r w:rsidR="00620B8D">
        <w:t>.</w:t>
      </w:r>
    </w:p>
    <w:p w14:paraId="0A0897EC" w14:textId="62D4C129" w:rsidR="00835CFF" w:rsidRDefault="00835CFF" w:rsidP="00FB6933">
      <w:pPr>
        <w:spacing w:line="240" w:lineRule="auto"/>
        <w:jc w:val="center"/>
      </w:pPr>
      <w:r>
        <w:t>Culture</w:t>
      </w:r>
    </w:p>
    <w:p w14:paraId="4F363DA2" w14:textId="28536B52" w:rsidR="0069172D" w:rsidRDefault="00BF270A" w:rsidP="00A02876">
      <w:pPr>
        <w:spacing w:line="240" w:lineRule="auto"/>
        <w:jc w:val="both"/>
      </w:pPr>
      <w:r>
        <w:t xml:space="preserve">      </w:t>
      </w:r>
      <w:r w:rsidR="005A343A">
        <w:t xml:space="preserve">    </w:t>
      </w:r>
      <w:r w:rsidR="0002438D">
        <w:t xml:space="preserve">Defining culture is </w:t>
      </w:r>
      <w:r w:rsidR="00F553B1">
        <w:t xml:space="preserve">not </w:t>
      </w:r>
      <w:r w:rsidR="00377814">
        <w:t>s</w:t>
      </w:r>
      <w:r w:rsidR="00F553B1">
        <w:t>traightfo</w:t>
      </w:r>
      <w:r w:rsidR="00377814">
        <w:t>rward.</w:t>
      </w:r>
      <w:r w:rsidR="0002438D">
        <w:t xml:space="preserve"> As Terry Eagleton </w:t>
      </w:r>
      <w:r w:rsidR="00F00D88">
        <w:t xml:space="preserve">has </w:t>
      </w:r>
      <w:r w:rsidR="0002438D">
        <w:t>observe</w:t>
      </w:r>
      <w:r w:rsidR="00F00D88">
        <w:t>d</w:t>
      </w:r>
      <w:r w:rsidR="0002438D">
        <w:t xml:space="preserve"> ‘It is hard to resist the conclusion that the word ‘culture’ is both too broad and too narrow to be greatly useful</w:t>
      </w:r>
      <w:r w:rsidR="006D3B7A">
        <w:t>’</w:t>
      </w:r>
      <w:r w:rsidR="0002438D">
        <w:t>.</w:t>
      </w:r>
      <w:r w:rsidR="0002438D">
        <w:rPr>
          <w:rStyle w:val="FootnoteReference"/>
        </w:rPr>
        <w:footnoteReference w:id="11"/>
      </w:r>
      <w:r w:rsidR="0002438D">
        <w:t xml:space="preserve"> </w:t>
      </w:r>
      <w:r w:rsidR="00EE67F2">
        <w:t>Yet in a later work</w:t>
      </w:r>
      <w:r w:rsidR="006D3B7A">
        <w:rPr>
          <w:rStyle w:val="FootnoteReference"/>
        </w:rPr>
        <w:footnoteReference w:id="12"/>
      </w:r>
      <w:r w:rsidR="00EE67F2">
        <w:t xml:space="preserve"> </w:t>
      </w:r>
      <w:r w:rsidR="0013143C">
        <w:t xml:space="preserve">he </w:t>
      </w:r>
      <w:r w:rsidR="004B594C">
        <w:t xml:space="preserve">does succinctly </w:t>
      </w:r>
      <w:r w:rsidR="0013143C">
        <w:t>summarise</w:t>
      </w:r>
      <w:r w:rsidR="004B594C">
        <w:t xml:space="preserve"> </w:t>
      </w:r>
      <w:r w:rsidR="0071013D">
        <w:t xml:space="preserve">four </w:t>
      </w:r>
      <w:r w:rsidR="00A32F04">
        <w:t xml:space="preserve">important </w:t>
      </w:r>
      <w:r w:rsidR="00EE67F2">
        <w:t>senses of the word</w:t>
      </w:r>
      <w:r w:rsidR="005530E8">
        <w:t>.</w:t>
      </w:r>
      <w:r w:rsidR="00A32F04">
        <w:t xml:space="preserve"> </w:t>
      </w:r>
      <w:r w:rsidR="00005522">
        <w:t xml:space="preserve">As a creative endeavour opera in general </w:t>
      </w:r>
      <w:r w:rsidR="00962147">
        <w:t xml:space="preserve">can be viewed as falling into the first of his </w:t>
      </w:r>
      <w:r w:rsidR="00941B00">
        <w:t>suggest</w:t>
      </w:r>
      <w:r w:rsidR="00962147">
        <w:t>ed</w:t>
      </w:r>
      <w:r w:rsidR="00941B00">
        <w:t xml:space="preserve"> </w:t>
      </w:r>
      <w:r w:rsidR="00C10077">
        <w:t>senses</w:t>
      </w:r>
      <w:r w:rsidR="00962147">
        <w:t>, namely ‘a body of artistic and intellectual work’</w:t>
      </w:r>
      <w:r w:rsidR="00B178C1">
        <w:t>,</w:t>
      </w:r>
      <w:r w:rsidR="00962147">
        <w:rPr>
          <w:rStyle w:val="FootnoteReference"/>
        </w:rPr>
        <w:footnoteReference w:id="13"/>
      </w:r>
      <w:r w:rsidR="00435689">
        <w:t xml:space="preserve"> </w:t>
      </w:r>
      <w:r w:rsidR="0071013D">
        <w:t xml:space="preserve">which is an appropriate description of  </w:t>
      </w:r>
      <w:r w:rsidR="007E0FA7">
        <w:t xml:space="preserve">the genre of </w:t>
      </w:r>
      <w:r w:rsidR="0071013D">
        <w:t>Mozart’s opera.</w:t>
      </w:r>
      <w:r w:rsidR="00B178C1">
        <w:t xml:space="preserve"> </w:t>
      </w:r>
      <w:r w:rsidR="005530E8">
        <w:t xml:space="preserve">On the other hand, </w:t>
      </w:r>
      <w:r w:rsidR="00005522">
        <w:t>the ancient Mesopotamian myths</w:t>
      </w:r>
      <w:r w:rsidR="0071013D">
        <w:t xml:space="preserve">, including </w:t>
      </w:r>
      <w:r w:rsidR="0071013D" w:rsidRPr="0071013D">
        <w:rPr>
          <w:i/>
          <w:iCs/>
        </w:rPr>
        <w:t>The Descent of Ishtar</w:t>
      </w:r>
      <w:r w:rsidR="0071013D">
        <w:rPr>
          <w:i/>
          <w:iCs/>
        </w:rPr>
        <w:t>,</w:t>
      </w:r>
      <w:r w:rsidR="0071013D">
        <w:t xml:space="preserve"> </w:t>
      </w:r>
      <w:r w:rsidR="00A66BC5">
        <w:t xml:space="preserve"> </w:t>
      </w:r>
      <w:r w:rsidR="00005522">
        <w:t xml:space="preserve">as </w:t>
      </w:r>
      <w:r w:rsidR="00A66BC5">
        <w:t>example</w:t>
      </w:r>
      <w:r w:rsidR="00005522">
        <w:t>s</w:t>
      </w:r>
      <w:r w:rsidR="00A66BC5">
        <w:t xml:space="preserve"> of </w:t>
      </w:r>
      <w:r w:rsidR="00005522">
        <w:t xml:space="preserve">creative, poetic </w:t>
      </w:r>
      <w:r w:rsidR="00A66BC5">
        <w:t>art</w:t>
      </w:r>
      <w:r w:rsidR="002329CB">
        <w:t xml:space="preserve"> (like the opera)</w:t>
      </w:r>
      <w:r w:rsidR="00AB7D19">
        <w:t xml:space="preserve"> </w:t>
      </w:r>
      <w:r w:rsidR="00005522">
        <w:t xml:space="preserve">clearly </w:t>
      </w:r>
      <w:r w:rsidR="0071013D">
        <w:t xml:space="preserve">also </w:t>
      </w:r>
      <w:r w:rsidR="00435689">
        <w:t xml:space="preserve">belong </w:t>
      </w:r>
      <w:r w:rsidR="00BC2DAB">
        <w:t xml:space="preserve"> </w:t>
      </w:r>
      <w:r w:rsidR="00435689">
        <w:t xml:space="preserve">to </w:t>
      </w:r>
      <w:r w:rsidR="00005522">
        <w:t xml:space="preserve">Eagleton’s </w:t>
      </w:r>
      <w:r w:rsidR="00435689">
        <w:t>third sense of culture</w:t>
      </w:r>
      <w:r w:rsidR="00BC2DAB">
        <w:t>,</w:t>
      </w:r>
      <w:r w:rsidR="00435689">
        <w:t xml:space="preserve"> </w:t>
      </w:r>
      <w:r w:rsidR="00005522">
        <w:t xml:space="preserve">in </w:t>
      </w:r>
      <w:r w:rsidR="00A66BC5">
        <w:t>reflect</w:t>
      </w:r>
      <w:r w:rsidR="00164C67">
        <w:t>ing</w:t>
      </w:r>
      <w:r w:rsidR="00A66BC5">
        <w:t xml:space="preserve"> </w:t>
      </w:r>
      <w:r w:rsidR="002329CB">
        <w:t>‘</w:t>
      </w:r>
      <w:r w:rsidR="00435689">
        <w:t>the values, customs, beliefs and symbolic practices by which men and women live’</w:t>
      </w:r>
      <w:r w:rsidR="00B178C1">
        <w:t>.</w:t>
      </w:r>
      <w:r w:rsidR="00435689">
        <w:rPr>
          <w:rStyle w:val="FootnoteReference"/>
        </w:rPr>
        <w:footnoteReference w:id="14"/>
      </w:r>
      <w:r w:rsidR="00D2246B">
        <w:t xml:space="preserve"> </w:t>
      </w:r>
      <w:r w:rsidR="00314128">
        <w:t xml:space="preserve">This illustrates the fact that </w:t>
      </w:r>
      <w:r w:rsidR="005530E8">
        <w:t>aspects, or artifacts</w:t>
      </w:r>
      <w:r w:rsidR="00D4253D">
        <w:t>,</w:t>
      </w:r>
      <w:r w:rsidR="005530E8">
        <w:t xml:space="preserve"> of culture can</w:t>
      </w:r>
      <w:r w:rsidR="007F3577">
        <w:t>, and do,</w:t>
      </w:r>
      <w:r w:rsidR="005530E8">
        <w:t xml:space="preserve"> fall into one or more of Eagleton’s </w:t>
      </w:r>
      <w:r w:rsidR="00861BDA">
        <w:t>categories</w:t>
      </w:r>
      <w:r w:rsidR="00B178C1">
        <w:t xml:space="preserve">, and that culture is </w:t>
      </w:r>
      <w:r w:rsidR="00D2246B">
        <w:t>multi-faceted</w:t>
      </w:r>
      <w:r w:rsidR="00B178C1">
        <w:t>.</w:t>
      </w:r>
    </w:p>
    <w:p w14:paraId="1D63A8F8" w14:textId="6F49815C" w:rsidR="00DE1123" w:rsidRDefault="00BF270A" w:rsidP="00DE1123">
      <w:pPr>
        <w:spacing w:line="240" w:lineRule="auto"/>
        <w:jc w:val="both"/>
      </w:pPr>
      <w:r>
        <w:t xml:space="preserve">      </w:t>
      </w:r>
      <w:r w:rsidR="005A343A">
        <w:t xml:space="preserve">    </w:t>
      </w:r>
      <w:r w:rsidR="008D4A5A">
        <w:t>The opera, a collaboration between Mozart</w:t>
      </w:r>
      <w:r w:rsidR="00377814">
        <w:t xml:space="preserve"> and the librettist Emanuel Schikaneder,</w:t>
      </w:r>
      <w:r w:rsidR="008D4A5A">
        <w:t xml:space="preserve"> was not created in a cultural vacuum</w:t>
      </w:r>
      <w:r w:rsidR="008C4877">
        <w:t xml:space="preserve">, </w:t>
      </w:r>
      <w:r w:rsidR="007E0FA7">
        <w:t>composed</w:t>
      </w:r>
      <w:r w:rsidR="00C60287">
        <w:t xml:space="preserve"> at a time of significant cultural and scientific change. </w:t>
      </w:r>
      <w:r w:rsidR="00A46CB1">
        <w:t>T</w:t>
      </w:r>
      <w:r w:rsidR="00C60287">
        <w:t xml:space="preserve">he 1791 </w:t>
      </w:r>
      <w:r w:rsidR="007E0FA7">
        <w:t>work</w:t>
      </w:r>
      <w:r w:rsidR="00C60287">
        <w:t xml:space="preserve"> occurred at a point towards the end of the Renaissance, </w:t>
      </w:r>
      <w:r w:rsidR="00B56062">
        <w:t>(</w:t>
      </w:r>
      <w:r w:rsidR="00C60287">
        <w:t>in general terms between 1500 and 1800</w:t>
      </w:r>
      <w:r w:rsidR="00B56062">
        <w:t>)</w:t>
      </w:r>
      <w:r w:rsidR="00C60287">
        <w:rPr>
          <w:rStyle w:val="FootnoteReference"/>
        </w:rPr>
        <w:footnoteReference w:id="15"/>
      </w:r>
      <w:r w:rsidR="00A3618C">
        <w:t xml:space="preserve"> </w:t>
      </w:r>
      <w:r w:rsidR="00B56062">
        <w:t xml:space="preserve">which overlapped with the period known </w:t>
      </w:r>
      <w:r w:rsidR="00A3618C">
        <w:t xml:space="preserve">as The Enlightenment, </w:t>
      </w:r>
      <w:r w:rsidR="00B56062">
        <w:t>(</w:t>
      </w:r>
      <w:r w:rsidR="00A3618C">
        <w:t>late 1600</w:t>
      </w:r>
      <w:r w:rsidR="00C60287">
        <w:t xml:space="preserve"> to early 1800</w:t>
      </w:r>
      <w:r w:rsidR="00B56062">
        <w:t>).</w:t>
      </w:r>
      <w:r w:rsidR="00A3618C">
        <w:t xml:space="preserve"> </w:t>
      </w:r>
      <w:r w:rsidR="00DE1123">
        <w:t xml:space="preserve">The French Revolution </w:t>
      </w:r>
      <w:r w:rsidR="00445E80">
        <w:t>had recently occurred</w:t>
      </w:r>
      <w:r w:rsidR="00DE1123">
        <w:t xml:space="preserve">. </w:t>
      </w:r>
      <w:r w:rsidR="006C0055">
        <w:t>It was a</w:t>
      </w:r>
      <w:r w:rsidR="00DE1123">
        <w:t>lso a</w:t>
      </w:r>
      <w:r w:rsidR="006C0055">
        <w:t xml:space="preserve"> time of flux when ancient </w:t>
      </w:r>
      <w:r w:rsidR="006D33F1">
        <w:t xml:space="preserve">esoteric </w:t>
      </w:r>
      <w:r w:rsidR="006C0055">
        <w:t xml:space="preserve">manuscripts had been discovered such as Platonic and Hermetic writings and </w:t>
      </w:r>
      <w:r w:rsidR="00D11CD2">
        <w:t xml:space="preserve">as Debus observes, </w:t>
      </w:r>
      <w:r w:rsidR="006C0055">
        <w:t xml:space="preserve">the advances in mathematics were leading to </w:t>
      </w:r>
      <w:r w:rsidR="00A82B34">
        <w:t xml:space="preserve">the use of numbers </w:t>
      </w:r>
      <w:r w:rsidR="004E36D5">
        <w:t xml:space="preserve">in the </w:t>
      </w:r>
      <w:r w:rsidR="00A82B34">
        <w:t xml:space="preserve">practice of the </w:t>
      </w:r>
      <w:r w:rsidR="004E36D5">
        <w:t>occult and mysticism</w:t>
      </w:r>
      <w:r w:rsidR="00E347DC">
        <w:t>,</w:t>
      </w:r>
      <w:r w:rsidR="004E36D5">
        <w:rPr>
          <w:rStyle w:val="FootnoteReference"/>
        </w:rPr>
        <w:footnoteReference w:id="16"/>
      </w:r>
      <w:r w:rsidR="004E36D5">
        <w:t xml:space="preserve"> </w:t>
      </w:r>
      <w:r w:rsidR="005723E7">
        <w:t xml:space="preserve">even as scientific progress in general was accelerating. </w:t>
      </w:r>
      <w:r w:rsidR="00C129F4">
        <w:t xml:space="preserve"> The opera reflects this </w:t>
      </w:r>
      <w:r w:rsidR="00445E80">
        <w:t xml:space="preserve">esoteric </w:t>
      </w:r>
      <w:r w:rsidR="00C129F4">
        <w:t xml:space="preserve">cultural </w:t>
      </w:r>
      <w:r w:rsidR="005B6FE1">
        <w:t>undercurrent</w:t>
      </w:r>
      <w:r w:rsidR="00C129F4">
        <w:t xml:space="preserve"> a</w:t>
      </w:r>
      <w:r w:rsidR="005B6FE1">
        <w:t>nd</w:t>
      </w:r>
      <w:r w:rsidR="00C129F4">
        <w:t xml:space="preserve"> Priscilla Stuckey d</w:t>
      </w:r>
      <w:r w:rsidR="00DE1123">
        <w:t>escrib</w:t>
      </w:r>
      <w:r w:rsidR="00C129F4">
        <w:t>es</w:t>
      </w:r>
      <w:r w:rsidR="00DE1123">
        <w:t xml:space="preserve"> </w:t>
      </w:r>
      <w:r w:rsidR="005B6FE1">
        <w:t xml:space="preserve">it as </w:t>
      </w:r>
      <w:r w:rsidR="006A4674">
        <w:t>reflecting a ‘</w:t>
      </w:r>
      <w:r w:rsidR="00DE1123">
        <w:t>world of esoteric or occult traditions, popularized in the Renaissance and flowering in eighteenth-century secret societies’.</w:t>
      </w:r>
      <w:r w:rsidR="00C129F4">
        <w:rPr>
          <w:rStyle w:val="FootnoteReference"/>
        </w:rPr>
        <w:footnoteReference w:id="17"/>
      </w:r>
      <w:r w:rsidR="00B756DF">
        <w:t xml:space="preserve"> Brigid Brophy </w:t>
      </w:r>
      <w:r w:rsidR="00B41013">
        <w:t>supports this view describing</w:t>
      </w:r>
      <w:r w:rsidR="00B756DF">
        <w:t xml:space="preserve"> the </w:t>
      </w:r>
      <w:r w:rsidR="00B756DF">
        <w:lastRenderedPageBreak/>
        <w:t>opera as belonging to ‘the exotic subdepartment of a favourite eighteenth</w:t>
      </w:r>
      <w:r w:rsidR="00F036BF">
        <w:t>-century genre, classical opera’.</w:t>
      </w:r>
      <w:r w:rsidR="00F036BF">
        <w:rPr>
          <w:rStyle w:val="FootnoteReference"/>
        </w:rPr>
        <w:footnoteReference w:id="18"/>
      </w:r>
    </w:p>
    <w:p w14:paraId="328E728F" w14:textId="64AD2763" w:rsidR="008D4A5A" w:rsidRDefault="000408B5" w:rsidP="00DE1123">
      <w:pPr>
        <w:spacing w:line="240" w:lineRule="auto"/>
        <w:jc w:val="both"/>
      </w:pPr>
      <w:r>
        <w:t xml:space="preserve">      </w:t>
      </w:r>
      <w:r w:rsidR="005A343A">
        <w:t xml:space="preserve">    </w:t>
      </w:r>
      <w:r>
        <w:t xml:space="preserve">The eighteenth century </w:t>
      </w:r>
      <w:r w:rsidR="00E96E4F">
        <w:t xml:space="preserve">was </w:t>
      </w:r>
      <w:r>
        <w:t xml:space="preserve">also </w:t>
      </w:r>
      <w:r w:rsidR="00E96E4F">
        <w:t>a time when a more humanistic attitude began to promote reason as opposed to superstition and</w:t>
      </w:r>
      <w:r w:rsidR="00D11CD2">
        <w:t>, as Karen Armstrong suggests,</w:t>
      </w:r>
      <w:r w:rsidR="00E96E4F">
        <w:t xml:space="preserve"> to pose a challenge to established religion</w:t>
      </w:r>
      <w:r w:rsidR="007F3577">
        <w:t>.</w:t>
      </w:r>
      <w:r w:rsidR="005707A4">
        <w:rPr>
          <w:rStyle w:val="FootnoteReference"/>
        </w:rPr>
        <w:footnoteReference w:id="19"/>
      </w:r>
      <w:r w:rsidR="007F3577">
        <w:t xml:space="preserve"> </w:t>
      </w:r>
      <w:r w:rsidR="007A40AB">
        <w:t>However, alongside this trend, David Buch suggests that ‘the supernatural enjoyed continued popularity on the stage as the challenge to religion</w:t>
      </w:r>
      <w:r w:rsidR="00C60DFD">
        <w:t xml:space="preserve"> and aristocratic authority </w:t>
      </w:r>
      <w:r w:rsidR="007A40AB">
        <w:t>increased.’</w:t>
      </w:r>
      <w:r w:rsidR="00C60DFD">
        <w:rPr>
          <w:rStyle w:val="FootnoteReference"/>
        </w:rPr>
        <w:footnoteReference w:id="20"/>
      </w:r>
      <w:r w:rsidR="007A40AB">
        <w:t xml:space="preserve"> </w:t>
      </w:r>
      <w:r w:rsidR="00C60DFD">
        <w:t>It was also a time when t</w:t>
      </w:r>
      <w:r w:rsidR="00164C67">
        <w:t>he respective rights and status of men and women</w:t>
      </w:r>
      <w:r w:rsidR="00BC39F9">
        <w:t>,</w:t>
      </w:r>
      <w:r w:rsidR="00164C67">
        <w:t xml:space="preserve"> </w:t>
      </w:r>
      <w:r w:rsidR="007F3577">
        <w:t>together with social hierarchies</w:t>
      </w:r>
      <w:r w:rsidR="00BC39F9">
        <w:t>,</w:t>
      </w:r>
      <w:r w:rsidR="007F3577">
        <w:t xml:space="preserve"> </w:t>
      </w:r>
      <w:r w:rsidR="00164C67">
        <w:t>were being explored</w:t>
      </w:r>
      <w:r w:rsidR="007F3577">
        <w:t>,</w:t>
      </w:r>
      <w:r w:rsidR="00C60DFD">
        <w:t xml:space="preserve"> which was </w:t>
      </w:r>
      <w:r w:rsidR="007F3577">
        <w:t xml:space="preserve">reflected in Mozart’s </w:t>
      </w:r>
      <w:r w:rsidR="007F3577" w:rsidRPr="007F3577">
        <w:rPr>
          <w:i/>
          <w:iCs/>
        </w:rPr>
        <w:t>The Marriage of Figaro</w:t>
      </w:r>
      <w:r w:rsidR="00C60DFD">
        <w:t>.</w:t>
      </w:r>
      <w:r w:rsidR="007F3577">
        <w:t xml:space="preserve"> </w:t>
      </w:r>
      <w:r w:rsidR="00C60DFD">
        <w:t>T</w:t>
      </w:r>
      <w:r w:rsidR="00304DEC">
        <w:t xml:space="preserve">he faculty of </w:t>
      </w:r>
      <w:r w:rsidR="00510834">
        <w:t xml:space="preserve">reason </w:t>
      </w:r>
      <w:r>
        <w:t>was increasingly considered</w:t>
      </w:r>
      <w:r w:rsidR="00BC39F9">
        <w:t xml:space="preserve">, at least by some within the intellectual elite, </w:t>
      </w:r>
      <w:r>
        <w:t xml:space="preserve"> </w:t>
      </w:r>
      <w:r w:rsidR="00290BE3">
        <w:t xml:space="preserve">as </w:t>
      </w:r>
      <w:r w:rsidR="00A66BC5">
        <w:t xml:space="preserve">a </w:t>
      </w:r>
      <w:r w:rsidR="00F46BE4">
        <w:t xml:space="preserve">sufficient </w:t>
      </w:r>
      <w:r w:rsidR="00510834">
        <w:t xml:space="preserve">guide </w:t>
      </w:r>
      <w:r w:rsidR="00304DEC">
        <w:t xml:space="preserve">not only for scientific progress but also for </w:t>
      </w:r>
      <w:r w:rsidR="00510834">
        <w:t>a virtuous and enlightened life</w:t>
      </w:r>
      <w:r w:rsidR="005B6FE1">
        <w:t>,</w:t>
      </w:r>
      <w:r w:rsidR="00F5790B">
        <w:t xml:space="preserve"> with</w:t>
      </w:r>
      <w:r w:rsidR="00F46BE4">
        <w:t xml:space="preserve"> </w:t>
      </w:r>
      <w:r w:rsidR="005B6FE1">
        <w:t xml:space="preserve">Immanuel </w:t>
      </w:r>
      <w:r w:rsidR="00F46BE4">
        <w:t xml:space="preserve">Kant’s </w:t>
      </w:r>
      <w:r w:rsidR="00686245">
        <w:t xml:space="preserve">notion of rational </w:t>
      </w:r>
      <w:r w:rsidR="00F46BE4">
        <w:t>moral imperatives</w:t>
      </w:r>
      <w:r w:rsidR="00F5790B">
        <w:t xml:space="preserve"> b</w:t>
      </w:r>
      <w:r w:rsidR="00F46BE4">
        <w:t>eing  an example of such a belief.</w:t>
      </w:r>
      <w:r>
        <w:rPr>
          <w:rStyle w:val="FootnoteReference"/>
        </w:rPr>
        <w:footnoteReference w:id="21"/>
      </w:r>
      <w:r w:rsidR="00304DEC">
        <w:t xml:space="preserve"> </w:t>
      </w:r>
      <w:r w:rsidR="00E02949">
        <w:t>In this respect t</w:t>
      </w:r>
      <w:r w:rsidR="004B001A">
        <w:t xml:space="preserve">he opera itself has been seen </w:t>
      </w:r>
      <w:r w:rsidR="00686234">
        <w:t xml:space="preserve">by Kate Bartel </w:t>
      </w:r>
      <w:r w:rsidR="004B001A">
        <w:t>as ‘a late eighteenth-century conceptualisation of rational morality’.</w:t>
      </w:r>
      <w:r w:rsidR="004B001A">
        <w:rPr>
          <w:rStyle w:val="FootnoteReference"/>
        </w:rPr>
        <w:footnoteReference w:id="22"/>
      </w:r>
      <w:r w:rsidR="004B001A">
        <w:t xml:space="preserve"> </w:t>
      </w:r>
      <w:r w:rsidR="00062136">
        <w:t xml:space="preserve">The Order of Freemasonry </w:t>
      </w:r>
      <w:r w:rsidR="008462C8">
        <w:t>was seen, at least by its members, as embodying these humanistic and rational ideals</w:t>
      </w:r>
      <w:r w:rsidR="00194E47">
        <w:t xml:space="preserve"> yet, </w:t>
      </w:r>
      <w:r w:rsidR="00285207">
        <w:t xml:space="preserve">even </w:t>
      </w:r>
      <w:r w:rsidR="00194E47">
        <w:t>in the face of this</w:t>
      </w:r>
      <w:r w:rsidR="00935934">
        <w:t xml:space="preserve"> emerging rationality</w:t>
      </w:r>
      <w:r w:rsidR="00194E47">
        <w:t>, the existence</w:t>
      </w:r>
      <w:r w:rsidR="00935934">
        <w:t xml:space="preserve">, </w:t>
      </w:r>
      <w:r w:rsidR="00194E47">
        <w:t xml:space="preserve">popularity </w:t>
      </w:r>
      <w:r w:rsidR="00935934">
        <w:t xml:space="preserve">and usefulness </w:t>
      </w:r>
      <w:r w:rsidR="00194E47">
        <w:t xml:space="preserve">of myths continued, </w:t>
      </w:r>
      <w:r w:rsidR="004B001A">
        <w:t>even with</w:t>
      </w:r>
      <w:r w:rsidR="00285207">
        <w:t>in</w:t>
      </w:r>
      <w:r w:rsidR="004B001A">
        <w:t xml:space="preserve"> Freemasonry, </w:t>
      </w:r>
      <w:r w:rsidR="00194E47">
        <w:t xml:space="preserve">as will be shown below.  </w:t>
      </w:r>
    </w:p>
    <w:p w14:paraId="642FB922" w14:textId="0442A0D0" w:rsidR="00FB6933" w:rsidRDefault="00FB6933" w:rsidP="00FB6933">
      <w:pPr>
        <w:spacing w:line="240" w:lineRule="auto"/>
        <w:jc w:val="center"/>
      </w:pPr>
      <w:r>
        <w:t>Shared Cultural Themes</w:t>
      </w:r>
    </w:p>
    <w:p w14:paraId="10E2135E" w14:textId="765F64D7" w:rsidR="00B144F5" w:rsidRDefault="00BF270A" w:rsidP="00A02876">
      <w:pPr>
        <w:spacing w:line="240" w:lineRule="auto"/>
        <w:jc w:val="both"/>
        <w:rPr>
          <w:rStyle w:val="apple-converted-space"/>
          <w:color w:val="333333"/>
          <w:shd w:val="clear" w:color="auto" w:fill="FFFFFF"/>
        </w:rPr>
      </w:pPr>
      <w:r>
        <w:t xml:space="preserve">      </w:t>
      </w:r>
      <w:r w:rsidR="005A343A">
        <w:t xml:space="preserve">    </w:t>
      </w:r>
      <w:r w:rsidR="00D4405F">
        <w:t xml:space="preserve">By exploring </w:t>
      </w:r>
      <w:r w:rsidR="000670A9" w:rsidRPr="000670A9">
        <w:t>common themes</w:t>
      </w:r>
      <w:r w:rsidR="000670A9">
        <w:t xml:space="preserve"> and </w:t>
      </w:r>
      <w:r w:rsidR="003C0669">
        <w:t xml:space="preserve">use </w:t>
      </w:r>
      <w:r w:rsidR="000670A9">
        <w:t xml:space="preserve">of symbols </w:t>
      </w:r>
      <w:r w:rsidR="003C0669">
        <w:t xml:space="preserve">within the myth and the opera </w:t>
      </w:r>
      <w:r w:rsidR="00D4405F">
        <w:t xml:space="preserve">it becomes </w:t>
      </w:r>
      <w:r w:rsidR="000670A9">
        <w:t xml:space="preserve">possible to </w:t>
      </w:r>
      <w:r w:rsidR="00D4405F">
        <w:t xml:space="preserve">discern a number of cultural motifs that </w:t>
      </w:r>
      <w:r w:rsidR="00056332">
        <w:t>the</w:t>
      </w:r>
      <w:r w:rsidR="007F03F1">
        <w:t>y both</w:t>
      </w:r>
      <w:r w:rsidR="00056332">
        <w:t xml:space="preserve"> </w:t>
      </w:r>
      <w:r w:rsidR="007F03F1">
        <w:t xml:space="preserve">share, </w:t>
      </w:r>
      <w:r w:rsidR="002D02AD">
        <w:t xml:space="preserve">which </w:t>
      </w:r>
      <w:r w:rsidR="007F03F1">
        <w:t xml:space="preserve">reflect the ongoing cultural legacy of </w:t>
      </w:r>
      <w:r w:rsidR="00A438A8">
        <w:t xml:space="preserve">the </w:t>
      </w:r>
      <w:r w:rsidR="00DB4922">
        <w:t xml:space="preserve">symbolism in the </w:t>
      </w:r>
      <w:r w:rsidR="00A438A8">
        <w:t>Ishtar</w:t>
      </w:r>
      <w:r w:rsidR="000670A9">
        <w:t xml:space="preserve"> </w:t>
      </w:r>
      <w:r w:rsidR="00A438A8">
        <w:t xml:space="preserve">myth. </w:t>
      </w:r>
      <w:r w:rsidR="00B144F5">
        <w:t xml:space="preserve">They include </w:t>
      </w:r>
      <w:r w:rsidR="00DB4922">
        <w:t xml:space="preserve">opposing </w:t>
      </w:r>
      <w:r w:rsidR="00BA6CE2">
        <w:t xml:space="preserve">dualities such as </w:t>
      </w:r>
      <w:r w:rsidR="00507FF0">
        <w:t>femininity</w:t>
      </w:r>
      <w:r w:rsidR="00B144F5">
        <w:t>/</w:t>
      </w:r>
      <w:r w:rsidR="00507FF0">
        <w:t>masculinity</w:t>
      </w:r>
      <w:r w:rsidR="00B144F5">
        <w:t>, lightness/darkness</w:t>
      </w:r>
      <w:r w:rsidR="001C0342">
        <w:t xml:space="preserve"> and </w:t>
      </w:r>
      <w:r w:rsidR="00BC0700">
        <w:t>also the theme of ritual</w:t>
      </w:r>
      <w:r w:rsidR="00BE3BA8">
        <w:t xml:space="preserve">istic </w:t>
      </w:r>
      <w:r w:rsidR="001C0342">
        <w:t>i</w:t>
      </w:r>
      <w:r w:rsidR="00AB7D19">
        <w:t>nitiation</w:t>
      </w:r>
      <w:r w:rsidR="00884CA6">
        <w:t>.</w:t>
      </w:r>
      <w:r w:rsidR="00B144F5">
        <w:t xml:space="preserve"> This is not to claim </w:t>
      </w:r>
      <w:r w:rsidR="007E0FA7">
        <w:t>an exact replication of</w:t>
      </w:r>
      <w:r w:rsidR="00B144F5">
        <w:t xml:space="preserve"> such motifs between the </w:t>
      </w:r>
      <w:r w:rsidR="00785DE6">
        <w:t xml:space="preserve">myth and the opera, rather it is to suggest the use, within the opera, of </w:t>
      </w:r>
      <w:r w:rsidR="00B144F5">
        <w:t xml:space="preserve"> </w:t>
      </w:r>
      <w:r w:rsidR="00785DE6">
        <w:t xml:space="preserve">recognisable symbolic themes that culturally resonate with those in the </w:t>
      </w:r>
      <w:r w:rsidR="0013143C">
        <w:t xml:space="preserve">Ishtar </w:t>
      </w:r>
      <w:r w:rsidR="00785DE6">
        <w:t>myth.</w:t>
      </w:r>
      <w:r w:rsidR="00614486">
        <w:t xml:space="preserve"> </w:t>
      </w:r>
      <w:r w:rsidR="000216D3">
        <w:t xml:space="preserve">This approach </w:t>
      </w:r>
      <w:r w:rsidR="00BC0700">
        <w:t xml:space="preserve">also </w:t>
      </w:r>
      <w:r w:rsidR="000216D3">
        <w:t xml:space="preserve">recognises </w:t>
      </w:r>
      <w:r w:rsidR="007E0FA7">
        <w:t xml:space="preserve">various </w:t>
      </w:r>
      <w:r w:rsidR="000216D3">
        <w:t xml:space="preserve"> ambigui</w:t>
      </w:r>
      <w:r w:rsidR="005D6FEF">
        <w:t>ties</w:t>
      </w:r>
      <w:r w:rsidR="000216D3">
        <w:t xml:space="preserve"> that exist in both</w:t>
      </w:r>
      <w:r w:rsidR="00507FF0">
        <w:t>: the underlying motive for Ishtar’s descent, for example, is not stated in Speicer’s translation</w:t>
      </w:r>
      <w:r w:rsidR="00BC0700">
        <w:t>.</w:t>
      </w:r>
      <w:r w:rsidR="00616D2E">
        <w:t xml:space="preserve"> </w:t>
      </w:r>
      <w:r w:rsidR="00D61CC4" w:rsidRPr="00194E47">
        <w:rPr>
          <w:color w:val="333333"/>
          <w:shd w:val="clear" w:color="auto" w:fill="FFFFFF"/>
        </w:rPr>
        <w:t>Louise Pryke</w:t>
      </w:r>
      <w:r w:rsidR="00260916">
        <w:rPr>
          <w:color w:val="333333"/>
          <w:shd w:val="clear" w:color="auto" w:fill="FFFFFF"/>
        </w:rPr>
        <w:t xml:space="preserve"> </w:t>
      </w:r>
      <w:r w:rsidR="00D61CC4" w:rsidRPr="00D61CC4">
        <w:rPr>
          <w:color w:val="333333"/>
          <w:shd w:val="clear" w:color="auto" w:fill="FFFFFF"/>
        </w:rPr>
        <w:t>suggest</w:t>
      </w:r>
      <w:r w:rsidR="00616D2E">
        <w:rPr>
          <w:color w:val="333333"/>
          <w:shd w:val="clear" w:color="auto" w:fill="FFFFFF"/>
        </w:rPr>
        <w:t>s</w:t>
      </w:r>
      <w:r w:rsidR="00D61CC4" w:rsidRPr="00D61CC4">
        <w:rPr>
          <w:color w:val="333333"/>
          <w:shd w:val="clear" w:color="auto" w:fill="FFFFFF"/>
        </w:rPr>
        <w:t xml:space="preserve"> that</w:t>
      </w:r>
      <w:r w:rsidR="00D61CC4">
        <w:rPr>
          <w:rFonts w:ascii="Libre Baskerville" w:hAnsi="Libre Baskerville"/>
          <w:color w:val="333333"/>
          <w:shd w:val="clear" w:color="auto" w:fill="FFFFFF"/>
        </w:rPr>
        <w:t xml:space="preserve"> </w:t>
      </w:r>
      <w:r w:rsidR="003340A2">
        <w:rPr>
          <w:rFonts w:ascii="Libre Baskerville" w:hAnsi="Libre Baskerville"/>
          <w:color w:val="333333"/>
          <w:shd w:val="clear" w:color="auto" w:fill="FFFFFF"/>
        </w:rPr>
        <w:t>‘</w:t>
      </w:r>
      <w:r w:rsidR="003340A2">
        <w:rPr>
          <w:color w:val="333333"/>
          <w:shd w:val="clear" w:color="auto" w:fill="FFFFFF"/>
        </w:rPr>
        <w:t>w</w:t>
      </w:r>
      <w:r w:rsidR="00D61CC4" w:rsidRPr="00D61CC4">
        <w:rPr>
          <w:color w:val="333333"/>
          <w:shd w:val="clear" w:color="auto" w:fill="FFFFFF"/>
        </w:rPr>
        <w:t>hile numerous reasons have been suggested for Ishtar's journey, it seems most likely that she is motivated by the ambitious desire to increase her own powers</w:t>
      </w:r>
      <w:r w:rsidR="003340A2">
        <w:rPr>
          <w:color w:val="333333"/>
          <w:shd w:val="clear" w:color="auto" w:fill="FFFFFF"/>
        </w:rPr>
        <w:t>’</w:t>
      </w:r>
      <w:r w:rsidR="00260916">
        <w:rPr>
          <w:color w:val="333333"/>
          <w:shd w:val="clear" w:color="auto" w:fill="FFFFFF"/>
        </w:rPr>
        <w:t>,</w:t>
      </w:r>
      <w:r w:rsidR="00D61CC4">
        <w:rPr>
          <w:rStyle w:val="FootnoteReference"/>
          <w:color w:val="333333"/>
          <w:shd w:val="clear" w:color="auto" w:fill="FFFFFF"/>
        </w:rPr>
        <w:footnoteReference w:id="23"/>
      </w:r>
      <w:r w:rsidR="00BA6CE2">
        <w:rPr>
          <w:color w:val="333333"/>
          <w:shd w:val="clear" w:color="auto" w:fill="FFFFFF"/>
        </w:rPr>
        <w:t xml:space="preserve"> </w:t>
      </w:r>
      <w:r w:rsidR="00260916">
        <w:rPr>
          <w:color w:val="333333"/>
          <w:shd w:val="clear" w:color="auto" w:fill="FFFFFF"/>
        </w:rPr>
        <w:t>however</w:t>
      </w:r>
      <w:r w:rsidR="00DB4922">
        <w:rPr>
          <w:color w:val="333333"/>
          <w:shd w:val="clear" w:color="auto" w:fill="FFFFFF"/>
        </w:rPr>
        <w:t>,</w:t>
      </w:r>
      <w:r w:rsidR="00260916">
        <w:rPr>
          <w:color w:val="333333"/>
          <w:shd w:val="clear" w:color="auto" w:fill="FFFFFF"/>
        </w:rPr>
        <w:t xml:space="preserve"> </w:t>
      </w:r>
      <w:r w:rsidR="00616D2E">
        <w:rPr>
          <w:color w:val="333333"/>
          <w:shd w:val="clear" w:color="auto" w:fill="FFFFFF"/>
        </w:rPr>
        <w:t>this remains conjecture.</w:t>
      </w:r>
      <w:r w:rsidR="00D61CC4">
        <w:rPr>
          <w:rStyle w:val="apple-converted-space"/>
          <w:rFonts w:ascii="Libre Baskerville" w:hAnsi="Libre Baskerville"/>
          <w:color w:val="333333"/>
          <w:shd w:val="clear" w:color="auto" w:fill="FFFFFF"/>
        </w:rPr>
        <w:t> </w:t>
      </w:r>
      <w:r w:rsidR="00D2537F" w:rsidRPr="00D2537F">
        <w:rPr>
          <w:rStyle w:val="apple-converted-space"/>
          <w:color w:val="333333"/>
          <w:shd w:val="clear" w:color="auto" w:fill="FFFFFF"/>
        </w:rPr>
        <w:t>There is a</w:t>
      </w:r>
      <w:r w:rsidR="00836AC0">
        <w:rPr>
          <w:rStyle w:val="apple-converted-space"/>
          <w:color w:val="333333"/>
          <w:shd w:val="clear" w:color="auto" w:fill="FFFFFF"/>
        </w:rPr>
        <w:t>lso a</w:t>
      </w:r>
      <w:r w:rsidR="005707A4">
        <w:rPr>
          <w:rStyle w:val="apple-converted-space"/>
          <w:color w:val="333333"/>
          <w:shd w:val="clear" w:color="auto" w:fill="FFFFFF"/>
        </w:rPr>
        <w:t xml:space="preserve">n </w:t>
      </w:r>
      <w:r w:rsidR="00D2537F" w:rsidRPr="00D2537F">
        <w:rPr>
          <w:rStyle w:val="apple-converted-space"/>
          <w:color w:val="333333"/>
          <w:shd w:val="clear" w:color="auto" w:fill="FFFFFF"/>
        </w:rPr>
        <w:t xml:space="preserve">ambiguity </w:t>
      </w:r>
      <w:r w:rsidR="005707A4">
        <w:rPr>
          <w:rStyle w:val="apple-converted-space"/>
          <w:color w:val="333333"/>
          <w:shd w:val="clear" w:color="auto" w:fill="FFFFFF"/>
        </w:rPr>
        <w:t xml:space="preserve">in </w:t>
      </w:r>
      <w:r w:rsidR="005707A4" w:rsidRPr="005707A4">
        <w:rPr>
          <w:rStyle w:val="apple-converted-space"/>
          <w:i/>
          <w:iCs/>
          <w:color w:val="333333"/>
          <w:shd w:val="clear" w:color="auto" w:fill="FFFFFF"/>
        </w:rPr>
        <w:t>The Magic Flute</w:t>
      </w:r>
      <w:r w:rsidR="005707A4">
        <w:rPr>
          <w:rStyle w:val="apple-converted-space"/>
          <w:color w:val="333333"/>
          <w:shd w:val="clear" w:color="auto" w:fill="FFFFFF"/>
        </w:rPr>
        <w:t xml:space="preserve">, </w:t>
      </w:r>
      <w:r w:rsidR="009B2ADF">
        <w:rPr>
          <w:rStyle w:val="apple-converted-space"/>
          <w:color w:val="333333"/>
          <w:shd w:val="clear" w:color="auto" w:fill="FFFFFF"/>
        </w:rPr>
        <w:t xml:space="preserve">in this case a moral ambiguity, regarding </w:t>
      </w:r>
      <w:r w:rsidR="00D2537F" w:rsidRPr="00D2537F">
        <w:rPr>
          <w:rStyle w:val="apple-converted-space"/>
          <w:color w:val="333333"/>
          <w:shd w:val="clear" w:color="auto" w:fill="FFFFFF"/>
        </w:rPr>
        <w:t xml:space="preserve"> The Queen of the Night </w:t>
      </w:r>
      <w:r w:rsidR="00D2537F">
        <w:rPr>
          <w:rStyle w:val="apple-converted-space"/>
          <w:color w:val="333333"/>
          <w:shd w:val="clear" w:color="auto" w:fill="FFFFFF"/>
        </w:rPr>
        <w:t xml:space="preserve">as she shifts from distressed mother to </w:t>
      </w:r>
      <w:r w:rsidR="00836AC0">
        <w:rPr>
          <w:rStyle w:val="apple-converted-space"/>
          <w:color w:val="333333"/>
          <w:shd w:val="clear" w:color="auto" w:fill="FFFFFF"/>
        </w:rPr>
        <w:t xml:space="preserve">planning a </w:t>
      </w:r>
      <w:r w:rsidR="009B2ADF">
        <w:rPr>
          <w:rStyle w:val="apple-converted-space"/>
          <w:color w:val="333333"/>
          <w:shd w:val="clear" w:color="auto" w:fill="FFFFFF"/>
        </w:rPr>
        <w:t xml:space="preserve">vengeful </w:t>
      </w:r>
      <w:r w:rsidR="00836AC0">
        <w:rPr>
          <w:rStyle w:val="apple-converted-space"/>
          <w:color w:val="333333"/>
          <w:shd w:val="clear" w:color="auto" w:fill="FFFFFF"/>
        </w:rPr>
        <w:t>murder.</w:t>
      </w:r>
    </w:p>
    <w:p w14:paraId="5A973C69" w14:textId="77777777" w:rsidR="002F10B1" w:rsidRDefault="002F10B1" w:rsidP="00FB6933">
      <w:pPr>
        <w:spacing w:line="240" w:lineRule="auto"/>
        <w:jc w:val="center"/>
        <w:rPr>
          <w:rStyle w:val="apple-converted-space"/>
          <w:color w:val="333333"/>
          <w:shd w:val="clear" w:color="auto" w:fill="FFFFFF"/>
        </w:rPr>
      </w:pPr>
    </w:p>
    <w:p w14:paraId="168C5824" w14:textId="77777777" w:rsidR="002F10B1" w:rsidRDefault="002F10B1" w:rsidP="00FB6933">
      <w:pPr>
        <w:spacing w:line="240" w:lineRule="auto"/>
        <w:jc w:val="center"/>
        <w:rPr>
          <w:rStyle w:val="apple-converted-space"/>
          <w:color w:val="333333"/>
          <w:shd w:val="clear" w:color="auto" w:fill="FFFFFF"/>
        </w:rPr>
      </w:pPr>
    </w:p>
    <w:p w14:paraId="0E7AADEA" w14:textId="7EB23AF2" w:rsidR="00835CFF" w:rsidRPr="00D2537F" w:rsidRDefault="00835CFF" w:rsidP="00FB6933">
      <w:pPr>
        <w:spacing w:line="240" w:lineRule="auto"/>
        <w:jc w:val="center"/>
      </w:pPr>
      <w:r>
        <w:rPr>
          <w:rStyle w:val="apple-converted-space"/>
          <w:color w:val="333333"/>
          <w:shd w:val="clear" w:color="auto" w:fill="FFFFFF"/>
        </w:rPr>
        <w:lastRenderedPageBreak/>
        <w:t>Femininity and Masculinity</w:t>
      </w:r>
    </w:p>
    <w:p w14:paraId="79900366" w14:textId="5B0ABA57" w:rsidR="00FF2983" w:rsidRDefault="00BF270A" w:rsidP="00A02876">
      <w:pPr>
        <w:spacing w:line="240" w:lineRule="auto"/>
        <w:jc w:val="both"/>
      </w:pPr>
      <w:r>
        <w:t xml:space="preserve">      </w:t>
      </w:r>
      <w:r w:rsidR="005A343A">
        <w:t xml:space="preserve">    </w:t>
      </w:r>
      <w:r w:rsidR="00313D4E">
        <w:t xml:space="preserve">Ishtar is described </w:t>
      </w:r>
      <w:r w:rsidR="00597555">
        <w:t>in terms that</w:t>
      </w:r>
      <w:r w:rsidR="003E0A03">
        <w:t xml:space="preserve"> signal</w:t>
      </w:r>
      <w:r w:rsidR="00597555">
        <w:t xml:space="preserve"> significant power</w:t>
      </w:r>
      <w:r w:rsidR="00835179">
        <w:t xml:space="preserve"> and a</w:t>
      </w:r>
      <w:r w:rsidR="00597555">
        <w:t xml:space="preserve">s the </w:t>
      </w:r>
      <w:r w:rsidR="00B278D5">
        <w:t>daughter</w:t>
      </w:r>
      <w:r w:rsidR="00597555">
        <w:t xml:space="preserve"> of Sin (god of the moon) </w:t>
      </w:r>
      <w:r w:rsidR="003332C9">
        <w:t xml:space="preserve">her </w:t>
      </w:r>
      <w:r w:rsidR="007520D4">
        <w:t xml:space="preserve">elevated </w:t>
      </w:r>
      <w:r w:rsidR="00597555">
        <w:t xml:space="preserve">status is enhanced by adornments </w:t>
      </w:r>
      <w:r w:rsidR="003E0A03">
        <w:t xml:space="preserve">such as </w:t>
      </w:r>
      <w:r w:rsidR="00597555">
        <w:t>a ‘great crown’.</w:t>
      </w:r>
      <w:r w:rsidR="00597555">
        <w:rPr>
          <w:rStyle w:val="FootnoteReference"/>
        </w:rPr>
        <w:footnoteReference w:id="24"/>
      </w:r>
      <w:r w:rsidR="00597555">
        <w:t xml:space="preserve"> Her threats to violently smash her way through the seven gates descending to her sister Ereshkigal</w:t>
      </w:r>
      <w:r w:rsidR="00686234">
        <w:rPr>
          <w:rStyle w:val="FootnoteReference"/>
        </w:rPr>
        <w:footnoteReference w:id="25"/>
      </w:r>
      <w:r w:rsidR="00597555">
        <w:t xml:space="preserve"> graphically illustrates the confidence</w:t>
      </w:r>
      <w:r w:rsidR="0067519E">
        <w:t xml:space="preserve">, impetuousness </w:t>
      </w:r>
      <w:r w:rsidR="003E0A03">
        <w:t xml:space="preserve">and </w:t>
      </w:r>
      <w:r w:rsidR="0067519E">
        <w:t xml:space="preserve">highly </w:t>
      </w:r>
      <w:r w:rsidR="003E0A03">
        <w:t xml:space="preserve">emotional state </w:t>
      </w:r>
      <w:r w:rsidR="00597555">
        <w:t xml:space="preserve">of </w:t>
      </w:r>
      <w:r w:rsidR="00FF2983">
        <w:t xml:space="preserve">this </w:t>
      </w:r>
      <w:r w:rsidR="00E205FB">
        <w:t xml:space="preserve">female </w:t>
      </w:r>
      <w:r w:rsidR="00C34083">
        <w:t xml:space="preserve">deity. </w:t>
      </w:r>
      <w:r w:rsidR="00FF2983">
        <w:t xml:space="preserve">Yet </w:t>
      </w:r>
      <w:r w:rsidR="00CA73ED">
        <w:t xml:space="preserve">because she </w:t>
      </w:r>
      <w:r w:rsidR="007520D4">
        <w:t xml:space="preserve">gradually loses her power as she passes through the seven gates and </w:t>
      </w:r>
      <w:r w:rsidR="00CA73ED">
        <w:t>is killed</w:t>
      </w:r>
      <w:r w:rsidR="007520D4">
        <w:t>,</w:t>
      </w:r>
      <w:r w:rsidR="00CA73ED">
        <w:t xml:space="preserve"> </w:t>
      </w:r>
      <w:r w:rsidR="00FF2983">
        <w:t xml:space="preserve">her journey </w:t>
      </w:r>
      <w:r w:rsidR="00CA73ED">
        <w:t>can be seen, initially at least, as a f</w:t>
      </w:r>
      <w:r w:rsidR="00FF2983">
        <w:t xml:space="preserve">ailure. </w:t>
      </w:r>
      <w:r w:rsidR="007520D4">
        <w:t xml:space="preserve">She is in need of rescue. </w:t>
      </w:r>
      <w:r w:rsidR="00FF2983">
        <w:t xml:space="preserve">Although </w:t>
      </w:r>
      <w:r w:rsidR="00DB4922">
        <w:t xml:space="preserve">the </w:t>
      </w:r>
      <w:r w:rsidR="00E80D7E">
        <w:t xml:space="preserve">significance of the </w:t>
      </w:r>
      <w:r w:rsidR="00DB4922">
        <w:t>gender of the god responsible for her rescue</w:t>
      </w:r>
      <w:r w:rsidR="00FF2983">
        <w:t xml:space="preserve"> </w:t>
      </w:r>
      <w:r w:rsidR="00E80D7E">
        <w:t>does not appear to be</w:t>
      </w:r>
      <w:r w:rsidR="00FF2983">
        <w:t xml:space="preserve"> remarked upon in the academic or popular literature, the bringing back to life of Ishtar </w:t>
      </w:r>
      <w:r w:rsidR="000B2251">
        <w:t xml:space="preserve">is </w:t>
      </w:r>
      <w:r w:rsidR="00FF2983">
        <w:t>achieved by a plan devised by the male god Ea through his ‘wise heart’.</w:t>
      </w:r>
      <w:r w:rsidR="00FF2983">
        <w:rPr>
          <w:rStyle w:val="FootnoteReference"/>
        </w:rPr>
        <w:footnoteReference w:id="26"/>
      </w:r>
      <w:r w:rsidR="00FF2983">
        <w:t xml:space="preserve"> Caìtlin Barret </w:t>
      </w:r>
      <w:r w:rsidR="00333F77">
        <w:t xml:space="preserve">has noted </w:t>
      </w:r>
      <w:r w:rsidR="00FF2983">
        <w:t xml:space="preserve">Ishtar’s reliance on Ea </w:t>
      </w:r>
      <w:r w:rsidR="00333F77">
        <w:t xml:space="preserve">yet </w:t>
      </w:r>
      <w:r w:rsidR="00FF2983">
        <w:t>attaches no significance to his gender.</w:t>
      </w:r>
      <w:r w:rsidR="00FF2983">
        <w:rPr>
          <w:rStyle w:val="FootnoteReference"/>
        </w:rPr>
        <w:footnoteReference w:id="27"/>
      </w:r>
      <w:r w:rsidR="00FF2983">
        <w:t xml:space="preserve"> </w:t>
      </w:r>
      <w:r w:rsidR="00333F77">
        <w:t xml:space="preserve">But </w:t>
      </w:r>
      <w:r w:rsidR="00FF2983">
        <w:t xml:space="preserve">it is this male god of wisdom who provides the means of restoring the emotional ‘unreflecting’ goddess when her power is lost and death follows. </w:t>
      </w:r>
      <w:r w:rsidR="007520D4">
        <w:t xml:space="preserve">In this narrative it is clear that wisdom is the prerogative of a male god rather than </w:t>
      </w:r>
      <w:r w:rsidR="000B2251">
        <w:t xml:space="preserve">that of </w:t>
      </w:r>
      <w:r w:rsidR="007520D4">
        <w:t xml:space="preserve">an emotional and impetuous female goddess. </w:t>
      </w:r>
      <w:r w:rsidR="00AA05A1">
        <w:t>The overriding maleness in Mesopotamian sky myths is recognised by Bidmead and Love</w:t>
      </w:r>
      <w:r w:rsidR="00AA05A1">
        <w:rPr>
          <w:rStyle w:val="FootnoteReference"/>
        </w:rPr>
        <w:footnoteReference w:id="28"/>
      </w:r>
      <w:r w:rsidR="00C10944">
        <w:t xml:space="preserve">, while </w:t>
      </w:r>
      <w:r w:rsidR="008E61A9">
        <w:t xml:space="preserve">also </w:t>
      </w:r>
      <w:r w:rsidR="00806B76">
        <w:t>claiming</w:t>
      </w:r>
      <w:r w:rsidR="00C10944">
        <w:t xml:space="preserve"> that Ishtar is the only female deity associated with a planet, Venus, reflecting her </w:t>
      </w:r>
      <w:r w:rsidR="008E61A9">
        <w:t xml:space="preserve">high </w:t>
      </w:r>
      <w:r w:rsidR="00C10944">
        <w:t xml:space="preserve">status. </w:t>
      </w:r>
    </w:p>
    <w:p w14:paraId="55BF6BA1" w14:textId="77777777" w:rsidR="00E639EC" w:rsidRDefault="00BF270A" w:rsidP="00A47E61">
      <w:pPr>
        <w:spacing w:line="240" w:lineRule="auto"/>
        <w:jc w:val="both"/>
      </w:pPr>
      <w:r>
        <w:t xml:space="preserve">      </w:t>
      </w:r>
      <w:r w:rsidR="005A343A">
        <w:t xml:space="preserve">    </w:t>
      </w:r>
      <w:r w:rsidR="00675972">
        <w:t xml:space="preserve">The </w:t>
      </w:r>
      <w:r w:rsidR="000D2D79">
        <w:t>Q</w:t>
      </w:r>
      <w:r w:rsidR="00675972">
        <w:t xml:space="preserve">ueen </w:t>
      </w:r>
      <w:r w:rsidR="00E205FB">
        <w:t xml:space="preserve">of the Night </w:t>
      </w:r>
      <w:r w:rsidR="00675972">
        <w:t>in</w:t>
      </w:r>
      <w:r w:rsidR="0089587D">
        <w:t xml:space="preserve"> T</w:t>
      </w:r>
      <w:r w:rsidR="00675972" w:rsidRPr="0089587D">
        <w:rPr>
          <w:i/>
          <w:iCs/>
        </w:rPr>
        <w:t>he Magic Flute</w:t>
      </w:r>
      <w:r w:rsidR="002D5563">
        <w:t>,</w:t>
      </w:r>
      <w:r w:rsidR="00675972">
        <w:t xml:space="preserve"> is</w:t>
      </w:r>
      <w:r w:rsidR="002A0EF2">
        <w:t xml:space="preserve">, like Ishtar, </w:t>
      </w:r>
      <w:r w:rsidR="00675972">
        <w:t xml:space="preserve">a </w:t>
      </w:r>
      <w:r w:rsidR="002B688C">
        <w:t>figure that is linked to the sky</w:t>
      </w:r>
      <w:r w:rsidR="0094073A">
        <w:t xml:space="preserve">, appearing </w:t>
      </w:r>
      <w:r w:rsidR="002B688C">
        <w:t xml:space="preserve">at </w:t>
      </w:r>
      <w:r w:rsidR="0051446E">
        <w:t xml:space="preserve">the </w:t>
      </w:r>
      <w:r w:rsidR="002B688C">
        <w:t>beginning of the opera, as ‘Star-blazing’.</w:t>
      </w:r>
      <w:r w:rsidR="002B688C">
        <w:rPr>
          <w:rStyle w:val="FootnoteReference"/>
        </w:rPr>
        <w:footnoteReference w:id="29"/>
      </w:r>
      <w:r w:rsidR="002B688C">
        <w:t xml:space="preserve"> </w:t>
      </w:r>
      <w:r w:rsidR="00B278D5">
        <w:t xml:space="preserve">The opera has </w:t>
      </w:r>
      <w:r w:rsidR="006D4216">
        <w:t xml:space="preserve">appropriated </w:t>
      </w:r>
      <w:r w:rsidR="00D91ACB">
        <w:t>th</w:t>
      </w:r>
      <w:r w:rsidR="00BE611A">
        <w:t>e motif</w:t>
      </w:r>
      <w:r w:rsidR="00D91ACB">
        <w:t xml:space="preserve"> of a</w:t>
      </w:r>
      <w:r w:rsidR="00333D27">
        <w:t xml:space="preserve"> </w:t>
      </w:r>
      <w:r w:rsidR="00D91ACB">
        <w:t>myth</w:t>
      </w:r>
      <w:r w:rsidR="00333D27">
        <w:t>ical goddess</w:t>
      </w:r>
      <w:r w:rsidR="00BE611A">
        <w:t xml:space="preserve">, </w:t>
      </w:r>
      <w:r w:rsidR="00DB4922">
        <w:t>(or supernatural</w:t>
      </w:r>
      <w:r w:rsidR="00BE611A">
        <w:t xml:space="preserve"> persona) </w:t>
      </w:r>
      <w:r w:rsidR="00D91ACB">
        <w:t>to set the scene for what follows</w:t>
      </w:r>
      <w:r w:rsidR="00BE611A">
        <w:t>,</w:t>
      </w:r>
      <w:r w:rsidR="00DB4922">
        <w:t xml:space="preserve"> a narrative in which gender is significant.</w:t>
      </w:r>
      <w:r w:rsidR="00BE611A">
        <w:t xml:space="preserve"> </w:t>
      </w:r>
      <w:r w:rsidR="00D91ACB">
        <w:t>The association of women with emotion and unreason has a long history and Ishtar</w:t>
      </w:r>
      <w:r w:rsidR="00333D27">
        <w:t>’s behaviour</w:t>
      </w:r>
      <w:r w:rsidR="00D91ACB">
        <w:t xml:space="preserve">, </w:t>
      </w:r>
      <w:r w:rsidR="002A0EF2">
        <w:t>as highlighted above</w:t>
      </w:r>
      <w:r w:rsidR="007707DB">
        <w:t xml:space="preserve"> when confronted by Ereshkigal,</w:t>
      </w:r>
      <w:r w:rsidR="00D91ACB">
        <w:t xml:space="preserve"> </w:t>
      </w:r>
      <w:r w:rsidR="00333D27">
        <w:t xml:space="preserve">as she </w:t>
      </w:r>
      <w:r w:rsidR="00D91ACB">
        <w:t>‘unre</w:t>
      </w:r>
      <w:r w:rsidR="00333D27">
        <w:t>flecting, flew at her’</w:t>
      </w:r>
      <w:r w:rsidR="00333D27">
        <w:rPr>
          <w:rStyle w:val="FootnoteReference"/>
        </w:rPr>
        <w:footnoteReference w:id="30"/>
      </w:r>
      <w:r w:rsidR="00333D27">
        <w:t xml:space="preserve"> illustrates this well.</w:t>
      </w:r>
      <w:r w:rsidR="00A47E61">
        <w:t xml:space="preserve"> Sternfeld notes that ‘references to woman’s inconstancy and lack of emotional control abound in the time-span from Plato's account of the death of Socrates to the </w:t>
      </w:r>
      <w:r w:rsidR="00A47E61" w:rsidRPr="00A47E61">
        <w:rPr>
          <w:i/>
          <w:iCs/>
        </w:rPr>
        <w:t>Zauberfl</w:t>
      </w:r>
      <w:r w:rsidR="00A47E61">
        <w:rPr>
          <w:i/>
          <w:iCs/>
        </w:rPr>
        <w:t>öte.</w:t>
      </w:r>
      <w:r w:rsidR="00A47E61">
        <w:t>’</w:t>
      </w:r>
      <w:r w:rsidR="00A47E61">
        <w:rPr>
          <w:rStyle w:val="FootnoteReference"/>
        </w:rPr>
        <w:footnoteReference w:id="31"/>
      </w:r>
      <w:r w:rsidR="00936130">
        <w:t xml:space="preserve">The Queen’s initial appearance in the opera </w:t>
      </w:r>
      <w:r w:rsidR="003513E4">
        <w:t xml:space="preserve">shows her in reasonable control of her emotions </w:t>
      </w:r>
      <w:r w:rsidR="00936130">
        <w:t xml:space="preserve">as she describes how her daughter has been forcibly kidnapped by Sarastro. </w:t>
      </w:r>
      <w:r w:rsidR="001E16CB">
        <w:t>However, t</w:t>
      </w:r>
      <w:r w:rsidR="00D2246B">
        <w:t xml:space="preserve">his is </w:t>
      </w:r>
      <w:r w:rsidR="002A624C">
        <w:t>in sharp contrast to her later outburst</w:t>
      </w:r>
      <w:r w:rsidR="004E667D">
        <w:t xml:space="preserve">, accentuated by Mozart’s </w:t>
      </w:r>
      <w:r w:rsidR="008864E9">
        <w:t xml:space="preserve">highly </w:t>
      </w:r>
      <w:r w:rsidR="004E667D">
        <w:t>charged music,</w:t>
      </w:r>
      <w:r w:rsidR="002A624C">
        <w:t xml:space="preserve"> </w:t>
      </w:r>
      <w:r w:rsidR="006D4216">
        <w:t xml:space="preserve">as she  sings </w:t>
      </w:r>
      <w:r w:rsidR="004E667D">
        <w:t>‘</w:t>
      </w:r>
      <w:r w:rsidR="006E2CCA">
        <w:t>Death and defiance burning in my heart</w:t>
      </w:r>
      <w:r w:rsidR="00ED63C4">
        <w:t>!</w:t>
      </w:r>
      <w:r w:rsidR="006E2CCA">
        <w:t>…Mark, god of vengeance, mark a mother’s vow!’</w:t>
      </w:r>
      <w:r w:rsidR="004E667D">
        <w:t>.</w:t>
      </w:r>
      <w:r w:rsidR="004E667D">
        <w:rPr>
          <w:rStyle w:val="FootnoteReference"/>
        </w:rPr>
        <w:footnoteReference w:id="32"/>
      </w:r>
      <w:r w:rsidR="00331528">
        <w:t xml:space="preserve"> </w:t>
      </w:r>
      <w:r w:rsidR="00951396">
        <w:t>This is a barely controlled outburst</w:t>
      </w:r>
      <w:r w:rsidR="00D2246B">
        <w:t xml:space="preserve"> of rage</w:t>
      </w:r>
      <w:r w:rsidR="00951396">
        <w:t>.</w:t>
      </w:r>
      <w:r w:rsidR="00E639EC">
        <w:t xml:space="preserve"> The opera takes up this ancient cultural theme about the irrational female and rational male and adds another perceived female quality, namely </w:t>
      </w:r>
      <w:r w:rsidR="00E639EC">
        <w:lastRenderedPageBreak/>
        <w:t>deviousness, when Sarastro’s Spokesman and Priest warn that ‘men are snared by women’s deceiving’.</w:t>
      </w:r>
      <w:r w:rsidR="00E639EC">
        <w:rPr>
          <w:rStyle w:val="FootnoteReference"/>
        </w:rPr>
        <w:footnoteReference w:id="33"/>
      </w:r>
      <w:r w:rsidR="00E639EC">
        <w:t xml:space="preserve"> </w:t>
      </w:r>
    </w:p>
    <w:p w14:paraId="1000E93B" w14:textId="121208CB" w:rsidR="00835CFF" w:rsidRDefault="00E639EC" w:rsidP="00A02876">
      <w:pPr>
        <w:spacing w:line="240" w:lineRule="auto"/>
        <w:jc w:val="both"/>
      </w:pPr>
      <w:r>
        <w:t xml:space="preserve">          </w:t>
      </w:r>
      <w:r w:rsidR="008864E9">
        <w:t xml:space="preserve">Set against this </w:t>
      </w:r>
      <w:r w:rsidR="00347BE0">
        <w:t xml:space="preserve">fusion </w:t>
      </w:r>
      <w:r w:rsidR="008864E9">
        <w:t>of emotion and irrationality of the female is the rational and more orderly qualit</w:t>
      </w:r>
      <w:r w:rsidR="00347BE0">
        <w:t>ies</w:t>
      </w:r>
      <w:r w:rsidR="008864E9">
        <w:t xml:space="preserve"> associated with maleness</w:t>
      </w:r>
      <w:r w:rsidR="00287178">
        <w:t xml:space="preserve"> embodied by Sarastro</w:t>
      </w:r>
      <w:r>
        <w:t xml:space="preserve"> who</w:t>
      </w:r>
      <w:r w:rsidR="00AE7F7D">
        <w:t xml:space="preserve"> </w:t>
      </w:r>
      <w:r w:rsidR="00C93110">
        <w:t>is depicted as an enlightened leader of a</w:t>
      </w:r>
      <w:r w:rsidR="0014317B">
        <w:t xml:space="preserve"> group of initiates that</w:t>
      </w:r>
      <w:r w:rsidR="00C93110">
        <w:t xml:space="preserve"> pursue</w:t>
      </w:r>
      <w:r w:rsidR="0014317B">
        <w:t>s</w:t>
      </w:r>
      <w:r w:rsidR="00C93110">
        <w:t xml:space="preserve"> truth and wisdom and represent</w:t>
      </w:r>
      <w:r w:rsidR="0014317B">
        <w:t>s</w:t>
      </w:r>
      <w:r w:rsidR="00C93110">
        <w:t xml:space="preserve"> order </w:t>
      </w:r>
      <w:r w:rsidR="00BB474A">
        <w:t>as opposed to disorder and emotion</w:t>
      </w:r>
      <w:r w:rsidR="003944C0">
        <w:t>. T</w:t>
      </w:r>
      <w:r w:rsidR="00C93110">
        <w:t>h</w:t>
      </w:r>
      <w:r w:rsidR="003944C0">
        <w:t>is</w:t>
      </w:r>
      <w:r w:rsidR="00C93110">
        <w:t xml:space="preserve"> </w:t>
      </w:r>
      <w:r w:rsidR="008A0DE2">
        <w:t>contrasts with t</w:t>
      </w:r>
      <w:r w:rsidR="000A3344">
        <w:t xml:space="preserve">he Queen’s </w:t>
      </w:r>
      <w:r w:rsidR="003944C0">
        <w:t xml:space="preserve">emotional and </w:t>
      </w:r>
      <w:r w:rsidR="000A3344">
        <w:t>vengeful outburst</w:t>
      </w:r>
      <w:r w:rsidR="008968B2">
        <w:t>s</w:t>
      </w:r>
      <w:r w:rsidR="003944C0">
        <w:t xml:space="preserve"> and </w:t>
      </w:r>
      <w:r w:rsidR="00AE7F7D">
        <w:t>c</w:t>
      </w:r>
      <w:r w:rsidR="003944C0">
        <w:t>an</w:t>
      </w:r>
      <w:r w:rsidR="001A1E7F">
        <w:t xml:space="preserve"> </w:t>
      </w:r>
      <w:r w:rsidR="003944C0">
        <w:t xml:space="preserve">be seen as a </w:t>
      </w:r>
      <w:r w:rsidR="00541F6C">
        <w:t>possible</w:t>
      </w:r>
      <w:r w:rsidR="003944C0">
        <w:t xml:space="preserve"> allusion to </w:t>
      </w:r>
      <w:r w:rsidR="00836AC0">
        <w:t xml:space="preserve">the </w:t>
      </w:r>
      <w:r w:rsidR="00AE7F7D">
        <w:t xml:space="preserve">declared </w:t>
      </w:r>
      <w:r w:rsidR="001056A5">
        <w:t>rationality of</w:t>
      </w:r>
      <w:r w:rsidR="008968B2">
        <w:t xml:space="preserve"> </w:t>
      </w:r>
      <w:r w:rsidR="003944C0">
        <w:t>Freemasonry</w:t>
      </w:r>
      <w:r w:rsidR="009922BC">
        <w:t xml:space="preserve"> </w:t>
      </w:r>
      <w:r w:rsidR="003944C0">
        <w:t xml:space="preserve">(Mozart </w:t>
      </w:r>
      <w:r w:rsidR="009741BA">
        <w:t xml:space="preserve">and Schikaneder </w:t>
      </w:r>
      <w:r w:rsidR="003944C0">
        <w:t>w</w:t>
      </w:r>
      <w:r w:rsidR="009741BA">
        <w:t>ere</w:t>
      </w:r>
      <w:r w:rsidR="003944C0">
        <w:t xml:space="preserve"> member</w:t>
      </w:r>
      <w:r w:rsidR="009741BA">
        <w:t>s</w:t>
      </w:r>
      <w:r w:rsidR="003944C0">
        <w:t xml:space="preserve"> of a </w:t>
      </w:r>
      <w:r w:rsidR="00541F6C">
        <w:t>M</w:t>
      </w:r>
      <w:r w:rsidR="003944C0">
        <w:t>asonry lodge)</w:t>
      </w:r>
      <w:r w:rsidR="00CB6598">
        <w:t>.</w:t>
      </w:r>
      <w:r w:rsidR="001D7CF1">
        <w:t xml:space="preserve"> The respective roles of </w:t>
      </w:r>
      <w:r w:rsidR="00EB53F8">
        <w:t xml:space="preserve">men (primary) and </w:t>
      </w:r>
      <w:r w:rsidR="001D7CF1">
        <w:t>women</w:t>
      </w:r>
      <w:r w:rsidR="007C7084">
        <w:t xml:space="preserve"> </w:t>
      </w:r>
      <w:r w:rsidR="00EB53F8">
        <w:t xml:space="preserve">(secondary) </w:t>
      </w:r>
      <w:r w:rsidR="007C7084">
        <w:t>in this rational and enlightened order is spelt out by Sarastro as he proclaims to Pamina ‘a woman’s heart Is lead</w:t>
      </w:r>
      <w:r w:rsidR="000A3344">
        <w:t xml:space="preserve"> </w:t>
      </w:r>
      <w:r w:rsidR="007C7084">
        <w:t>astray; a man must guide you’.</w:t>
      </w:r>
      <w:r w:rsidR="007C7084">
        <w:rPr>
          <w:rStyle w:val="FootnoteReference"/>
        </w:rPr>
        <w:footnoteReference w:id="34"/>
      </w:r>
      <w:r w:rsidR="007C7084">
        <w:t xml:space="preserve"> </w:t>
      </w:r>
      <w:r w:rsidR="00717ED4">
        <w:t xml:space="preserve">The contrast between the Queen and Sarastro </w:t>
      </w:r>
      <w:r w:rsidR="00F55031">
        <w:t xml:space="preserve">with regard to </w:t>
      </w:r>
      <w:r w:rsidR="00717ED4">
        <w:t xml:space="preserve">gender is </w:t>
      </w:r>
      <w:r w:rsidR="002C6084">
        <w:t xml:space="preserve">also </w:t>
      </w:r>
      <w:r w:rsidR="00717ED4">
        <w:t xml:space="preserve">linked metaphorically </w:t>
      </w:r>
      <w:r w:rsidR="004506FA">
        <w:t>to that</w:t>
      </w:r>
      <w:r w:rsidR="00717ED4">
        <w:t xml:space="preserve"> of light and darkness</w:t>
      </w:r>
      <w:r w:rsidR="00541F6C">
        <w:t>,</w:t>
      </w:r>
      <w:r w:rsidR="007707DB">
        <w:t xml:space="preserve"> </w:t>
      </w:r>
      <w:r w:rsidR="002C6084">
        <w:t>which</w:t>
      </w:r>
      <w:r w:rsidR="004506FA">
        <w:t xml:space="preserve"> </w:t>
      </w:r>
      <w:r w:rsidR="00836AC0">
        <w:t xml:space="preserve">is </w:t>
      </w:r>
      <w:r w:rsidR="00F55031">
        <w:t>highlighted by Baker</w:t>
      </w:r>
      <w:r w:rsidR="004506FA">
        <w:rPr>
          <w:rStyle w:val="FootnoteReference"/>
        </w:rPr>
        <w:footnoteReference w:id="35"/>
      </w:r>
      <w:r w:rsidR="0021447C">
        <w:t xml:space="preserve"> who </w:t>
      </w:r>
      <w:r w:rsidR="00F55031">
        <w:t xml:space="preserve"> describ</w:t>
      </w:r>
      <w:r w:rsidR="0021447C">
        <w:t>es</w:t>
      </w:r>
      <w:r w:rsidR="00F55031">
        <w:t xml:space="preserve">  this </w:t>
      </w:r>
      <w:r w:rsidR="004506FA">
        <w:t>relationship as ‘darkness to light, of the chthonic female to the rational male’.</w:t>
      </w:r>
      <w:r w:rsidR="00F55031">
        <w:t xml:space="preserve"> </w:t>
      </w:r>
      <w:r w:rsidR="007C7084">
        <w:t xml:space="preserve">Such </w:t>
      </w:r>
      <w:r w:rsidR="00951396">
        <w:t>a linkage</w:t>
      </w:r>
      <w:r w:rsidR="00B40C28">
        <w:t xml:space="preserve"> is </w:t>
      </w:r>
      <w:r w:rsidR="005D6FEF">
        <w:t xml:space="preserve">also </w:t>
      </w:r>
      <w:r w:rsidR="00B40C28">
        <w:t>supported by Bartel.</w:t>
      </w:r>
      <w:r w:rsidR="00B40C28">
        <w:rPr>
          <w:rStyle w:val="FootnoteReference"/>
        </w:rPr>
        <w:footnoteReference w:id="36"/>
      </w:r>
      <w:r w:rsidR="00EB53F8">
        <w:t xml:space="preserve"> However, the symbolism of light and darkness had wider implications.</w:t>
      </w:r>
    </w:p>
    <w:p w14:paraId="22DAC9AB" w14:textId="41D7D486" w:rsidR="00835CFF" w:rsidRDefault="00835CFF" w:rsidP="00FB6933">
      <w:pPr>
        <w:spacing w:line="240" w:lineRule="auto"/>
        <w:jc w:val="center"/>
      </w:pPr>
      <w:r>
        <w:t>Light and Darkness</w:t>
      </w:r>
    </w:p>
    <w:p w14:paraId="5E4A4D87" w14:textId="3EEAB5A4" w:rsidR="00277637" w:rsidRDefault="00BF270A" w:rsidP="00A02876">
      <w:pPr>
        <w:autoSpaceDE w:val="0"/>
        <w:autoSpaceDN w:val="0"/>
        <w:adjustRightInd w:val="0"/>
        <w:spacing w:after="0" w:line="240" w:lineRule="auto"/>
        <w:jc w:val="both"/>
      </w:pPr>
      <w:r>
        <w:t xml:space="preserve">      </w:t>
      </w:r>
      <w:r w:rsidR="005A343A">
        <w:t xml:space="preserve">    </w:t>
      </w:r>
      <w:r w:rsidR="00821EEE">
        <w:t xml:space="preserve">The symbolic use of light and darkness in myth has a history that is at least as old as the myths of ancient Mesopotamia. </w:t>
      </w:r>
      <w:r w:rsidR="00E937F1">
        <w:t>Ishtar descends to a ‘dark house … bereft of light’</w:t>
      </w:r>
      <w:r w:rsidR="00995C53">
        <w:rPr>
          <w:rStyle w:val="FootnoteReference"/>
        </w:rPr>
        <w:footnoteReference w:id="37"/>
      </w:r>
      <w:r w:rsidR="00995C53">
        <w:t xml:space="preserve"> </w:t>
      </w:r>
      <w:r w:rsidR="00EF546A">
        <w:t xml:space="preserve">representing the </w:t>
      </w:r>
      <w:r w:rsidR="00673539">
        <w:t xml:space="preserve">absolute </w:t>
      </w:r>
      <w:r w:rsidR="00EF546A">
        <w:t>opposite of her heavenly realm</w:t>
      </w:r>
      <w:r w:rsidR="00F75377">
        <w:t xml:space="preserve"> especially given her association with  planet Venus</w:t>
      </w:r>
      <w:r w:rsidR="00F75377">
        <w:rPr>
          <w:rStyle w:val="FootnoteReference"/>
        </w:rPr>
        <w:footnoteReference w:id="38"/>
      </w:r>
      <w:r w:rsidR="00F75377">
        <w:t xml:space="preserve"> </w:t>
      </w:r>
      <w:r w:rsidR="008512A1">
        <w:t xml:space="preserve"> </w:t>
      </w:r>
      <w:r w:rsidR="00F75377">
        <w:t>as the brightest object in the sky after the sun and moon.</w:t>
      </w:r>
      <w:r w:rsidR="004C7FEF">
        <w:t xml:space="preserve"> </w:t>
      </w:r>
      <w:r w:rsidR="00BB6879">
        <w:t xml:space="preserve">As </w:t>
      </w:r>
      <w:r w:rsidR="00BA4ED5">
        <w:t xml:space="preserve">Thavapalan </w:t>
      </w:r>
      <w:r w:rsidR="00BB6879">
        <w:t>notes, ‘</w:t>
      </w:r>
      <w:r w:rsidR="00BB6879" w:rsidRPr="00BB6879">
        <w:rPr>
          <w:rFonts w:cs="Ü†P#"/>
          <w:kern w:val="0"/>
        </w:rPr>
        <w:t>the concept of brightness was highly significant for Mesopotamian religious thought, in which the gods were conceptualised</w:t>
      </w:r>
      <w:r w:rsidR="0087779D">
        <w:rPr>
          <w:rFonts w:cs="Ü†P#"/>
          <w:kern w:val="0"/>
        </w:rPr>
        <w:t xml:space="preserve"> </w:t>
      </w:r>
      <w:r w:rsidR="00BB6879" w:rsidRPr="00BB6879">
        <w:rPr>
          <w:rFonts w:cs="Ü†P#"/>
          <w:kern w:val="0"/>
        </w:rPr>
        <w:t>as numinous beings imbued with an active radiance</w:t>
      </w:r>
      <w:r w:rsidR="00806B76">
        <w:rPr>
          <w:rFonts w:cs="Ü†P#"/>
          <w:kern w:val="0"/>
        </w:rPr>
        <w:t>’</w:t>
      </w:r>
      <w:r w:rsidR="00BB6879" w:rsidRPr="00BB6879">
        <w:rPr>
          <w:rFonts w:cs="Ü†P#"/>
          <w:kern w:val="0"/>
        </w:rPr>
        <w:t>.</w:t>
      </w:r>
      <w:r w:rsidR="00BB6879">
        <w:rPr>
          <w:rStyle w:val="FootnoteReference"/>
          <w:rFonts w:cs="Ü†P#"/>
          <w:kern w:val="0"/>
        </w:rPr>
        <w:footnoteReference w:id="39"/>
      </w:r>
      <w:r w:rsidR="00D97E63">
        <w:rPr>
          <w:rFonts w:cs="Ü†P#"/>
          <w:kern w:val="0"/>
        </w:rPr>
        <w:t xml:space="preserve"> </w:t>
      </w:r>
      <w:r w:rsidR="004C7FEF">
        <w:t xml:space="preserve">In contrast to both the heavenly </w:t>
      </w:r>
      <w:r w:rsidR="005374B3">
        <w:t xml:space="preserve">realm and that of mortal people this dark netherworld </w:t>
      </w:r>
      <w:r w:rsidR="002C6084">
        <w:t>appears to be</w:t>
      </w:r>
      <w:r w:rsidR="005374B3">
        <w:t xml:space="preserve"> not just a</w:t>
      </w:r>
      <w:r w:rsidR="002C6084">
        <w:t xml:space="preserve"> total </w:t>
      </w:r>
      <w:r w:rsidR="005374B3">
        <w:t xml:space="preserve">absence of light but an absence of </w:t>
      </w:r>
      <w:r w:rsidR="00806B76">
        <w:t xml:space="preserve">most things </w:t>
      </w:r>
      <w:r w:rsidR="005374B3">
        <w:t>except dust and clay.</w:t>
      </w:r>
      <w:r w:rsidR="002C6084">
        <w:rPr>
          <w:rStyle w:val="FootnoteReference"/>
        </w:rPr>
        <w:footnoteReference w:id="40"/>
      </w:r>
    </w:p>
    <w:p w14:paraId="1042AD41" w14:textId="77777777" w:rsidR="00E10897" w:rsidRDefault="00E10897" w:rsidP="00A02876">
      <w:pPr>
        <w:autoSpaceDE w:val="0"/>
        <w:autoSpaceDN w:val="0"/>
        <w:adjustRightInd w:val="0"/>
        <w:spacing w:after="0" w:line="240" w:lineRule="auto"/>
        <w:jc w:val="both"/>
      </w:pPr>
    </w:p>
    <w:p w14:paraId="66F21EAF" w14:textId="30BA9530" w:rsidR="00A65CB1" w:rsidRDefault="00BF270A" w:rsidP="00A02876">
      <w:pPr>
        <w:pStyle w:val="p1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      </w:t>
      </w:r>
      <w:r w:rsidR="005A343A">
        <w:rPr>
          <w:rFonts w:asciiTheme="minorHAnsi" w:hAnsiTheme="minorHAnsi"/>
          <w:sz w:val="24"/>
          <w:szCs w:val="24"/>
        </w:rPr>
        <w:t xml:space="preserve">    </w:t>
      </w:r>
      <w:r w:rsidR="004C6BA1" w:rsidRPr="008968B2">
        <w:rPr>
          <w:rFonts w:asciiTheme="minorHAnsi" w:hAnsiTheme="minorHAnsi"/>
          <w:i/>
          <w:iCs/>
          <w:sz w:val="24"/>
          <w:szCs w:val="24"/>
        </w:rPr>
        <w:t xml:space="preserve">The </w:t>
      </w:r>
      <w:r w:rsidR="008968B2" w:rsidRPr="008968B2">
        <w:rPr>
          <w:rFonts w:asciiTheme="minorHAnsi" w:hAnsiTheme="minorHAnsi"/>
          <w:i/>
          <w:iCs/>
          <w:sz w:val="24"/>
          <w:szCs w:val="24"/>
        </w:rPr>
        <w:t>Magic Flute</w:t>
      </w:r>
      <w:r w:rsidR="008968B2">
        <w:rPr>
          <w:rFonts w:asciiTheme="minorHAnsi" w:hAnsiTheme="minorHAnsi"/>
          <w:sz w:val="24"/>
          <w:szCs w:val="24"/>
        </w:rPr>
        <w:t xml:space="preserve"> also </w:t>
      </w:r>
      <w:r w:rsidR="004C6BA1" w:rsidRPr="00694786">
        <w:rPr>
          <w:rFonts w:asciiTheme="minorHAnsi" w:hAnsiTheme="minorHAnsi"/>
          <w:sz w:val="24"/>
          <w:szCs w:val="24"/>
        </w:rPr>
        <w:t>use</w:t>
      </w:r>
      <w:r w:rsidR="008968B2">
        <w:rPr>
          <w:rFonts w:asciiTheme="minorHAnsi" w:hAnsiTheme="minorHAnsi"/>
          <w:sz w:val="24"/>
          <w:szCs w:val="24"/>
        </w:rPr>
        <w:t>s</w:t>
      </w:r>
      <w:r w:rsidR="004C6BA1" w:rsidRPr="00694786">
        <w:rPr>
          <w:rFonts w:asciiTheme="minorHAnsi" w:hAnsiTheme="minorHAnsi"/>
          <w:sz w:val="24"/>
          <w:szCs w:val="24"/>
        </w:rPr>
        <w:t xml:space="preserve"> the symbolic </w:t>
      </w:r>
      <w:r w:rsidR="002A194F" w:rsidRPr="00694786">
        <w:rPr>
          <w:rFonts w:asciiTheme="minorHAnsi" w:hAnsiTheme="minorHAnsi"/>
          <w:sz w:val="24"/>
          <w:szCs w:val="24"/>
        </w:rPr>
        <w:t>duality</w:t>
      </w:r>
      <w:r w:rsidR="004C6BA1" w:rsidRPr="00694786">
        <w:rPr>
          <w:rFonts w:asciiTheme="minorHAnsi" w:hAnsiTheme="minorHAnsi"/>
          <w:sz w:val="24"/>
          <w:szCs w:val="24"/>
        </w:rPr>
        <w:t xml:space="preserve"> of light and dark </w:t>
      </w:r>
      <w:r w:rsidR="00694786">
        <w:rPr>
          <w:rFonts w:asciiTheme="minorHAnsi" w:hAnsiTheme="minorHAnsi"/>
          <w:sz w:val="24"/>
          <w:szCs w:val="24"/>
        </w:rPr>
        <w:t xml:space="preserve">as a key theme. </w:t>
      </w:r>
      <w:r w:rsidR="00FB4C5A">
        <w:rPr>
          <w:rFonts w:asciiTheme="minorHAnsi" w:hAnsiTheme="minorHAnsi"/>
          <w:sz w:val="24"/>
          <w:szCs w:val="24"/>
        </w:rPr>
        <w:t xml:space="preserve">Jessica Waldoff </w:t>
      </w:r>
      <w:r w:rsidR="00694786">
        <w:rPr>
          <w:rFonts w:asciiTheme="minorHAnsi" w:hAnsiTheme="minorHAnsi"/>
          <w:sz w:val="24"/>
          <w:szCs w:val="24"/>
        </w:rPr>
        <w:t xml:space="preserve">identifies its importance, emphasising that ‘The </w:t>
      </w:r>
      <w:r w:rsidR="00694786" w:rsidRPr="00694786">
        <w:rPr>
          <w:rStyle w:val="s1"/>
          <w:rFonts w:asciiTheme="minorHAnsi" w:eastAsiaTheme="majorEastAsia" w:hAnsiTheme="minorHAnsi"/>
          <w:sz w:val="24"/>
          <w:szCs w:val="24"/>
        </w:rPr>
        <w:t>central drama turns on the symbolic opposition of light and dark, and the</w:t>
      </w:r>
      <w:r w:rsidR="0013143C">
        <w:rPr>
          <w:rStyle w:val="s1"/>
          <w:rFonts w:asciiTheme="minorHAnsi" w:eastAsiaTheme="majorEastAsia" w:hAnsiTheme="minorHAnsi"/>
          <w:sz w:val="24"/>
          <w:szCs w:val="24"/>
        </w:rPr>
        <w:t xml:space="preserve"> </w:t>
      </w:r>
      <w:r w:rsidR="00694786" w:rsidRPr="00694786">
        <w:rPr>
          <w:rStyle w:val="s1"/>
          <w:rFonts w:asciiTheme="minorHAnsi" w:eastAsiaTheme="majorEastAsia" w:hAnsiTheme="minorHAnsi"/>
          <w:sz w:val="24"/>
          <w:szCs w:val="24"/>
        </w:rPr>
        <w:t>move from darkness to light is the dominant metaphor employed in the opera for</w:t>
      </w:r>
      <w:r w:rsidR="0013143C">
        <w:rPr>
          <w:rStyle w:val="s1"/>
          <w:rFonts w:asciiTheme="minorHAnsi" w:eastAsiaTheme="majorEastAsia" w:hAnsiTheme="minorHAnsi"/>
          <w:sz w:val="24"/>
          <w:szCs w:val="24"/>
        </w:rPr>
        <w:t xml:space="preserve"> </w:t>
      </w:r>
      <w:r w:rsidR="00694786" w:rsidRPr="00694786">
        <w:rPr>
          <w:rFonts w:asciiTheme="minorHAnsi" w:hAnsiTheme="minorHAnsi"/>
          <w:sz w:val="24"/>
          <w:szCs w:val="24"/>
        </w:rPr>
        <w:t>the gaining of knowledge</w:t>
      </w:r>
      <w:r w:rsidR="00FB4C5A">
        <w:rPr>
          <w:rFonts w:asciiTheme="minorHAnsi" w:hAnsiTheme="minorHAnsi"/>
          <w:sz w:val="24"/>
          <w:szCs w:val="24"/>
        </w:rPr>
        <w:t>.’</w:t>
      </w:r>
      <w:r w:rsidR="00FB4C5A">
        <w:rPr>
          <w:rStyle w:val="FootnoteReference"/>
          <w:rFonts w:asciiTheme="minorHAnsi" w:hAnsiTheme="minorHAnsi"/>
          <w:sz w:val="24"/>
          <w:szCs w:val="24"/>
        </w:rPr>
        <w:footnoteReference w:id="41"/>
      </w:r>
      <w:r w:rsidR="00EF10F8">
        <w:rPr>
          <w:rFonts w:asciiTheme="minorHAnsi" w:hAnsiTheme="minorHAnsi"/>
          <w:sz w:val="24"/>
          <w:szCs w:val="24"/>
        </w:rPr>
        <w:t xml:space="preserve"> </w:t>
      </w:r>
      <w:r w:rsidR="00571520">
        <w:rPr>
          <w:rFonts w:asciiTheme="minorHAnsi" w:hAnsiTheme="minorHAnsi"/>
          <w:sz w:val="24"/>
          <w:szCs w:val="24"/>
        </w:rPr>
        <w:t xml:space="preserve">The Three Boys who accompany Tamino </w:t>
      </w:r>
      <w:r w:rsidR="00023DB3">
        <w:rPr>
          <w:rFonts w:asciiTheme="minorHAnsi" w:hAnsiTheme="minorHAnsi"/>
          <w:sz w:val="24"/>
          <w:szCs w:val="24"/>
        </w:rPr>
        <w:t>encapsulate this, declaring</w:t>
      </w:r>
      <w:r w:rsidR="00EB53F8">
        <w:rPr>
          <w:rFonts w:asciiTheme="minorHAnsi" w:hAnsiTheme="minorHAnsi"/>
          <w:sz w:val="24"/>
          <w:szCs w:val="24"/>
        </w:rPr>
        <w:t>,</w:t>
      </w:r>
      <w:r w:rsidR="00571520">
        <w:rPr>
          <w:rFonts w:asciiTheme="minorHAnsi" w:hAnsiTheme="minorHAnsi"/>
          <w:sz w:val="24"/>
          <w:szCs w:val="24"/>
        </w:rPr>
        <w:t xml:space="preserve"> </w:t>
      </w:r>
    </w:p>
    <w:p w14:paraId="3F037F47" w14:textId="77777777" w:rsidR="00A65CB1" w:rsidRDefault="00A65CB1" w:rsidP="00A02876">
      <w:pPr>
        <w:pStyle w:val="p1"/>
        <w:jc w:val="both"/>
        <w:rPr>
          <w:rFonts w:asciiTheme="minorHAnsi" w:hAnsiTheme="minorHAnsi"/>
          <w:sz w:val="24"/>
          <w:szCs w:val="24"/>
        </w:rPr>
      </w:pPr>
    </w:p>
    <w:p w14:paraId="3574E696" w14:textId="77777777" w:rsidR="00A65CB1" w:rsidRDefault="00571520" w:rsidP="00A65CB1">
      <w:pPr>
        <w:pStyle w:val="p1"/>
        <w:ind w:left="737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Bright dawn is heralding the morning,</w:t>
      </w:r>
    </w:p>
    <w:p w14:paraId="145CDB4E" w14:textId="77777777" w:rsidR="00A65CB1" w:rsidRDefault="00571520" w:rsidP="00A65CB1">
      <w:pPr>
        <w:pStyle w:val="p1"/>
        <w:ind w:left="737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 The sun will gild the sky, </w:t>
      </w:r>
    </w:p>
    <w:p w14:paraId="048FA1DD" w14:textId="77777777" w:rsidR="00A65CB1" w:rsidRDefault="00571520" w:rsidP="00A65CB1">
      <w:pPr>
        <w:pStyle w:val="p1"/>
        <w:ind w:left="737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And soon hypocrisy will vanish, </w:t>
      </w:r>
    </w:p>
    <w:p w14:paraId="05240444" w14:textId="77777777" w:rsidR="00A65CB1" w:rsidRDefault="00571520" w:rsidP="00A65CB1">
      <w:pPr>
        <w:pStyle w:val="p1"/>
        <w:ind w:left="737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And wisdom be throned on high,</w:t>
      </w:r>
      <w:r w:rsidR="00A65CB1">
        <w:rPr>
          <w:rFonts w:asciiTheme="minorHAnsi" w:hAnsiTheme="minorHAnsi"/>
          <w:sz w:val="24"/>
          <w:szCs w:val="24"/>
        </w:rPr>
        <w:t xml:space="preserve"> </w:t>
      </w:r>
    </w:p>
    <w:p w14:paraId="75100787" w14:textId="77777777" w:rsidR="00A65CB1" w:rsidRDefault="00A65CB1" w:rsidP="00A65CB1">
      <w:pPr>
        <w:pStyle w:val="p1"/>
        <w:ind w:left="737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Oh, soon this darkness shall be brightened, </w:t>
      </w:r>
    </w:p>
    <w:p w14:paraId="0930CBE5" w14:textId="51C45C26" w:rsidR="00A65CB1" w:rsidRDefault="00A65CB1" w:rsidP="00A65CB1">
      <w:pPr>
        <w:pStyle w:val="p1"/>
        <w:ind w:left="737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And human hearts shall be enlightened</w:t>
      </w:r>
      <w:r>
        <w:rPr>
          <w:rStyle w:val="FootnoteReference"/>
          <w:rFonts w:asciiTheme="minorHAnsi" w:hAnsiTheme="minorHAnsi"/>
          <w:sz w:val="24"/>
          <w:szCs w:val="24"/>
        </w:rPr>
        <w:footnoteReference w:id="42"/>
      </w:r>
    </w:p>
    <w:p w14:paraId="25CB0246" w14:textId="77777777" w:rsidR="00A65CB1" w:rsidRDefault="00A65CB1" w:rsidP="00A02876">
      <w:pPr>
        <w:pStyle w:val="p1"/>
        <w:jc w:val="both"/>
        <w:rPr>
          <w:rFonts w:asciiTheme="minorHAnsi" w:hAnsiTheme="minorHAnsi"/>
          <w:sz w:val="24"/>
          <w:szCs w:val="24"/>
        </w:rPr>
      </w:pPr>
    </w:p>
    <w:p w14:paraId="76B67C4C" w14:textId="7F3D1725" w:rsidR="00BE611A" w:rsidRDefault="00A65CB1" w:rsidP="00A02876">
      <w:pPr>
        <w:pStyle w:val="p1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 </w:t>
      </w:r>
      <w:r w:rsidR="00EB53F8">
        <w:rPr>
          <w:rFonts w:asciiTheme="minorHAnsi" w:hAnsiTheme="minorHAnsi"/>
          <w:sz w:val="24"/>
          <w:szCs w:val="24"/>
        </w:rPr>
        <w:t>D</w:t>
      </w:r>
      <w:r w:rsidR="00016733" w:rsidRPr="00EF10F8">
        <w:rPr>
          <w:rFonts w:asciiTheme="minorHAnsi" w:hAnsiTheme="minorHAnsi"/>
          <w:sz w:val="24"/>
          <w:szCs w:val="24"/>
        </w:rPr>
        <w:t>arkness</w:t>
      </w:r>
      <w:r w:rsidR="009D65D7" w:rsidRPr="00EF10F8">
        <w:rPr>
          <w:rFonts w:asciiTheme="minorHAnsi" w:hAnsiTheme="minorHAnsi"/>
          <w:sz w:val="24"/>
          <w:szCs w:val="24"/>
        </w:rPr>
        <w:t xml:space="preserve"> and </w:t>
      </w:r>
      <w:r w:rsidR="00016733" w:rsidRPr="00EF10F8">
        <w:rPr>
          <w:rFonts w:asciiTheme="minorHAnsi" w:hAnsiTheme="minorHAnsi"/>
          <w:sz w:val="24"/>
          <w:szCs w:val="24"/>
        </w:rPr>
        <w:t>light</w:t>
      </w:r>
      <w:r w:rsidR="009D65D7" w:rsidRPr="00EF10F8">
        <w:rPr>
          <w:rFonts w:asciiTheme="minorHAnsi" w:hAnsiTheme="minorHAnsi"/>
          <w:sz w:val="24"/>
          <w:szCs w:val="24"/>
        </w:rPr>
        <w:t xml:space="preserve"> </w:t>
      </w:r>
      <w:r w:rsidR="00EB53F8">
        <w:rPr>
          <w:rFonts w:asciiTheme="minorHAnsi" w:hAnsiTheme="minorHAnsi"/>
          <w:sz w:val="24"/>
          <w:szCs w:val="24"/>
        </w:rPr>
        <w:t xml:space="preserve">are both evident </w:t>
      </w:r>
      <w:r w:rsidR="009D65D7" w:rsidRPr="00EF10F8">
        <w:rPr>
          <w:rFonts w:asciiTheme="minorHAnsi" w:hAnsiTheme="minorHAnsi"/>
          <w:sz w:val="24"/>
          <w:szCs w:val="24"/>
        </w:rPr>
        <w:t>as the</w:t>
      </w:r>
      <w:r w:rsidR="004C6BA1" w:rsidRPr="00EF10F8">
        <w:rPr>
          <w:rFonts w:asciiTheme="minorHAnsi" w:hAnsiTheme="minorHAnsi"/>
          <w:sz w:val="24"/>
          <w:szCs w:val="24"/>
        </w:rPr>
        <w:t xml:space="preserve"> Queen</w:t>
      </w:r>
      <w:r w:rsidR="009D65D7" w:rsidRPr="00EF10F8">
        <w:rPr>
          <w:rFonts w:asciiTheme="minorHAnsi" w:hAnsiTheme="minorHAnsi"/>
          <w:sz w:val="24"/>
          <w:szCs w:val="24"/>
        </w:rPr>
        <w:t xml:space="preserve"> make</w:t>
      </w:r>
      <w:r w:rsidR="004C6BA1" w:rsidRPr="00EF10F8">
        <w:rPr>
          <w:rFonts w:asciiTheme="minorHAnsi" w:hAnsiTheme="minorHAnsi"/>
          <w:sz w:val="24"/>
          <w:szCs w:val="24"/>
        </w:rPr>
        <w:t>s her first appearance</w:t>
      </w:r>
      <w:r w:rsidR="00EB53F8">
        <w:rPr>
          <w:rFonts w:asciiTheme="minorHAnsi" w:hAnsiTheme="minorHAnsi"/>
          <w:sz w:val="24"/>
          <w:szCs w:val="24"/>
        </w:rPr>
        <w:t>,</w:t>
      </w:r>
      <w:r w:rsidR="00883BA6" w:rsidRPr="00EF10F8">
        <w:rPr>
          <w:rFonts w:asciiTheme="minorHAnsi" w:hAnsiTheme="minorHAnsi"/>
          <w:sz w:val="24"/>
          <w:szCs w:val="24"/>
        </w:rPr>
        <w:t xml:space="preserve"> as </w:t>
      </w:r>
      <w:r w:rsidR="00016733" w:rsidRPr="00EF10F8">
        <w:rPr>
          <w:rFonts w:asciiTheme="minorHAnsi" w:hAnsiTheme="minorHAnsi"/>
          <w:sz w:val="24"/>
          <w:szCs w:val="24"/>
        </w:rPr>
        <w:t>s</w:t>
      </w:r>
      <w:r w:rsidR="00CC4750" w:rsidRPr="00EF10F8">
        <w:rPr>
          <w:rFonts w:asciiTheme="minorHAnsi" w:hAnsiTheme="minorHAnsi"/>
          <w:sz w:val="24"/>
          <w:szCs w:val="24"/>
        </w:rPr>
        <w:t xml:space="preserve">he is both Queen of the Night </w:t>
      </w:r>
      <w:r w:rsidR="004C6BA1" w:rsidRPr="00EF10F8">
        <w:rPr>
          <w:rFonts w:asciiTheme="minorHAnsi" w:hAnsiTheme="minorHAnsi"/>
          <w:sz w:val="24"/>
          <w:szCs w:val="24"/>
        </w:rPr>
        <w:t xml:space="preserve"> </w:t>
      </w:r>
      <w:r w:rsidR="00CC4750" w:rsidRPr="00EF10F8">
        <w:rPr>
          <w:rFonts w:asciiTheme="minorHAnsi" w:hAnsiTheme="minorHAnsi"/>
          <w:sz w:val="24"/>
          <w:szCs w:val="24"/>
        </w:rPr>
        <w:t xml:space="preserve">and blazing star. </w:t>
      </w:r>
      <w:r w:rsidR="00D47FA5" w:rsidRPr="00EF10F8">
        <w:rPr>
          <w:rFonts w:asciiTheme="minorHAnsi" w:hAnsiTheme="minorHAnsi"/>
          <w:sz w:val="24"/>
          <w:szCs w:val="24"/>
        </w:rPr>
        <w:t>She is also associated with the moon which</w:t>
      </w:r>
      <w:r w:rsidR="00525F2A">
        <w:rPr>
          <w:rFonts w:asciiTheme="minorHAnsi" w:hAnsiTheme="minorHAnsi"/>
          <w:sz w:val="24"/>
          <w:szCs w:val="24"/>
        </w:rPr>
        <w:t>, although a source of light,</w:t>
      </w:r>
      <w:r w:rsidR="00D47FA5" w:rsidRPr="00EF10F8">
        <w:rPr>
          <w:rFonts w:asciiTheme="minorHAnsi" w:hAnsiTheme="minorHAnsi"/>
          <w:sz w:val="24"/>
          <w:szCs w:val="24"/>
        </w:rPr>
        <w:t xml:space="preserve"> only shine</w:t>
      </w:r>
      <w:r w:rsidR="00745F33">
        <w:rPr>
          <w:rFonts w:asciiTheme="minorHAnsi" w:hAnsiTheme="minorHAnsi"/>
          <w:sz w:val="24"/>
          <w:szCs w:val="24"/>
        </w:rPr>
        <w:t>s</w:t>
      </w:r>
      <w:r w:rsidR="00D47FA5" w:rsidRPr="00EF10F8">
        <w:rPr>
          <w:rFonts w:asciiTheme="minorHAnsi" w:hAnsiTheme="minorHAnsi"/>
          <w:sz w:val="24"/>
          <w:szCs w:val="24"/>
        </w:rPr>
        <w:t xml:space="preserve"> through reflected light</w:t>
      </w:r>
      <w:r w:rsidR="005A2F5A">
        <w:rPr>
          <w:rFonts w:asciiTheme="minorHAnsi" w:hAnsiTheme="minorHAnsi"/>
          <w:sz w:val="24"/>
          <w:szCs w:val="24"/>
        </w:rPr>
        <w:t>.</w:t>
      </w:r>
      <w:r w:rsidR="00D47FA5" w:rsidRPr="00EF10F8">
        <w:rPr>
          <w:rFonts w:asciiTheme="minorHAnsi" w:hAnsiTheme="minorHAnsi"/>
          <w:sz w:val="24"/>
          <w:szCs w:val="24"/>
        </w:rPr>
        <w:t xml:space="preserve"> The light motif develops further as it becomes clear that, in addition to retrieving her daughter, she wants to recover the </w:t>
      </w:r>
      <w:r w:rsidR="00925C4B" w:rsidRPr="00EF10F8">
        <w:rPr>
          <w:rFonts w:asciiTheme="minorHAnsi" w:hAnsiTheme="minorHAnsi"/>
          <w:sz w:val="24"/>
          <w:szCs w:val="24"/>
        </w:rPr>
        <w:t>‘</w:t>
      </w:r>
      <w:r w:rsidR="00D47FA5" w:rsidRPr="00EF10F8">
        <w:rPr>
          <w:rFonts w:asciiTheme="minorHAnsi" w:hAnsiTheme="minorHAnsi"/>
          <w:sz w:val="24"/>
          <w:szCs w:val="24"/>
        </w:rPr>
        <w:t>Sevenfold Circle of the Sun</w:t>
      </w:r>
      <w:r w:rsidR="00925C4B" w:rsidRPr="00EF10F8">
        <w:rPr>
          <w:rFonts w:asciiTheme="minorHAnsi" w:hAnsiTheme="minorHAnsi"/>
          <w:sz w:val="24"/>
          <w:szCs w:val="24"/>
        </w:rPr>
        <w:t>’</w:t>
      </w:r>
      <w:r w:rsidR="00925C4B" w:rsidRPr="00EF10F8">
        <w:rPr>
          <w:rStyle w:val="FootnoteReference"/>
          <w:rFonts w:asciiTheme="minorHAnsi" w:hAnsiTheme="minorHAnsi"/>
          <w:sz w:val="24"/>
          <w:szCs w:val="24"/>
        </w:rPr>
        <w:footnoteReference w:id="43"/>
      </w:r>
      <w:r w:rsidR="004C6BA1" w:rsidRPr="00EF10F8">
        <w:rPr>
          <w:rFonts w:asciiTheme="minorHAnsi" w:hAnsiTheme="minorHAnsi"/>
          <w:sz w:val="24"/>
          <w:szCs w:val="24"/>
        </w:rPr>
        <w:t xml:space="preserve"> </w:t>
      </w:r>
      <w:r w:rsidR="00D47FA5" w:rsidRPr="00EF10F8">
        <w:rPr>
          <w:rFonts w:asciiTheme="minorHAnsi" w:hAnsiTheme="minorHAnsi"/>
          <w:sz w:val="24"/>
          <w:szCs w:val="24"/>
        </w:rPr>
        <w:t>which was given to Sarastro</w:t>
      </w:r>
      <w:r w:rsidR="00925C4B" w:rsidRPr="00EF10F8">
        <w:rPr>
          <w:rFonts w:asciiTheme="minorHAnsi" w:hAnsiTheme="minorHAnsi"/>
          <w:sz w:val="24"/>
          <w:szCs w:val="24"/>
        </w:rPr>
        <w:t xml:space="preserve"> by her husband </w:t>
      </w:r>
      <w:r w:rsidR="0091728A" w:rsidRPr="00EF10F8">
        <w:rPr>
          <w:rFonts w:asciiTheme="minorHAnsi" w:hAnsiTheme="minorHAnsi"/>
          <w:sz w:val="24"/>
          <w:szCs w:val="24"/>
        </w:rPr>
        <w:t xml:space="preserve">or consort </w:t>
      </w:r>
      <w:r w:rsidR="00925C4B" w:rsidRPr="00EF10F8">
        <w:rPr>
          <w:rFonts w:asciiTheme="minorHAnsi" w:hAnsiTheme="minorHAnsi"/>
          <w:sz w:val="24"/>
          <w:szCs w:val="24"/>
        </w:rPr>
        <w:t xml:space="preserve">before his death because he </w:t>
      </w:r>
      <w:r w:rsidR="000B2251">
        <w:rPr>
          <w:rFonts w:asciiTheme="minorHAnsi" w:hAnsiTheme="minorHAnsi"/>
          <w:sz w:val="24"/>
          <w:szCs w:val="24"/>
        </w:rPr>
        <w:t>doubted</w:t>
      </w:r>
      <w:r w:rsidR="00925C4B" w:rsidRPr="00EF10F8">
        <w:rPr>
          <w:rFonts w:asciiTheme="minorHAnsi" w:hAnsiTheme="minorHAnsi"/>
          <w:sz w:val="24"/>
          <w:szCs w:val="24"/>
        </w:rPr>
        <w:t xml:space="preserve"> the Queen’s</w:t>
      </w:r>
      <w:r w:rsidR="00745F33">
        <w:rPr>
          <w:rFonts w:asciiTheme="minorHAnsi" w:hAnsiTheme="minorHAnsi"/>
          <w:sz w:val="24"/>
          <w:szCs w:val="24"/>
        </w:rPr>
        <w:t xml:space="preserve"> capability </w:t>
      </w:r>
      <w:r w:rsidR="00925C4B" w:rsidRPr="00EF10F8">
        <w:rPr>
          <w:rFonts w:asciiTheme="minorHAnsi" w:hAnsiTheme="minorHAnsi"/>
          <w:sz w:val="24"/>
          <w:szCs w:val="24"/>
        </w:rPr>
        <w:t>to use it well</w:t>
      </w:r>
      <w:r w:rsidR="00745F33">
        <w:rPr>
          <w:rFonts w:asciiTheme="minorHAnsi" w:hAnsiTheme="minorHAnsi"/>
          <w:sz w:val="24"/>
          <w:szCs w:val="24"/>
        </w:rPr>
        <w:t xml:space="preserve">, </w:t>
      </w:r>
      <w:r w:rsidR="00EB53F8">
        <w:rPr>
          <w:rFonts w:asciiTheme="minorHAnsi" w:hAnsiTheme="minorHAnsi"/>
          <w:sz w:val="24"/>
          <w:szCs w:val="24"/>
        </w:rPr>
        <w:t>claiming</w:t>
      </w:r>
      <w:r w:rsidR="00745F33">
        <w:rPr>
          <w:rFonts w:asciiTheme="minorHAnsi" w:hAnsiTheme="minorHAnsi"/>
          <w:sz w:val="24"/>
          <w:szCs w:val="24"/>
        </w:rPr>
        <w:t xml:space="preserve"> it was ‘beyond the grasp of woman’s intellect’.</w:t>
      </w:r>
      <w:r w:rsidR="00745F33">
        <w:rPr>
          <w:rStyle w:val="FootnoteReference"/>
          <w:rFonts w:asciiTheme="minorHAnsi" w:hAnsiTheme="minorHAnsi"/>
          <w:sz w:val="24"/>
          <w:szCs w:val="24"/>
        </w:rPr>
        <w:footnoteReference w:id="44"/>
      </w:r>
    </w:p>
    <w:p w14:paraId="043FA1A2" w14:textId="77777777" w:rsidR="00BE611A" w:rsidRDefault="00BE611A" w:rsidP="00A02876">
      <w:pPr>
        <w:pStyle w:val="p1"/>
        <w:jc w:val="both"/>
        <w:rPr>
          <w:rFonts w:asciiTheme="minorHAnsi" w:hAnsiTheme="minorHAnsi"/>
          <w:sz w:val="24"/>
          <w:szCs w:val="24"/>
        </w:rPr>
      </w:pPr>
    </w:p>
    <w:p w14:paraId="0812A4CB" w14:textId="70EADD50" w:rsidR="007A69D9" w:rsidRDefault="00BE3BA8" w:rsidP="00A02876">
      <w:pPr>
        <w:pStyle w:val="p1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      </w:t>
      </w:r>
      <w:r w:rsidR="005A343A">
        <w:rPr>
          <w:rFonts w:asciiTheme="minorHAnsi" w:hAnsiTheme="minorHAnsi"/>
          <w:sz w:val="24"/>
          <w:szCs w:val="24"/>
        </w:rPr>
        <w:t xml:space="preserve">    </w:t>
      </w:r>
      <w:r w:rsidR="005A2F5A">
        <w:rPr>
          <w:rFonts w:asciiTheme="minorHAnsi" w:hAnsiTheme="minorHAnsi"/>
          <w:sz w:val="24"/>
          <w:szCs w:val="24"/>
        </w:rPr>
        <w:t xml:space="preserve">Significantly Sarastro </w:t>
      </w:r>
      <w:r w:rsidR="0049128D" w:rsidRPr="00EF10F8">
        <w:rPr>
          <w:rFonts w:asciiTheme="minorHAnsi" w:hAnsiTheme="minorHAnsi"/>
          <w:sz w:val="24"/>
          <w:szCs w:val="24"/>
        </w:rPr>
        <w:t xml:space="preserve">is described as </w:t>
      </w:r>
      <w:r w:rsidR="00F32A97" w:rsidRPr="00EF10F8">
        <w:rPr>
          <w:rFonts w:asciiTheme="minorHAnsi" w:hAnsiTheme="minorHAnsi"/>
          <w:sz w:val="24"/>
          <w:szCs w:val="24"/>
        </w:rPr>
        <w:t>wear</w:t>
      </w:r>
      <w:r w:rsidR="0049128D" w:rsidRPr="00EF10F8">
        <w:rPr>
          <w:rFonts w:asciiTheme="minorHAnsi" w:hAnsiTheme="minorHAnsi"/>
          <w:sz w:val="24"/>
          <w:szCs w:val="24"/>
        </w:rPr>
        <w:t>ing</w:t>
      </w:r>
      <w:r w:rsidR="00F32A97" w:rsidRPr="00EF10F8">
        <w:rPr>
          <w:rFonts w:asciiTheme="minorHAnsi" w:hAnsiTheme="minorHAnsi"/>
          <w:sz w:val="24"/>
          <w:szCs w:val="24"/>
        </w:rPr>
        <w:t xml:space="preserve"> this sun circle on his breast</w:t>
      </w:r>
      <w:r w:rsidR="005A2F5A">
        <w:rPr>
          <w:rFonts w:asciiTheme="minorHAnsi" w:hAnsiTheme="minorHAnsi"/>
          <w:sz w:val="24"/>
          <w:szCs w:val="24"/>
        </w:rPr>
        <w:t xml:space="preserve"> and </w:t>
      </w:r>
      <w:r w:rsidR="00F32A97" w:rsidRPr="00EF10F8">
        <w:rPr>
          <w:rFonts w:asciiTheme="minorHAnsi" w:hAnsiTheme="minorHAnsi"/>
          <w:sz w:val="24"/>
          <w:szCs w:val="24"/>
        </w:rPr>
        <w:t xml:space="preserve">the opera ends </w:t>
      </w:r>
      <w:r w:rsidR="00AD592F" w:rsidRPr="00EF10F8">
        <w:rPr>
          <w:rFonts w:asciiTheme="minorHAnsi" w:hAnsiTheme="minorHAnsi"/>
          <w:sz w:val="24"/>
          <w:szCs w:val="24"/>
        </w:rPr>
        <w:t xml:space="preserve">with </w:t>
      </w:r>
      <w:r w:rsidR="00F32A97" w:rsidRPr="00EF10F8">
        <w:rPr>
          <w:rFonts w:asciiTheme="minorHAnsi" w:hAnsiTheme="minorHAnsi"/>
          <w:sz w:val="24"/>
          <w:szCs w:val="24"/>
        </w:rPr>
        <w:t>the whole stage represented as the sun</w:t>
      </w:r>
      <w:r w:rsidR="005A2F5A">
        <w:rPr>
          <w:rFonts w:asciiTheme="minorHAnsi" w:hAnsiTheme="minorHAnsi"/>
          <w:sz w:val="24"/>
          <w:szCs w:val="24"/>
        </w:rPr>
        <w:t>.</w:t>
      </w:r>
      <w:r w:rsidR="00F32A97" w:rsidRPr="00EF10F8">
        <w:rPr>
          <w:rFonts w:asciiTheme="minorHAnsi" w:hAnsiTheme="minorHAnsi"/>
          <w:sz w:val="24"/>
          <w:szCs w:val="24"/>
        </w:rPr>
        <w:t xml:space="preserve"> </w:t>
      </w:r>
      <w:r w:rsidR="005A2F5A">
        <w:rPr>
          <w:rFonts w:asciiTheme="minorHAnsi" w:hAnsiTheme="minorHAnsi"/>
          <w:sz w:val="24"/>
          <w:szCs w:val="24"/>
        </w:rPr>
        <w:t>This</w:t>
      </w:r>
      <w:r w:rsidR="00F32A97" w:rsidRPr="00EF10F8">
        <w:rPr>
          <w:rFonts w:asciiTheme="minorHAnsi" w:hAnsiTheme="minorHAnsi"/>
          <w:sz w:val="24"/>
          <w:szCs w:val="24"/>
        </w:rPr>
        <w:t xml:space="preserve"> </w:t>
      </w:r>
      <w:r w:rsidR="00541F6C">
        <w:rPr>
          <w:rFonts w:asciiTheme="minorHAnsi" w:hAnsiTheme="minorHAnsi"/>
          <w:sz w:val="24"/>
          <w:szCs w:val="24"/>
        </w:rPr>
        <w:t>radiant light robs</w:t>
      </w:r>
      <w:r w:rsidR="00AD592F" w:rsidRPr="00EF10F8">
        <w:rPr>
          <w:rFonts w:asciiTheme="minorHAnsi" w:hAnsiTheme="minorHAnsi"/>
          <w:sz w:val="24"/>
          <w:szCs w:val="24"/>
        </w:rPr>
        <w:t xml:space="preserve"> </w:t>
      </w:r>
      <w:r w:rsidR="00F32A97" w:rsidRPr="00EF10F8">
        <w:rPr>
          <w:rFonts w:asciiTheme="minorHAnsi" w:hAnsiTheme="minorHAnsi"/>
          <w:sz w:val="24"/>
          <w:szCs w:val="24"/>
        </w:rPr>
        <w:t>the Queen</w:t>
      </w:r>
      <w:r w:rsidR="00AD592F" w:rsidRPr="00EF10F8">
        <w:rPr>
          <w:rFonts w:asciiTheme="minorHAnsi" w:hAnsiTheme="minorHAnsi"/>
          <w:sz w:val="24"/>
          <w:szCs w:val="24"/>
        </w:rPr>
        <w:t xml:space="preserve"> of any power</w:t>
      </w:r>
      <w:r w:rsidR="005A2F5A">
        <w:rPr>
          <w:rFonts w:asciiTheme="minorHAnsi" w:hAnsiTheme="minorHAnsi"/>
          <w:sz w:val="24"/>
          <w:szCs w:val="24"/>
        </w:rPr>
        <w:t xml:space="preserve">, </w:t>
      </w:r>
      <w:r w:rsidR="008B5196" w:rsidRPr="00EF10F8">
        <w:rPr>
          <w:rFonts w:asciiTheme="minorHAnsi" w:hAnsiTheme="minorHAnsi"/>
          <w:sz w:val="24"/>
          <w:szCs w:val="24"/>
        </w:rPr>
        <w:t>sending her</w:t>
      </w:r>
      <w:r w:rsidR="00F32A97" w:rsidRPr="00EF10F8">
        <w:rPr>
          <w:rFonts w:asciiTheme="minorHAnsi" w:hAnsiTheme="minorHAnsi"/>
          <w:sz w:val="24"/>
          <w:szCs w:val="24"/>
        </w:rPr>
        <w:t xml:space="preserve"> </w:t>
      </w:r>
      <w:r w:rsidR="003020CD" w:rsidRPr="00EF10F8">
        <w:rPr>
          <w:rFonts w:asciiTheme="minorHAnsi" w:hAnsiTheme="minorHAnsi"/>
          <w:sz w:val="24"/>
          <w:szCs w:val="24"/>
        </w:rPr>
        <w:t xml:space="preserve">down </w:t>
      </w:r>
      <w:r w:rsidR="00F32A97" w:rsidRPr="00EF10F8">
        <w:rPr>
          <w:rFonts w:asciiTheme="minorHAnsi" w:hAnsiTheme="minorHAnsi"/>
          <w:sz w:val="24"/>
          <w:szCs w:val="24"/>
        </w:rPr>
        <w:t xml:space="preserve">into </w:t>
      </w:r>
      <w:r w:rsidR="003020CD" w:rsidRPr="00EF10F8">
        <w:rPr>
          <w:rFonts w:asciiTheme="minorHAnsi" w:hAnsiTheme="minorHAnsi"/>
          <w:sz w:val="24"/>
          <w:szCs w:val="24"/>
        </w:rPr>
        <w:t xml:space="preserve"> an underworld of </w:t>
      </w:r>
      <w:r w:rsidR="00F32A97" w:rsidRPr="00EF10F8">
        <w:rPr>
          <w:rFonts w:asciiTheme="minorHAnsi" w:hAnsiTheme="minorHAnsi"/>
          <w:sz w:val="24"/>
          <w:szCs w:val="24"/>
        </w:rPr>
        <w:t>‘darkness</w:t>
      </w:r>
      <w:r w:rsidR="00F000E5" w:rsidRPr="00EF10F8">
        <w:rPr>
          <w:rFonts w:asciiTheme="minorHAnsi" w:hAnsiTheme="minorHAnsi"/>
          <w:sz w:val="24"/>
          <w:szCs w:val="24"/>
        </w:rPr>
        <w:t xml:space="preserve"> and infinite night’.</w:t>
      </w:r>
      <w:r w:rsidR="00F000E5" w:rsidRPr="00EF10F8">
        <w:rPr>
          <w:rStyle w:val="FootnoteReference"/>
          <w:rFonts w:asciiTheme="minorHAnsi" w:hAnsiTheme="minorHAnsi"/>
          <w:sz w:val="24"/>
          <w:szCs w:val="24"/>
        </w:rPr>
        <w:footnoteReference w:id="45"/>
      </w:r>
      <w:r w:rsidR="00AD592F" w:rsidRPr="00EF10F8">
        <w:rPr>
          <w:rFonts w:asciiTheme="minorHAnsi" w:hAnsiTheme="minorHAnsi"/>
          <w:sz w:val="24"/>
          <w:szCs w:val="24"/>
        </w:rPr>
        <w:t xml:space="preserve"> </w:t>
      </w:r>
      <w:r w:rsidR="0049128D" w:rsidRPr="00EF10F8">
        <w:rPr>
          <w:rFonts w:asciiTheme="minorHAnsi" w:hAnsiTheme="minorHAnsi"/>
          <w:sz w:val="24"/>
          <w:szCs w:val="24"/>
        </w:rPr>
        <w:t xml:space="preserve">Such </w:t>
      </w:r>
      <w:r w:rsidR="00E205FB" w:rsidRPr="00EF10F8">
        <w:rPr>
          <w:rFonts w:asciiTheme="minorHAnsi" w:hAnsiTheme="minorHAnsi"/>
          <w:sz w:val="24"/>
          <w:szCs w:val="24"/>
        </w:rPr>
        <w:t xml:space="preserve">a </w:t>
      </w:r>
      <w:r w:rsidR="0049128D" w:rsidRPr="00EF10F8">
        <w:rPr>
          <w:rFonts w:asciiTheme="minorHAnsi" w:hAnsiTheme="minorHAnsi"/>
          <w:sz w:val="24"/>
          <w:szCs w:val="24"/>
        </w:rPr>
        <w:t>description mirrors well the netherworld and loss of power in the Ishtar myth</w:t>
      </w:r>
      <w:r w:rsidR="00E205FB" w:rsidRPr="00EF10F8">
        <w:rPr>
          <w:rFonts w:asciiTheme="minorHAnsi" w:hAnsiTheme="minorHAnsi"/>
          <w:sz w:val="24"/>
          <w:szCs w:val="24"/>
        </w:rPr>
        <w:t>.</w:t>
      </w:r>
      <w:r w:rsidR="00717ED4">
        <w:rPr>
          <w:rFonts w:asciiTheme="minorHAnsi" w:hAnsiTheme="minorHAnsi"/>
          <w:sz w:val="24"/>
          <w:szCs w:val="24"/>
        </w:rPr>
        <w:t xml:space="preserve"> </w:t>
      </w:r>
      <w:r w:rsidR="000B2251">
        <w:rPr>
          <w:rFonts w:asciiTheme="minorHAnsi" w:hAnsiTheme="minorHAnsi"/>
          <w:sz w:val="24"/>
          <w:szCs w:val="24"/>
        </w:rPr>
        <w:t xml:space="preserve">However, </w:t>
      </w:r>
      <w:r w:rsidR="00806B76">
        <w:rPr>
          <w:rFonts w:asciiTheme="minorHAnsi" w:hAnsiTheme="minorHAnsi"/>
          <w:sz w:val="24"/>
          <w:szCs w:val="24"/>
        </w:rPr>
        <w:t xml:space="preserve">Bauman </w:t>
      </w:r>
      <w:r w:rsidR="007A69D9">
        <w:rPr>
          <w:rFonts w:asciiTheme="minorHAnsi" w:hAnsiTheme="minorHAnsi"/>
          <w:sz w:val="24"/>
          <w:szCs w:val="24"/>
        </w:rPr>
        <w:t>has cautioned against viewing the day/night and light/darkness conflict, personified by Sarastro and the Queen, as extreme or absolute.</w:t>
      </w:r>
      <w:r w:rsidR="007A69D9">
        <w:rPr>
          <w:rStyle w:val="FootnoteReference"/>
          <w:rFonts w:asciiTheme="minorHAnsi" w:hAnsiTheme="minorHAnsi"/>
          <w:sz w:val="24"/>
          <w:szCs w:val="24"/>
        </w:rPr>
        <w:footnoteReference w:id="46"/>
      </w:r>
      <w:r w:rsidR="00995C53">
        <w:rPr>
          <w:rFonts w:asciiTheme="minorHAnsi" w:hAnsiTheme="minorHAnsi"/>
          <w:sz w:val="24"/>
          <w:szCs w:val="24"/>
        </w:rPr>
        <w:t xml:space="preserve"> </w:t>
      </w:r>
      <w:r w:rsidR="004079E7">
        <w:rPr>
          <w:rFonts w:asciiTheme="minorHAnsi" w:hAnsiTheme="minorHAnsi"/>
          <w:sz w:val="24"/>
          <w:szCs w:val="24"/>
        </w:rPr>
        <w:t xml:space="preserve">This caution is justified. </w:t>
      </w:r>
      <w:r w:rsidR="00A12AF7">
        <w:rPr>
          <w:rFonts w:asciiTheme="minorHAnsi" w:hAnsiTheme="minorHAnsi"/>
          <w:sz w:val="24"/>
          <w:szCs w:val="24"/>
        </w:rPr>
        <w:t xml:space="preserve">Although they are </w:t>
      </w:r>
      <w:r w:rsidR="000B2251">
        <w:rPr>
          <w:rFonts w:asciiTheme="minorHAnsi" w:hAnsiTheme="minorHAnsi"/>
          <w:sz w:val="24"/>
          <w:szCs w:val="24"/>
        </w:rPr>
        <w:t xml:space="preserve">clearly </w:t>
      </w:r>
      <w:r w:rsidR="00A12AF7">
        <w:rPr>
          <w:rFonts w:asciiTheme="minorHAnsi" w:hAnsiTheme="minorHAnsi"/>
          <w:sz w:val="24"/>
          <w:szCs w:val="24"/>
        </w:rPr>
        <w:t>contrasted in this way t</w:t>
      </w:r>
      <w:r w:rsidR="004079E7">
        <w:rPr>
          <w:rFonts w:asciiTheme="minorHAnsi" w:hAnsiTheme="minorHAnsi"/>
          <w:sz w:val="24"/>
          <w:szCs w:val="24"/>
        </w:rPr>
        <w:t>he characters of the Queen and Sarastro are not simply caricatures but display a degree of ambiguity</w:t>
      </w:r>
      <w:r w:rsidR="005013E8">
        <w:rPr>
          <w:rFonts w:asciiTheme="minorHAnsi" w:hAnsiTheme="minorHAnsi"/>
          <w:sz w:val="24"/>
          <w:szCs w:val="24"/>
        </w:rPr>
        <w:t>:</w:t>
      </w:r>
      <w:r w:rsidR="004079E7">
        <w:rPr>
          <w:rFonts w:asciiTheme="minorHAnsi" w:hAnsiTheme="minorHAnsi"/>
          <w:sz w:val="24"/>
          <w:szCs w:val="24"/>
        </w:rPr>
        <w:t xml:space="preserve"> the Queen as concerned mother</w:t>
      </w:r>
      <w:r w:rsidR="00EB53F8">
        <w:rPr>
          <w:rFonts w:asciiTheme="minorHAnsi" w:hAnsiTheme="minorHAnsi"/>
          <w:sz w:val="24"/>
          <w:szCs w:val="24"/>
        </w:rPr>
        <w:t xml:space="preserve"> at her daughter’s abduction</w:t>
      </w:r>
      <w:r w:rsidR="004079E7">
        <w:rPr>
          <w:rFonts w:asciiTheme="minorHAnsi" w:hAnsiTheme="minorHAnsi"/>
          <w:sz w:val="24"/>
          <w:szCs w:val="24"/>
        </w:rPr>
        <w:t xml:space="preserve">, yet willing to give </w:t>
      </w:r>
      <w:r w:rsidR="00225335">
        <w:rPr>
          <w:rFonts w:asciiTheme="minorHAnsi" w:hAnsiTheme="minorHAnsi"/>
          <w:sz w:val="24"/>
          <w:szCs w:val="24"/>
        </w:rPr>
        <w:t xml:space="preserve">up </w:t>
      </w:r>
      <w:r w:rsidR="004079E7">
        <w:rPr>
          <w:rFonts w:asciiTheme="minorHAnsi" w:hAnsiTheme="minorHAnsi"/>
          <w:sz w:val="24"/>
          <w:szCs w:val="24"/>
        </w:rPr>
        <w:t xml:space="preserve">her </w:t>
      </w:r>
      <w:r w:rsidR="00EB53F8">
        <w:rPr>
          <w:rFonts w:asciiTheme="minorHAnsi" w:hAnsiTheme="minorHAnsi"/>
          <w:sz w:val="24"/>
          <w:szCs w:val="24"/>
        </w:rPr>
        <w:t>up</w:t>
      </w:r>
      <w:r w:rsidR="004079E7">
        <w:rPr>
          <w:rFonts w:asciiTheme="minorHAnsi" w:hAnsiTheme="minorHAnsi"/>
          <w:sz w:val="24"/>
          <w:szCs w:val="24"/>
        </w:rPr>
        <w:t xml:space="preserve"> to a lecherous slave</w:t>
      </w:r>
      <w:r w:rsidR="00225335">
        <w:rPr>
          <w:rFonts w:asciiTheme="minorHAnsi" w:hAnsiTheme="minorHAnsi"/>
          <w:sz w:val="24"/>
          <w:szCs w:val="24"/>
        </w:rPr>
        <w:t xml:space="preserve"> who t</w:t>
      </w:r>
      <w:r w:rsidR="00951396">
        <w:rPr>
          <w:rFonts w:asciiTheme="minorHAnsi" w:hAnsiTheme="minorHAnsi"/>
          <w:sz w:val="24"/>
          <w:szCs w:val="24"/>
        </w:rPr>
        <w:t>r</w:t>
      </w:r>
      <w:r w:rsidR="00225335">
        <w:rPr>
          <w:rFonts w:asciiTheme="minorHAnsi" w:hAnsiTheme="minorHAnsi"/>
          <w:sz w:val="24"/>
          <w:szCs w:val="24"/>
        </w:rPr>
        <w:t>ied to rape her</w:t>
      </w:r>
      <w:r w:rsidR="004079E7">
        <w:rPr>
          <w:rFonts w:asciiTheme="minorHAnsi" w:hAnsiTheme="minorHAnsi"/>
          <w:sz w:val="24"/>
          <w:szCs w:val="24"/>
        </w:rPr>
        <w:t xml:space="preserve">, and Sarastro as enlightened leader, </w:t>
      </w:r>
      <w:r w:rsidR="00951396">
        <w:rPr>
          <w:rFonts w:asciiTheme="minorHAnsi" w:hAnsiTheme="minorHAnsi"/>
          <w:sz w:val="24"/>
          <w:szCs w:val="24"/>
        </w:rPr>
        <w:t xml:space="preserve">while </w:t>
      </w:r>
      <w:r w:rsidR="00541F6C">
        <w:rPr>
          <w:rFonts w:asciiTheme="minorHAnsi" w:hAnsiTheme="minorHAnsi"/>
          <w:sz w:val="24"/>
          <w:szCs w:val="24"/>
        </w:rPr>
        <w:t xml:space="preserve">at the same time </w:t>
      </w:r>
      <w:r w:rsidR="004319E7">
        <w:rPr>
          <w:rFonts w:asciiTheme="minorHAnsi" w:hAnsiTheme="minorHAnsi"/>
          <w:sz w:val="24"/>
          <w:szCs w:val="24"/>
        </w:rPr>
        <w:t>upholding the superiority of maleness</w:t>
      </w:r>
      <w:r w:rsidR="00995C53">
        <w:rPr>
          <w:rFonts w:asciiTheme="minorHAnsi" w:hAnsiTheme="minorHAnsi"/>
          <w:sz w:val="24"/>
          <w:szCs w:val="24"/>
        </w:rPr>
        <w:t xml:space="preserve"> and </w:t>
      </w:r>
      <w:r w:rsidR="003E0809">
        <w:rPr>
          <w:rFonts w:asciiTheme="minorHAnsi" w:hAnsiTheme="minorHAnsi"/>
          <w:sz w:val="24"/>
          <w:szCs w:val="24"/>
        </w:rPr>
        <w:t xml:space="preserve">the </w:t>
      </w:r>
      <w:r w:rsidR="00995C53">
        <w:rPr>
          <w:rFonts w:asciiTheme="minorHAnsi" w:hAnsiTheme="minorHAnsi"/>
          <w:sz w:val="24"/>
          <w:szCs w:val="24"/>
        </w:rPr>
        <w:t xml:space="preserve">keeping </w:t>
      </w:r>
      <w:r w:rsidR="003E0809">
        <w:rPr>
          <w:rFonts w:asciiTheme="minorHAnsi" w:hAnsiTheme="minorHAnsi"/>
          <w:sz w:val="24"/>
          <w:szCs w:val="24"/>
        </w:rPr>
        <w:t xml:space="preserve">of </w:t>
      </w:r>
      <w:r w:rsidR="00995C53">
        <w:rPr>
          <w:rFonts w:asciiTheme="minorHAnsi" w:hAnsiTheme="minorHAnsi"/>
          <w:sz w:val="24"/>
          <w:szCs w:val="24"/>
        </w:rPr>
        <w:t>a slave.</w:t>
      </w:r>
      <w:r w:rsidR="005013E8">
        <w:rPr>
          <w:rFonts w:asciiTheme="minorHAnsi" w:hAnsiTheme="minorHAnsi"/>
          <w:sz w:val="24"/>
          <w:szCs w:val="24"/>
        </w:rPr>
        <w:t xml:space="preserve"> </w:t>
      </w:r>
    </w:p>
    <w:p w14:paraId="39BEDDDC" w14:textId="77777777" w:rsidR="00835CFF" w:rsidRDefault="00835CFF" w:rsidP="00A02876">
      <w:pPr>
        <w:pStyle w:val="p1"/>
        <w:jc w:val="both"/>
        <w:rPr>
          <w:rFonts w:asciiTheme="minorHAnsi" w:hAnsiTheme="minorHAnsi"/>
          <w:sz w:val="24"/>
          <w:szCs w:val="24"/>
        </w:rPr>
      </w:pPr>
    </w:p>
    <w:p w14:paraId="66F9CF24" w14:textId="33122E7C" w:rsidR="00177221" w:rsidRDefault="00835CFF" w:rsidP="00FB6933">
      <w:pPr>
        <w:pStyle w:val="p1"/>
        <w:jc w:val="center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Ritual and Initiation</w:t>
      </w:r>
    </w:p>
    <w:p w14:paraId="49AD58DE" w14:textId="77777777" w:rsidR="00835CFF" w:rsidRDefault="00835CFF" w:rsidP="00835CFF">
      <w:pPr>
        <w:pStyle w:val="p1"/>
        <w:jc w:val="both"/>
        <w:rPr>
          <w:u w:val="single"/>
        </w:rPr>
      </w:pPr>
    </w:p>
    <w:p w14:paraId="26E7F9E4" w14:textId="3520CE92" w:rsidR="00DF2D17" w:rsidRDefault="007F338D" w:rsidP="00A02876">
      <w:pPr>
        <w:spacing w:line="240" w:lineRule="auto"/>
        <w:jc w:val="both"/>
      </w:pPr>
      <w:r>
        <w:t xml:space="preserve"> </w:t>
      </w:r>
      <w:r w:rsidR="00882550">
        <w:t xml:space="preserve">      </w:t>
      </w:r>
      <w:r w:rsidR="005A343A">
        <w:t xml:space="preserve">    </w:t>
      </w:r>
      <w:r w:rsidR="00DF2D17">
        <w:t xml:space="preserve">Among the numerous interpretations of the myth, </w:t>
      </w:r>
      <w:r w:rsidR="001463CE">
        <w:t xml:space="preserve">Ishtar’s descent to the netherworld can be read as a trial and initiation ritual. To gain access to the netherworld she must undergo a seven stage journey that </w:t>
      </w:r>
      <w:r w:rsidR="005D734C">
        <w:t xml:space="preserve">must </w:t>
      </w:r>
      <w:r w:rsidR="001463CE">
        <w:t>follow an established procedure</w:t>
      </w:r>
      <w:r w:rsidR="005D734C">
        <w:t xml:space="preserve">. </w:t>
      </w:r>
      <w:r w:rsidR="001463CE">
        <w:t>Ereshkigal</w:t>
      </w:r>
      <w:r w:rsidR="005D734C">
        <w:t xml:space="preserve"> commands her gatekeeper to ensure </w:t>
      </w:r>
      <w:r w:rsidR="00A33B6F">
        <w:t xml:space="preserve">that </w:t>
      </w:r>
      <w:r w:rsidR="005D734C">
        <w:t xml:space="preserve">Ishtar’s descent must be in accordance with </w:t>
      </w:r>
      <w:r w:rsidR="001463CE">
        <w:t>the ‘ancient rules’,</w:t>
      </w:r>
      <w:r w:rsidR="001463CE">
        <w:rPr>
          <w:rStyle w:val="FootnoteReference"/>
        </w:rPr>
        <w:footnoteReference w:id="47"/>
      </w:r>
      <w:r w:rsidR="001463CE">
        <w:t xml:space="preserve"> </w:t>
      </w:r>
      <w:r w:rsidR="005D734C">
        <w:t xml:space="preserve">which clearly </w:t>
      </w:r>
      <w:r w:rsidR="001463CE">
        <w:t>demonstrates the process as a ritual</w:t>
      </w:r>
      <w:r w:rsidR="005D734C">
        <w:t>istic journey</w:t>
      </w:r>
      <w:r w:rsidR="00947D67">
        <w:t xml:space="preserve"> or prescribed rite of passage. </w:t>
      </w:r>
      <w:r w:rsidR="001463CE">
        <w:t xml:space="preserve">It is also a trial in the sense that </w:t>
      </w:r>
      <w:r w:rsidR="005D734C">
        <w:t xml:space="preserve">entry to </w:t>
      </w:r>
      <w:r w:rsidR="00DF2D17">
        <w:t xml:space="preserve">the realm of the dead is dependent upon </w:t>
      </w:r>
      <w:r w:rsidR="001463CE">
        <w:t xml:space="preserve">Ishtar </w:t>
      </w:r>
      <w:r w:rsidR="00DF2D17">
        <w:t xml:space="preserve">being prepared to </w:t>
      </w:r>
      <w:r w:rsidR="001463CE">
        <w:t xml:space="preserve"> surrender levels of her power throughout the descent</w:t>
      </w:r>
      <w:r w:rsidR="00DF2D17">
        <w:t xml:space="preserve">. </w:t>
      </w:r>
      <w:r w:rsidR="00947D67">
        <w:t xml:space="preserve">Each level can be seen as a test of her desire to continue the descent. </w:t>
      </w:r>
      <w:r w:rsidR="00DF2D17">
        <w:t xml:space="preserve">Having passed through what can be seen as seven trials she is admitted </w:t>
      </w:r>
      <w:r w:rsidR="001463CE">
        <w:t xml:space="preserve">into the netherworld </w:t>
      </w:r>
      <w:r w:rsidR="00DF2D17">
        <w:t>and stands naked</w:t>
      </w:r>
      <w:r w:rsidR="001463CE">
        <w:t xml:space="preserve"> before Ereshkigal</w:t>
      </w:r>
      <w:r w:rsidR="00DF2D17">
        <w:t>, stripped of her powers</w:t>
      </w:r>
      <w:r w:rsidR="00D65984">
        <w:t xml:space="preserve">. </w:t>
      </w:r>
      <w:r w:rsidR="001168CC">
        <w:t xml:space="preserve">This process has many characteristics of an </w:t>
      </w:r>
      <w:r w:rsidR="00D65984">
        <w:t>initiation into the underworld</w:t>
      </w:r>
      <w:r w:rsidR="003E4836">
        <w:t xml:space="preserve"> including the </w:t>
      </w:r>
      <w:r w:rsidR="003E4836">
        <w:lastRenderedPageBreak/>
        <w:t>removal of clothing</w:t>
      </w:r>
      <w:r w:rsidR="00413C47">
        <w:t xml:space="preserve"> or disrobing.</w:t>
      </w:r>
      <w:r w:rsidR="003E4836">
        <w:t xml:space="preserve"> H</w:t>
      </w:r>
      <w:r w:rsidR="00D65984">
        <w:t xml:space="preserve">owever, </w:t>
      </w:r>
      <w:r w:rsidR="003E4836">
        <w:t xml:space="preserve">this is an initation </w:t>
      </w:r>
      <w:r w:rsidR="00D65984">
        <w:t xml:space="preserve">that </w:t>
      </w:r>
      <w:r w:rsidR="003E4836">
        <w:t xml:space="preserve">leaves </w:t>
      </w:r>
      <w:r w:rsidR="00D65984">
        <w:t>Ishtar vulnerable and unable to resist her sister’s curse of the ‘sixty mis[eries]’</w:t>
      </w:r>
      <w:r w:rsidR="00D65984">
        <w:rPr>
          <w:rStyle w:val="FootnoteReference"/>
        </w:rPr>
        <w:footnoteReference w:id="48"/>
      </w:r>
      <w:r w:rsidR="00D65984">
        <w:t xml:space="preserve"> and death.</w:t>
      </w:r>
    </w:p>
    <w:p w14:paraId="0E682DC8" w14:textId="19D5FFFD" w:rsidR="0001780A" w:rsidRDefault="00882550" w:rsidP="009B23D4">
      <w:pPr>
        <w:spacing w:line="240" w:lineRule="auto"/>
        <w:jc w:val="both"/>
      </w:pPr>
      <w:r>
        <w:t xml:space="preserve">     </w:t>
      </w:r>
      <w:r w:rsidR="005A343A">
        <w:t xml:space="preserve">    </w:t>
      </w:r>
      <w:r>
        <w:t xml:space="preserve"> </w:t>
      </w:r>
      <w:r w:rsidR="001245C7">
        <w:t xml:space="preserve">Mozart’s opera </w:t>
      </w:r>
      <w:r w:rsidR="00947D67">
        <w:t xml:space="preserve">also </w:t>
      </w:r>
      <w:r w:rsidR="007F338D">
        <w:t xml:space="preserve">has an ancient ritual and initiation myth at its centre. Sarastro’s order, although dedicated to </w:t>
      </w:r>
      <w:r w:rsidR="00E639EC">
        <w:t>rationalism and eradicating superstition</w:t>
      </w:r>
      <w:r w:rsidR="007F338D">
        <w:t>,</w:t>
      </w:r>
      <w:r w:rsidR="00947D67">
        <w:t xml:space="preserve"> adopts an initiation process that involves a set of trials and</w:t>
      </w:r>
      <w:r>
        <w:t xml:space="preserve"> admittance </w:t>
      </w:r>
      <w:r w:rsidR="00947D67">
        <w:t xml:space="preserve">based on the ancient initiation ceremonies concerning  </w:t>
      </w:r>
      <w:r w:rsidR="007F338D">
        <w:t xml:space="preserve">the </w:t>
      </w:r>
      <w:r w:rsidR="008D7782">
        <w:t xml:space="preserve">Egyptian </w:t>
      </w:r>
      <w:r w:rsidR="007F338D">
        <w:t xml:space="preserve">goddess Isis and the god Osiris. The juxtaposition of reason and myth may at first sight seem strange, yet as Priscilla Stuckey </w:t>
      </w:r>
      <w:r w:rsidR="00E32549">
        <w:t>perceptively notes,</w:t>
      </w:r>
      <w:r w:rsidR="007F338D">
        <w:t xml:space="preserve"> ‘Although it incorporates Enlightenment esteem for rational order and receives inspiration from the classical world, the opera draws its life not from philosophy but from mythology’.</w:t>
      </w:r>
      <w:r w:rsidR="007F338D">
        <w:rPr>
          <w:rStyle w:val="FootnoteReference"/>
        </w:rPr>
        <w:footnoteReference w:id="49"/>
      </w:r>
      <w:r w:rsidR="007F338D">
        <w:t xml:space="preserve"> </w:t>
      </w:r>
      <w:r w:rsidR="00BE3BA8">
        <w:t xml:space="preserve">This is an important insight as a likely source for the opera’s </w:t>
      </w:r>
      <w:r w:rsidR="007F338D">
        <w:t xml:space="preserve">libretto was a French novel </w:t>
      </w:r>
      <w:r w:rsidR="007F338D" w:rsidRPr="0078543B">
        <w:rPr>
          <w:i/>
          <w:iCs/>
        </w:rPr>
        <w:t>The Life of Sethos</w:t>
      </w:r>
      <w:r w:rsidR="007F338D">
        <w:t xml:space="preserve"> by Jean Terrasson published 1731</w:t>
      </w:r>
      <w:r w:rsidR="00BE3BA8">
        <w:t>.</w:t>
      </w:r>
      <w:r w:rsidR="00A768EF">
        <w:rPr>
          <w:rStyle w:val="FootnoteReference"/>
        </w:rPr>
        <w:footnoteReference w:id="50"/>
      </w:r>
      <w:r w:rsidR="0014317B">
        <w:t xml:space="preserve"> </w:t>
      </w:r>
      <w:r w:rsidR="00BE3BA8">
        <w:t>This novel</w:t>
      </w:r>
      <w:r w:rsidR="007F338D">
        <w:t xml:space="preserve"> describ</w:t>
      </w:r>
      <w:r w:rsidR="00BE3BA8">
        <w:t>es</w:t>
      </w:r>
      <w:r w:rsidR="007F338D">
        <w:t xml:space="preserve"> an ancient initiation into the cult of Isis involving three trials which resonates with those in Mozart’s opera</w:t>
      </w:r>
      <w:r w:rsidR="00E32549">
        <w:t>.</w:t>
      </w:r>
      <w:r w:rsidR="00A33B6F">
        <w:t xml:space="preserve"> </w:t>
      </w:r>
      <w:r w:rsidR="006B3177">
        <w:t>The invoking of this ancient Egyptian mystery initiation fitted well with the Freemasonry code of secrecy and also provided an ancient lineage for the order.</w:t>
      </w:r>
    </w:p>
    <w:p w14:paraId="0A010BC8" w14:textId="7404026D" w:rsidR="004C275C" w:rsidRDefault="0001780A" w:rsidP="009B23D4">
      <w:pPr>
        <w:spacing w:line="240" w:lineRule="auto"/>
        <w:jc w:val="both"/>
      </w:pPr>
      <w:r>
        <w:t xml:space="preserve">      </w:t>
      </w:r>
      <w:r w:rsidR="005A343A">
        <w:t xml:space="preserve">    </w:t>
      </w:r>
      <w:r w:rsidR="001168CC">
        <w:t>In the opera</w:t>
      </w:r>
      <w:r w:rsidR="007C3305">
        <w:rPr>
          <w:i/>
          <w:iCs/>
        </w:rPr>
        <w:t xml:space="preserve"> </w:t>
      </w:r>
      <w:r w:rsidR="007C3305">
        <w:t>Tamino undergoes a set of trials in his quest to rescue The Queen of the Night’s daughter</w:t>
      </w:r>
      <w:r w:rsidR="001168CC">
        <w:t xml:space="preserve"> Pamina</w:t>
      </w:r>
      <w:r w:rsidR="007C3305">
        <w:t xml:space="preserve"> and having successfully passing these tests (along with Pamina) he is  </w:t>
      </w:r>
      <w:r>
        <w:t xml:space="preserve">initiated </w:t>
      </w:r>
      <w:r w:rsidR="007C3305">
        <w:t>into Sarastro’s temple of enlightenment and rational order.</w:t>
      </w:r>
      <w:r w:rsidR="004C275C">
        <w:t xml:space="preserve"> Th</w:t>
      </w:r>
      <w:r w:rsidR="00E32549">
        <w:t>is</w:t>
      </w:r>
      <w:r w:rsidR="004C275C">
        <w:t xml:space="preserve"> </w:t>
      </w:r>
      <w:r w:rsidR="00413C47">
        <w:t xml:space="preserve">ritualistic </w:t>
      </w:r>
      <w:r>
        <w:t xml:space="preserve">invocation </w:t>
      </w:r>
      <w:r w:rsidR="00413C47">
        <w:t xml:space="preserve">of </w:t>
      </w:r>
      <w:r w:rsidR="008858B3">
        <w:t>Isis and Osiris</w:t>
      </w:r>
      <w:r w:rsidR="00D05D40">
        <w:rPr>
          <w:rStyle w:val="FootnoteReference"/>
        </w:rPr>
        <w:footnoteReference w:id="51"/>
      </w:r>
      <w:r w:rsidR="008858B3">
        <w:t xml:space="preserve"> in the opera</w:t>
      </w:r>
      <w:r w:rsidR="00B756DF">
        <w:t xml:space="preserve"> </w:t>
      </w:r>
      <w:r>
        <w:t xml:space="preserve">by Sarastro </w:t>
      </w:r>
      <w:r w:rsidR="00B756DF">
        <w:t xml:space="preserve">has </w:t>
      </w:r>
      <w:r>
        <w:t xml:space="preserve">a </w:t>
      </w:r>
      <w:r w:rsidR="00B756DF">
        <w:t xml:space="preserve">resonance with the Ishtar </w:t>
      </w:r>
      <w:r>
        <w:t>narrative</w:t>
      </w:r>
      <w:r w:rsidR="00B756DF">
        <w:t xml:space="preserve">. The </w:t>
      </w:r>
      <w:r w:rsidR="00413C47">
        <w:t>Osiris-Isis myth featur</w:t>
      </w:r>
      <w:r w:rsidR="00602B8C">
        <w:t xml:space="preserve">es a goddess, Isis, who searches for her dead consort king, Osiris, in </w:t>
      </w:r>
      <w:r w:rsidR="00A745D9">
        <w:t xml:space="preserve">an attempt </w:t>
      </w:r>
      <w:r w:rsidR="00602B8C">
        <w:t>to bring him back to life</w:t>
      </w:r>
      <w:r w:rsidR="00A745D9">
        <w:t>, which</w:t>
      </w:r>
      <w:r w:rsidR="00D05D40">
        <w:t xml:space="preserve">, as Campion observes, </w:t>
      </w:r>
      <w:r w:rsidR="005042F1">
        <w:t>is short lived</w:t>
      </w:r>
      <w:r w:rsidR="008D2D4D">
        <w:t>, sufficient only to allow procreation of a son.</w:t>
      </w:r>
      <w:r w:rsidR="005042F1">
        <w:rPr>
          <w:rStyle w:val="FootnoteReference"/>
        </w:rPr>
        <w:footnoteReference w:id="52"/>
      </w:r>
      <w:r w:rsidR="005042F1">
        <w:t xml:space="preserve"> Subsequently </w:t>
      </w:r>
      <w:r w:rsidR="00A745D9">
        <w:t xml:space="preserve">Osiris becomes </w:t>
      </w:r>
      <w:r>
        <w:t xml:space="preserve"> </w:t>
      </w:r>
      <w:r w:rsidR="00A745D9">
        <w:t>the ruler of the</w:t>
      </w:r>
      <w:r w:rsidR="002311BE">
        <w:t xml:space="preserve"> </w:t>
      </w:r>
      <w:r w:rsidR="00A745D9">
        <w:t>realm of the dead.</w:t>
      </w:r>
      <w:r w:rsidR="00902A97">
        <w:rPr>
          <w:rStyle w:val="FootnoteReference"/>
        </w:rPr>
        <w:footnoteReference w:id="53"/>
      </w:r>
      <w:r w:rsidR="00902A97">
        <w:t xml:space="preserve"> </w:t>
      </w:r>
      <w:r w:rsidR="00F244CB">
        <w:t xml:space="preserve">It can be seen therefore that the </w:t>
      </w:r>
      <w:r w:rsidR="00C241FE">
        <w:t xml:space="preserve">motifs </w:t>
      </w:r>
      <w:r w:rsidR="00F244CB">
        <w:t xml:space="preserve">and rituals  </w:t>
      </w:r>
      <w:r w:rsidR="002311BE">
        <w:t xml:space="preserve">concerning </w:t>
      </w:r>
      <w:r>
        <w:t>life, death and resurrection are</w:t>
      </w:r>
      <w:r w:rsidR="002311BE">
        <w:t xml:space="preserve"> </w:t>
      </w:r>
      <w:r w:rsidR="008D2D4D">
        <w:t xml:space="preserve">also </w:t>
      </w:r>
      <w:r w:rsidR="002311BE">
        <w:t xml:space="preserve">present in both the Ishtar myth and </w:t>
      </w:r>
      <w:r w:rsidR="002311BE" w:rsidRPr="002311BE">
        <w:rPr>
          <w:i/>
          <w:iCs/>
        </w:rPr>
        <w:t>The Magic Flute</w:t>
      </w:r>
      <w:r w:rsidR="002311BE">
        <w:t>.</w:t>
      </w:r>
      <w:r>
        <w:t xml:space="preserve"> </w:t>
      </w:r>
      <w:r w:rsidR="00D05D40">
        <w:t xml:space="preserve"> </w:t>
      </w:r>
    </w:p>
    <w:p w14:paraId="0A96586C" w14:textId="37C5579B" w:rsidR="001E16CB" w:rsidRPr="00835CFF" w:rsidRDefault="001E16CB" w:rsidP="00FB6933">
      <w:pPr>
        <w:spacing w:line="240" w:lineRule="auto"/>
        <w:jc w:val="center"/>
      </w:pPr>
      <w:r w:rsidRPr="00835CFF">
        <w:t>Conclusion</w:t>
      </w:r>
    </w:p>
    <w:p w14:paraId="3657D638" w14:textId="4CBCFEAB" w:rsidR="001E16CB" w:rsidRDefault="00817F17" w:rsidP="009B23D4">
      <w:pPr>
        <w:spacing w:line="240" w:lineRule="auto"/>
        <w:jc w:val="both"/>
      </w:pPr>
      <w:r>
        <w:t xml:space="preserve">     </w:t>
      </w:r>
      <w:r w:rsidR="005A343A">
        <w:t xml:space="preserve">    </w:t>
      </w:r>
      <w:r>
        <w:t xml:space="preserve"> This essay has explored</w:t>
      </w:r>
      <w:r w:rsidR="001056A5">
        <w:t xml:space="preserve"> particular aspects of the cultural significance</w:t>
      </w:r>
      <w:r>
        <w:t xml:space="preserve"> of </w:t>
      </w:r>
      <w:r>
        <w:rPr>
          <w:i/>
          <w:iCs/>
        </w:rPr>
        <w:t xml:space="preserve">The </w:t>
      </w:r>
      <w:r w:rsidRPr="00817F17">
        <w:rPr>
          <w:i/>
          <w:iCs/>
        </w:rPr>
        <w:t>Descent of Ishtar</w:t>
      </w:r>
      <w:r w:rsidR="007551A0">
        <w:rPr>
          <w:i/>
          <w:iCs/>
        </w:rPr>
        <w:t>.</w:t>
      </w:r>
      <w:r w:rsidR="00FF2615">
        <w:rPr>
          <w:i/>
          <w:iCs/>
        </w:rPr>
        <w:t xml:space="preserve"> </w:t>
      </w:r>
      <w:r w:rsidR="00E32549">
        <w:t>Whil</w:t>
      </w:r>
      <w:r w:rsidR="007551A0">
        <w:t>st</w:t>
      </w:r>
      <w:r w:rsidR="00E32549">
        <w:t xml:space="preserve"> the difficulty of defining culture has been recognised, </w:t>
      </w:r>
      <w:r w:rsidR="002B10F7">
        <w:t>a</w:t>
      </w:r>
      <w:r w:rsidR="00B52A52">
        <w:t xml:space="preserve"> cultural context to each work </w:t>
      </w:r>
      <w:r w:rsidR="00A768EF">
        <w:t xml:space="preserve">has been </w:t>
      </w:r>
      <w:r w:rsidR="002B10F7">
        <w:t>attempted</w:t>
      </w:r>
      <w:r w:rsidR="00B52A52">
        <w:t xml:space="preserve">. </w:t>
      </w:r>
      <w:r w:rsidR="00E32549">
        <w:t>Regarding shared themes</w:t>
      </w:r>
      <w:r w:rsidR="007551A0">
        <w:t xml:space="preserve"> between the myth and the opera, </w:t>
      </w:r>
      <w:r w:rsidR="004C6C58">
        <w:t xml:space="preserve">consideration of the cultural significance of femininity and masculinity </w:t>
      </w:r>
      <w:r w:rsidR="00A768EF">
        <w:t xml:space="preserve">has </w:t>
      </w:r>
      <w:r w:rsidR="004C6C58">
        <w:t>pointed to the association of femininity with emotion and masculinity with reason</w:t>
      </w:r>
      <w:r w:rsidR="007551A0">
        <w:t>.</w:t>
      </w:r>
      <w:r w:rsidR="00C66F37">
        <w:t xml:space="preserve"> T</w:t>
      </w:r>
      <w:r w:rsidR="00D35A90">
        <w:t xml:space="preserve">he significance of the maleness of the god of wisdom in the </w:t>
      </w:r>
      <w:r w:rsidR="00593683">
        <w:t>return to life</w:t>
      </w:r>
      <w:r w:rsidR="00D35A90">
        <w:t xml:space="preserve"> </w:t>
      </w:r>
      <w:r w:rsidR="008D2D4D">
        <w:t>o</w:t>
      </w:r>
      <w:r w:rsidR="00D35A90">
        <w:t xml:space="preserve">f </w:t>
      </w:r>
      <w:r w:rsidR="00C66F37">
        <w:t xml:space="preserve">an </w:t>
      </w:r>
      <w:r w:rsidR="007E0FA7">
        <w:t xml:space="preserve">impetuous </w:t>
      </w:r>
      <w:r w:rsidR="00C66F37">
        <w:t xml:space="preserve"> </w:t>
      </w:r>
      <w:r w:rsidR="00D35A90">
        <w:t>Ishtar was highlighted</w:t>
      </w:r>
      <w:r w:rsidR="00C66F37">
        <w:t xml:space="preserve">, whilst </w:t>
      </w:r>
      <w:r w:rsidR="00593683">
        <w:t xml:space="preserve"> in the opera </w:t>
      </w:r>
      <w:r w:rsidR="00C66F37">
        <w:t>the emotionally charged Queen of the Night was contrasted with Sarastro’s enlightened state of knowledge</w:t>
      </w:r>
      <w:r w:rsidR="00593683">
        <w:t>.</w:t>
      </w:r>
      <w:r w:rsidR="00C66F37">
        <w:t xml:space="preserve"> </w:t>
      </w:r>
      <w:r w:rsidR="004C6C58">
        <w:t xml:space="preserve">The duality of light and darkness </w:t>
      </w:r>
      <w:r w:rsidR="00C66F37">
        <w:t xml:space="preserve">was explored </w:t>
      </w:r>
      <w:r w:rsidR="004C6C58">
        <w:t xml:space="preserve">in each </w:t>
      </w:r>
      <w:r w:rsidR="00E0626D">
        <w:t xml:space="preserve">work, </w:t>
      </w:r>
      <w:r w:rsidR="00E32549">
        <w:t xml:space="preserve">finding </w:t>
      </w:r>
      <w:r w:rsidR="00593683">
        <w:t xml:space="preserve">an absolute </w:t>
      </w:r>
      <w:r w:rsidR="00E0626D">
        <w:t>contras</w:t>
      </w:r>
      <w:r w:rsidR="00593683">
        <w:t xml:space="preserve">t in the Ishtar myth </w:t>
      </w:r>
      <w:r w:rsidR="00E32549">
        <w:t xml:space="preserve"> </w:t>
      </w:r>
      <w:r w:rsidR="001D6266">
        <w:t xml:space="preserve">netherworld </w:t>
      </w:r>
      <w:r w:rsidR="00593683">
        <w:t xml:space="preserve">description, </w:t>
      </w:r>
      <w:r w:rsidR="00B957AA">
        <w:t xml:space="preserve">whilst </w:t>
      </w:r>
      <w:r w:rsidR="00593683">
        <w:t xml:space="preserve">discerning a </w:t>
      </w:r>
      <w:r w:rsidR="00E0626D">
        <w:t>more</w:t>
      </w:r>
      <w:r w:rsidR="00593683">
        <w:t xml:space="preserve"> nuanced </w:t>
      </w:r>
      <w:r w:rsidR="00746D22">
        <w:t xml:space="preserve"> </w:t>
      </w:r>
      <w:r w:rsidR="00593683">
        <w:t xml:space="preserve">contrast </w:t>
      </w:r>
      <w:r w:rsidR="00E0626D">
        <w:t>in the opera</w:t>
      </w:r>
      <w:r w:rsidR="00746D22">
        <w:t>, as one academic source has persuasively argued.</w:t>
      </w:r>
      <w:r w:rsidR="00E0626D">
        <w:t xml:space="preserve"> </w:t>
      </w:r>
      <w:r w:rsidR="00746D22">
        <w:t>Finally</w:t>
      </w:r>
      <w:r w:rsidR="00A768EF">
        <w:t>,</w:t>
      </w:r>
      <w:r w:rsidR="00746D22">
        <w:t xml:space="preserve"> a</w:t>
      </w:r>
      <w:r w:rsidR="001D6266">
        <w:t xml:space="preserve"> third theme of ritual</w:t>
      </w:r>
      <w:r w:rsidR="00593683">
        <w:t xml:space="preserve">istic </w:t>
      </w:r>
      <w:r w:rsidR="001D6266">
        <w:t xml:space="preserve">initiation </w:t>
      </w:r>
      <w:r w:rsidR="001D6266">
        <w:lastRenderedPageBreak/>
        <w:t xml:space="preserve">was </w:t>
      </w:r>
      <w:r w:rsidR="00D35A90">
        <w:t>explored</w:t>
      </w:r>
      <w:r w:rsidR="00A768EF">
        <w:t>, suggesting</w:t>
      </w:r>
      <w:r w:rsidR="00AB7668">
        <w:t xml:space="preserve"> </w:t>
      </w:r>
      <w:r w:rsidR="00D35A90">
        <w:t>that Ishtar’s descent follow</w:t>
      </w:r>
      <w:r w:rsidR="00A768EF">
        <w:t>ed</w:t>
      </w:r>
      <w:r w:rsidR="00D35A90">
        <w:t xml:space="preserve"> a prescribed</w:t>
      </w:r>
      <w:r w:rsidR="001D6266">
        <w:t xml:space="preserve"> </w:t>
      </w:r>
      <w:r w:rsidR="002044B8">
        <w:t xml:space="preserve">ritualistic </w:t>
      </w:r>
      <w:r w:rsidR="00277E0D">
        <w:t xml:space="preserve">initiation </w:t>
      </w:r>
      <w:r w:rsidR="002044B8">
        <w:t xml:space="preserve">process </w:t>
      </w:r>
      <w:r w:rsidR="004D397C">
        <w:t>involving seven tests of her determination</w:t>
      </w:r>
      <w:r w:rsidR="006E09E5">
        <w:t xml:space="preserve">, while </w:t>
      </w:r>
      <w:r w:rsidR="0039766A">
        <w:t>the opera</w:t>
      </w:r>
      <w:r w:rsidR="006E09E5" w:rsidRPr="006E09E5">
        <w:rPr>
          <w:i/>
          <w:iCs/>
        </w:rPr>
        <w:t xml:space="preserve"> </w:t>
      </w:r>
      <w:r w:rsidR="0039766A">
        <w:t xml:space="preserve">has </w:t>
      </w:r>
      <w:r w:rsidR="006E09E5">
        <w:t xml:space="preserve">Tamino, </w:t>
      </w:r>
      <w:r w:rsidR="00593683">
        <w:t xml:space="preserve">along with </w:t>
      </w:r>
      <w:r w:rsidR="006E09E5">
        <w:t xml:space="preserve">Pamina, </w:t>
      </w:r>
      <w:r w:rsidR="0039766A">
        <w:t>endure</w:t>
      </w:r>
      <w:r w:rsidR="006E09E5">
        <w:t xml:space="preserve"> their own tests as part of a ritualistic initiation journey based on an ancient myth concerning the goddess Isis. </w:t>
      </w:r>
      <w:r w:rsidR="00582083">
        <w:t>That such culturally s</w:t>
      </w:r>
      <w:r w:rsidR="00C64632">
        <w:t>ymbolic</w:t>
      </w:r>
      <w:r w:rsidR="00582083">
        <w:t xml:space="preserve"> themes </w:t>
      </w:r>
      <w:r w:rsidR="00EC71CF">
        <w:t xml:space="preserve">have been </w:t>
      </w:r>
      <w:r w:rsidR="00C64632">
        <w:t>shown</w:t>
      </w:r>
      <w:r w:rsidR="00EC71CF">
        <w:t xml:space="preserve"> to be </w:t>
      </w:r>
      <w:r w:rsidR="00582083">
        <w:t xml:space="preserve">shared by two creative works with over </w:t>
      </w:r>
      <w:r w:rsidR="00FF7C51">
        <w:t xml:space="preserve">three thousand </w:t>
      </w:r>
      <w:r w:rsidR="00582083">
        <w:t>years separating them</w:t>
      </w:r>
      <w:r w:rsidR="00FF7C51">
        <w:t xml:space="preserve"> </w:t>
      </w:r>
      <w:r w:rsidR="00C64632">
        <w:t>is an indication of</w:t>
      </w:r>
      <w:r w:rsidR="00582083">
        <w:t xml:space="preserve"> </w:t>
      </w:r>
      <w:r w:rsidR="00593683">
        <w:t>the</w:t>
      </w:r>
      <w:r w:rsidR="00C241FE">
        <w:t xml:space="preserve"> </w:t>
      </w:r>
      <w:r w:rsidR="002F10B1">
        <w:t xml:space="preserve">continuing </w:t>
      </w:r>
      <w:r w:rsidR="002B10F7">
        <w:t xml:space="preserve">cultural </w:t>
      </w:r>
      <w:r w:rsidR="00FA4985">
        <w:t>significance</w:t>
      </w:r>
      <w:r w:rsidR="002B10F7">
        <w:t xml:space="preserve"> of the </w:t>
      </w:r>
      <w:r w:rsidR="002B10F7" w:rsidRPr="00DB7B83">
        <w:rPr>
          <w:i/>
          <w:iCs/>
        </w:rPr>
        <w:t>Descent of Ishtar</w:t>
      </w:r>
      <w:r w:rsidR="00C64632">
        <w:rPr>
          <w:i/>
          <w:iCs/>
        </w:rPr>
        <w:t>.</w:t>
      </w:r>
      <w:r w:rsidR="007551A0">
        <w:t xml:space="preserve"> </w:t>
      </w:r>
    </w:p>
    <w:p w14:paraId="0378635C" w14:textId="77777777" w:rsidR="00E22862" w:rsidRDefault="00E22862" w:rsidP="009B23D4">
      <w:pPr>
        <w:spacing w:line="240" w:lineRule="auto"/>
        <w:jc w:val="both"/>
      </w:pPr>
    </w:p>
    <w:p w14:paraId="7588F8B5" w14:textId="77777777" w:rsidR="00E22862" w:rsidRDefault="00E22862" w:rsidP="00E22862"/>
    <w:p w14:paraId="41C26B77" w14:textId="77777777" w:rsidR="00E22862" w:rsidRDefault="00E22862" w:rsidP="00E22862">
      <w:pPr>
        <w:jc w:val="center"/>
      </w:pPr>
    </w:p>
    <w:p w14:paraId="22BA3257" w14:textId="3A469B59" w:rsidR="00E22862" w:rsidRDefault="00E22862" w:rsidP="00E22862">
      <w:pPr>
        <w:jc w:val="center"/>
      </w:pPr>
      <w:r>
        <w:t>BIBLIOGRAPHY</w:t>
      </w:r>
    </w:p>
    <w:p w14:paraId="5C29ED60" w14:textId="77777777" w:rsidR="00E22862" w:rsidRPr="004A38DD" w:rsidRDefault="00E22862" w:rsidP="00E22862">
      <w:pPr>
        <w:rPr>
          <w:rFonts w:ascii="Times New Roman" w:hAnsi="Times New Roman" w:cs="Times New Roman"/>
        </w:rPr>
      </w:pPr>
      <w:r w:rsidRPr="004A38DD">
        <w:rPr>
          <w:rFonts w:ascii="Times New Roman" w:hAnsi="Times New Roman" w:cs="Times New Roman"/>
        </w:rPr>
        <w:t xml:space="preserve">Armstrong, </w:t>
      </w:r>
      <w:r>
        <w:rPr>
          <w:rFonts w:ascii="Times New Roman" w:hAnsi="Times New Roman" w:cs="Times New Roman"/>
        </w:rPr>
        <w:t xml:space="preserve">Karen, </w:t>
      </w:r>
      <w:r w:rsidRPr="004A38DD">
        <w:rPr>
          <w:rFonts w:ascii="Times New Roman" w:hAnsi="Times New Roman" w:cs="Times New Roman"/>
          <w:i/>
          <w:iCs/>
        </w:rPr>
        <w:t>A History of God,</w:t>
      </w:r>
      <w:r w:rsidRPr="004A38DD">
        <w:rPr>
          <w:rFonts w:ascii="Times New Roman" w:hAnsi="Times New Roman" w:cs="Times New Roman"/>
        </w:rPr>
        <w:t xml:space="preserve"> (London: Vintage, 1999)</w:t>
      </w:r>
    </w:p>
    <w:p w14:paraId="4F845770" w14:textId="77777777" w:rsidR="00E22862" w:rsidRDefault="00E22862" w:rsidP="00E22862">
      <w:pPr>
        <w:pStyle w:val="FootnoteText"/>
        <w:ind w:left="624" w:hanging="624"/>
        <w:rPr>
          <w:rFonts w:ascii="Times New Roman" w:hAnsi="Times New Roman" w:cs="Times New Roman"/>
          <w:sz w:val="24"/>
          <w:szCs w:val="24"/>
        </w:rPr>
      </w:pPr>
      <w:r w:rsidRPr="00BB2801">
        <w:rPr>
          <w:rFonts w:ascii="Times New Roman" w:hAnsi="Times New Roman" w:cs="Times New Roman"/>
          <w:sz w:val="24"/>
          <w:szCs w:val="24"/>
        </w:rPr>
        <w:t>Barret, Caìtlin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BB2801">
        <w:rPr>
          <w:rFonts w:ascii="Times New Roman" w:hAnsi="Times New Roman" w:cs="Times New Roman"/>
          <w:sz w:val="24"/>
          <w:szCs w:val="24"/>
        </w:rPr>
        <w:t xml:space="preserve"> ‘Was Dust Their Food And Clay Their Bread? Grave Goods, The Mesopotamian Afterlife, And The Liminal Role Of Inana/Ishtar’, </w:t>
      </w:r>
      <w:r w:rsidRPr="00BB2801">
        <w:rPr>
          <w:rFonts w:ascii="Times New Roman" w:hAnsi="Times New Roman" w:cs="Times New Roman"/>
          <w:i/>
          <w:iCs/>
          <w:sz w:val="24"/>
          <w:szCs w:val="24"/>
        </w:rPr>
        <w:t xml:space="preserve">Journal of Ancient Near Easter Religions, </w:t>
      </w:r>
      <w:r w:rsidRPr="00BB2801">
        <w:rPr>
          <w:rFonts w:ascii="Times New Roman" w:hAnsi="Times New Roman" w:cs="Times New Roman"/>
          <w:sz w:val="24"/>
          <w:szCs w:val="24"/>
        </w:rPr>
        <w:t xml:space="preserve">7 (1): (2007), 7-65  </w:t>
      </w:r>
      <w:hyperlink r:id="rId9" w:history="1">
        <w:r w:rsidRPr="00BB2801">
          <w:rPr>
            <w:rStyle w:val="Hyperlink"/>
            <w:rFonts w:ascii="Times New Roman" w:hAnsi="Times New Roman" w:cs="Times New Roman"/>
            <w:sz w:val="24"/>
            <w:szCs w:val="24"/>
          </w:rPr>
          <w:t>https://brill-com.ezproxy.uwtsd.ac.uk/view/journals/jane/7/1/article-p7_2.pdf</w:t>
        </w:r>
      </w:hyperlink>
      <w:r w:rsidRPr="00BB2801">
        <w:rPr>
          <w:rFonts w:ascii="Times New Roman" w:hAnsi="Times New Roman" w:cs="Times New Roman"/>
          <w:sz w:val="24"/>
          <w:szCs w:val="24"/>
        </w:rPr>
        <w:t xml:space="preserve"> [accessed 2 March 2025].</w:t>
      </w:r>
    </w:p>
    <w:p w14:paraId="231B3C2E" w14:textId="77777777" w:rsidR="00E22862" w:rsidRDefault="00E22862" w:rsidP="00E22862">
      <w:pPr>
        <w:pStyle w:val="FootnoteText"/>
        <w:ind w:left="624" w:hanging="624"/>
      </w:pPr>
    </w:p>
    <w:p w14:paraId="66E0780A" w14:textId="77777777" w:rsidR="00E22862" w:rsidRDefault="00E22862" w:rsidP="00E22862">
      <w:pPr>
        <w:pStyle w:val="p1"/>
        <w:ind w:left="720" w:hanging="720"/>
        <w:rPr>
          <w:rFonts w:ascii="Times New Roman" w:hAnsi="Times New Roman"/>
          <w:sz w:val="24"/>
          <w:szCs w:val="24"/>
        </w:rPr>
      </w:pPr>
      <w:r w:rsidRPr="00A37D1E">
        <w:rPr>
          <w:rFonts w:ascii="Times New Roman" w:hAnsi="Times New Roman"/>
          <w:sz w:val="24"/>
          <w:szCs w:val="24"/>
        </w:rPr>
        <w:t>Bartel, Kate,</w:t>
      </w:r>
      <w:r>
        <w:rPr>
          <w:rFonts w:ascii="Times New Roman" w:hAnsi="Times New Roman"/>
        </w:rPr>
        <w:t xml:space="preserve"> </w:t>
      </w:r>
      <w:r w:rsidRPr="00A37D1E">
        <w:rPr>
          <w:rFonts w:ascii="Times New Roman" w:hAnsi="Times New Roman"/>
          <w:sz w:val="24"/>
          <w:szCs w:val="24"/>
        </w:rPr>
        <w:t xml:space="preserve">‘Pamina, portraits, and the feminine in Mozart and Schikaneder’s </w:t>
      </w:r>
      <w:r w:rsidRPr="00A37D1E">
        <w:rPr>
          <w:rFonts w:ascii="Times New Roman" w:hAnsi="Times New Roman"/>
          <w:i/>
          <w:iCs/>
          <w:sz w:val="24"/>
          <w:szCs w:val="24"/>
        </w:rPr>
        <w:t>Die Zauberflöte’</w:t>
      </w:r>
      <w:r w:rsidRPr="00A37D1E">
        <w:rPr>
          <w:rFonts w:ascii="Times New Roman" w:hAnsi="Times New Roman"/>
          <w:sz w:val="24"/>
          <w:szCs w:val="24"/>
        </w:rPr>
        <w:t xml:space="preserve">, </w:t>
      </w:r>
      <w:r w:rsidRPr="00A37D1E">
        <w:rPr>
          <w:rFonts w:ascii="Times New Roman" w:hAnsi="Times New Roman"/>
          <w:i/>
          <w:iCs/>
          <w:sz w:val="24"/>
          <w:szCs w:val="24"/>
        </w:rPr>
        <w:t>Musicology Australia</w:t>
      </w:r>
      <w:r w:rsidRPr="00A37D1E">
        <w:rPr>
          <w:rFonts w:ascii="Times New Roman" w:hAnsi="Times New Roman"/>
          <w:sz w:val="24"/>
          <w:szCs w:val="24"/>
        </w:rPr>
        <w:t xml:space="preserve">, 22:1 (1999), 31-45  </w:t>
      </w:r>
      <w:hyperlink r:id="rId10" w:history="1">
        <w:r w:rsidRPr="00AB24A8">
          <w:rPr>
            <w:rStyle w:val="Hyperlink"/>
            <w:rFonts w:ascii="Times New Roman" w:hAnsi="Times New Roman"/>
            <w:sz w:val="24"/>
            <w:szCs w:val="24"/>
          </w:rPr>
          <w:t>https://doi.org/10.1080/08145857.1999.10416562</w:t>
        </w:r>
      </w:hyperlink>
      <w:r>
        <w:rPr>
          <w:rFonts w:ascii="Times New Roman" w:hAnsi="Times New Roman"/>
          <w:sz w:val="24"/>
          <w:szCs w:val="24"/>
        </w:rPr>
        <w:t xml:space="preserve"> [accessed 15th March 2025].</w:t>
      </w:r>
    </w:p>
    <w:p w14:paraId="4C6A14D6" w14:textId="77777777" w:rsidR="00E22862" w:rsidRDefault="00E22862" w:rsidP="00E22862">
      <w:pPr>
        <w:pStyle w:val="p1"/>
        <w:ind w:left="720" w:hanging="720"/>
        <w:rPr>
          <w:rFonts w:ascii="Times New Roman" w:hAnsi="Times New Roman"/>
          <w:sz w:val="24"/>
          <w:szCs w:val="24"/>
        </w:rPr>
      </w:pPr>
    </w:p>
    <w:p w14:paraId="1CAE4397" w14:textId="77777777" w:rsidR="00E22862" w:rsidRPr="00F774A3" w:rsidRDefault="00E22862" w:rsidP="00E22862">
      <w:pPr>
        <w:pStyle w:val="p1"/>
        <w:rPr>
          <w:rFonts w:ascii="Times New Roman" w:hAnsi="Times New Roman"/>
          <w:sz w:val="24"/>
          <w:szCs w:val="24"/>
        </w:rPr>
      </w:pPr>
      <w:r w:rsidRPr="00F774A3">
        <w:rPr>
          <w:rFonts w:ascii="Times New Roman" w:hAnsi="Times New Roman"/>
          <w:sz w:val="24"/>
          <w:szCs w:val="24"/>
        </w:rPr>
        <w:t>Bidmead</w:t>
      </w:r>
      <w:r>
        <w:rPr>
          <w:rFonts w:ascii="Times New Roman" w:hAnsi="Times New Roman"/>
          <w:sz w:val="24"/>
          <w:szCs w:val="24"/>
        </w:rPr>
        <w:t xml:space="preserve">, </w:t>
      </w:r>
      <w:r w:rsidRPr="00F774A3">
        <w:rPr>
          <w:rFonts w:ascii="Times New Roman" w:hAnsi="Times New Roman"/>
          <w:sz w:val="24"/>
          <w:szCs w:val="24"/>
        </w:rPr>
        <w:t xml:space="preserve">Julye and Marilyn Love, ‘Ištar’s </w:t>
      </w:r>
      <w:r w:rsidRPr="00AA05A1">
        <w:rPr>
          <w:rFonts w:ascii="Times New Roman" w:hAnsi="Times New Roman"/>
          <w:sz w:val="24"/>
          <w:szCs w:val="24"/>
        </w:rPr>
        <w:t xml:space="preserve">Journey: Above and Below’, </w:t>
      </w:r>
      <w:r w:rsidRPr="00AA05A1">
        <w:rPr>
          <w:rFonts w:ascii="Times New Roman" w:hAnsi="Times New Roman"/>
          <w:i/>
          <w:iCs/>
          <w:sz w:val="24"/>
          <w:szCs w:val="24"/>
        </w:rPr>
        <w:t>Culture and Cosmos,</w:t>
      </w:r>
      <w:r w:rsidRPr="00AA05A1">
        <w:rPr>
          <w:rFonts w:ascii="Times New Roman" w:hAnsi="Times New Roman"/>
          <w:sz w:val="24"/>
          <w:szCs w:val="24"/>
        </w:rPr>
        <w:t xml:space="preserve"> Vol. 22 no 1,</w:t>
      </w:r>
      <w:r>
        <w:rPr>
          <w:rFonts w:ascii="Times New Roman" w:hAnsi="Times New Roman"/>
          <w:sz w:val="24"/>
          <w:szCs w:val="24"/>
        </w:rPr>
        <w:t xml:space="preserve"> </w:t>
      </w:r>
      <w:r w:rsidRPr="00AA05A1">
        <w:rPr>
          <w:rFonts w:ascii="Times New Roman" w:hAnsi="Times New Roman"/>
          <w:sz w:val="24"/>
          <w:szCs w:val="24"/>
        </w:rPr>
        <w:t>Spring/Summer 2018, pp. 5-28</w:t>
      </w:r>
      <w:r w:rsidRPr="00F774A3">
        <w:rPr>
          <w:rFonts w:ascii="Times New Roman" w:hAnsi="Times New Roman"/>
          <w:sz w:val="24"/>
          <w:szCs w:val="24"/>
        </w:rPr>
        <w:t xml:space="preserve"> </w:t>
      </w:r>
    </w:p>
    <w:p w14:paraId="6463B645" w14:textId="77777777" w:rsidR="00E22862" w:rsidRPr="00F774A3" w:rsidRDefault="00E22862" w:rsidP="00E22862">
      <w:pPr>
        <w:pStyle w:val="p1"/>
        <w:ind w:left="720" w:hanging="720"/>
        <w:rPr>
          <w:rFonts w:ascii="Times New Roman" w:hAnsi="Times New Roman"/>
          <w:sz w:val="24"/>
          <w:szCs w:val="24"/>
        </w:rPr>
      </w:pPr>
      <w:hyperlink r:id="rId11" w:history="1">
        <w:r w:rsidRPr="00F774A3">
          <w:rPr>
            <w:rStyle w:val="Hyperlink"/>
            <w:rFonts w:ascii="Times New Roman" w:hAnsi="Times New Roman"/>
            <w:sz w:val="24"/>
            <w:szCs w:val="24"/>
          </w:rPr>
          <w:t>https://cultureandcosmos.org/pdfs/22/22-1_bidmead_and_love_istar.pdf</w:t>
        </w:r>
      </w:hyperlink>
      <w:r w:rsidRPr="00F774A3">
        <w:rPr>
          <w:rFonts w:ascii="Times New Roman" w:hAnsi="Times New Roman"/>
          <w:sz w:val="24"/>
          <w:szCs w:val="24"/>
        </w:rPr>
        <w:t xml:space="preserve"> [accessed 28 March 2025]</w:t>
      </w:r>
    </w:p>
    <w:p w14:paraId="60545AAB" w14:textId="77777777" w:rsidR="00E22862" w:rsidRPr="00A37D1E" w:rsidRDefault="00E22862" w:rsidP="00E22862">
      <w:pPr>
        <w:pStyle w:val="p1"/>
        <w:rPr>
          <w:rFonts w:ascii="Times New Roman" w:hAnsi="Times New Roman"/>
          <w:sz w:val="24"/>
          <w:szCs w:val="24"/>
        </w:rPr>
      </w:pPr>
    </w:p>
    <w:p w14:paraId="1F2737A7" w14:textId="77777777" w:rsidR="00E22862" w:rsidRDefault="00E22862" w:rsidP="00E22862">
      <w:pPr>
        <w:spacing w:line="240" w:lineRule="auto"/>
        <w:ind w:left="624" w:hanging="624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 xml:space="preserve">Brophy, Brigid, </w:t>
      </w:r>
      <w:r w:rsidRPr="007C236D">
        <w:rPr>
          <w:rFonts w:ascii="Times New Roman" w:hAnsi="Times New Roman" w:cs="Times New Roman"/>
          <w:i/>
          <w:iCs/>
          <w:kern w:val="0"/>
        </w:rPr>
        <w:t>Mozart The Dramatist,</w:t>
      </w:r>
      <w:r>
        <w:rPr>
          <w:rFonts w:ascii="Times New Roman" w:hAnsi="Times New Roman" w:cs="Times New Roman"/>
          <w:kern w:val="0"/>
        </w:rPr>
        <w:t xml:space="preserve"> 2</w:t>
      </w:r>
      <w:r w:rsidRPr="00742430">
        <w:rPr>
          <w:rFonts w:ascii="Times New Roman" w:hAnsi="Times New Roman" w:cs="Times New Roman"/>
          <w:kern w:val="0"/>
          <w:vertAlign w:val="superscript"/>
        </w:rPr>
        <w:t>nd</w:t>
      </w:r>
      <w:r>
        <w:rPr>
          <w:rFonts w:ascii="Times New Roman" w:hAnsi="Times New Roman" w:cs="Times New Roman"/>
          <w:kern w:val="0"/>
        </w:rPr>
        <w:t xml:space="preserve"> edn. (London: Libris, 1988)</w:t>
      </w:r>
    </w:p>
    <w:p w14:paraId="3E8EB9DD" w14:textId="77777777" w:rsidR="00E22862" w:rsidRDefault="00E22862" w:rsidP="00E22862">
      <w:pPr>
        <w:pStyle w:val="FootnoteText"/>
        <w:ind w:left="720" w:hanging="720"/>
        <w:rPr>
          <w:sz w:val="24"/>
          <w:szCs w:val="24"/>
        </w:rPr>
      </w:pPr>
      <w:r w:rsidRPr="00471C06">
        <w:rPr>
          <w:sz w:val="24"/>
          <w:szCs w:val="24"/>
        </w:rPr>
        <w:t xml:space="preserve">Campion, </w:t>
      </w:r>
      <w:r>
        <w:rPr>
          <w:sz w:val="24"/>
          <w:szCs w:val="24"/>
        </w:rPr>
        <w:t xml:space="preserve">Nicholas, </w:t>
      </w:r>
      <w:r w:rsidRPr="00471C06">
        <w:rPr>
          <w:i/>
          <w:iCs/>
          <w:sz w:val="24"/>
          <w:szCs w:val="24"/>
        </w:rPr>
        <w:t>A History of Western Astrology,</w:t>
      </w:r>
      <w:r w:rsidRPr="00471C06">
        <w:rPr>
          <w:sz w:val="24"/>
          <w:szCs w:val="24"/>
        </w:rPr>
        <w:t xml:space="preserve"> Vol. 1, (London: Bloomsbury Academic, 2008; repr. 2015)</w:t>
      </w:r>
    </w:p>
    <w:p w14:paraId="047D35F8" w14:textId="77777777" w:rsidR="00E22862" w:rsidRPr="00540512" w:rsidRDefault="00E22862" w:rsidP="00E22862">
      <w:pPr>
        <w:pStyle w:val="FootnoteText"/>
        <w:ind w:left="720" w:hanging="720"/>
        <w:rPr>
          <w:sz w:val="24"/>
          <w:szCs w:val="24"/>
        </w:rPr>
      </w:pPr>
    </w:p>
    <w:p w14:paraId="528C2709" w14:textId="77777777" w:rsidR="00E22862" w:rsidRPr="00540512" w:rsidRDefault="00E22862" w:rsidP="00E22862">
      <w:pPr>
        <w:pStyle w:val="FootnoteText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40512">
        <w:rPr>
          <w:rFonts w:ascii="Times New Roman" w:hAnsi="Times New Roman" w:cs="Times New Roman"/>
          <w:sz w:val="24"/>
          <w:szCs w:val="24"/>
        </w:rPr>
        <w:t>Buch,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40512">
        <w:rPr>
          <w:rFonts w:ascii="Times New Roman" w:hAnsi="Times New Roman" w:cs="Times New Roman"/>
          <w:sz w:val="24"/>
          <w:szCs w:val="24"/>
        </w:rPr>
        <w:t>David J.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540512">
        <w:rPr>
          <w:rFonts w:ascii="Times New Roman" w:hAnsi="Times New Roman" w:cs="Times New Roman"/>
          <w:sz w:val="24"/>
          <w:szCs w:val="24"/>
        </w:rPr>
        <w:t xml:space="preserve"> ‘Die Zauberflöte, Masonic Opera, and Other Fairy Tales’, </w:t>
      </w:r>
      <w:r w:rsidRPr="00540512">
        <w:rPr>
          <w:rFonts w:ascii="Times New Roman" w:hAnsi="Times New Roman" w:cs="Times New Roman"/>
          <w:i/>
          <w:iCs/>
          <w:sz w:val="24"/>
          <w:szCs w:val="24"/>
        </w:rPr>
        <w:t>Acta Musicologia</w:t>
      </w:r>
      <w:r w:rsidRPr="00540512">
        <w:rPr>
          <w:rFonts w:ascii="Times New Roman" w:hAnsi="Times New Roman" w:cs="Times New Roman"/>
          <w:sz w:val="24"/>
          <w:szCs w:val="24"/>
        </w:rPr>
        <w:t xml:space="preserve">, </w:t>
      </w:r>
      <w:r w:rsidRPr="00540512">
        <w:rPr>
          <w:rFonts w:ascii="Times New Roman" w:hAnsi="Times New Roman" w:cs="Times New Roman"/>
          <w:color w:val="343332"/>
          <w:spacing w:val="-5"/>
          <w:sz w:val="24"/>
          <w:szCs w:val="24"/>
        </w:rPr>
        <w:t xml:space="preserve">Vol. 76, (2004), pp. 193-219, (p. 204) </w:t>
      </w:r>
      <w:hyperlink r:id="rId12" w:history="1">
        <w:r w:rsidRPr="00540512">
          <w:rPr>
            <w:rStyle w:val="Hyperlink"/>
            <w:rFonts w:ascii="Times New Roman" w:hAnsi="Times New Roman" w:cs="Times New Roman"/>
            <w:spacing w:val="-5"/>
            <w:sz w:val="24"/>
            <w:szCs w:val="24"/>
          </w:rPr>
          <w:t>https://www-jstor-org.ezproxy.uwtsd.ac.uk/stable/733806?seq=16</w:t>
        </w:r>
      </w:hyperlink>
      <w:r w:rsidRPr="00540512">
        <w:rPr>
          <w:rFonts w:ascii="Times New Roman" w:hAnsi="Times New Roman" w:cs="Times New Roman"/>
          <w:color w:val="343332"/>
          <w:spacing w:val="-5"/>
          <w:sz w:val="24"/>
          <w:szCs w:val="24"/>
        </w:rPr>
        <w:t xml:space="preserve"> [accessed 1/4/2025]</w:t>
      </w:r>
    </w:p>
    <w:p w14:paraId="65C26A18" w14:textId="77777777" w:rsidR="00E22862" w:rsidRPr="00540512" w:rsidRDefault="00E22862" w:rsidP="00E22862">
      <w:pPr>
        <w:spacing w:line="240" w:lineRule="auto"/>
        <w:ind w:left="624" w:hanging="624"/>
        <w:rPr>
          <w:rFonts w:ascii="Times New Roman" w:hAnsi="Times New Roman" w:cs="Times New Roman"/>
          <w:kern w:val="0"/>
        </w:rPr>
      </w:pPr>
    </w:p>
    <w:p w14:paraId="6E6D1526" w14:textId="77777777" w:rsidR="00E22862" w:rsidRDefault="00E22862" w:rsidP="00E22862">
      <w:pPr>
        <w:spacing w:line="240" w:lineRule="auto"/>
        <w:ind w:left="624" w:hanging="624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 xml:space="preserve">Dally, Stephanie, </w:t>
      </w:r>
      <w:r w:rsidRPr="005B4621">
        <w:rPr>
          <w:rFonts w:ascii="Times New Roman" w:hAnsi="Times New Roman" w:cs="Times New Roman"/>
          <w:i/>
          <w:iCs/>
          <w:kern w:val="0"/>
        </w:rPr>
        <w:t>Myths From Mesopotamia,</w:t>
      </w:r>
      <w:r>
        <w:rPr>
          <w:rFonts w:ascii="Times New Roman" w:hAnsi="Times New Roman" w:cs="Times New Roman"/>
          <w:kern w:val="0"/>
        </w:rPr>
        <w:t xml:space="preserve"> 2</w:t>
      </w:r>
      <w:r w:rsidRPr="005B4621">
        <w:rPr>
          <w:rFonts w:ascii="Times New Roman" w:hAnsi="Times New Roman" w:cs="Times New Roman"/>
          <w:kern w:val="0"/>
          <w:vertAlign w:val="superscript"/>
        </w:rPr>
        <w:t>nd</w:t>
      </w:r>
      <w:r>
        <w:rPr>
          <w:rFonts w:ascii="Times New Roman" w:hAnsi="Times New Roman" w:cs="Times New Roman"/>
          <w:kern w:val="0"/>
        </w:rPr>
        <w:t xml:space="preserve"> edn. (Oxford: Oxford University Press, 2000)</w:t>
      </w:r>
    </w:p>
    <w:p w14:paraId="69D14B5D" w14:textId="77777777" w:rsidR="00E22862" w:rsidRDefault="00E22862" w:rsidP="00E22862">
      <w:pPr>
        <w:spacing w:line="240" w:lineRule="auto"/>
        <w:ind w:left="624" w:hanging="624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 xml:space="preserve">Debus, Allen G., </w:t>
      </w:r>
      <w:r w:rsidRPr="007C236D">
        <w:rPr>
          <w:rFonts w:ascii="Times New Roman" w:hAnsi="Times New Roman" w:cs="Times New Roman"/>
          <w:i/>
          <w:iCs/>
          <w:kern w:val="0"/>
        </w:rPr>
        <w:t>Man And Nature In The Renaissance</w:t>
      </w:r>
      <w:r>
        <w:rPr>
          <w:rFonts w:ascii="Times New Roman" w:hAnsi="Times New Roman" w:cs="Times New Roman"/>
          <w:kern w:val="0"/>
        </w:rPr>
        <w:t>, (Cambridge: Cambridge University          Press, 1978; repr. 1996)</w:t>
      </w:r>
    </w:p>
    <w:p w14:paraId="1D4512AB" w14:textId="77777777" w:rsidR="00E22862" w:rsidRDefault="00E22862" w:rsidP="00E22862">
      <w:pPr>
        <w:spacing w:line="240" w:lineRule="auto"/>
        <w:ind w:left="624" w:hanging="624"/>
      </w:pPr>
      <w:r>
        <w:t xml:space="preserve">Dunand, Françoise and Christine Zivie-Coche, </w:t>
      </w:r>
      <w:r w:rsidRPr="00902A97">
        <w:rPr>
          <w:i/>
          <w:iCs/>
        </w:rPr>
        <w:t>Gods And Men In Egypt: 3000 BCE To 395 CE,</w:t>
      </w:r>
      <w:r>
        <w:t xml:space="preserve"> trans. by David Lorton, (Ithaca: Cornell University Press, 2004)</w:t>
      </w:r>
    </w:p>
    <w:p w14:paraId="7DE9E277" w14:textId="77777777" w:rsidR="00E22862" w:rsidRDefault="00E22862" w:rsidP="00E22862">
      <w:pPr>
        <w:spacing w:line="240" w:lineRule="auto"/>
        <w:ind w:left="624" w:hanging="624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 xml:space="preserve">Eagleton, Terry, </w:t>
      </w:r>
      <w:r w:rsidRPr="00DD4E5B">
        <w:rPr>
          <w:rFonts w:ascii="Times New Roman" w:hAnsi="Times New Roman" w:cs="Times New Roman"/>
          <w:i/>
          <w:iCs/>
          <w:kern w:val="0"/>
        </w:rPr>
        <w:t>The Idea Of Culture</w:t>
      </w:r>
      <w:r>
        <w:rPr>
          <w:rFonts w:ascii="Times New Roman" w:hAnsi="Times New Roman" w:cs="Times New Roman"/>
          <w:kern w:val="0"/>
        </w:rPr>
        <w:t xml:space="preserve">, </w:t>
      </w:r>
      <w:r w:rsidRPr="00584BF9">
        <w:rPr>
          <w:rFonts w:ascii="Times New Roman" w:hAnsi="Times New Roman" w:cs="Times New Roman"/>
          <w:kern w:val="0"/>
        </w:rPr>
        <w:t>(</w:t>
      </w:r>
      <w:r w:rsidRPr="00584BF9">
        <w:rPr>
          <w:rFonts w:ascii="Times New Roman" w:hAnsi="Times New Roman" w:cs="Times New Roman"/>
        </w:rPr>
        <w:t>Malden: Blackwell, 2000)</w:t>
      </w:r>
    </w:p>
    <w:p w14:paraId="10A1DFDA" w14:textId="77777777" w:rsidR="00E22862" w:rsidRDefault="00E22862" w:rsidP="00E22862">
      <w:pPr>
        <w:spacing w:line="240" w:lineRule="auto"/>
        <w:ind w:left="624" w:hanging="624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 xml:space="preserve">_______, </w:t>
      </w:r>
      <w:r w:rsidRPr="00DD4E5B">
        <w:rPr>
          <w:rFonts w:ascii="Times New Roman" w:hAnsi="Times New Roman" w:cs="Times New Roman"/>
          <w:i/>
          <w:iCs/>
          <w:kern w:val="0"/>
        </w:rPr>
        <w:t>Culture</w:t>
      </w:r>
      <w:r>
        <w:rPr>
          <w:rFonts w:ascii="Times New Roman" w:hAnsi="Times New Roman" w:cs="Times New Roman"/>
          <w:kern w:val="0"/>
        </w:rPr>
        <w:t>, 2</w:t>
      </w:r>
      <w:r w:rsidRPr="00DD4E5B">
        <w:rPr>
          <w:rFonts w:ascii="Times New Roman" w:hAnsi="Times New Roman" w:cs="Times New Roman"/>
          <w:kern w:val="0"/>
          <w:vertAlign w:val="superscript"/>
        </w:rPr>
        <w:t>nd</w:t>
      </w:r>
      <w:r>
        <w:rPr>
          <w:rFonts w:ascii="Times New Roman" w:hAnsi="Times New Roman" w:cs="Times New Roman"/>
          <w:kern w:val="0"/>
        </w:rPr>
        <w:t xml:space="preserve"> edn. (Yale: Yale University Press, 2023)</w:t>
      </w:r>
    </w:p>
    <w:p w14:paraId="2D1561F9" w14:textId="77777777" w:rsidR="00E22862" w:rsidRPr="00A37D1E" w:rsidRDefault="00E22862" w:rsidP="00E2286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285C54A4" w14:textId="77777777" w:rsidR="00E22862" w:rsidRDefault="00E22862" w:rsidP="00E22862">
      <w:pPr>
        <w:spacing w:line="240" w:lineRule="auto"/>
        <w:ind w:left="624" w:hanging="624"/>
      </w:pPr>
      <w:r>
        <w:rPr>
          <w:rFonts w:ascii="Times New Roman" w:hAnsi="Times New Roman" w:cs="Times New Roman"/>
        </w:rPr>
        <w:t xml:space="preserve">Godwin, Joscelyn, ‘Layers of Meaning in The Magic Flute’, </w:t>
      </w:r>
      <w:r w:rsidRPr="00825629">
        <w:rPr>
          <w:rFonts w:ascii="Times New Roman" w:hAnsi="Times New Roman" w:cs="Times New Roman"/>
          <w:i/>
          <w:iCs/>
        </w:rPr>
        <w:t>The Musical Quarterly</w:t>
      </w:r>
      <w:r>
        <w:rPr>
          <w:rFonts w:ascii="Times New Roman" w:hAnsi="Times New Roman" w:cs="Times New Roman"/>
        </w:rPr>
        <w:t xml:space="preserve">, 65, No. 4 (1979), 471-492 </w:t>
      </w:r>
      <w:hyperlink r:id="rId13" w:history="1">
        <w:r w:rsidRPr="00AB24A8">
          <w:rPr>
            <w:rStyle w:val="Hyperlink"/>
            <w:rFonts w:ascii="Times New Roman" w:hAnsi="Times New Roman" w:cs="Times New Roman"/>
          </w:rPr>
          <w:t>https://www.jstor.org/stable/741568</w:t>
        </w:r>
      </w:hyperlink>
    </w:p>
    <w:p w14:paraId="7927E07B" w14:textId="77777777" w:rsidR="00E22862" w:rsidRDefault="00E22862" w:rsidP="00E22862">
      <w:pPr>
        <w:spacing w:line="240" w:lineRule="auto"/>
        <w:ind w:left="624" w:hanging="624"/>
      </w:pPr>
      <w:r>
        <w:t xml:space="preserve">Kant, Immanuel, </w:t>
      </w:r>
      <w:r w:rsidRPr="001E77E9">
        <w:rPr>
          <w:i/>
          <w:iCs/>
        </w:rPr>
        <w:t>Critique Of Pure Reason</w:t>
      </w:r>
      <w:r>
        <w:t>, trans. by Norman Kemp Smith, 2</w:t>
      </w:r>
      <w:r w:rsidRPr="00F5790B">
        <w:rPr>
          <w:vertAlign w:val="superscript"/>
        </w:rPr>
        <w:t>nd</w:t>
      </w:r>
      <w:r>
        <w:t xml:space="preserve"> edn. (Houndmills: Palgrave Macmillan, 2007)</w:t>
      </w:r>
    </w:p>
    <w:p w14:paraId="09DBC4C6" w14:textId="77777777" w:rsidR="00E22862" w:rsidRDefault="00E22862" w:rsidP="00E22862">
      <w:pPr>
        <w:spacing w:line="240" w:lineRule="auto"/>
        <w:ind w:left="624" w:hanging="624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 xml:space="preserve">Mozart, W.A., </w:t>
      </w:r>
      <w:r w:rsidRPr="007C236D">
        <w:rPr>
          <w:rFonts w:ascii="Times New Roman" w:hAnsi="Times New Roman" w:cs="Times New Roman"/>
          <w:i/>
          <w:iCs/>
          <w:kern w:val="0"/>
        </w:rPr>
        <w:t>The Magic Flute</w:t>
      </w:r>
      <w:r>
        <w:rPr>
          <w:rFonts w:ascii="Times New Roman" w:hAnsi="Times New Roman" w:cs="Times New Roman"/>
          <w:kern w:val="0"/>
        </w:rPr>
        <w:t>, Libretto by Emanuel Schikaneder, trans. Andrew Porter, London, Faber Music, 1980 Rev. 1985.</w:t>
      </w:r>
    </w:p>
    <w:p w14:paraId="4F189D98" w14:textId="77777777" w:rsidR="00E22862" w:rsidRPr="00B37D1E" w:rsidRDefault="00E22862" w:rsidP="00E22862">
      <w:pPr>
        <w:pStyle w:val="FootnoteText"/>
        <w:ind w:left="624" w:hanging="624"/>
        <w:rPr>
          <w:rFonts w:ascii="Times New Roman" w:hAnsi="Times New Roman" w:cs="Times New Roman"/>
          <w:sz w:val="24"/>
          <w:szCs w:val="24"/>
        </w:rPr>
      </w:pPr>
      <w:r w:rsidRPr="00B37D1E">
        <w:rPr>
          <w:rFonts w:ascii="Times New Roman" w:hAnsi="Times New Roman" w:cs="Times New Roman"/>
          <w:sz w:val="24"/>
          <w:szCs w:val="24"/>
        </w:rPr>
        <w:t>Pryke, Louise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B37D1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B37D1E">
        <w:rPr>
          <w:rFonts w:ascii="Times New Roman" w:hAnsi="Times New Roman" w:cs="Times New Roman"/>
          <w:sz w:val="24"/>
          <w:szCs w:val="24"/>
        </w:rPr>
        <w:t>Ishtar</w:t>
      </w:r>
      <w:r>
        <w:rPr>
          <w:rFonts w:ascii="Times New Roman" w:hAnsi="Times New Roman" w:cs="Times New Roman"/>
          <w:sz w:val="24"/>
          <w:szCs w:val="24"/>
        </w:rPr>
        <w:t>’</w:t>
      </w:r>
      <w:r w:rsidRPr="00B37D1E">
        <w:rPr>
          <w:rFonts w:ascii="Times New Roman" w:hAnsi="Times New Roman" w:cs="Times New Roman"/>
          <w:sz w:val="24"/>
          <w:szCs w:val="24"/>
        </w:rPr>
        <w:t xml:space="preserve">, </w:t>
      </w:r>
      <w:r w:rsidRPr="00B37D1E">
        <w:rPr>
          <w:rFonts w:ascii="Times New Roman" w:hAnsi="Times New Roman" w:cs="Times New Roman"/>
          <w:i/>
          <w:iCs/>
          <w:sz w:val="24"/>
          <w:szCs w:val="24"/>
        </w:rPr>
        <w:t>World History Encyclopedia</w:t>
      </w:r>
      <w:r w:rsidRPr="00B37D1E">
        <w:rPr>
          <w:rFonts w:ascii="Times New Roman" w:hAnsi="Times New Roman" w:cs="Times New Roman"/>
          <w:sz w:val="24"/>
          <w:szCs w:val="24"/>
        </w:rPr>
        <w:t xml:space="preserve">, 2019, </w:t>
      </w:r>
      <w:hyperlink r:id="rId14" w:history="1">
        <w:r w:rsidRPr="0089646D">
          <w:rPr>
            <w:rStyle w:val="Hyperlink"/>
            <w:rFonts w:ascii="Times New Roman" w:hAnsi="Times New Roman" w:cs="Times New Roman"/>
            <w:sz w:val="24"/>
            <w:szCs w:val="24"/>
          </w:rPr>
          <w:t>https://www.worldhistory.org/ishtar/</w:t>
        </w:r>
      </w:hyperlink>
      <w:r w:rsidRPr="00B37D1E">
        <w:rPr>
          <w:rFonts w:ascii="Times New Roman" w:hAnsi="Times New Roman" w:cs="Times New Roman"/>
          <w:sz w:val="24"/>
          <w:szCs w:val="24"/>
        </w:rPr>
        <w:t xml:space="preserve"> [accessed 2/3/2025].</w:t>
      </w:r>
    </w:p>
    <w:p w14:paraId="7E62BCDC" w14:textId="77777777" w:rsidR="00E22862" w:rsidRDefault="00E22862" w:rsidP="00E22862">
      <w:pPr>
        <w:spacing w:line="240" w:lineRule="auto"/>
        <w:ind w:left="624" w:hanging="624"/>
        <w:rPr>
          <w:rFonts w:ascii="Times New Roman" w:hAnsi="Times New Roman" w:cs="Times New Roman"/>
          <w:kern w:val="0"/>
        </w:rPr>
      </w:pPr>
    </w:p>
    <w:p w14:paraId="2CF452A9" w14:textId="77777777" w:rsidR="00E22862" w:rsidRDefault="00E22862" w:rsidP="00E22862">
      <w:pPr>
        <w:spacing w:line="240" w:lineRule="auto"/>
        <w:ind w:left="624" w:hanging="624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 xml:space="preserve">Rochberg, Francesca, </w:t>
      </w:r>
      <w:r w:rsidRPr="007C236D">
        <w:rPr>
          <w:rFonts w:ascii="Times New Roman" w:hAnsi="Times New Roman" w:cs="Times New Roman"/>
          <w:i/>
          <w:iCs/>
          <w:kern w:val="0"/>
        </w:rPr>
        <w:t>The Heavenly Writing</w:t>
      </w:r>
      <w:r>
        <w:rPr>
          <w:rFonts w:ascii="Times New Roman" w:hAnsi="Times New Roman" w:cs="Times New Roman"/>
          <w:kern w:val="0"/>
        </w:rPr>
        <w:t>, (New York: Cambridge University Press, 2004; repr. 2011)</w:t>
      </w:r>
    </w:p>
    <w:p w14:paraId="3413F849" w14:textId="77777777" w:rsidR="00E22862" w:rsidRDefault="00E22862" w:rsidP="00E22862">
      <w:pPr>
        <w:spacing w:line="240" w:lineRule="auto"/>
        <w:ind w:left="624" w:hanging="624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 xml:space="preserve">Soloman, Maynard, </w:t>
      </w:r>
      <w:r w:rsidRPr="006532BA">
        <w:rPr>
          <w:rFonts w:ascii="Times New Roman" w:hAnsi="Times New Roman" w:cs="Times New Roman"/>
          <w:i/>
          <w:iCs/>
          <w:kern w:val="0"/>
        </w:rPr>
        <w:t>Mozart: A Life,</w:t>
      </w:r>
      <w:r>
        <w:rPr>
          <w:rFonts w:ascii="Times New Roman" w:hAnsi="Times New Roman" w:cs="Times New Roman"/>
          <w:i/>
          <w:iCs/>
          <w:kern w:val="0"/>
        </w:rPr>
        <w:t xml:space="preserve"> </w:t>
      </w:r>
      <w:r>
        <w:rPr>
          <w:rFonts w:ascii="Times New Roman" w:hAnsi="Times New Roman" w:cs="Times New Roman"/>
          <w:kern w:val="0"/>
        </w:rPr>
        <w:t>(London: Hutchinson, 1995)</w:t>
      </w:r>
    </w:p>
    <w:p w14:paraId="7D28C8A8" w14:textId="77777777" w:rsidR="00E22862" w:rsidRDefault="00E22862" w:rsidP="00E22862">
      <w:pPr>
        <w:pStyle w:val="FootnoteText"/>
        <w:ind w:left="624" w:hanging="624"/>
        <w:rPr>
          <w:rFonts w:ascii="Times New Roman" w:hAnsi="Times New Roman" w:cs="Times New Roman"/>
          <w:sz w:val="24"/>
          <w:szCs w:val="24"/>
        </w:rPr>
      </w:pPr>
      <w:r w:rsidRPr="005E3844">
        <w:rPr>
          <w:rFonts w:ascii="Times New Roman" w:hAnsi="Times New Roman" w:cs="Times New Roman"/>
          <w:sz w:val="24"/>
          <w:szCs w:val="24"/>
        </w:rPr>
        <w:t xml:space="preserve">Speiser, </w:t>
      </w:r>
      <w:r>
        <w:rPr>
          <w:rFonts w:ascii="Times New Roman" w:hAnsi="Times New Roman" w:cs="Times New Roman"/>
          <w:sz w:val="24"/>
          <w:szCs w:val="24"/>
        </w:rPr>
        <w:t xml:space="preserve">E. A. </w:t>
      </w:r>
      <w:r w:rsidRPr="005E3844">
        <w:rPr>
          <w:rFonts w:ascii="Times New Roman" w:hAnsi="Times New Roman" w:cs="Times New Roman"/>
          <w:sz w:val="24"/>
          <w:szCs w:val="24"/>
        </w:rPr>
        <w:t xml:space="preserve">‘Descent Of Ishtar Into The Netherworld’, in </w:t>
      </w:r>
      <w:r w:rsidRPr="005E3844">
        <w:rPr>
          <w:rFonts w:ascii="Times New Roman" w:hAnsi="Times New Roman" w:cs="Times New Roman"/>
          <w:i/>
          <w:iCs/>
          <w:sz w:val="24"/>
          <w:szCs w:val="24"/>
        </w:rPr>
        <w:t xml:space="preserve">The Ancient Near East: An Anthology Of Texts And Pictures, </w:t>
      </w:r>
      <w:r w:rsidRPr="005E3844">
        <w:rPr>
          <w:rFonts w:ascii="Times New Roman" w:hAnsi="Times New Roman" w:cs="Times New Roman"/>
          <w:sz w:val="24"/>
          <w:szCs w:val="24"/>
        </w:rPr>
        <w:t>ed. by James B. Pritchard, (Princeton: Princeton University Press, 2011), pp. 77-81.</w:t>
      </w:r>
    </w:p>
    <w:p w14:paraId="20A6C174" w14:textId="77777777" w:rsidR="00E22862" w:rsidRDefault="00E22862" w:rsidP="00E22862">
      <w:pPr>
        <w:spacing w:line="240" w:lineRule="auto"/>
      </w:pPr>
    </w:p>
    <w:p w14:paraId="385852B0" w14:textId="77777777" w:rsidR="00E22862" w:rsidRDefault="00E22862" w:rsidP="00E22862">
      <w:pPr>
        <w:spacing w:line="240" w:lineRule="auto"/>
        <w:ind w:left="720" w:hanging="720"/>
        <w:rPr>
          <w:rFonts w:ascii="Times New Roman" w:hAnsi="Times New Roman" w:cs="Times New Roman"/>
          <w:kern w:val="0"/>
        </w:rPr>
      </w:pPr>
      <w:r>
        <w:t xml:space="preserve">Thavapalan, Shiyanthi, ‘Radiant Things For Gods And Men: </w:t>
      </w:r>
      <w:r w:rsidRPr="000C2292">
        <w:t xml:space="preserve">Lightness And Darkness In </w:t>
      </w:r>
      <w:r>
        <w:t xml:space="preserve">                       </w:t>
      </w:r>
      <w:r w:rsidRPr="000C2292">
        <w:t>Mesopotamian Language And Thought</w:t>
      </w:r>
      <w:r>
        <w:t>’</w:t>
      </w:r>
      <w:r w:rsidRPr="000C2292">
        <w:t xml:space="preserve">, </w:t>
      </w:r>
      <w:r w:rsidRPr="000C2292">
        <w:rPr>
          <w:i/>
          <w:iCs/>
        </w:rPr>
        <w:t>Colour Tur</w:t>
      </w:r>
      <w:r>
        <w:rPr>
          <w:i/>
          <w:iCs/>
        </w:rPr>
        <w:t>n</w:t>
      </w:r>
      <w:r>
        <w:t xml:space="preserve">, No. 1 (2018): Colour Turn 2018. </w:t>
      </w:r>
      <w:r>
        <w:rPr>
          <w:rFonts w:ascii="Times New Roman" w:hAnsi="Times New Roman" w:cs="Times New Roman"/>
          <w:i/>
          <w:iCs/>
          <w:kern w:val="0"/>
        </w:rPr>
        <w:t>DOI: 10.25538/tct.v0i1.675</w:t>
      </w:r>
      <w:r>
        <w:rPr>
          <w:rFonts w:ascii="Times New Roman" w:hAnsi="Times New Roman" w:cs="Times New Roman"/>
          <w:kern w:val="0"/>
        </w:rPr>
        <w:t>, [accessed 6 March 2025].</w:t>
      </w:r>
    </w:p>
    <w:p w14:paraId="5A010E28" w14:textId="77777777" w:rsidR="00E22862" w:rsidRPr="00D5562B" w:rsidRDefault="00E22862" w:rsidP="009B23D4">
      <w:pPr>
        <w:spacing w:line="240" w:lineRule="auto"/>
        <w:jc w:val="both"/>
      </w:pPr>
    </w:p>
    <w:p w14:paraId="4D7C99E0" w14:textId="7536B0A7" w:rsidR="0078543B" w:rsidRDefault="0078543B" w:rsidP="00B161C3">
      <w:pPr>
        <w:spacing w:line="240" w:lineRule="auto"/>
        <w:jc w:val="both"/>
      </w:pPr>
    </w:p>
    <w:p w14:paraId="7FCCF5BB" w14:textId="3BFE26F2" w:rsidR="00892BD0" w:rsidRPr="00CE4EA9" w:rsidRDefault="0078543B" w:rsidP="00892BD0">
      <w:pPr>
        <w:spacing w:line="240" w:lineRule="auto"/>
        <w:jc w:val="both"/>
      </w:pPr>
      <w:r>
        <w:t xml:space="preserve">      </w:t>
      </w:r>
    </w:p>
    <w:p w14:paraId="34FEE277" w14:textId="77777777" w:rsidR="00A52D2B" w:rsidRDefault="00A52D2B" w:rsidP="00A52D2B">
      <w:pPr>
        <w:pStyle w:val="p1"/>
        <w:rPr>
          <w:rFonts w:asciiTheme="minorHAnsi" w:hAnsiTheme="minorHAnsi"/>
          <w:sz w:val="24"/>
          <w:szCs w:val="24"/>
        </w:rPr>
      </w:pPr>
    </w:p>
    <w:p w14:paraId="1BDF6E01" w14:textId="77777777" w:rsidR="0074744E" w:rsidRDefault="0074744E" w:rsidP="0074744E">
      <w:pPr>
        <w:pStyle w:val="p1"/>
        <w:rPr>
          <w:rFonts w:asciiTheme="minorHAnsi" w:hAnsiTheme="minorHAnsi"/>
          <w:color w:val="141413"/>
          <w:sz w:val="24"/>
          <w:szCs w:val="24"/>
        </w:rPr>
      </w:pPr>
    </w:p>
    <w:p w14:paraId="2784140F" w14:textId="77777777" w:rsidR="0074744E" w:rsidRDefault="0074744E" w:rsidP="00A52D2B">
      <w:pPr>
        <w:pStyle w:val="p1"/>
        <w:ind w:left="794" w:right="283"/>
        <w:rPr>
          <w:rFonts w:asciiTheme="minorHAnsi" w:hAnsiTheme="minorHAnsi"/>
          <w:color w:val="141413"/>
          <w:sz w:val="24"/>
          <w:szCs w:val="24"/>
        </w:rPr>
      </w:pPr>
    </w:p>
    <w:p w14:paraId="204C2DE1" w14:textId="77777777" w:rsidR="0074744E" w:rsidRPr="00A52D2B" w:rsidRDefault="0074744E" w:rsidP="0074744E">
      <w:pPr>
        <w:pStyle w:val="p1"/>
        <w:rPr>
          <w:rFonts w:asciiTheme="minorHAnsi" w:hAnsiTheme="minorHAnsi"/>
          <w:color w:val="141413"/>
          <w:sz w:val="24"/>
          <w:szCs w:val="24"/>
        </w:rPr>
      </w:pPr>
    </w:p>
    <w:p w14:paraId="73AFA5D9" w14:textId="717CD1E3" w:rsidR="00CE4EA9" w:rsidRPr="00CE4EA9" w:rsidRDefault="00CE4EA9" w:rsidP="00A52D2B">
      <w:pPr>
        <w:pStyle w:val="p1"/>
        <w:ind w:left="794"/>
        <w:rPr>
          <w:rFonts w:asciiTheme="minorHAnsi" w:hAnsiTheme="minorHAnsi"/>
          <w:sz w:val="24"/>
          <w:szCs w:val="24"/>
        </w:rPr>
      </w:pPr>
    </w:p>
    <w:p w14:paraId="03405384" w14:textId="347A7D87" w:rsidR="00B161C3" w:rsidRPr="009A11CC" w:rsidRDefault="00B161C3" w:rsidP="00A52D2B">
      <w:pPr>
        <w:spacing w:line="240" w:lineRule="auto"/>
        <w:ind w:left="794"/>
        <w:jc w:val="both"/>
      </w:pPr>
    </w:p>
    <w:p w14:paraId="2EEF77F0" w14:textId="77777777" w:rsidR="0078543B" w:rsidRPr="0078543B" w:rsidRDefault="0078543B" w:rsidP="00B161C3">
      <w:pPr>
        <w:spacing w:line="240" w:lineRule="auto"/>
        <w:jc w:val="both"/>
      </w:pPr>
    </w:p>
    <w:p w14:paraId="1A952B20" w14:textId="77777777" w:rsidR="00A52A43" w:rsidRDefault="00A52A43" w:rsidP="00B161C3">
      <w:pPr>
        <w:spacing w:line="240" w:lineRule="auto"/>
        <w:jc w:val="both"/>
      </w:pPr>
    </w:p>
    <w:p w14:paraId="72032A2A" w14:textId="55D0A833" w:rsidR="00061ABC" w:rsidRPr="00061ABC" w:rsidRDefault="00B161C3" w:rsidP="009B23D4">
      <w:pPr>
        <w:spacing w:line="240" w:lineRule="auto"/>
        <w:jc w:val="both"/>
      </w:pPr>
      <w:r>
        <w:t xml:space="preserve"> </w:t>
      </w:r>
      <w:r w:rsidR="00061ABC">
        <w:t xml:space="preserve">  </w:t>
      </w:r>
    </w:p>
    <w:p w14:paraId="4E1559A5" w14:textId="77777777" w:rsidR="00061ABC" w:rsidRPr="00061ABC" w:rsidRDefault="00061ABC" w:rsidP="009B23D4">
      <w:pPr>
        <w:spacing w:line="240" w:lineRule="auto"/>
        <w:jc w:val="both"/>
      </w:pPr>
    </w:p>
    <w:p w14:paraId="4AB202C9" w14:textId="77777777" w:rsidR="007E5A5D" w:rsidRPr="00066429" w:rsidRDefault="007E5A5D" w:rsidP="00A02876">
      <w:pPr>
        <w:spacing w:line="240" w:lineRule="auto"/>
        <w:jc w:val="both"/>
      </w:pPr>
    </w:p>
    <w:p w14:paraId="6FB44005" w14:textId="77777777" w:rsidR="00357AA4" w:rsidRPr="00357AA4" w:rsidRDefault="00357AA4" w:rsidP="00A02876">
      <w:pPr>
        <w:spacing w:line="240" w:lineRule="auto"/>
        <w:jc w:val="both"/>
      </w:pPr>
    </w:p>
    <w:p w14:paraId="7E28A921" w14:textId="77777777" w:rsidR="00E205FB" w:rsidRDefault="00E205FB" w:rsidP="00A02876">
      <w:pPr>
        <w:spacing w:line="240" w:lineRule="auto"/>
        <w:jc w:val="both"/>
      </w:pPr>
    </w:p>
    <w:p w14:paraId="1DD5ED83" w14:textId="77777777" w:rsidR="00F32A97" w:rsidRDefault="00F32A97" w:rsidP="00A02876">
      <w:pPr>
        <w:spacing w:line="240" w:lineRule="auto"/>
        <w:jc w:val="both"/>
      </w:pPr>
    </w:p>
    <w:p w14:paraId="542DEF4A" w14:textId="127B436A" w:rsidR="00991D50" w:rsidRDefault="00F32A97" w:rsidP="00A02876">
      <w:pPr>
        <w:spacing w:line="240" w:lineRule="auto"/>
        <w:jc w:val="both"/>
      </w:pPr>
      <w:r>
        <w:lastRenderedPageBreak/>
        <w:t xml:space="preserve"> </w:t>
      </w:r>
    </w:p>
    <w:p w14:paraId="0E33C1B3" w14:textId="77777777" w:rsidR="00925C4B" w:rsidRDefault="00925C4B" w:rsidP="00A02876">
      <w:pPr>
        <w:spacing w:line="240" w:lineRule="auto"/>
        <w:jc w:val="both"/>
      </w:pPr>
    </w:p>
    <w:p w14:paraId="328211E6" w14:textId="77777777" w:rsidR="00925C4B" w:rsidRDefault="00925C4B" w:rsidP="00A02876">
      <w:pPr>
        <w:spacing w:line="240" w:lineRule="auto"/>
        <w:jc w:val="both"/>
      </w:pPr>
    </w:p>
    <w:p w14:paraId="5B16675E" w14:textId="77777777" w:rsidR="00925C4B" w:rsidRDefault="00925C4B" w:rsidP="00A02876">
      <w:pPr>
        <w:spacing w:line="240" w:lineRule="auto"/>
        <w:jc w:val="both"/>
      </w:pPr>
    </w:p>
    <w:p w14:paraId="5D399502" w14:textId="77777777" w:rsidR="00925C4B" w:rsidRDefault="00925C4B" w:rsidP="00A02876">
      <w:pPr>
        <w:spacing w:line="240" w:lineRule="auto"/>
        <w:jc w:val="both"/>
      </w:pPr>
    </w:p>
    <w:p w14:paraId="46173111" w14:textId="77777777" w:rsidR="00925C4B" w:rsidRDefault="00925C4B" w:rsidP="00A02876">
      <w:pPr>
        <w:spacing w:line="240" w:lineRule="auto"/>
        <w:jc w:val="both"/>
      </w:pPr>
    </w:p>
    <w:p w14:paraId="7045A573" w14:textId="77777777" w:rsidR="00925C4B" w:rsidRDefault="00925C4B" w:rsidP="00A02876">
      <w:pPr>
        <w:spacing w:line="240" w:lineRule="auto"/>
        <w:jc w:val="both"/>
      </w:pPr>
    </w:p>
    <w:p w14:paraId="1B56258E" w14:textId="77777777" w:rsidR="00925C4B" w:rsidRPr="00277637" w:rsidRDefault="00925C4B" w:rsidP="00A02876">
      <w:pPr>
        <w:spacing w:line="240" w:lineRule="auto"/>
        <w:jc w:val="both"/>
      </w:pPr>
    </w:p>
    <w:p w14:paraId="10537846" w14:textId="77777777" w:rsidR="00277637" w:rsidRPr="00313D4E" w:rsidRDefault="00277637" w:rsidP="00A02876">
      <w:pPr>
        <w:spacing w:line="240" w:lineRule="auto"/>
        <w:jc w:val="both"/>
      </w:pPr>
    </w:p>
    <w:p w14:paraId="01EBC79C" w14:textId="789C51E6" w:rsidR="00934003" w:rsidRDefault="00934003" w:rsidP="003422FE">
      <w:pPr>
        <w:jc w:val="both"/>
      </w:pPr>
    </w:p>
    <w:p w14:paraId="76593146" w14:textId="77777777" w:rsidR="00BA60C5" w:rsidRPr="00507FF0" w:rsidRDefault="00BA60C5" w:rsidP="00BA60C5">
      <w:pPr>
        <w:jc w:val="both"/>
      </w:pPr>
    </w:p>
    <w:p w14:paraId="4B66D90E" w14:textId="77777777" w:rsidR="0026233C" w:rsidRPr="0026233C" w:rsidRDefault="0026233C" w:rsidP="00141BF4">
      <w:pPr>
        <w:jc w:val="both"/>
      </w:pPr>
    </w:p>
    <w:p w14:paraId="26828B22" w14:textId="2EAF541F" w:rsidR="00F32879" w:rsidRDefault="00F32879" w:rsidP="00F32879"/>
    <w:sectPr w:rsidR="00F32879">
      <w:headerReference w:type="even" r:id="rId15"/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40116E" w14:textId="77777777" w:rsidR="0095717F" w:rsidRDefault="0095717F" w:rsidP="00012538">
      <w:pPr>
        <w:spacing w:after="0" w:line="240" w:lineRule="auto"/>
      </w:pPr>
      <w:r>
        <w:separator/>
      </w:r>
    </w:p>
  </w:endnote>
  <w:endnote w:type="continuationSeparator" w:id="0">
    <w:p w14:paraId="19432489" w14:textId="77777777" w:rsidR="0095717F" w:rsidRDefault="0095717F" w:rsidP="000125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Libre Baskerville">
    <w:panose1 w:val="02000000000000000000"/>
    <w:charset w:val="00"/>
    <w:family w:val="auto"/>
    <w:pitch w:val="variable"/>
    <w:sig w:usb0="A00000BF" w:usb1="5000005B" w:usb2="00000000" w:usb3="00000000" w:csb0="00000093" w:csb1="00000000"/>
  </w:font>
  <w:font w:name="Ü†P#">
    <w:altName w:val="Calibri"/>
    <w:panose1 w:val="020B0604020202020204"/>
    <w:charset w:val="4D"/>
    <w:family w:val="auto"/>
    <w:notTrueType/>
    <w:pitch w:val="default"/>
    <w:sig w:usb0="00000003" w:usb1="00000000" w:usb2="00000000" w:usb3="00000000" w:csb0="00000001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20ADB7" w14:textId="77777777" w:rsidR="0095717F" w:rsidRDefault="0095717F" w:rsidP="00012538">
      <w:pPr>
        <w:spacing w:after="0" w:line="240" w:lineRule="auto"/>
      </w:pPr>
      <w:r>
        <w:separator/>
      </w:r>
    </w:p>
  </w:footnote>
  <w:footnote w:type="continuationSeparator" w:id="0">
    <w:p w14:paraId="5A8C8D51" w14:textId="77777777" w:rsidR="0095717F" w:rsidRDefault="0095717F" w:rsidP="00012538">
      <w:pPr>
        <w:spacing w:after="0" w:line="240" w:lineRule="auto"/>
      </w:pPr>
      <w:r>
        <w:continuationSeparator/>
      </w:r>
    </w:p>
  </w:footnote>
  <w:footnote w:id="1">
    <w:p w14:paraId="0082455A" w14:textId="0F18C5CE" w:rsidR="001931F4" w:rsidRDefault="001931F4">
      <w:pPr>
        <w:pStyle w:val="FootnoteText"/>
      </w:pPr>
      <w:r>
        <w:rPr>
          <w:rStyle w:val="FootnoteReference"/>
        </w:rPr>
        <w:footnoteRef/>
      </w:r>
      <w:r>
        <w:t xml:space="preserve"> E. A. Speiser, ‘</w:t>
      </w:r>
      <w:r w:rsidRPr="00EF1918">
        <w:t>Descent Of Ishtar Into The Netherworld’</w:t>
      </w:r>
      <w:r>
        <w:t xml:space="preserve">, in </w:t>
      </w:r>
      <w:r w:rsidRPr="00EF1918">
        <w:rPr>
          <w:i/>
          <w:iCs/>
        </w:rPr>
        <w:t xml:space="preserve">The Ancient Near East: An Anthology Of Texts </w:t>
      </w:r>
      <w:r>
        <w:rPr>
          <w:i/>
          <w:iCs/>
        </w:rPr>
        <w:t xml:space="preserve">    </w:t>
      </w:r>
      <w:r w:rsidRPr="00EF1918">
        <w:rPr>
          <w:i/>
          <w:iCs/>
        </w:rPr>
        <w:t>And Pictures,</w:t>
      </w:r>
      <w:r>
        <w:rPr>
          <w:i/>
          <w:iCs/>
        </w:rPr>
        <w:t xml:space="preserve"> </w:t>
      </w:r>
      <w:r>
        <w:t>ed. by James B. Pritchard, (Princeton: Princeton University Press, 2011), pp. 77-82.</w:t>
      </w:r>
    </w:p>
  </w:footnote>
  <w:footnote w:id="2">
    <w:p w14:paraId="6DFEA5D5" w14:textId="2AC2E293" w:rsidR="00F06CB4" w:rsidRDefault="00F06CB4">
      <w:pPr>
        <w:pStyle w:val="FootnoteText"/>
      </w:pPr>
      <w:r>
        <w:rPr>
          <w:rStyle w:val="FootnoteReference"/>
        </w:rPr>
        <w:footnoteRef/>
      </w:r>
      <w:r>
        <w:t xml:space="preserve">  W.A. Mozart </w:t>
      </w:r>
      <w:r w:rsidRPr="006E358B">
        <w:rPr>
          <w:i/>
          <w:iCs/>
        </w:rPr>
        <w:t>The Magic Flute</w:t>
      </w:r>
      <w:r>
        <w:t>, trans. by Andrew Porter, 2</w:t>
      </w:r>
      <w:r w:rsidRPr="006E358B">
        <w:rPr>
          <w:vertAlign w:val="superscript"/>
        </w:rPr>
        <w:t>nd</w:t>
      </w:r>
      <w:r>
        <w:t>. edn. (London: Faber Music, 1985)</w:t>
      </w:r>
    </w:p>
  </w:footnote>
  <w:footnote w:id="3">
    <w:p w14:paraId="5F3A47EA" w14:textId="2836BD84" w:rsidR="00F2409B" w:rsidRDefault="00F240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275A6">
        <w:t xml:space="preserve">Stephanie </w:t>
      </w:r>
      <w:r>
        <w:t>Dalley</w:t>
      </w:r>
      <w:r w:rsidR="00B275A6">
        <w:t xml:space="preserve">, </w:t>
      </w:r>
      <w:r w:rsidR="00B275A6" w:rsidRPr="00215C60">
        <w:rPr>
          <w:i/>
          <w:iCs/>
        </w:rPr>
        <w:t>Myths From Mesopotamia</w:t>
      </w:r>
      <w:r w:rsidR="00B275A6">
        <w:t xml:space="preserve">, </w:t>
      </w:r>
      <w:r w:rsidR="00215C60">
        <w:t>2</w:t>
      </w:r>
      <w:r w:rsidR="00215C60" w:rsidRPr="00215C60">
        <w:rPr>
          <w:vertAlign w:val="superscript"/>
        </w:rPr>
        <w:t>nd</w:t>
      </w:r>
      <w:r w:rsidR="00215C60">
        <w:t xml:space="preserve"> edn. </w:t>
      </w:r>
      <w:r w:rsidR="00B275A6">
        <w:t xml:space="preserve">(Oxford: Oxford University Press, </w:t>
      </w:r>
      <w:r w:rsidR="00215C60">
        <w:t>2000), p. viii.</w:t>
      </w:r>
      <w:r w:rsidR="00B275A6">
        <w:t xml:space="preserve"> </w:t>
      </w:r>
    </w:p>
  </w:footnote>
  <w:footnote w:id="4">
    <w:p w14:paraId="3A1D2810" w14:textId="214397AE" w:rsidR="007873BD" w:rsidRDefault="007873BD">
      <w:pPr>
        <w:pStyle w:val="FootnoteText"/>
      </w:pPr>
      <w:r>
        <w:rPr>
          <w:rStyle w:val="FootnoteReference"/>
        </w:rPr>
        <w:footnoteRef/>
      </w:r>
      <w:r>
        <w:t xml:space="preserve"> Dalley, </w:t>
      </w:r>
      <w:r w:rsidR="00215C60" w:rsidRPr="00215C60">
        <w:rPr>
          <w:i/>
          <w:iCs/>
        </w:rPr>
        <w:t>Myths</w:t>
      </w:r>
      <w:r w:rsidR="00215C60">
        <w:rPr>
          <w:i/>
          <w:iCs/>
        </w:rPr>
        <w:t>,</w:t>
      </w:r>
      <w:r w:rsidR="00215C60">
        <w:t xml:space="preserve"> </w:t>
      </w:r>
      <w:r>
        <w:t>p. xvi</w:t>
      </w:r>
      <w:r w:rsidR="00363B1E">
        <w:t>.</w:t>
      </w:r>
    </w:p>
  </w:footnote>
  <w:footnote w:id="5">
    <w:p w14:paraId="49244D27" w14:textId="483020CD" w:rsidR="00012538" w:rsidRDefault="00012538" w:rsidP="00F553B1">
      <w:pPr>
        <w:spacing w:after="0" w:line="240" w:lineRule="auto"/>
      </w:pPr>
      <w:r>
        <w:rPr>
          <w:rStyle w:val="FootnoteReference"/>
        </w:rPr>
        <w:footnoteRef/>
      </w:r>
      <w:r w:rsidR="00507F6D">
        <w:t xml:space="preserve"> </w:t>
      </w:r>
      <w:r w:rsidR="00C91312" w:rsidRPr="00C91312">
        <w:rPr>
          <w:sz w:val="20"/>
          <w:szCs w:val="20"/>
        </w:rPr>
        <w:t xml:space="preserve">Miroslav </w:t>
      </w:r>
      <w:r w:rsidRPr="00C91312">
        <w:rPr>
          <w:sz w:val="20"/>
          <w:szCs w:val="20"/>
        </w:rPr>
        <w:t>Marcovich</w:t>
      </w:r>
      <w:r w:rsidR="00C91312">
        <w:rPr>
          <w:sz w:val="20"/>
          <w:szCs w:val="20"/>
        </w:rPr>
        <w:t xml:space="preserve">, ‘From Ishtar To Aphrodite’, </w:t>
      </w:r>
      <w:r w:rsidR="00C91312" w:rsidRPr="00C91312">
        <w:rPr>
          <w:i/>
          <w:iCs/>
          <w:sz w:val="20"/>
          <w:szCs w:val="20"/>
        </w:rPr>
        <w:t>The Journal of Aesthetic Education</w:t>
      </w:r>
      <w:r w:rsidR="00507F6D" w:rsidRPr="00507F6D">
        <w:rPr>
          <w:rStyle w:val="src"/>
          <w:sz w:val="20"/>
          <w:szCs w:val="20"/>
        </w:rPr>
        <w:t xml:space="preserve"> Vol. 30, No. 2, </w:t>
      </w:r>
      <w:r w:rsidR="00D00F19">
        <w:rPr>
          <w:rStyle w:val="src"/>
          <w:sz w:val="20"/>
          <w:szCs w:val="20"/>
        </w:rPr>
        <w:t xml:space="preserve">        </w:t>
      </w:r>
      <w:r w:rsidR="00507F6D" w:rsidRPr="00507F6D">
        <w:rPr>
          <w:rStyle w:val="src"/>
          <w:sz w:val="20"/>
          <w:szCs w:val="20"/>
        </w:rPr>
        <w:t xml:space="preserve">Summer, 1996), pp. 43-59 </w:t>
      </w:r>
      <w:r w:rsidR="00C91312">
        <w:rPr>
          <w:rStyle w:val="src"/>
          <w:sz w:val="20"/>
          <w:szCs w:val="20"/>
        </w:rPr>
        <w:t xml:space="preserve">(p. </w:t>
      </w:r>
      <w:r w:rsidR="00D00F19">
        <w:rPr>
          <w:rStyle w:val="src"/>
          <w:sz w:val="20"/>
          <w:szCs w:val="20"/>
        </w:rPr>
        <w:t xml:space="preserve">46). </w:t>
      </w:r>
      <w:hyperlink r:id="rId1" w:history="1">
        <w:r w:rsidR="00D00F19" w:rsidRPr="0089646D">
          <w:rPr>
            <w:rStyle w:val="Hyperlink"/>
            <w:sz w:val="20"/>
            <w:szCs w:val="20"/>
          </w:rPr>
          <w:t>https://www.jstor.org/stable/3333191</w:t>
        </w:r>
      </w:hyperlink>
      <w:r w:rsidR="00D00F19">
        <w:rPr>
          <w:rStyle w:val="copy-stable-url"/>
          <w:sz w:val="20"/>
          <w:szCs w:val="20"/>
        </w:rPr>
        <w:t xml:space="preserve"> [accessed 12/3/2025] </w:t>
      </w:r>
    </w:p>
  </w:footnote>
  <w:footnote w:id="6">
    <w:p w14:paraId="786032B7" w14:textId="36C43C21" w:rsidR="00450C2C" w:rsidRDefault="00450C2C">
      <w:pPr>
        <w:pStyle w:val="FootnoteText"/>
      </w:pPr>
      <w:r>
        <w:rPr>
          <w:rStyle w:val="FootnoteReference"/>
        </w:rPr>
        <w:footnoteRef/>
      </w:r>
      <w:r>
        <w:t xml:space="preserve"> Dalley</w:t>
      </w:r>
      <w:r w:rsidR="00363B1E">
        <w:t xml:space="preserve">, </w:t>
      </w:r>
      <w:r w:rsidR="00363B1E" w:rsidRPr="00363B1E">
        <w:rPr>
          <w:i/>
          <w:iCs/>
        </w:rPr>
        <w:t>Myths</w:t>
      </w:r>
      <w:r w:rsidR="00363B1E">
        <w:t>, p.</w:t>
      </w:r>
      <w:r>
        <w:t xml:space="preserve"> xvi</w:t>
      </w:r>
      <w:r w:rsidR="00363B1E">
        <w:t>.</w:t>
      </w:r>
    </w:p>
  </w:footnote>
  <w:footnote w:id="7">
    <w:p w14:paraId="462D3C27" w14:textId="0792AD25" w:rsidR="00A14F98" w:rsidRDefault="00A14F98">
      <w:pPr>
        <w:pStyle w:val="FootnoteText"/>
      </w:pPr>
      <w:r>
        <w:rPr>
          <w:rStyle w:val="FootnoteReference"/>
        </w:rPr>
        <w:footnoteRef/>
      </w:r>
      <w:r>
        <w:t xml:space="preserve"> Marcovich, ‘From Ishtar’, p. 45.</w:t>
      </w:r>
    </w:p>
  </w:footnote>
  <w:footnote w:id="8">
    <w:p w14:paraId="3530413B" w14:textId="3459E7FA" w:rsidR="00E4727B" w:rsidRPr="00E4727B" w:rsidRDefault="00E4727B">
      <w:pPr>
        <w:pStyle w:val="FootnoteText"/>
      </w:pPr>
      <w:r>
        <w:rPr>
          <w:rStyle w:val="FootnoteReference"/>
        </w:rPr>
        <w:footnoteRef/>
      </w:r>
      <w:r>
        <w:t xml:space="preserve"> Patrick McCafferty, ‘Comets And Meteors: The Ignored Explanations For Myths And Apocalypse’, in </w:t>
      </w:r>
      <w:r w:rsidRPr="00E4727B">
        <w:rPr>
          <w:i/>
          <w:iCs/>
        </w:rPr>
        <w:t>The Imagined Sky: Cultural Perspectives,</w:t>
      </w:r>
      <w:r>
        <w:t xml:space="preserve"> ed. by Darrelyn Gunzburg (Sheffield: Equinox</w:t>
      </w:r>
      <w:r w:rsidR="00AE49E3">
        <w:t>, 2016), pp.23-43 (p. 27).</w:t>
      </w:r>
    </w:p>
  </w:footnote>
  <w:footnote w:id="9">
    <w:p w14:paraId="5D2603E8" w14:textId="6BF1F203" w:rsidR="00630AFD" w:rsidRDefault="00630A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04C24">
        <w:t>I</w:t>
      </w:r>
      <w:r>
        <w:t>bid, p. 27.</w:t>
      </w:r>
    </w:p>
  </w:footnote>
  <w:footnote w:id="10">
    <w:p w14:paraId="4A311193" w14:textId="69FD0EAF" w:rsidR="00CF3F4E" w:rsidRDefault="00CF3F4E">
      <w:pPr>
        <w:pStyle w:val="FootnoteText"/>
      </w:pPr>
      <w:r>
        <w:rPr>
          <w:rStyle w:val="FootnoteReference"/>
        </w:rPr>
        <w:footnoteRef/>
      </w:r>
      <w:r>
        <w:t xml:space="preserve"> Mary Midgley, </w:t>
      </w:r>
      <w:r w:rsidRPr="00CF3F4E">
        <w:rPr>
          <w:i/>
          <w:iCs/>
        </w:rPr>
        <w:t>The Myths We Live By</w:t>
      </w:r>
      <w:r>
        <w:t>, (Abingdon: Routledge, 2004), p. 1.</w:t>
      </w:r>
    </w:p>
  </w:footnote>
  <w:footnote w:id="11">
    <w:p w14:paraId="7E82516E" w14:textId="23398862" w:rsidR="0002438D" w:rsidRDefault="0002438D">
      <w:pPr>
        <w:pStyle w:val="FootnoteText"/>
      </w:pPr>
      <w:r>
        <w:rPr>
          <w:rStyle w:val="FootnoteReference"/>
        </w:rPr>
        <w:footnoteRef/>
      </w:r>
      <w:r>
        <w:t xml:space="preserve"> Terry Eagleton, </w:t>
      </w:r>
      <w:r w:rsidRPr="0002438D">
        <w:rPr>
          <w:i/>
          <w:iCs/>
        </w:rPr>
        <w:t>The Idea Of Culture</w:t>
      </w:r>
      <w:r>
        <w:t xml:space="preserve">, </w:t>
      </w:r>
      <w:r w:rsidR="00EE67F2">
        <w:t>(Malden: Blackwell, 2000), p. 17.</w:t>
      </w:r>
    </w:p>
  </w:footnote>
  <w:footnote w:id="12">
    <w:p w14:paraId="3EEF9F0D" w14:textId="22857905" w:rsidR="006D3B7A" w:rsidRDefault="006D3B7A">
      <w:pPr>
        <w:pStyle w:val="FootnoteText"/>
      </w:pPr>
      <w:r>
        <w:rPr>
          <w:rStyle w:val="FootnoteReference"/>
        </w:rPr>
        <w:footnoteRef/>
      </w:r>
      <w:r>
        <w:t xml:space="preserve"> Terry Eagleton, </w:t>
      </w:r>
      <w:r w:rsidRPr="00F00D88">
        <w:rPr>
          <w:i/>
          <w:iCs/>
        </w:rPr>
        <w:t>Culture,</w:t>
      </w:r>
      <w:r>
        <w:t xml:space="preserve"> (Yale: Yale University Press, 2023), p. 1.</w:t>
      </w:r>
    </w:p>
  </w:footnote>
  <w:footnote w:id="13">
    <w:p w14:paraId="518CE38C" w14:textId="64916C09" w:rsidR="00962147" w:rsidRDefault="009621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12A3">
        <w:t>I</w:t>
      </w:r>
      <w:r w:rsidR="006D3B7A">
        <w:t>bid.</w:t>
      </w:r>
      <w:r>
        <w:t xml:space="preserve"> p. 1.</w:t>
      </w:r>
    </w:p>
  </w:footnote>
  <w:footnote w:id="14">
    <w:p w14:paraId="6472A484" w14:textId="260C28C3" w:rsidR="00435689" w:rsidRDefault="0043568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12A3">
        <w:t>I</w:t>
      </w:r>
      <w:r>
        <w:t>bid. p. 1.</w:t>
      </w:r>
    </w:p>
  </w:footnote>
  <w:footnote w:id="15">
    <w:p w14:paraId="2A9E9D6F" w14:textId="55F29812" w:rsidR="00C60287" w:rsidRDefault="00C60287">
      <w:pPr>
        <w:pStyle w:val="FootnoteText"/>
      </w:pPr>
      <w:r>
        <w:rPr>
          <w:rStyle w:val="FootnoteReference"/>
        </w:rPr>
        <w:footnoteRef/>
      </w:r>
      <w:r>
        <w:t xml:space="preserve"> Allen G. Debus, </w:t>
      </w:r>
      <w:r w:rsidR="00B56062" w:rsidRPr="00B56062">
        <w:rPr>
          <w:i/>
          <w:iCs/>
        </w:rPr>
        <w:t>Man And Nature In The Renaissance</w:t>
      </w:r>
      <w:r w:rsidR="00B56062">
        <w:t xml:space="preserve">, (Cambridge: Cambridge University Press, 1978; repr. 1996), p. </w:t>
      </w:r>
      <w:r w:rsidR="005D5EC5">
        <w:t>ix.</w:t>
      </w:r>
    </w:p>
  </w:footnote>
  <w:footnote w:id="16">
    <w:p w14:paraId="5988411C" w14:textId="71548B1F" w:rsidR="004E36D5" w:rsidRDefault="004E36D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12A3">
        <w:t>I</w:t>
      </w:r>
      <w:r>
        <w:t>bid, p. 11.</w:t>
      </w:r>
    </w:p>
  </w:footnote>
  <w:footnote w:id="17">
    <w:p w14:paraId="4D57DB97" w14:textId="48CD2894" w:rsidR="00C129F4" w:rsidRDefault="00C129F4">
      <w:pPr>
        <w:pStyle w:val="FootnoteText"/>
      </w:pPr>
      <w:r>
        <w:rPr>
          <w:rStyle w:val="FootnoteReference"/>
        </w:rPr>
        <w:footnoteRef/>
      </w:r>
      <w:r>
        <w:t xml:space="preserve"> Priscilla Stuckey, ‘</w:t>
      </w:r>
      <w:r w:rsidRPr="004F51B0">
        <w:rPr>
          <w:color w:val="000000"/>
          <w:spacing w:val="-5"/>
        </w:rPr>
        <w:t xml:space="preserve">Light Dispels Darkness: Gender, Ritual, and Society in Mozart's </w:t>
      </w:r>
      <w:r w:rsidRPr="004F51B0">
        <w:rPr>
          <w:i/>
          <w:iCs/>
          <w:color w:val="000000"/>
          <w:spacing w:val="-5"/>
        </w:rPr>
        <w:t>The Magic Flute</w:t>
      </w:r>
      <w:r>
        <w:rPr>
          <w:i/>
          <w:iCs/>
          <w:color w:val="000000"/>
          <w:spacing w:val="-5"/>
        </w:rPr>
        <w:t>’</w:t>
      </w:r>
      <w:r>
        <w:rPr>
          <w:color w:val="000000"/>
          <w:spacing w:val="-5"/>
        </w:rPr>
        <w:t xml:space="preserve">, Journal of Feminist Studies in Religion, </w:t>
      </w:r>
      <w:r>
        <w:rPr>
          <w:rStyle w:val="src"/>
          <w:rFonts w:ascii="Helvetica" w:hAnsi="Helvetica"/>
          <w:color w:val="343332"/>
          <w:spacing w:val="-5"/>
        </w:rPr>
        <w:t xml:space="preserve"> 11, No. 1 (1995), pp. 5-39 (p. 8).</w:t>
      </w:r>
      <w:r w:rsidR="00245389">
        <w:rPr>
          <w:rStyle w:val="src"/>
          <w:rFonts w:ascii="Helvetica" w:hAnsi="Helvetica"/>
          <w:color w:val="343332"/>
          <w:spacing w:val="-5"/>
        </w:rPr>
        <w:t xml:space="preserve"> </w:t>
      </w:r>
      <w:hyperlink r:id="rId2" w:history="1">
        <w:r w:rsidR="00245389" w:rsidRPr="00AB24A8">
          <w:rPr>
            <w:rStyle w:val="Hyperlink"/>
            <w:rFonts w:ascii="Helvetica" w:hAnsi="Helvetica"/>
            <w:spacing w:val="-5"/>
          </w:rPr>
          <w:t>https://www.jstor.org/stable/25002242</w:t>
        </w:r>
      </w:hyperlink>
      <w:r w:rsidR="00245389">
        <w:rPr>
          <w:rStyle w:val="src"/>
          <w:rFonts w:ascii="Helvetica" w:hAnsi="Helvetica"/>
          <w:color w:val="343332"/>
          <w:spacing w:val="-5"/>
        </w:rPr>
        <w:t xml:space="preserve"> [accessed 18 March 2025]</w:t>
      </w:r>
    </w:p>
  </w:footnote>
  <w:footnote w:id="18">
    <w:p w14:paraId="7F757AF0" w14:textId="388A5F5D" w:rsidR="00F036BF" w:rsidRDefault="00F036BF">
      <w:pPr>
        <w:pStyle w:val="FootnoteText"/>
      </w:pPr>
      <w:r>
        <w:rPr>
          <w:rStyle w:val="FootnoteReference"/>
        </w:rPr>
        <w:footnoteRef/>
      </w:r>
      <w:r>
        <w:t xml:space="preserve"> Brigid Brophy, </w:t>
      </w:r>
      <w:r w:rsidRPr="00F036BF">
        <w:rPr>
          <w:i/>
          <w:iCs/>
        </w:rPr>
        <w:t>Mozart The Dramatist: The value of his operas to him, to his age and to us</w:t>
      </w:r>
      <w:r>
        <w:t>, 2</w:t>
      </w:r>
      <w:r w:rsidRPr="00F036BF">
        <w:rPr>
          <w:vertAlign w:val="superscript"/>
        </w:rPr>
        <w:t>nd</w:t>
      </w:r>
      <w:r>
        <w:t xml:space="preserve"> edn. (London: Libris, 1988), p. 143.</w:t>
      </w:r>
    </w:p>
  </w:footnote>
  <w:footnote w:id="19">
    <w:p w14:paraId="29BF6002" w14:textId="18AB6C9D" w:rsidR="005707A4" w:rsidRDefault="005707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C1FAB">
        <w:t xml:space="preserve">Karen Armstrong, </w:t>
      </w:r>
      <w:r w:rsidR="004C1FAB" w:rsidRPr="004C1FAB">
        <w:rPr>
          <w:i/>
          <w:iCs/>
        </w:rPr>
        <w:t>A History of God,</w:t>
      </w:r>
      <w:r w:rsidR="004C1FAB">
        <w:t xml:space="preserve"> (London: Vintage, 1999), pp. 392-396.</w:t>
      </w:r>
    </w:p>
  </w:footnote>
  <w:footnote w:id="20">
    <w:p w14:paraId="3FA61D0A" w14:textId="027ADE2E" w:rsidR="00C60DFD" w:rsidRPr="0060150C" w:rsidRDefault="00C60DFD">
      <w:pPr>
        <w:pStyle w:val="FootnoteText"/>
      </w:pPr>
      <w:r>
        <w:rPr>
          <w:rStyle w:val="FootnoteReference"/>
        </w:rPr>
        <w:footnoteRef/>
      </w:r>
      <w:r>
        <w:t xml:space="preserve"> David J. Buch, </w:t>
      </w:r>
      <w:r w:rsidR="00627B7A">
        <w:t>‘</w:t>
      </w:r>
      <w:r w:rsidRPr="00627B7A">
        <w:t>Die Zauberflöte, Masonic Opera, and Other Fairy Tales</w:t>
      </w:r>
      <w:r w:rsidR="00627B7A" w:rsidRPr="00627B7A">
        <w:t>’</w:t>
      </w:r>
      <w:r>
        <w:t xml:space="preserve">, </w:t>
      </w:r>
      <w:r w:rsidR="00627B7A" w:rsidRPr="00627B7A">
        <w:rPr>
          <w:i/>
          <w:iCs/>
        </w:rPr>
        <w:t>Acta Musicologia</w:t>
      </w:r>
      <w:r w:rsidR="00627B7A">
        <w:t xml:space="preserve">, </w:t>
      </w:r>
      <w:r w:rsidR="0060150C" w:rsidRPr="0060150C">
        <w:rPr>
          <w:color w:val="343332"/>
          <w:spacing w:val="-5"/>
        </w:rPr>
        <w:t>Vol. 76, (2004), pp. 193-219</w:t>
      </w:r>
      <w:r w:rsidR="0060150C">
        <w:rPr>
          <w:color w:val="343332"/>
          <w:spacing w:val="-5"/>
        </w:rPr>
        <w:t xml:space="preserve">, (p. 204) </w:t>
      </w:r>
      <w:hyperlink r:id="rId3" w:history="1">
        <w:r w:rsidR="0060150C" w:rsidRPr="00216122">
          <w:rPr>
            <w:rStyle w:val="Hyperlink"/>
            <w:spacing w:val="-5"/>
          </w:rPr>
          <w:t>https://www-jstor-org.ezproxy.uwtsd.ac.uk/stable/733806?seq=16</w:t>
        </w:r>
      </w:hyperlink>
      <w:r w:rsidR="0060150C">
        <w:rPr>
          <w:color w:val="343332"/>
          <w:spacing w:val="-5"/>
        </w:rPr>
        <w:t xml:space="preserve"> [accessed 1/4/2025]</w:t>
      </w:r>
    </w:p>
  </w:footnote>
  <w:footnote w:id="21">
    <w:p w14:paraId="7847B1DE" w14:textId="4721833B" w:rsidR="000408B5" w:rsidRDefault="000408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5790B">
        <w:t xml:space="preserve">Immanuel Kant, </w:t>
      </w:r>
      <w:r w:rsidR="00F5790B" w:rsidRPr="001E77E9">
        <w:rPr>
          <w:i/>
          <w:iCs/>
        </w:rPr>
        <w:t>Critique Of Pure Reason</w:t>
      </w:r>
      <w:r w:rsidR="00F5790B">
        <w:t>, trans. by Norman Kemp Smith, 2</w:t>
      </w:r>
      <w:r w:rsidR="00F5790B" w:rsidRPr="00F5790B">
        <w:rPr>
          <w:vertAlign w:val="superscript"/>
        </w:rPr>
        <w:t>nd</w:t>
      </w:r>
      <w:r w:rsidR="00F5790B">
        <w:t xml:space="preserve"> edn. (Houndmills: Palgrave Macmillan, 2007),</w:t>
      </w:r>
      <w:r w:rsidR="001E77E9">
        <w:t xml:space="preserve"> p. 634.</w:t>
      </w:r>
    </w:p>
  </w:footnote>
  <w:footnote w:id="22">
    <w:p w14:paraId="2A4FB3B8" w14:textId="32D6D9D3" w:rsidR="004B001A" w:rsidRPr="00CA6D3C" w:rsidRDefault="004B001A" w:rsidP="00E306AD">
      <w:pPr>
        <w:pStyle w:val="p1"/>
      </w:pPr>
      <w:r>
        <w:rPr>
          <w:rStyle w:val="FootnoteReference"/>
        </w:rPr>
        <w:footnoteRef/>
      </w:r>
      <w:r>
        <w:t xml:space="preserve"> </w:t>
      </w:r>
      <w:r w:rsidRPr="00CA6D3C">
        <w:rPr>
          <w:rFonts w:asciiTheme="minorHAnsi" w:hAnsiTheme="minorHAnsi"/>
          <w:sz w:val="20"/>
          <w:szCs w:val="20"/>
        </w:rPr>
        <w:t xml:space="preserve">Kate Bartel, ‘Pamina, portraits, and the feminine in Mozart and Schikaneder’s </w:t>
      </w:r>
      <w:r w:rsidRPr="00CA6D3C">
        <w:rPr>
          <w:rFonts w:asciiTheme="minorHAnsi" w:hAnsiTheme="minorHAnsi"/>
          <w:i/>
          <w:iCs/>
          <w:sz w:val="20"/>
          <w:szCs w:val="20"/>
        </w:rPr>
        <w:t>Die Zauberflöte’</w:t>
      </w:r>
      <w:r w:rsidRPr="00CA6D3C">
        <w:rPr>
          <w:rFonts w:asciiTheme="minorHAnsi" w:hAnsiTheme="minorHAnsi"/>
          <w:sz w:val="20"/>
          <w:szCs w:val="20"/>
        </w:rPr>
        <w:t xml:space="preserve">, </w:t>
      </w:r>
      <w:r w:rsidRPr="00CA6D3C">
        <w:rPr>
          <w:rFonts w:asciiTheme="minorHAnsi" w:hAnsiTheme="minorHAnsi"/>
          <w:i/>
          <w:iCs/>
          <w:sz w:val="20"/>
          <w:szCs w:val="20"/>
        </w:rPr>
        <w:t>Musicology Australia</w:t>
      </w:r>
      <w:r w:rsidRPr="00CA6D3C">
        <w:rPr>
          <w:rFonts w:asciiTheme="minorHAnsi" w:hAnsiTheme="minorHAnsi"/>
          <w:sz w:val="20"/>
          <w:szCs w:val="20"/>
        </w:rPr>
        <w:t xml:space="preserve">, </w:t>
      </w:r>
      <w:r w:rsidR="00CA6D3C" w:rsidRPr="00CA6D3C">
        <w:rPr>
          <w:rFonts w:asciiTheme="minorHAnsi" w:hAnsiTheme="minorHAnsi"/>
          <w:sz w:val="20"/>
          <w:szCs w:val="20"/>
        </w:rPr>
        <w:t>22:1 (1999), 31-45 (p. 31)</w:t>
      </w:r>
      <w:r w:rsidR="00736C3F">
        <w:rPr>
          <w:rFonts w:asciiTheme="minorHAnsi" w:hAnsiTheme="minorHAnsi"/>
          <w:sz w:val="20"/>
          <w:szCs w:val="20"/>
        </w:rPr>
        <w:t xml:space="preserve"> </w:t>
      </w:r>
      <w:r w:rsidR="00736C3F" w:rsidRPr="00736C3F">
        <w:rPr>
          <w:rFonts w:asciiTheme="minorHAnsi" w:hAnsiTheme="minorHAnsi"/>
          <w:sz w:val="20"/>
          <w:szCs w:val="20"/>
        </w:rPr>
        <w:t>https://doi.org/10.1080/08145857.1999.10416562</w:t>
      </w:r>
    </w:p>
  </w:footnote>
  <w:footnote w:id="23">
    <w:p w14:paraId="0FB6AF61" w14:textId="5FC63BD0" w:rsidR="00D61CC4" w:rsidRDefault="00D61CC4">
      <w:pPr>
        <w:pStyle w:val="FootnoteText"/>
      </w:pPr>
      <w:r>
        <w:rPr>
          <w:rStyle w:val="FootnoteReference"/>
        </w:rPr>
        <w:footnoteRef/>
      </w:r>
      <w:r>
        <w:t xml:space="preserve"> Louise Pryke, </w:t>
      </w:r>
      <w:r w:rsidRPr="00D61CC4">
        <w:rPr>
          <w:i/>
          <w:iCs/>
        </w:rPr>
        <w:t>Ishtar</w:t>
      </w:r>
      <w:r>
        <w:t xml:space="preserve">, World History Encyclopedia, 2019, </w:t>
      </w:r>
      <w:hyperlink r:id="rId4" w:history="1">
        <w:r w:rsidRPr="003B035C">
          <w:rPr>
            <w:rStyle w:val="Hyperlink"/>
          </w:rPr>
          <w:t>https://www.worldhistory.org/ishtar/</w:t>
        </w:r>
      </w:hyperlink>
      <w:r>
        <w:t xml:space="preserve"> </w:t>
      </w:r>
      <w:r w:rsidR="008F2C71">
        <w:t>[a</w:t>
      </w:r>
      <w:r>
        <w:t>ccessed 2/3/2025</w:t>
      </w:r>
      <w:r w:rsidR="008F2C71">
        <w:t>].</w:t>
      </w:r>
    </w:p>
  </w:footnote>
  <w:footnote w:id="24">
    <w:p w14:paraId="5A57E6D2" w14:textId="35A7DADA" w:rsidR="00597555" w:rsidRDefault="00597555">
      <w:pPr>
        <w:pStyle w:val="FootnoteText"/>
      </w:pPr>
      <w:r>
        <w:rPr>
          <w:rStyle w:val="FootnoteReference"/>
        </w:rPr>
        <w:footnoteRef/>
      </w:r>
      <w:r>
        <w:t xml:space="preserve"> Spei</w:t>
      </w:r>
      <w:r w:rsidR="00823C38">
        <w:t>s</w:t>
      </w:r>
      <w:r>
        <w:t>er</w:t>
      </w:r>
      <w:r w:rsidR="00823C38">
        <w:t>, ‘Descent of Ishtar’</w:t>
      </w:r>
      <w:r w:rsidR="00D4253D">
        <w:t>, p. 78.</w:t>
      </w:r>
    </w:p>
  </w:footnote>
  <w:footnote w:id="25">
    <w:p w14:paraId="1A82B4F9" w14:textId="68501B65" w:rsidR="00686234" w:rsidRDefault="0068623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06B76">
        <w:t>Ibid, p. 78.</w:t>
      </w:r>
    </w:p>
  </w:footnote>
  <w:footnote w:id="26">
    <w:p w14:paraId="454E9C92" w14:textId="1AFF3557" w:rsidR="00FF2983" w:rsidRDefault="00FF2983" w:rsidP="00FF29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12A3">
        <w:t>I</w:t>
      </w:r>
      <w:r w:rsidR="00D4253D">
        <w:t>bid</w:t>
      </w:r>
      <w:r w:rsidR="003B5574">
        <w:t>, p.80.</w:t>
      </w:r>
    </w:p>
  </w:footnote>
  <w:footnote w:id="27">
    <w:p w14:paraId="73D95AE3" w14:textId="77777777" w:rsidR="00FF2983" w:rsidRPr="00F45E13" w:rsidRDefault="00FF2983" w:rsidP="00FF2983">
      <w:pPr>
        <w:pStyle w:val="FootnoteText"/>
      </w:pPr>
      <w:r>
        <w:rPr>
          <w:rStyle w:val="FootnoteReference"/>
        </w:rPr>
        <w:footnoteRef/>
      </w:r>
      <w:r>
        <w:t xml:space="preserve"> Caìtlin Barret, ‘Was Dust Their Food And Clay Their Bread? Grave Goods, The Mesopotamian Afterlife, And The Liminal Role Of Inana/Ishtar’, </w:t>
      </w:r>
      <w:r w:rsidRPr="00140DB8">
        <w:rPr>
          <w:i/>
          <w:iCs/>
        </w:rPr>
        <w:t>Journal of Ancient Near Easter Religions</w:t>
      </w:r>
      <w:r>
        <w:rPr>
          <w:i/>
          <w:iCs/>
        </w:rPr>
        <w:t xml:space="preserve">, </w:t>
      </w:r>
      <w:r>
        <w:t xml:space="preserve">7 (1): (2007), 7-65 (p. 20) </w:t>
      </w:r>
      <w:hyperlink r:id="rId5" w:history="1">
        <w:r w:rsidRPr="003B035C">
          <w:rPr>
            <w:rStyle w:val="Hyperlink"/>
          </w:rPr>
          <w:t>https://brill-com.ezproxy.uwtsd.ac.uk/view/journals/jane/7/1/article-p7_2.pdf</w:t>
        </w:r>
      </w:hyperlink>
      <w:r>
        <w:t xml:space="preserve"> [accessed 2 March 2025].</w:t>
      </w:r>
    </w:p>
  </w:footnote>
  <w:footnote w:id="28">
    <w:p w14:paraId="263DEA37" w14:textId="185E6C91" w:rsidR="00AA05A1" w:rsidRPr="00AA05A1" w:rsidRDefault="00AA05A1" w:rsidP="00AA05A1">
      <w:pPr>
        <w:pStyle w:val="p1"/>
        <w:rPr>
          <w:rFonts w:asciiTheme="minorHAnsi" w:hAnsiTheme="minorHAnsi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AA05A1">
        <w:rPr>
          <w:rFonts w:asciiTheme="minorHAnsi" w:hAnsiTheme="minorHAnsi"/>
          <w:sz w:val="20"/>
          <w:szCs w:val="20"/>
        </w:rPr>
        <w:t>Julye Bidmead and Marilyn Love, ‘Ištar’s</w:t>
      </w:r>
      <w:r>
        <w:rPr>
          <w:rFonts w:asciiTheme="minorHAnsi" w:hAnsiTheme="minorHAnsi"/>
          <w:sz w:val="20"/>
          <w:szCs w:val="20"/>
        </w:rPr>
        <w:t xml:space="preserve"> </w:t>
      </w:r>
      <w:r w:rsidRPr="00AA05A1">
        <w:rPr>
          <w:rFonts w:asciiTheme="minorHAnsi" w:hAnsiTheme="minorHAnsi"/>
          <w:sz w:val="20"/>
          <w:szCs w:val="20"/>
        </w:rPr>
        <w:t xml:space="preserve">Journey: Above and Below’, </w:t>
      </w:r>
      <w:r w:rsidRPr="00AA05A1">
        <w:rPr>
          <w:rFonts w:asciiTheme="minorHAnsi" w:hAnsiTheme="minorHAnsi"/>
          <w:i/>
          <w:iCs/>
          <w:sz w:val="20"/>
          <w:szCs w:val="20"/>
        </w:rPr>
        <w:t>Culture and Cosmos,</w:t>
      </w:r>
      <w:r w:rsidRPr="00AA05A1">
        <w:rPr>
          <w:rFonts w:asciiTheme="minorHAnsi" w:hAnsiTheme="minorHAnsi"/>
          <w:sz w:val="20"/>
          <w:szCs w:val="20"/>
        </w:rPr>
        <w:t xml:space="preserve"> Vol. 22 no 1,</w:t>
      </w:r>
    </w:p>
    <w:p w14:paraId="64F9E330" w14:textId="77777777" w:rsidR="008A5614" w:rsidRDefault="00AA05A1" w:rsidP="00AA05A1">
      <w:pPr>
        <w:spacing w:after="0" w:line="240" w:lineRule="auto"/>
        <w:rPr>
          <w:rFonts w:eastAsia="Times New Roman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AA05A1">
        <w:rPr>
          <w:rFonts w:eastAsia="Times New Roman" w:cs="Times New Roman"/>
          <w:color w:val="000000"/>
          <w:kern w:val="0"/>
          <w:sz w:val="20"/>
          <w:szCs w:val="20"/>
          <w:lang w:eastAsia="en-GB"/>
          <w14:ligatures w14:val="none"/>
        </w:rPr>
        <w:t>Spring/Summer 2018, pp. 5-28</w:t>
      </w:r>
      <w:r>
        <w:rPr>
          <w:rFonts w:eastAsia="Times New Roman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, </w:t>
      </w:r>
      <w:r w:rsidR="008A5614">
        <w:rPr>
          <w:rFonts w:eastAsia="Times New Roman" w:cs="Times New Roman"/>
          <w:color w:val="000000"/>
          <w:kern w:val="0"/>
          <w:sz w:val="20"/>
          <w:szCs w:val="20"/>
          <w:lang w:eastAsia="en-GB"/>
          <w14:ligatures w14:val="none"/>
        </w:rPr>
        <w:t>(</w:t>
      </w:r>
      <w:r>
        <w:rPr>
          <w:rFonts w:eastAsia="Times New Roman" w:cs="Times New Roman"/>
          <w:color w:val="000000"/>
          <w:kern w:val="0"/>
          <w:sz w:val="20"/>
          <w:szCs w:val="20"/>
          <w:lang w:eastAsia="en-GB"/>
          <w14:ligatures w14:val="none"/>
        </w:rPr>
        <w:t>p.</w:t>
      </w:r>
      <w:r w:rsidR="008A5614">
        <w:rPr>
          <w:rFonts w:eastAsia="Times New Roman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8). </w:t>
      </w:r>
    </w:p>
    <w:p w14:paraId="506739D4" w14:textId="48782C43" w:rsidR="00AA05A1" w:rsidRDefault="008A5614" w:rsidP="00AA05A1">
      <w:pPr>
        <w:spacing w:after="0" w:line="240" w:lineRule="auto"/>
      </w:pPr>
      <w:hyperlink r:id="rId6" w:history="1">
        <w:r w:rsidRPr="005E5B37">
          <w:rPr>
            <w:rStyle w:val="Hyperlink"/>
            <w:rFonts w:eastAsia="Times New Roman" w:cs="Times New Roman"/>
            <w:kern w:val="0"/>
            <w:sz w:val="20"/>
            <w:szCs w:val="20"/>
            <w:lang w:eastAsia="en-GB"/>
            <w14:ligatures w14:val="none"/>
          </w:rPr>
          <w:t>https://cultureandcosmos.org/pdfs/22/22-1_bidmead_and_love_istar.pdf</w:t>
        </w:r>
      </w:hyperlink>
      <w:r>
        <w:rPr>
          <w:rFonts w:eastAsia="Times New Roman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[accessed 28 March 2025]</w:t>
      </w:r>
    </w:p>
  </w:footnote>
  <w:footnote w:id="29">
    <w:p w14:paraId="0436395D" w14:textId="720C34FF" w:rsidR="002B688C" w:rsidRDefault="002B68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67835">
        <w:t>Mozart,</w:t>
      </w:r>
      <w:r w:rsidR="00167835" w:rsidRPr="00F06CB4">
        <w:rPr>
          <w:i/>
          <w:iCs/>
        </w:rPr>
        <w:t xml:space="preserve"> </w:t>
      </w:r>
      <w:r w:rsidR="00167835" w:rsidRPr="006E358B">
        <w:rPr>
          <w:i/>
          <w:iCs/>
        </w:rPr>
        <w:t>Magic Flute</w:t>
      </w:r>
      <w:r w:rsidR="006E358B">
        <w:t>, Act 1, Scene 2, p. 16.</w:t>
      </w:r>
    </w:p>
  </w:footnote>
  <w:footnote w:id="30">
    <w:p w14:paraId="0786EE2A" w14:textId="123DC820" w:rsidR="00333D27" w:rsidRDefault="00333D27">
      <w:pPr>
        <w:pStyle w:val="FootnoteText"/>
      </w:pPr>
      <w:r>
        <w:rPr>
          <w:rStyle w:val="FootnoteReference"/>
        </w:rPr>
        <w:footnoteRef/>
      </w:r>
      <w:r>
        <w:t xml:space="preserve"> Spei</w:t>
      </w:r>
      <w:r w:rsidR="00FB13B6">
        <w:t>s</w:t>
      </w:r>
      <w:r>
        <w:t>er</w:t>
      </w:r>
      <w:r w:rsidR="0087603B">
        <w:t>, ‘Descent Of Ishtar’</w:t>
      </w:r>
      <w:r w:rsidR="00DF0073">
        <w:t>, p. 79.</w:t>
      </w:r>
    </w:p>
  </w:footnote>
  <w:footnote w:id="31">
    <w:p w14:paraId="794AE2E9" w14:textId="18BF883C" w:rsidR="00A47E61" w:rsidRDefault="00A47E61">
      <w:pPr>
        <w:pStyle w:val="FootnoteText"/>
      </w:pPr>
      <w:r>
        <w:rPr>
          <w:rStyle w:val="FootnoteReference"/>
        </w:rPr>
        <w:footnoteRef/>
      </w:r>
      <w:r>
        <w:t xml:space="preserve"> Frederick W. Sternfeld, </w:t>
      </w:r>
      <w:r w:rsidR="00B21C13">
        <w:t xml:space="preserve">‘Orpheus, Ovid and Opera’, </w:t>
      </w:r>
      <w:r w:rsidR="00B21C13" w:rsidRPr="00B21C13">
        <w:rPr>
          <w:i/>
          <w:iCs/>
        </w:rPr>
        <w:t>Journal of the Royal Musical Association</w:t>
      </w:r>
      <w:r w:rsidR="00B21C13">
        <w:t xml:space="preserve">, 113, No.2 (1988), 172-202 (p. 188). </w:t>
      </w:r>
      <w:r w:rsidR="00F96CA8" w:rsidRPr="00F96CA8">
        <w:t xml:space="preserve">https://www.jstor.org/stable/766358 </w:t>
      </w:r>
      <w:r w:rsidR="00B21C13">
        <w:rPr>
          <w:rFonts w:ascii="Helvetica" w:hAnsi="Helvetica"/>
          <w:color w:val="000000"/>
          <w:spacing w:val="-5"/>
        </w:rPr>
        <w:t>[accessed 18 March 2025].</w:t>
      </w:r>
    </w:p>
  </w:footnote>
  <w:footnote w:id="32">
    <w:p w14:paraId="559BF758" w14:textId="05EC2F71" w:rsidR="004E667D" w:rsidRDefault="004E667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E358B">
        <w:t xml:space="preserve">Mozart, </w:t>
      </w:r>
      <w:r w:rsidR="006E358B" w:rsidRPr="006E358B">
        <w:rPr>
          <w:i/>
          <w:iCs/>
        </w:rPr>
        <w:t>Magic Flute,</w:t>
      </w:r>
      <w:r w:rsidR="006E358B">
        <w:t xml:space="preserve"> </w:t>
      </w:r>
      <w:r w:rsidR="00DB440E">
        <w:t>Act 2, Scene 8, p. 56.</w:t>
      </w:r>
    </w:p>
  </w:footnote>
  <w:footnote w:id="33">
    <w:p w14:paraId="41E01204" w14:textId="77777777" w:rsidR="00E639EC" w:rsidRDefault="00E639EC" w:rsidP="00E639EC">
      <w:pPr>
        <w:pStyle w:val="FootnoteText"/>
      </w:pPr>
      <w:r>
        <w:rPr>
          <w:rStyle w:val="FootnoteReference"/>
        </w:rPr>
        <w:footnoteRef/>
      </w:r>
      <w:r>
        <w:t xml:space="preserve"> Ibid, Act 2, Scene 3, p. 49.</w:t>
      </w:r>
    </w:p>
  </w:footnote>
  <w:footnote w:id="34">
    <w:p w14:paraId="455A24D7" w14:textId="52BE82F8" w:rsidR="007C7084" w:rsidRDefault="007C7084">
      <w:pPr>
        <w:pStyle w:val="FootnoteText"/>
      </w:pPr>
      <w:r>
        <w:rPr>
          <w:rStyle w:val="FootnoteReference"/>
        </w:rPr>
        <w:footnoteRef/>
      </w:r>
      <w:r>
        <w:t xml:space="preserve"> Ibid, Act 1, Scene 18, p. 41.</w:t>
      </w:r>
    </w:p>
  </w:footnote>
  <w:footnote w:id="35">
    <w:p w14:paraId="0EAD73A5" w14:textId="130A196A" w:rsidR="004506FA" w:rsidRPr="00045C9A" w:rsidRDefault="004506FA">
      <w:pPr>
        <w:pStyle w:val="FootnoteText"/>
      </w:pPr>
      <w:r>
        <w:rPr>
          <w:rStyle w:val="FootnoteReference"/>
        </w:rPr>
        <w:footnoteRef/>
      </w:r>
      <w:r>
        <w:t xml:space="preserve"> P.G. Baker, ‘Night into Day: Pat</w:t>
      </w:r>
      <w:r w:rsidR="00A37186">
        <w:t xml:space="preserve">terns of Symbolism in Mozart’s </w:t>
      </w:r>
      <w:r w:rsidR="00A37186" w:rsidRPr="00A37186">
        <w:rPr>
          <w:i/>
          <w:iCs/>
        </w:rPr>
        <w:t>The Magic Flute</w:t>
      </w:r>
      <w:r w:rsidR="00A37186">
        <w:t xml:space="preserve">, </w:t>
      </w:r>
      <w:r w:rsidR="00A37186" w:rsidRPr="00A37186">
        <w:rPr>
          <w:i/>
          <w:iCs/>
        </w:rPr>
        <w:t>University of Toronto Quarterly</w:t>
      </w:r>
      <w:r w:rsidR="00A37186">
        <w:t>, 49 (1979/80), pp. 95-116 (p. 100).</w:t>
      </w:r>
      <w:r w:rsidR="00A37186">
        <w:rPr>
          <w:rStyle w:val="apple-converted-space"/>
          <w:rFonts w:ascii="Arial" w:hAnsi="Arial" w:cs="Arial"/>
          <w:color w:val="0A0A0A"/>
          <w:sz w:val="21"/>
          <w:szCs w:val="21"/>
          <w:shd w:val="clear" w:color="auto" w:fill="FFFFFF"/>
        </w:rPr>
        <w:t> </w:t>
      </w:r>
      <w:hyperlink r:id="rId7" w:history="1">
        <w:r w:rsidR="00A37186">
          <w:rPr>
            <w:rStyle w:val="Hyperlink"/>
            <w:rFonts w:ascii="Arial" w:hAnsi="Arial" w:cs="Arial"/>
            <w:color w:val="3262A4"/>
            <w:sz w:val="21"/>
            <w:szCs w:val="21"/>
          </w:rPr>
          <w:t>https://muse.jhu.edu/article/513632</w:t>
        </w:r>
      </w:hyperlink>
      <w:r w:rsidR="00A37186">
        <w:rPr>
          <w:rFonts w:ascii="Arial" w:hAnsi="Arial" w:cs="Arial"/>
          <w:color w:val="0A0A0A"/>
          <w:sz w:val="21"/>
          <w:szCs w:val="21"/>
          <w:shd w:val="clear" w:color="auto" w:fill="FFFFFF"/>
        </w:rPr>
        <w:t>.</w:t>
      </w:r>
      <w:r w:rsidR="00045C9A">
        <w:rPr>
          <w:rFonts w:ascii="Arial" w:hAnsi="Arial" w:cs="Arial"/>
          <w:color w:val="0A0A0A"/>
          <w:sz w:val="21"/>
          <w:szCs w:val="21"/>
          <w:shd w:val="clear" w:color="auto" w:fill="FFFFFF"/>
        </w:rPr>
        <w:t xml:space="preserve"> </w:t>
      </w:r>
      <w:r w:rsidR="00045C9A" w:rsidRPr="00045C9A">
        <w:rPr>
          <w:rFonts w:cs="Arial"/>
          <w:color w:val="0A0A0A"/>
          <w:shd w:val="clear" w:color="auto" w:fill="FFFFFF"/>
        </w:rPr>
        <w:t>[accessed 15</w:t>
      </w:r>
      <w:r w:rsidR="00045C9A" w:rsidRPr="00045C9A">
        <w:rPr>
          <w:rFonts w:cs="Arial"/>
          <w:color w:val="0A0A0A"/>
          <w:shd w:val="clear" w:color="auto" w:fill="FFFFFF"/>
          <w:vertAlign w:val="superscript"/>
        </w:rPr>
        <w:t>th</w:t>
      </w:r>
      <w:r w:rsidR="00045C9A" w:rsidRPr="00045C9A">
        <w:rPr>
          <w:rFonts w:cs="Arial"/>
          <w:color w:val="0A0A0A"/>
          <w:shd w:val="clear" w:color="auto" w:fill="FFFFFF"/>
        </w:rPr>
        <w:t xml:space="preserve"> March 2025]</w:t>
      </w:r>
      <w:r w:rsidR="00045C9A">
        <w:rPr>
          <w:rFonts w:cs="Arial"/>
          <w:color w:val="0A0A0A"/>
          <w:shd w:val="clear" w:color="auto" w:fill="FFFFFF"/>
        </w:rPr>
        <w:t>.</w:t>
      </w:r>
      <w:r w:rsidR="00045C9A" w:rsidRPr="00045C9A">
        <w:rPr>
          <w:rFonts w:ascii="Arial" w:hAnsi="Arial" w:cs="Arial"/>
          <w:i/>
          <w:iCs/>
          <w:color w:val="0A0A0A"/>
          <w:sz w:val="21"/>
          <w:szCs w:val="21"/>
        </w:rPr>
        <w:t xml:space="preserve"> </w:t>
      </w:r>
      <w:r w:rsidR="00045C9A">
        <w:rPr>
          <w:rFonts w:ascii="Arial" w:hAnsi="Arial" w:cs="Arial"/>
          <w:i/>
          <w:iCs/>
          <w:color w:val="0A0A0A"/>
          <w:sz w:val="21"/>
          <w:szCs w:val="21"/>
        </w:rPr>
        <w:t>Project MUSE</w:t>
      </w:r>
      <w:r w:rsidR="00045C9A">
        <w:rPr>
          <w:rFonts w:ascii="Arial" w:hAnsi="Arial" w:cs="Arial"/>
          <w:color w:val="0A0A0A"/>
          <w:sz w:val="21"/>
          <w:szCs w:val="21"/>
          <w:shd w:val="clear" w:color="auto" w:fill="FFFFFF"/>
        </w:rPr>
        <w:t>,</w:t>
      </w:r>
      <w:r w:rsidR="00045C9A">
        <w:rPr>
          <w:rStyle w:val="apple-converted-space"/>
          <w:rFonts w:ascii="Arial" w:hAnsi="Arial" w:cs="Arial"/>
          <w:color w:val="0A0A0A"/>
          <w:sz w:val="21"/>
          <w:szCs w:val="21"/>
          <w:shd w:val="clear" w:color="auto" w:fill="FFFFFF"/>
        </w:rPr>
        <w:t> </w:t>
      </w:r>
      <w:hyperlink r:id="rId8" w:history="1">
        <w:r w:rsidR="00045C9A">
          <w:rPr>
            <w:rStyle w:val="Hyperlink"/>
            <w:rFonts w:ascii="Arial" w:hAnsi="Arial" w:cs="Arial"/>
            <w:color w:val="3262A4"/>
            <w:sz w:val="21"/>
            <w:szCs w:val="21"/>
          </w:rPr>
          <w:t>https://muse.jhu.edu/article/513632</w:t>
        </w:r>
      </w:hyperlink>
      <w:r w:rsidR="00045C9A">
        <w:rPr>
          <w:rFonts w:ascii="Arial" w:hAnsi="Arial" w:cs="Arial"/>
          <w:color w:val="0A0A0A"/>
          <w:sz w:val="21"/>
          <w:szCs w:val="21"/>
          <w:shd w:val="clear" w:color="auto" w:fill="FFFFFF"/>
        </w:rPr>
        <w:t>.</w:t>
      </w:r>
    </w:p>
  </w:footnote>
  <w:footnote w:id="36">
    <w:p w14:paraId="1833A76F" w14:textId="5EB9839C" w:rsidR="00B40C28" w:rsidRDefault="00B40C28">
      <w:pPr>
        <w:pStyle w:val="FootnoteText"/>
      </w:pPr>
      <w:r>
        <w:rPr>
          <w:rStyle w:val="FootnoteReference"/>
        </w:rPr>
        <w:footnoteRef/>
      </w:r>
      <w:r>
        <w:t xml:space="preserve"> Bartel, ‘Pamina, portraits’(p. 31).</w:t>
      </w:r>
    </w:p>
  </w:footnote>
  <w:footnote w:id="37">
    <w:p w14:paraId="3EA99F06" w14:textId="348324B9" w:rsidR="00995C53" w:rsidRDefault="00995C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C6084">
        <w:t>Speicer, ‘Descent of Ishtar’, p. 77.</w:t>
      </w:r>
    </w:p>
  </w:footnote>
  <w:footnote w:id="38">
    <w:p w14:paraId="3986FBCD" w14:textId="06B58BE4" w:rsidR="00F75377" w:rsidRDefault="00F75377">
      <w:pPr>
        <w:pStyle w:val="FootnoteText"/>
      </w:pPr>
      <w:r>
        <w:rPr>
          <w:rStyle w:val="FootnoteReference"/>
        </w:rPr>
        <w:footnoteRef/>
      </w:r>
      <w:r>
        <w:t xml:space="preserve"> Francesca Rochberg, </w:t>
      </w:r>
      <w:r w:rsidRPr="009537A2">
        <w:rPr>
          <w:i/>
          <w:iCs/>
        </w:rPr>
        <w:t>The Heavenly Writing</w:t>
      </w:r>
      <w:r>
        <w:t>, (</w:t>
      </w:r>
      <w:r w:rsidR="009537A2">
        <w:t>New York: Cambridge University Press, 200</w:t>
      </w:r>
      <w:r w:rsidR="00AF7EF4">
        <w:t>4</w:t>
      </w:r>
      <w:r w:rsidR="00D16ECC">
        <w:t>;</w:t>
      </w:r>
      <w:r w:rsidR="009F5F08">
        <w:t xml:space="preserve"> repr. 2011</w:t>
      </w:r>
      <w:r w:rsidR="009537A2">
        <w:t xml:space="preserve">), p. 46. </w:t>
      </w:r>
    </w:p>
  </w:footnote>
  <w:footnote w:id="39">
    <w:p w14:paraId="6ECD0007" w14:textId="25FDECA4" w:rsidR="00175FA8" w:rsidRDefault="00BB6879" w:rsidP="00175FA8">
      <w:pPr>
        <w:pStyle w:val="FootnoteText"/>
        <w:rPr>
          <w:rFonts w:ascii="Noto Sans" w:hAnsi="Noto Sans" w:cs="Noto Sans"/>
        </w:rPr>
      </w:pPr>
      <w:r>
        <w:rPr>
          <w:rStyle w:val="FootnoteReference"/>
        </w:rPr>
        <w:footnoteRef/>
      </w:r>
      <w:r>
        <w:t xml:space="preserve"> </w:t>
      </w:r>
      <w:r w:rsidR="00C856F7">
        <w:t xml:space="preserve">Shiyanthi Thavapalan, ‘Radiant Things For Gods And Men: Lightness And Darkness In Mesopotamian Language And Thought’, </w:t>
      </w:r>
      <w:r w:rsidR="00C856F7" w:rsidRPr="00C856F7">
        <w:rPr>
          <w:i/>
          <w:iCs/>
        </w:rPr>
        <w:t>Colour Turn</w:t>
      </w:r>
      <w:r w:rsidR="00C856F7">
        <w:t xml:space="preserve">, No. 1 (2018), </w:t>
      </w:r>
      <w:r w:rsidR="00175FA8">
        <w:t xml:space="preserve">V11-1 - V11-36 (pp. V-12,13) </w:t>
      </w:r>
      <w:r w:rsidR="00175FA8">
        <w:rPr>
          <w:rStyle w:val="apple-converted-space"/>
          <w:rFonts w:ascii="Noto Sans" w:hAnsi="Noto Sans" w:cs="Noto Sans"/>
        </w:rPr>
        <w:t> </w:t>
      </w:r>
    </w:p>
    <w:p w14:paraId="51314E9A" w14:textId="21C5CADE" w:rsidR="00175FA8" w:rsidRDefault="00175FA8" w:rsidP="00175FA8">
      <w:pPr>
        <w:pStyle w:val="FootnoteText"/>
      </w:pPr>
      <w:r>
        <w:rPr>
          <w:rStyle w:val="value"/>
          <w:rFonts w:ascii="Noto Sans" w:hAnsi="Noto Sans" w:cs="Noto Sans"/>
          <w:sz w:val="21"/>
          <w:szCs w:val="21"/>
        </w:rPr>
        <w:t xml:space="preserve"> </w:t>
      </w:r>
      <w:hyperlink r:id="rId9" w:history="1">
        <w:r w:rsidRPr="0089646D">
          <w:rPr>
            <w:rStyle w:val="Hyperlink"/>
            <w:rFonts w:ascii="Noto Sans" w:hAnsi="Noto Sans" w:cs="Noto Sans"/>
            <w:sz w:val="21"/>
            <w:szCs w:val="21"/>
          </w:rPr>
          <w:t>https://doi.org/10.25538/tct.v0i1.675</w:t>
        </w:r>
      </w:hyperlink>
    </w:p>
  </w:footnote>
  <w:footnote w:id="40">
    <w:p w14:paraId="5C58D840" w14:textId="5FB4A5A3" w:rsidR="002C6084" w:rsidRDefault="002C608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F2475">
        <w:t>Speicer, ‘The Descent of Ishtar’, p. 77.</w:t>
      </w:r>
    </w:p>
  </w:footnote>
  <w:footnote w:id="41">
    <w:p w14:paraId="3AB21F8C" w14:textId="5A2046B2" w:rsidR="00FB4C5A" w:rsidRPr="0062559E" w:rsidRDefault="00FB4C5A">
      <w:pPr>
        <w:pStyle w:val="FootnoteText"/>
      </w:pPr>
      <w:r>
        <w:rPr>
          <w:rStyle w:val="FootnoteReference"/>
        </w:rPr>
        <w:footnoteRef/>
      </w:r>
      <w:r>
        <w:t xml:space="preserve"> Jessica Waldoff, ‘The Music Of Recognition</w:t>
      </w:r>
      <w:r w:rsidR="0062559E">
        <w:t>:</w:t>
      </w:r>
      <w:r>
        <w:t xml:space="preserve"> </w:t>
      </w:r>
      <w:r w:rsidR="0062559E">
        <w:t xml:space="preserve">Operatic Enlightenment In ‘The Magic Flute’’, </w:t>
      </w:r>
      <w:r w:rsidR="0062559E" w:rsidRPr="0062559E">
        <w:rPr>
          <w:i/>
          <w:iCs/>
        </w:rPr>
        <w:t xml:space="preserve">Mind And Letters, </w:t>
      </w:r>
      <w:r w:rsidR="0062559E">
        <w:t>75, No. 2. (May 1994</w:t>
      </w:r>
      <w:r w:rsidR="00E308C0">
        <w:t>)</w:t>
      </w:r>
      <w:r w:rsidR="002A7DD1">
        <w:t>,</w:t>
      </w:r>
      <w:r w:rsidR="00E308C0">
        <w:t xml:space="preserve"> </w:t>
      </w:r>
      <w:r w:rsidR="002A7DD1">
        <w:t xml:space="preserve">pp.214-235, (p. 216) </w:t>
      </w:r>
      <w:hyperlink r:id="rId10" w:history="1">
        <w:r w:rsidR="00D72DD0" w:rsidRPr="0089646D">
          <w:rPr>
            <w:rStyle w:val="Hyperlink"/>
          </w:rPr>
          <w:t>https://www.jstor.org/stable/737677</w:t>
        </w:r>
      </w:hyperlink>
      <w:r w:rsidR="00D72DD0">
        <w:t xml:space="preserve"> [accessed 12 March 2025].</w:t>
      </w:r>
    </w:p>
  </w:footnote>
  <w:footnote w:id="42">
    <w:p w14:paraId="7A0927CA" w14:textId="31545574" w:rsidR="00A65CB1" w:rsidRDefault="00A65CB1">
      <w:pPr>
        <w:pStyle w:val="FootnoteText"/>
      </w:pPr>
      <w:r>
        <w:rPr>
          <w:rStyle w:val="FootnoteReference"/>
        </w:rPr>
        <w:footnoteRef/>
      </w:r>
      <w:r>
        <w:t xml:space="preserve"> Mozart,</w:t>
      </w:r>
      <w:r w:rsidR="00AB45E2">
        <w:t xml:space="preserve"> </w:t>
      </w:r>
      <w:r w:rsidRPr="006E319A">
        <w:rPr>
          <w:i/>
          <w:iCs/>
        </w:rPr>
        <w:t>Magic Flute</w:t>
      </w:r>
      <w:r>
        <w:t>, Act 2, Scene 26, p. 71.</w:t>
      </w:r>
    </w:p>
  </w:footnote>
  <w:footnote w:id="43">
    <w:p w14:paraId="0472C42A" w14:textId="30D588AF" w:rsidR="00925C4B" w:rsidRDefault="00925C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65CB1">
        <w:t>Ibid,</w:t>
      </w:r>
      <w:r>
        <w:t xml:space="preserve"> Act 2, Scene 8, p</w:t>
      </w:r>
      <w:r w:rsidR="00745F33">
        <w:t>p</w:t>
      </w:r>
      <w:r>
        <w:t>. 54</w:t>
      </w:r>
      <w:r w:rsidR="00745F33">
        <w:t>-55.</w:t>
      </w:r>
    </w:p>
  </w:footnote>
  <w:footnote w:id="44">
    <w:p w14:paraId="226A4D15" w14:textId="53674806" w:rsidR="00745F33" w:rsidRDefault="00745F33">
      <w:pPr>
        <w:pStyle w:val="FootnoteText"/>
      </w:pPr>
      <w:r>
        <w:rPr>
          <w:rStyle w:val="FootnoteReference"/>
        </w:rPr>
        <w:footnoteRef/>
      </w:r>
      <w:r>
        <w:t xml:space="preserve"> Ibid, Act 2, Scene 8, p. 55.</w:t>
      </w:r>
    </w:p>
  </w:footnote>
  <w:footnote w:id="45">
    <w:p w14:paraId="6502E384" w14:textId="403AEE90" w:rsidR="00F000E5" w:rsidRDefault="00F000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12A3">
        <w:t>I</w:t>
      </w:r>
      <w:r>
        <w:t>bid, Act 2, Scene 30, p. 79.</w:t>
      </w:r>
    </w:p>
  </w:footnote>
  <w:footnote w:id="46">
    <w:p w14:paraId="39B260C0" w14:textId="43E81E42" w:rsidR="007A69D9" w:rsidRPr="00BB522B" w:rsidRDefault="007A69D9">
      <w:pPr>
        <w:pStyle w:val="FootnoteText"/>
      </w:pPr>
      <w:r>
        <w:rPr>
          <w:rStyle w:val="FootnoteReference"/>
        </w:rPr>
        <w:footnoteRef/>
      </w:r>
      <w:r>
        <w:t xml:space="preserve"> Thomas Bauman, </w:t>
      </w:r>
      <w:r w:rsidR="00BB522B">
        <w:t xml:space="preserve">‘Partial Derivatives: Sources, Types, and Tropes’, in </w:t>
      </w:r>
      <w:r w:rsidR="00BB522B" w:rsidRPr="00BB522B">
        <w:rPr>
          <w:i/>
          <w:iCs/>
        </w:rPr>
        <w:t>The Cambridge Companion to The Magic Flute</w:t>
      </w:r>
      <w:r w:rsidR="00BB522B">
        <w:rPr>
          <w:i/>
          <w:iCs/>
        </w:rPr>
        <w:t xml:space="preserve">, </w:t>
      </w:r>
      <w:r w:rsidR="00BB522B">
        <w:t>ed. by Jessica Waldoff (Cambridge: Cambridge University Press, 2023), pp. 221-233 (p. 228).</w:t>
      </w:r>
    </w:p>
  </w:footnote>
  <w:footnote w:id="47">
    <w:p w14:paraId="7B773195" w14:textId="77777777" w:rsidR="001463CE" w:rsidRDefault="001463CE" w:rsidP="001463CE">
      <w:pPr>
        <w:pStyle w:val="FootnoteText"/>
      </w:pPr>
      <w:r>
        <w:rPr>
          <w:rStyle w:val="FootnoteReference"/>
        </w:rPr>
        <w:footnoteRef/>
      </w:r>
      <w:r>
        <w:t xml:space="preserve"> Speicer, ‘Descent of Ishtar’, p. 78.</w:t>
      </w:r>
    </w:p>
  </w:footnote>
  <w:footnote w:id="48">
    <w:p w14:paraId="6C9D2F5A" w14:textId="457C7056" w:rsidR="00D65984" w:rsidRDefault="00D6598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12A3">
        <w:t>I</w:t>
      </w:r>
      <w:r>
        <w:t>bid, p. 79.</w:t>
      </w:r>
    </w:p>
  </w:footnote>
  <w:footnote w:id="49">
    <w:p w14:paraId="4F814AB0" w14:textId="77777777" w:rsidR="007F338D" w:rsidRDefault="007F338D" w:rsidP="007F338D">
      <w:pPr>
        <w:pStyle w:val="FootnoteText"/>
      </w:pPr>
      <w:r>
        <w:rPr>
          <w:rStyle w:val="FootnoteReference"/>
        </w:rPr>
        <w:footnoteRef/>
      </w:r>
      <w:r>
        <w:t xml:space="preserve"> Stuckey, ‘</w:t>
      </w:r>
      <w:r w:rsidRPr="004F51B0">
        <w:rPr>
          <w:color w:val="000000"/>
          <w:spacing w:val="-5"/>
        </w:rPr>
        <w:t>Light Dispels Darkness</w:t>
      </w:r>
      <w:r>
        <w:rPr>
          <w:color w:val="000000"/>
          <w:spacing w:val="-5"/>
        </w:rPr>
        <w:t>’ , (p. 8).</w:t>
      </w:r>
    </w:p>
  </w:footnote>
  <w:footnote w:id="50">
    <w:p w14:paraId="4EC5EAED" w14:textId="747943B4" w:rsidR="00A768EF" w:rsidRDefault="00A768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4317B">
        <w:t xml:space="preserve">Maynard Soloman, </w:t>
      </w:r>
      <w:r w:rsidR="0014317B" w:rsidRPr="0014317B">
        <w:rPr>
          <w:i/>
          <w:iCs/>
        </w:rPr>
        <w:t>Mozart: A Life</w:t>
      </w:r>
      <w:r w:rsidR="0014317B">
        <w:t xml:space="preserve">, (London: </w:t>
      </w:r>
      <w:r w:rsidR="002C0E28">
        <w:t>Hutchinson</w:t>
      </w:r>
      <w:r w:rsidR="0014317B">
        <w:t>,</w:t>
      </w:r>
      <w:r w:rsidR="002C0E28">
        <w:t xml:space="preserve"> 1995), p. 590.</w:t>
      </w:r>
      <w:r w:rsidR="0014317B">
        <w:t xml:space="preserve"> </w:t>
      </w:r>
    </w:p>
  </w:footnote>
  <w:footnote w:id="51">
    <w:p w14:paraId="3F87CC31" w14:textId="0C1D2E25" w:rsidR="00D05D40" w:rsidRDefault="00D05D40">
      <w:pPr>
        <w:pStyle w:val="FootnoteText"/>
      </w:pPr>
      <w:r>
        <w:rPr>
          <w:rStyle w:val="FootnoteReference"/>
        </w:rPr>
        <w:footnoteRef/>
      </w:r>
      <w:r>
        <w:t xml:space="preserve"> Mozart, </w:t>
      </w:r>
      <w:r w:rsidRPr="00D05D40">
        <w:rPr>
          <w:i/>
          <w:iCs/>
        </w:rPr>
        <w:t>Magic Flute</w:t>
      </w:r>
      <w:r>
        <w:t>, Act 2, Scene 2, p. 45.</w:t>
      </w:r>
    </w:p>
  </w:footnote>
  <w:footnote w:id="52">
    <w:p w14:paraId="464A0562" w14:textId="75DE6C24" w:rsidR="005042F1" w:rsidRDefault="005042F1">
      <w:pPr>
        <w:pStyle w:val="FootnoteText"/>
      </w:pPr>
      <w:r>
        <w:rPr>
          <w:rStyle w:val="FootnoteReference"/>
        </w:rPr>
        <w:footnoteRef/>
      </w:r>
      <w:r>
        <w:t xml:space="preserve"> Nicholas Campion, </w:t>
      </w:r>
      <w:r w:rsidRPr="004972D8">
        <w:rPr>
          <w:i/>
          <w:iCs/>
        </w:rPr>
        <w:t>A History of Western Astrology,</w:t>
      </w:r>
      <w:r>
        <w:t xml:space="preserve"> </w:t>
      </w:r>
      <w:r w:rsidR="004972D8">
        <w:t>Vol. 1, (London: Bloomsbury Academic, 2008; repr. 2015), p. 91.</w:t>
      </w:r>
    </w:p>
  </w:footnote>
  <w:footnote w:id="53">
    <w:p w14:paraId="51366AB0" w14:textId="1B2F3ADD" w:rsidR="00902A97" w:rsidRPr="00902A97" w:rsidRDefault="00902A97">
      <w:pPr>
        <w:pStyle w:val="FootnoteText"/>
      </w:pPr>
      <w:r>
        <w:rPr>
          <w:rStyle w:val="FootnoteReference"/>
        </w:rPr>
        <w:footnoteRef/>
      </w:r>
      <w:r>
        <w:t xml:space="preserve"> Françoise Dunand and Christine Zivie-Coche, </w:t>
      </w:r>
      <w:r w:rsidRPr="00902A97">
        <w:rPr>
          <w:i/>
          <w:iCs/>
        </w:rPr>
        <w:t>Gods And Men In Egypt: 3000 BCE To 395 CE,</w:t>
      </w:r>
      <w:r>
        <w:t xml:space="preserve"> </w:t>
      </w:r>
      <w:r w:rsidR="0089432B">
        <w:t>trans. by David Lorton, (Ithaca: Cornell University Press, 2004), p. 39.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205919731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184F0673" w14:textId="4EF28C63" w:rsidR="005A343A" w:rsidRDefault="005A343A" w:rsidP="00216122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ED5BA0A" w14:textId="77777777" w:rsidR="005A343A" w:rsidRDefault="005A343A" w:rsidP="005A343A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869732661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BB0DA9C" w14:textId="3D0239E4" w:rsidR="005A343A" w:rsidRDefault="005A343A" w:rsidP="00216122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7</w:t>
        </w:r>
        <w:r>
          <w:rPr>
            <w:rStyle w:val="PageNumber"/>
          </w:rPr>
          <w:fldChar w:fldCharType="end"/>
        </w:r>
      </w:p>
    </w:sdtContent>
  </w:sdt>
  <w:p w14:paraId="74444FA8" w14:textId="77777777" w:rsidR="005A343A" w:rsidRDefault="005A343A" w:rsidP="005A343A">
    <w:pPr>
      <w:pStyle w:val="Header"/>
      <w:ind w:right="36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4604"/>
    <w:rsid w:val="000032AA"/>
    <w:rsid w:val="00005522"/>
    <w:rsid w:val="00012538"/>
    <w:rsid w:val="00015C70"/>
    <w:rsid w:val="00016733"/>
    <w:rsid w:val="0001780A"/>
    <w:rsid w:val="000216D3"/>
    <w:rsid w:val="00023DB3"/>
    <w:rsid w:val="0002438D"/>
    <w:rsid w:val="000327F4"/>
    <w:rsid w:val="0003694E"/>
    <w:rsid w:val="00036EF7"/>
    <w:rsid w:val="000408B5"/>
    <w:rsid w:val="00045C9A"/>
    <w:rsid w:val="00046F12"/>
    <w:rsid w:val="00056332"/>
    <w:rsid w:val="00061ABC"/>
    <w:rsid w:val="00062136"/>
    <w:rsid w:val="0006255F"/>
    <w:rsid w:val="00066429"/>
    <w:rsid w:val="000670A9"/>
    <w:rsid w:val="000856D3"/>
    <w:rsid w:val="00090ACC"/>
    <w:rsid w:val="00090D9D"/>
    <w:rsid w:val="00093CF9"/>
    <w:rsid w:val="00094F0C"/>
    <w:rsid w:val="00096FBA"/>
    <w:rsid w:val="000A3344"/>
    <w:rsid w:val="000A3D94"/>
    <w:rsid w:val="000B2251"/>
    <w:rsid w:val="000D2D79"/>
    <w:rsid w:val="000E3E29"/>
    <w:rsid w:val="000E7B40"/>
    <w:rsid w:val="000F06E6"/>
    <w:rsid w:val="000F4866"/>
    <w:rsid w:val="000F6935"/>
    <w:rsid w:val="001056A5"/>
    <w:rsid w:val="00111F11"/>
    <w:rsid w:val="001168CC"/>
    <w:rsid w:val="00120274"/>
    <w:rsid w:val="0012243A"/>
    <w:rsid w:val="001245C7"/>
    <w:rsid w:val="0012494E"/>
    <w:rsid w:val="0013143C"/>
    <w:rsid w:val="00137F85"/>
    <w:rsid w:val="00140DB8"/>
    <w:rsid w:val="00141BF4"/>
    <w:rsid w:val="00142768"/>
    <w:rsid w:val="0014317B"/>
    <w:rsid w:val="001463CE"/>
    <w:rsid w:val="00156031"/>
    <w:rsid w:val="001563B9"/>
    <w:rsid w:val="00157374"/>
    <w:rsid w:val="00164C67"/>
    <w:rsid w:val="00167835"/>
    <w:rsid w:val="00167E4C"/>
    <w:rsid w:val="001759B9"/>
    <w:rsid w:val="00175FA8"/>
    <w:rsid w:val="00177221"/>
    <w:rsid w:val="00180854"/>
    <w:rsid w:val="00181F28"/>
    <w:rsid w:val="00182E9B"/>
    <w:rsid w:val="00183519"/>
    <w:rsid w:val="001931F4"/>
    <w:rsid w:val="00194E47"/>
    <w:rsid w:val="001A0FAC"/>
    <w:rsid w:val="001A1E7F"/>
    <w:rsid w:val="001A366F"/>
    <w:rsid w:val="001B28BF"/>
    <w:rsid w:val="001C0342"/>
    <w:rsid w:val="001C4D9D"/>
    <w:rsid w:val="001D6266"/>
    <w:rsid w:val="001D7CF1"/>
    <w:rsid w:val="001E16CB"/>
    <w:rsid w:val="001E77E9"/>
    <w:rsid w:val="00201973"/>
    <w:rsid w:val="00201B05"/>
    <w:rsid w:val="002044B8"/>
    <w:rsid w:val="00210EA7"/>
    <w:rsid w:val="002116E0"/>
    <w:rsid w:val="002127E1"/>
    <w:rsid w:val="0021447C"/>
    <w:rsid w:val="00215C60"/>
    <w:rsid w:val="00220AE6"/>
    <w:rsid w:val="00225335"/>
    <w:rsid w:val="002267FE"/>
    <w:rsid w:val="002311BE"/>
    <w:rsid w:val="002329CB"/>
    <w:rsid w:val="00235C1B"/>
    <w:rsid w:val="00241070"/>
    <w:rsid w:val="00245389"/>
    <w:rsid w:val="00252DC7"/>
    <w:rsid w:val="00260916"/>
    <w:rsid w:val="0026233C"/>
    <w:rsid w:val="002707A6"/>
    <w:rsid w:val="00272AB3"/>
    <w:rsid w:val="00277637"/>
    <w:rsid w:val="00277E0D"/>
    <w:rsid w:val="002816A2"/>
    <w:rsid w:val="002824EA"/>
    <w:rsid w:val="00285207"/>
    <w:rsid w:val="002854F8"/>
    <w:rsid w:val="00287178"/>
    <w:rsid w:val="00290BE3"/>
    <w:rsid w:val="00293909"/>
    <w:rsid w:val="002A0EF2"/>
    <w:rsid w:val="002A194F"/>
    <w:rsid w:val="002A624C"/>
    <w:rsid w:val="002A63D2"/>
    <w:rsid w:val="002A7DD1"/>
    <w:rsid w:val="002B10F7"/>
    <w:rsid w:val="002B35C6"/>
    <w:rsid w:val="002B688C"/>
    <w:rsid w:val="002C0E28"/>
    <w:rsid w:val="002C6084"/>
    <w:rsid w:val="002D02AD"/>
    <w:rsid w:val="002D34FA"/>
    <w:rsid w:val="002D4049"/>
    <w:rsid w:val="002D5563"/>
    <w:rsid w:val="002D6D6B"/>
    <w:rsid w:val="002F10B1"/>
    <w:rsid w:val="002F3534"/>
    <w:rsid w:val="002F354A"/>
    <w:rsid w:val="002F67C3"/>
    <w:rsid w:val="003020CD"/>
    <w:rsid w:val="00304DEC"/>
    <w:rsid w:val="00313D4E"/>
    <w:rsid w:val="00314128"/>
    <w:rsid w:val="00315A3C"/>
    <w:rsid w:val="00317CFE"/>
    <w:rsid w:val="003303A6"/>
    <w:rsid w:val="00330537"/>
    <w:rsid w:val="00331528"/>
    <w:rsid w:val="003332C9"/>
    <w:rsid w:val="00333D27"/>
    <w:rsid w:val="00333F77"/>
    <w:rsid w:val="003340A2"/>
    <w:rsid w:val="003377AC"/>
    <w:rsid w:val="00337FF0"/>
    <w:rsid w:val="00340731"/>
    <w:rsid w:val="003422FE"/>
    <w:rsid w:val="00347BE0"/>
    <w:rsid w:val="00350943"/>
    <w:rsid w:val="003513E4"/>
    <w:rsid w:val="00355A07"/>
    <w:rsid w:val="00356994"/>
    <w:rsid w:val="00357AA4"/>
    <w:rsid w:val="00363B1E"/>
    <w:rsid w:val="003661F8"/>
    <w:rsid w:val="00373B6C"/>
    <w:rsid w:val="00377814"/>
    <w:rsid w:val="00377881"/>
    <w:rsid w:val="003804B6"/>
    <w:rsid w:val="00380542"/>
    <w:rsid w:val="00387B4D"/>
    <w:rsid w:val="003944C0"/>
    <w:rsid w:val="0039468E"/>
    <w:rsid w:val="0039766A"/>
    <w:rsid w:val="003A40D3"/>
    <w:rsid w:val="003B5574"/>
    <w:rsid w:val="003B5CA2"/>
    <w:rsid w:val="003C0669"/>
    <w:rsid w:val="003C4D72"/>
    <w:rsid w:val="003E0809"/>
    <w:rsid w:val="003E0A03"/>
    <w:rsid w:val="003E4836"/>
    <w:rsid w:val="003E5734"/>
    <w:rsid w:val="003E7C37"/>
    <w:rsid w:val="003F69C9"/>
    <w:rsid w:val="004012A3"/>
    <w:rsid w:val="00403A6F"/>
    <w:rsid w:val="004053D7"/>
    <w:rsid w:val="004079E7"/>
    <w:rsid w:val="00413C47"/>
    <w:rsid w:val="004152C1"/>
    <w:rsid w:val="00416FCA"/>
    <w:rsid w:val="00425341"/>
    <w:rsid w:val="00425880"/>
    <w:rsid w:val="004319E7"/>
    <w:rsid w:val="00435689"/>
    <w:rsid w:val="00445E80"/>
    <w:rsid w:val="004506FA"/>
    <w:rsid w:val="00450C2C"/>
    <w:rsid w:val="00451E2E"/>
    <w:rsid w:val="00452C77"/>
    <w:rsid w:val="0046560E"/>
    <w:rsid w:val="00477A3D"/>
    <w:rsid w:val="004816F7"/>
    <w:rsid w:val="0048464A"/>
    <w:rsid w:val="0049128D"/>
    <w:rsid w:val="004972D8"/>
    <w:rsid w:val="004A1344"/>
    <w:rsid w:val="004B001A"/>
    <w:rsid w:val="004B32DF"/>
    <w:rsid w:val="004B3422"/>
    <w:rsid w:val="004B594C"/>
    <w:rsid w:val="004C1FAB"/>
    <w:rsid w:val="004C275C"/>
    <w:rsid w:val="004C6BA1"/>
    <w:rsid w:val="004C6C58"/>
    <w:rsid w:val="004C7FEF"/>
    <w:rsid w:val="004D36FF"/>
    <w:rsid w:val="004D397C"/>
    <w:rsid w:val="004E36D5"/>
    <w:rsid w:val="004E667D"/>
    <w:rsid w:val="004F002C"/>
    <w:rsid w:val="004F1A48"/>
    <w:rsid w:val="004F3279"/>
    <w:rsid w:val="004F4B11"/>
    <w:rsid w:val="004F51B0"/>
    <w:rsid w:val="004F5BD8"/>
    <w:rsid w:val="004F670F"/>
    <w:rsid w:val="005013E8"/>
    <w:rsid w:val="00503779"/>
    <w:rsid w:val="005042F1"/>
    <w:rsid w:val="00507F6D"/>
    <w:rsid w:val="00507FF0"/>
    <w:rsid w:val="00510834"/>
    <w:rsid w:val="00512CCF"/>
    <w:rsid w:val="005133D5"/>
    <w:rsid w:val="0051446E"/>
    <w:rsid w:val="00515D0D"/>
    <w:rsid w:val="00525BD6"/>
    <w:rsid w:val="00525F2A"/>
    <w:rsid w:val="005374B3"/>
    <w:rsid w:val="00541F6C"/>
    <w:rsid w:val="00542EE0"/>
    <w:rsid w:val="00546BA7"/>
    <w:rsid w:val="0055154E"/>
    <w:rsid w:val="005530E8"/>
    <w:rsid w:val="00560E5A"/>
    <w:rsid w:val="00561EAD"/>
    <w:rsid w:val="00562A36"/>
    <w:rsid w:val="0056592B"/>
    <w:rsid w:val="005707A4"/>
    <w:rsid w:val="00571520"/>
    <w:rsid w:val="0057220D"/>
    <w:rsid w:val="005723E7"/>
    <w:rsid w:val="00576BF8"/>
    <w:rsid w:val="00582083"/>
    <w:rsid w:val="005838AF"/>
    <w:rsid w:val="00583FDC"/>
    <w:rsid w:val="005850EA"/>
    <w:rsid w:val="00593683"/>
    <w:rsid w:val="00597555"/>
    <w:rsid w:val="005A2F5A"/>
    <w:rsid w:val="005A343A"/>
    <w:rsid w:val="005B1541"/>
    <w:rsid w:val="005B6FE1"/>
    <w:rsid w:val="005C5234"/>
    <w:rsid w:val="005D2AFD"/>
    <w:rsid w:val="005D5EC5"/>
    <w:rsid w:val="005D6FEF"/>
    <w:rsid w:val="005D734C"/>
    <w:rsid w:val="005F5326"/>
    <w:rsid w:val="0060150C"/>
    <w:rsid w:val="00602B8C"/>
    <w:rsid w:val="00607A8C"/>
    <w:rsid w:val="00614486"/>
    <w:rsid w:val="00616D2E"/>
    <w:rsid w:val="00620B8D"/>
    <w:rsid w:val="006245F6"/>
    <w:rsid w:val="0062559E"/>
    <w:rsid w:val="00627B7A"/>
    <w:rsid w:val="00630AFD"/>
    <w:rsid w:val="0063399D"/>
    <w:rsid w:val="0063599F"/>
    <w:rsid w:val="00635D23"/>
    <w:rsid w:val="006429A9"/>
    <w:rsid w:val="00656E2E"/>
    <w:rsid w:val="006664D8"/>
    <w:rsid w:val="00667797"/>
    <w:rsid w:val="00670ACC"/>
    <w:rsid w:val="00673539"/>
    <w:rsid w:val="00674604"/>
    <w:rsid w:val="0067519E"/>
    <w:rsid w:val="006751C9"/>
    <w:rsid w:val="00675972"/>
    <w:rsid w:val="00676DB2"/>
    <w:rsid w:val="006845C6"/>
    <w:rsid w:val="00685E52"/>
    <w:rsid w:val="00686234"/>
    <w:rsid w:val="00686245"/>
    <w:rsid w:val="0069172D"/>
    <w:rsid w:val="00691FD3"/>
    <w:rsid w:val="00694786"/>
    <w:rsid w:val="006971E4"/>
    <w:rsid w:val="006A4674"/>
    <w:rsid w:val="006A7B96"/>
    <w:rsid w:val="006B12FA"/>
    <w:rsid w:val="006B3177"/>
    <w:rsid w:val="006B3CE1"/>
    <w:rsid w:val="006C0055"/>
    <w:rsid w:val="006C298C"/>
    <w:rsid w:val="006C7C2D"/>
    <w:rsid w:val="006D2B28"/>
    <w:rsid w:val="006D33F1"/>
    <w:rsid w:val="006D3B7A"/>
    <w:rsid w:val="006D4216"/>
    <w:rsid w:val="006E0002"/>
    <w:rsid w:val="006E09E5"/>
    <w:rsid w:val="006E2CCA"/>
    <w:rsid w:val="006E319A"/>
    <w:rsid w:val="006E358B"/>
    <w:rsid w:val="006F4A12"/>
    <w:rsid w:val="006F5BFE"/>
    <w:rsid w:val="006F73AC"/>
    <w:rsid w:val="00706564"/>
    <w:rsid w:val="0071013D"/>
    <w:rsid w:val="00711479"/>
    <w:rsid w:val="00717ED4"/>
    <w:rsid w:val="00721DE3"/>
    <w:rsid w:val="00725C20"/>
    <w:rsid w:val="00726236"/>
    <w:rsid w:val="007274E2"/>
    <w:rsid w:val="0073197B"/>
    <w:rsid w:val="00736C3F"/>
    <w:rsid w:val="00745F33"/>
    <w:rsid w:val="007465D0"/>
    <w:rsid w:val="00746771"/>
    <w:rsid w:val="00746D22"/>
    <w:rsid w:val="0074744E"/>
    <w:rsid w:val="007510AC"/>
    <w:rsid w:val="007520D4"/>
    <w:rsid w:val="00752C6E"/>
    <w:rsid w:val="007549AD"/>
    <w:rsid w:val="007551A0"/>
    <w:rsid w:val="00763B96"/>
    <w:rsid w:val="007707DB"/>
    <w:rsid w:val="00781AEF"/>
    <w:rsid w:val="0078543B"/>
    <w:rsid w:val="00785DE6"/>
    <w:rsid w:val="007873BD"/>
    <w:rsid w:val="00791E9A"/>
    <w:rsid w:val="00792FA3"/>
    <w:rsid w:val="007976C4"/>
    <w:rsid w:val="007A2043"/>
    <w:rsid w:val="007A40AB"/>
    <w:rsid w:val="007A69D9"/>
    <w:rsid w:val="007B1158"/>
    <w:rsid w:val="007B4B3D"/>
    <w:rsid w:val="007C3305"/>
    <w:rsid w:val="007C3997"/>
    <w:rsid w:val="007C7084"/>
    <w:rsid w:val="007D4E87"/>
    <w:rsid w:val="007E0FA7"/>
    <w:rsid w:val="007E5A5D"/>
    <w:rsid w:val="007F03F1"/>
    <w:rsid w:val="007F338D"/>
    <w:rsid w:val="007F3577"/>
    <w:rsid w:val="007F6BBD"/>
    <w:rsid w:val="0080170E"/>
    <w:rsid w:val="00806B76"/>
    <w:rsid w:val="00814594"/>
    <w:rsid w:val="00814F70"/>
    <w:rsid w:val="00817F17"/>
    <w:rsid w:val="00821EEE"/>
    <w:rsid w:val="00823C38"/>
    <w:rsid w:val="00824186"/>
    <w:rsid w:val="00825F7D"/>
    <w:rsid w:val="008266ED"/>
    <w:rsid w:val="00832160"/>
    <w:rsid w:val="00835179"/>
    <w:rsid w:val="00835CFF"/>
    <w:rsid w:val="00835D8F"/>
    <w:rsid w:val="00836AC0"/>
    <w:rsid w:val="00843211"/>
    <w:rsid w:val="008462C8"/>
    <w:rsid w:val="008512A1"/>
    <w:rsid w:val="0086180A"/>
    <w:rsid w:val="00861BDA"/>
    <w:rsid w:val="00870EC2"/>
    <w:rsid w:val="008745C8"/>
    <w:rsid w:val="0087603B"/>
    <w:rsid w:val="0087779D"/>
    <w:rsid w:val="00882550"/>
    <w:rsid w:val="00883BA6"/>
    <w:rsid w:val="00884CA6"/>
    <w:rsid w:val="008858B3"/>
    <w:rsid w:val="00885A61"/>
    <w:rsid w:val="008864E9"/>
    <w:rsid w:val="0089064C"/>
    <w:rsid w:val="00891C0C"/>
    <w:rsid w:val="00892BD0"/>
    <w:rsid w:val="0089432B"/>
    <w:rsid w:val="0089587D"/>
    <w:rsid w:val="00895DDD"/>
    <w:rsid w:val="00896289"/>
    <w:rsid w:val="008968B2"/>
    <w:rsid w:val="008A0DE2"/>
    <w:rsid w:val="008A5614"/>
    <w:rsid w:val="008B2E90"/>
    <w:rsid w:val="008B5196"/>
    <w:rsid w:val="008B7CF9"/>
    <w:rsid w:val="008C4877"/>
    <w:rsid w:val="008C6575"/>
    <w:rsid w:val="008D1686"/>
    <w:rsid w:val="008D2D4D"/>
    <w:rsid w:val="008D3D29"/>
    <w:rsid w:val="008D4A5A"/>
    <w:rsid w:val="008D7782"/>
    <w:rsid w:val="008E61A9"/>
    <w:rsid w:val="008E7190"/>
    <w:rsid w:val="008F2C71"/>
    <w:rsid w:val="008F6E3A"/>
    <w:rsid w:val="00902A97"/>
    <w:rsid w:val="00904759"/>
    <w:rsid w:val="00906F8D"/>
    <w:rsid w:val="00911DF6"/>
    <w:rsid w:val="0091728A"/>
    <w:rsid w:val="00925C4B"/>
    <w:rsid w:val="00934003"/>
    <w:rsid w:val="0093459B"/>
    <w:rsid w:val="00935934"/>
    <w:rsid w:val="00936130"/>
    <w:rsid w:val="0094073A"/>
    <w:rsid w:val="00941B00"/>
    <w:rsid w:val="00947D67"/>
    <w:rsid w:val="00947E8E"/>
    <w:rsid w:val="00951396"/>
    <w:rsid w:val="009537A2"/>
    <w:rsid w:val="0095609C"/>
    <w:rsid w:val="0095717F"/>
    <w:rsid w:val="00962147"/>
    <w:rsid w:val="00965A47"/>
    <w:rsid w:val="00971898"/>
    <w:rsid w:val="009723DA"/>
    <w:rsid w:val="00972F37"/>
    <w:rsid w:val="009741BA"/>
    <w:rsid w:val="00975B4A"/>
    <w:rsid w:val="00987175"/>
    <w:rsid w:val="00991D50"/>
    <w:rsid w:val="009922BC"/>
    <w:rsid w:val="00992418"/>
    <w:rsid w:val="00992D09"/>
    <w:rsid w:val="00993686"/>
    <w:rsid w:val="00995BEB"/>
    <w:rsid w:val="00995C53"/>
    <w:rsid w:val="009A0DFC"/>
    <w:rsid w:val="009A11CC"/>
    <w:rsid w:val="009A14B0"/>
    <w:rsid w:val="009A4B82"/>
    <w:rsid w:val="009A707F"/>
    <w:rsid w:val="009B23D4"/>
    <w:rsid w:val="009B2ADF"/>
    <w:rsid w:val="009D2B29"/>
    <w:rsid w:val="009D65D7"/>
    <w:rsid w:val="009E3469"/>
    <w:rsid w:val="009F5F08"/>
    <w:rsid w:val="009F727C"/>
    <w:rsid w:val="00A0017D"/>
    <w:rsid w:val="00A02876"/>
    <w:rsid w:val="00A04C24"/>
    <w:rsid w:val="00A04EB9"/>
    <w:rsid w:val="00A12AF7"/>
    <w:rsid w:val="00A14F98"/>
    <w:rsid w:val="00A22E66"/>
    <w:rsid w:val="00A23742"/>
    <w:rsid w:val="00A242D4"/>
    <w:rsid w:val="00A275E9"/>
    <w:rsid w:val="00A32BB3"/>
    <w:rsid w:val="00A32F04"/>
    <w:rsid w:val="00A33B6F"/>
    <w:rsid w:val="00A3618C"/>
    <w:rsid w:val="00A37186"/>
    <w:rsid w:val="00A438A8"/>
    <w:rsid w:val="00A444CC"/>
    <w:rsid w:val="00A46CB1"/>
    <w:rsid w:val="00A47797"/>
    <w:rsid w:val="00A47E61"/>
    <w:rsid w:val="00A52A43"/>
    <w:rsid w:val="00A52D2B"/>
    <w:rsid w:val="00A54373"/>
    <w:rsid w:val="00A55878"/>
    <w:rsid w:val="00A65CB1"/>
    <w:rsid w:val="00A66BC5"/>
    <w:rsid w:val="00A70216"/>
    <w:rsid w:val="00A745D9"/>
    <w:rsid w:val="00A7508D"/>
    <w:rsid w:val="00A768EF"/>
    <w:rsid w:val="00A77BEF"/>
    <w:rsid w:val="00A77F4F"/>
    <w:rsid w:val="00A809CB"/>
    <w:rsid w:val="00A81D27"/>
    <w:rsid w:val="00A82B34"/>
    <w:rsid w:val="00A85221"/>
    <w:rsid w:val="00A86E30"/>
    <w:rsid w:val="00AA05A1"/>
    <w:rsid w:val="00AA645A"/>
    <w:rsid w:val="00AB45E2"/>
    <w:rsid w:val="00AB51B7"/>
    <w:rsid w:val="00AB7668"/>
    <w:rsid w:val="00AB7D19"/>
    <w:rsid w:val="00AC2605"/>
    <w:rsid w:val="00AC7E90"/>
    <w:rsid w:val="00AD592F"/>
    <w:rsid w:val="00AE49E3"/>
    <w:rsid w:val="00AE77E7"/>
    <w:rsid w:val="00AE7F7D"/>
    <w:rsid w:val="00AF2916"/>
    <w:rsid w:val="00AF7EF4"/>
    <w:rsid w:val="00B04E40"/>
    <w:rsid w:val="00B100ED"/>
    <w:rsid w:val="00B12A2E"/>
    <w:rsid w:val="00B135BB"/>
    <w:rsid w:val="00B144F5"/>
    <w:rsid w:val="00B161C3"/>
    <w:rsid w:val="00B178C1"/>
    <w:rsid w:val="00B21C13"/>
    <w:rsid w:val="00B24AEC"/>
    <w:rsid w:val="00B275A6"/>
    <w:rsid w:val="00B278D5"/>
    <w:rsid w:val="00B401C9"/>
    <w:rsid w:val="00B4031F"/>
    <w:rsid w:val="00B40C28"/>
    <w:rsid w:val="00B41013"/>
    <w:rsid w:val="00B44622"/>
    <w:rsid w:val="00B46977"/>
    <w:rsid w:val="00B52A52"/>
    <w:rsid w:val="00B56062"/>
    <w:rsid w:val="00B62C81"/>
    <w:rsid w:val="00B755B6"/>
    <w:rsid w:val="00B756DF"/>
    <w:rsid w:val="00B843B9"/>
    <w:rsid w:val="00B876E3"/>
    <w:rsid w:val="00B957AA"/>
    <w:rsid w:val="00B96181"/>
    <w:rsid w:val="00BA31C3"/>
    <w:rsid w:val="00BA448C"/>
    <w:rsid w:val="00BA4ED5"/>
    <w:rsid w:val="00BA60C5"/>
    <w:rsid w:val="00BA6CE2"/>
    <w:rsid w:val="00BB474A"/>
    <w:rsid w:val="00BB522B"/>
    <w:rsid w:val="00BB5B6E"/>
    <w:rsid w:val="00BB6879"/>
    <w:rsid w:val="00BB7F22"/>
    <w:rsid w:val="00BC0700"/>
    <w:rsid w:val="00BC2DAB"/>
    <w:rsid w:val="00BC39F9"/>
    <w:rsid w:val="00BC674A"/>
    <w:rsid w:val="00BD0A8A"/>
    <w:rsid w:val="00BD3AB0"/>
    <w:rsid w:val="00BE267F"/>
    <w:rsid w:val="00BE3653"/>
    <w:rsid w:val="00BE3BA8"/>
    <w:rsid w:val="00BE611A"/>
    <w:rsid w:val="00BF235A"/>
    <w:rsid w:val="00BF270A"/>
    <w:rsid w:val="00BF51C1"/>
    <w:rsid w:val="00BF7D7E"/>
    <w:rsid w:val="00C0128E"/>
    <w:rsid w:val="00C02110"/>
    <w:rsid w:val="00C10077"/>
    <w:rsid w:val="00C10944"/>
    <w:rsid w:val="00C129F4"/>
    <w:rsid w:val="00C1462E"/>
    <w:rsid w:val="00C22ED5"/>
    <w:rsid w:val="00C241FE"/>
    <w:rsid w:val="00C2632E"/>
    <w:rsid w:val="00C337EE"/>
    <w:rsid w:val="00C34083"/>
    <w:rsid w:val="00C344A4"/>
    <w:rsid w:val="00C3657C"/>
    <w:rsid w:val="00C40E84"/>
    <w:rsid w:val="00C411AF"/>
    <w:rsid w:val="00C41CF9"/>
    <w:rsid w:val="00C478A9"/>
    <w:rsid w:val="00C52FDE"/>
    <w:rsid w:val="00C60287"/>
    <w:rsid w:val="00C60DFD"/>
    <w:rsid w:val="00C64632"/>
    <w:rsid w:val="00C65C80"/>
    <w:rsid w:val="00C66F37"/>
    <w:rsid w:val="00C70B0E"/>
    <w:rsid w:val="00C724D8"/>
    <w:rsid w:val="00C72786"/>
    <w:rsid w:val="00C739AC"/>
    <w:rsid w:val="00C73FD2"/>
    <w:rsid w:val="00C8039C"/>
    <w:rsid w:val="00C856F7"/>
    <w:rsid w:val="00C91312"/>
    <w:rsid w:val="00C93110"/>
    <w:rsid w:val="00C94142"/>
    <w:rsid w:val="00CA0C5F"/>
    <w:rsid w:val="00CA6D3C"/>
    <w:rsid w:val="00CA73ED"/>
    <w:rsid w:val="00CA76EA"/>
    <w:rsid w:val="00CB089A"/>
    <w:rsid w:val="00CB221E"/>
    <w:rsid w:val="00CB36F5"/>
    <w:rsid w:val="00CB6598"/>
    <w:rsid w:val="00CC2103"/>
    <w:rsid w:val="00CC4750"/>
    <w:rsid w:val="00CE4EA9"/>
    <w:rsid w:val="00CE5E11"/>
    <w:rsid w:val="00CF3AA0"/>
    <w:rsid w:val="00CF3F4E"/>
    <w:rsid w:val="00CF5E6D"/>
    <w:rsid w:val="00D00F19"/>
    <w:rsid w:val="00D05ADE"/>
    <w:rsid w:val="00D05D40"/>
    <w:rsid w:val="00D11CD2"/>
    <w:rsid w:val="00D12168"/>
    <w:rsid w:val="00D152E6"/>
    <w:rsid w:val="00D16ECC"/>
    <w:rsid w:val="00D171E9"/>
    <w:rsid w:val="00D220EE"/>
    <w:rsid w:val="00D2246B"/>
    <w:rsid w:val="00D2537F"/>
    <w:rsid w:val="00D35519"/>
    <w:rsid w:val="00D35A90"/>
    <w:rsid w:val="00D40AA0"/>
    <w:rsid w:val="00D41E43"/>
    <w:rsid w:val="00D4253D"/>
    <w:rsid w:val="00D4405F"/>
    <w:rsid w:val="00D47FA5"/>
    <w:rsid w:val="00D5562B"/>
    <w:rsid w:val="00D56DFA"/>
    <w:rsid w:val="00D61CC4"/>
    <w:rsid w:val="00D65984"/>
    <w:rsid w:val="00D72DD0"/>
    <w:rsid w:val="00D73530"/>
    <w:rsid w:val="00D74427"/>
    <w:rsid w:val="00D749CC"/>
    <w:rsid w:val="00D7602F"/>
    <w:rsid w:val="00D7725F"/>
    <w:rsid w:val="00D82312"/>
    <w:rsid w:val="00D84662"/>
    <w:rsid w:val="00D91ACB"/>
    <w:rsid w:val="00D97E63"/>
    <w:rsid w:val="00DA4C87"/>
    <w:rsid w:val="00DA65BB"/>
    <w:rsid w:val="00DA7A33"/>
    <w:rsid w:val="00DB3A17"/>
    <w:rsid w:val="00DB440E"/>
    <w:rsid w:val="00DB4498"/>
    <w:rsid w:val="00DB4922"/>
    <w:rsid w:val="00DB7B83"/>
    <w:rsid w:val="00DC7B1B"/>
    <w:rsid w:val="00DE1123"/>
    <w:rsid w:val="00DF0073"/>
    <w:rsid w:val="00DF2475"/>
    <w:rsid w:val="00DF2D17"/>
    <w:rsid w:val="00E02949"/>
    <w:rsid w:val="00E03D14"/>
    <w:rsid w:val="00E0626D"/>
    <w:rsid w:val="00E10897"/>
    <w:rsid w:val="00E10C9F"/>
    <w:rsid w:val="00E1223C"/>
    <w:rsid w:val="00E161FB"/>
    <w:rsid w:val="00E205FB"/>
    <w:rsid w:val="00E22862"/>
    <w:rsid w:val="00E3014E"/>
    <w:rsid w:val="00E306AD"/>
    <w:rsid w:val="00E308C0"/>
    <w:rsid w:val="00E32549"/>
    <w:rsid w:val="00E347DC"/>
    <w:rsid w:val="00E46621"/>
    <w:rsid w:val="00E4727B"/>
    <w:rsid w:val="00E53034"/>
    <w:rsid w:val="00E639EC"/>
    <w:rsid w:val="00E63C3B"/>
    <w:rsid w:val="00E64717"/>
    <w:rsid w:val="00E65E0C"/>
    <w:rsid w:val="00E80D7E"/>
    <w:rsid w:val="00E937F1"/>
    <w:rsid w:val="00E95070"/>
    <w:rsid w:val="00E95D4A"/>
    <w:rsid w:val="00E96E4F"/>
    <w:rsid w:val="00EA24C9"/>
    <w:rsid w:val="00EB53F8"/>
    <w:rsid w:val="00EB58FF"/>
    <w:rsid w:val="00EC71CF"/>
    <w:rsid w:val="00ED63C4"/>
    <w:rsid w:val="00EE0F78"/>
    <w:rsid w:val="00EE67F2"/>
    <w:rsid w:val="00EF10F8"/>
    <w:rsid w:val="00EF1918"/>
    <w:rsid w:val="00EF3C79"/>
    <w:rsid w:val="00EF5163"/>
    <w:rsid w:val="00EF546A"/>
    <w:rsid w:val="00F000E5"/>
    <w:rsid w:val="00F00D88"/>
    <w:rsid w:val="00F036BF"/>
    <w:rsid w:val="00F06CB4"/>
    <w:rsid w:val="00F22D52"/>
    <w:rsid w:val="00F2409B"/>
    <w:rsid w:val="00F244CB"/>
    <w:rsid w:val="00F32879"/>
    <w:rsid w:val="00F32A97"/>
    <w:rsid w:val="00F40BFB"/>
    <w:rsid w:val="00F441E1"/>
    <w:rsid w:val="00F4480F"/>
    <w:rsid w:val="00F45E13"/>
    <w:rsid w:val="00F46BE4"/>
    <w:rsid w:val="00F55031"/>
    <w:rsid w:val="00F553B1"/>
    <w:rsid w:val="00F562A0"/>
    <w:rsid w:val="00F5790B"/>
    <w:rsid w:val="00F6339E"/>
    <w:rsid w:val="00F66A54"/>
    <w:rsid w:val="00F71351"/>
    <w:rsid w:val="00F75377"/>
    <w:rsid w:val="00F75D12"/>
    <w:rsid w:val="00F76C0E"/>
    <w:rsid w:val="00F7795D"/>
    <w:rsid w:val="00F81BA9"/>
    <w:rsid w:val="00F924B1"/>
    <w:rsid w:val="00F93B51"/>
    <w:rsid w:val="00F96CA8"/>
    <w:rsid w:val="00FA0DD0"/>
    <w:rsid w:val="00FA30FB"/>
    <w:rsid w:val="00FA4985"/>
    <w:rsid w:val="00FB13B6"/>
    <w:rsid w:val="00FB4C5A"/>
    <w:rsid w:val="00FB6933"/>
    <w:rsid w:val="00FB6CA0"/>
    <w:rsid w:val="00FD7457"/>
    <w:rsid w:val="00FE3814"/>
    <w:rsid w:val="00FF039F"/>
    <w:rsid w:val="00FF1095"/>
    <w:rsid w:val="00FF2615"/>
    <w:rsid w:val="00FF2983"/>
    <w:rsid w:val="00FF6DCA"/>
    <w:rsid w:val="00FF7C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BB1A7"/>
  <w15:chartTrackingRefBased/>
  <w15:docId w15:val="{624C9B86-15DA-204D-A362-2903D72CBC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46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746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006746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46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46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46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46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46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46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46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746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rsid w:val="006746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46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46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46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46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46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46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46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46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46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46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46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46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46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46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46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46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4604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01253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1253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12538"/>
    <w:rPr>
      <w:vertAlign w:val="superscript"/>
    </w:rPr>
  </w:style>
  <w:style w:type="character" w:customStyle="1" w:styleId="apple-converted-space">
    <w:name w:val="apple-converted-space"/>
    <w:basedOn w:val="DefaultParagraphFont"/>
    <w:rsid w:val="00D61CC4"/>
  </w:style>
  <w:style w:type="character" w:styleId="Hyperlink">
    <w:name w:val="Hyperlink"/>
    <w:basedOn w:val="DefaultParagraphFont"/>
    <w:uiPriority w:val="99"/>
    <w:unhideWhenUsed/>
    <w:rsid w:val="00D61CC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1CC4"/>
    <w:rPr>
      <w:color w:val="605E5C"/>
      <w:shd w:val="clear" w:color="auto" w:fill="E1DFDD"/>
    </w:rPr>
  </w:style>
  <w:style w:type="character" w:customStyle="1" w:styleId="value">
    <w:name w:val="value"/>
    <w:basedOn w:val="DefaultParagraphFont"/>
    <w:rsid w:val="00175FA8"/>
  </w:style>
  <w:style w:type="character" w:styleId="FollowedHyperlink">
    <w:name w:val="FollowedHyperlink"/>
    <w:basedOn w:val="DefaultParagraphFont"/>
    <w:uiPriority w:val="99"/>
    <w:semiHidden/>
    <w:unhideWhenUsed/>
    <w:rsid w:val="00175FA8"/>
    <w:rPr>
      <w:color w:val="96607D" w:themeColor="followedHyperlink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507F6D"/>
    <w:rPr>
      <w:i/>
      <w:iCs/>
    </w:rPr>
  </w:style>
  <w:style w:type="character" w:customStyle="1" w:styleId="src">
    <w:name w:val="src"/>
    <w:basedOn w:val="DefaultParagraphFont"/>
    <w:rsid w:val="00507F6D"/>
  </w:style>
  <w:style w:type="character" w:customStyle="1" w:styleId="copy-stable-url">
    <w:name w:val="copy-stable-url"/>
    <w:basedOn w:val="DefaultParagraphFont"/>
    <w:rsid w:val="00507F6D"/>
  </w:style>
  <w:style w:type="paragraph" w:customStyle="1" w:styleId="p1">
    <w:name w:val="p1"/>
    <w:basedOn w:val="Normal"/>
    <w:rsid w:val="00694786"/>
    <w:pPr>
      <w:spacing w:after="0" w:line="240" w:lineRule="auto"/>
    </w:pPr>
    <w:rPr>
      <w:rFonts w:ascii="Helvetica" w:eastAsia="Times New Roman" w:hAnsi="Helvetica" w:cs="Times New Roman"/>
      <w:color w:val="000000"/>
      <w:kern w:val="0"/>
      <w:sz w:val="13"/>
      <w:szCs w:val="13"/>
      <w:lang w:eastAsia="en-GB"/>
      <w14:ligatures w14:val="none"/>
    </w:rPr>
  </w:style>
  <w:style w:type="paragraph" w:customStyle="1" w:styleId="p2">
    <w:name w:val="p2"/>
    <w:basedOn w:val="Normal"/>
    <w:rsid w:val="00694786"/>
    <w:pPr>
      <w:spacing w:after="0" w:line="240" w:lineRule="auto"/>
    </w:pPr>
    <w:rPr>
      <w:rFonts w:ascii="Helvetica" w:eastAsia="Times New Roman" w:hAnsi="Helvetica" w:cs="Times New Roman"/>
      <w:color w:val="000000"/>
      <w:kern w:val="0"/>
      <w:sz w:val="13"/>
      <w:szCs w:val="13"/>
      <w:lang w:eastAsia="en-GB"/>
      <w14:ligatures w14:val="none"/>
    </w:rPr>
  </w:style>
  <w:style w:type="character" w:customStyle="1" w:styleId="s1">
    <w:name w:val="s1"/>
    <w:basedOn w:val="DefaultParagraphFont"/>
    <w:rsid w:val="00694786"/>
    <w:rPr>
      <w:rFonts w:ascii="Helvetica" w:hAnsi="Helvetica" w:hint="default"/>
      <w:sz w:val="13"/>
      <w:szCs w:val="13"/>
    </w:rPr>
  </w:style>
  <w:style w:type="character" w:customStyle="1" w:styleId="authors">
    <w:name w:val="authors"/>
    <w:basedOn w:val="DefaultParagraphFont"/>
    <w:rsid w:val="00F22D52"/>
  </w:style>
  <w:style w:type="paragraph" w:styleId="Header">
    <w:name w:val="header"/>
    <w:basedOn w:val="Normal"/>
    <w:link w:val="HeaderChar"/>
    <w:uiPriority w:val="99"/>
    <w:unhideWhenUsed/>
    <w:rsid w:val="005A34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343A"/>
  </w:style>
  <w:style w:type="character" w:styleId="PageNumber">
    <w:name w:val="page number"/>
    <w:basedOn w:val="DefaultParagraphFont"/>
    <w:uiPriority w:val="99"/>
    <w:semiHidden/>
    <w:unhideWhenUsed/>
    <w:rsid w:val="005A343A"/>
  </w:style>
  <w:style w:type="paragraph" w:styleId="NormalWeb">
    <w:name w:val="Normal (Web)"/>
    <w:basedOn w:val="Normal"/>
    <w:rsid w:val="000327F4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kern w:val="0"/>
      <w:sz w:val="21"/>
      <w:szCs w:val="21"/>
      <w:lang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162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54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4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86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944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535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9895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9529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7965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6910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06638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3547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7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15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18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04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26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920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92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2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0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5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5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8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41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0275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7284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2429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9858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82166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083078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81526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77620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79127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1704905@student.uwtsd.ac" TargetMode="External"/><Relationship Id="rId13" Type="http://schemas.openxmlformats.org/officeDocument/2006/relationships/hyperlink" Target="https://www.jstor.org/stable/741568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-jstor-org.ezproxy.uwtsd.ac.uk/stable/733806?seq=16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cultureandcosmos.org/pdfs/22/22-1_bidmead_and_love_istar.pdf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doi.org/10.1080/08145857.1999.1041656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rill-com.ezproxy.uwtsd.ac.uk/view/journals/jane/7/1/article-p7_2.pdf" TargetMode="External"/><Relationship Id="rId14" Type="http://schemas.openxmlformats.org/officeDocument/2006/relationships/hyperlink" Target="https://www.worldhistory.org/ishtar/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muse.jhu.edu/article/513632" TargetMode="External"/><Relationship Id="rId3" Type="http://schemas.openxmlformats.org/officeDocument/2006/relationships/hyperlink" Target="https://www-jstor-org.ezproxy.uwtsd.ac.uk/stable/733806?seq=16" TargetMode="External"/><Relationship Id="rId7" Type="http://schemas.openxmlformats.org/officeDocument/2006/relationships/hyperlink" Target="https://muse.jhu.edu/article/513632" TargetMode="External"/><Relationship Id="rId2" Type="http://schemas.openxmlformats.org/officeDocument/2006/relationships/hyperlink" Target="https://www.jstor.org/stable/25002242" TargetMode="External"/><Relationship Id="rId1" Type="http://schemas.openxmlformats.org/officeDocument/2006/relationships/hyperlink" Target="https://www.jstor.org/stable/3333191" TargetMode="External"/><Relationship Id="rId6" Type="http://schemas.openxmlformats.org/officeDocument/2006/relationships/hyperlink" Target="https://cultureandcosmos.org/pdfs/22/22-1_bidmead_and_love_istar.pdf" TargetMode="External"/><Relationship Id="rId5" Type="http://schemas.openxmlformats.org/officeDocument/2006/relationships/hyperlink" Target="https://brill-com.ezproxy.uwtsd.ac.uk/view/journals/jane/7/1/article-p7_2.pdf" TargetMode="External"/><Relationship Id="rId10" Type="http://schemas.openxmlformats.org/officeDocument/2006/relationships/hyperlink" Target="https://www.jstor.org/stable/737677" TargetMode="External"/><Relationship Id="rId4" Type="http://schemas.openxmlformats.org/officeDocument/2006/relationships/hyperlink" Target="https://www.worldhistory.org/ishtar/" TargetMode="External"/><Relationship Id="rId9" Type="http://schemas.openxmlformats.org/officeDocument/2006/relationships/hyperlink" Target="https://doi.org/10.25538/tct.v0i1.67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91E046E-737C-B74F-9F0F-5420EE1415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3589</Words>
  <Characters>20462</Characters>
  <Application>Microsoft Office Word</Application>
  <DocSecurity>0</DocSecurity>
  <Lines>170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Abrahamsen</dc:creator>
  <cp:keywords/>
  <dc:description/>
  <cp:lastModifiedBy>Robert Abrahamsen</cp:lastModifiedBy>
  <cp:revision>2</cp:revision>
  <cp:lastPrinted>2025-04-02T08:56:00Z</cp:lastPrinted>
  <dcterms:created xsi:type="dcterms:W3CDTF">2025-04-02T13:21:00Z</dcterms:created>
  <dcterms:modified xsi:type="dcterms:W3CDTF">2025-04-02T13:21:00Z</dcterms:modified>
</cp:coreProperties>
</file>