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A6876" w14:textId="2E9936BE" w:rsidR="00EC7D0B" w:rsidRPr="00EC7D0B" w:rsidRDefault="00EC7D0B" w:rsidP="00EC7D0B">
      <w:pPr>
        <w:rPr>
          <w:rFonts w:ascii="Arial" w:hAnsi="Arial" w:cs="Arial"/>
          <w:sz w:val="24"/>
          <w:szCs w:val="24"/>
        </w:rPr>
      </w:pPr>
      <w:r w:rsidRPr="00EC7D0B">
        <w:rPr>
          <w:rFonts w:ascii="Arial" w:hAnsi="Arial" w:cs="Arial"/>
          <w:sz w:val="24"/>
          <w:szCs w:val="24"/>
        </w:rPr>
        <w:t xml:space="preserve">A magistrate is a volunteer position who oversees various local judicial procedures at the local level. Magistrates are in charge of evaluating cases in the Magistrates' court and play a significant role in the system of criminal justice. They often sit in benches composed of three people and decide cases in line with the law, and the evidence that is provided (Magistrates Association &gt; About magistrates, no date). They may be responsible for issuing warrants, setting bail, holding hearings, and delivering judgment in cases. Magistrates are frequently asked to rule on infractions of the law, traffic offenses, and civil disputes. Based on the findings of, a report by the magistrates association in 2020, only 12% of magistrates are defined as being from a black, Asian, or minority ethnic background, compared to the 14% of the general population. Nonetheless, this lack of diversity among magistrates is one of the major complaints of the Magistrate's court system. It can also be argued that there are concerns, that the underrepresentation of youths and those from less fortunate backgrounds are frequently raised (Diversity of the judiciary: 2020 statistics, 2020). The lack of diversity as mentioned above, according to critics, might cause magistrates to be biased, and out of touch with the people they serve. As a result, they demand more efforts to be made to hire magistrates from a wider variety of backgrounds and more training on problems of cultural diversity and sensitivity. (Crayford, 2020). The reliability and </w:t>
      </w:r>
      <w:r w:rsidRPr="00EC7D0B">
        <w:rPr>
          <w:rFonts w:ascii="Arial" w:hAnsi="Arial" w:cs="Arial"/>
          <w:sz w:val="24"/>
          <w:szCs w:val="24"/>
        </w:rPr>
        <w:t>calibre</w:t>
      </w:r>
      <w:r w:rsidRPr="00EC7D0B">
        <w:rPr>
          <w:rFonts w:ascii="Arial" w:hAnsi="Arial" w:cs="Arial"/>
          <w:sz w:val="24"/>
          <w:szCs w:val="24"/>
        </w:rPr>
        <w:t xml:space="preserve"> of judgment in the judge's court system have been brought up as another concern (Storey, 2013).</w:t>
      </w:r>
    </w:p>
    <w:p w14:paraId="330654C1" w14:textId="77777777" w:rsidR="00EC7D0B" w:rsidRPr="00EC7D0B" w:rsidRDefault="00EC7D0B" w:rsidP="00EC7D0B">
      <w:pPr>
        <w:rPr>
          <w:rFonts w:ascii="Arial" w:hAnsi="Arial" w:cs="Arial"/>
          <w:sz w:val="24"/>
          <w:szCs w:val="24"/>
        </w:rPr>
      </w:pPr>
      <w:r w:rsidRPr="00EC7D0B">
        <w:rPr>
          <w:rFonts w:ascii="Arial" w:hAnsi="Arial" w:cs="Arial"/>
          <w:sz w:val="24"/>
          <w:szCs w:val="24"/>
        </w:rPr>
        <w:t>Penelope Gibbs, Director of Transform Justice, contends that having lay magistrates is pointless if they are not chosen, trained, and employed efficiently. She has indicated, that if the institution is to survive, it requires significant change and investment. As it is, she believes, that magistrates should be stripped of the ability to imprison because they lack enough training. (Campaigning to Transform Justice, 2020). Overall, the magistrates in the UK continue to be a significant component of the judicial system and offer a useful service to local communities, despite the fact, that there are certain flaws, that need to be addressed. For judges to properly perform their duties, it is crucial, that efforts must be put into making sure, that they are reflective of the larger community. Their primary duties are to rule over hearings and trials. They consider both sides' evidence, decide whether or not it is admissible, and then provide a ruling following the law. Issuing summonses and warrants. Magistrates choose witnesses to testify in court and issue arrest warrants for people accused of committing crimes (Witness Evidence and Questioning — Defence-Barrister.co.uk, no date). Magistrates decide whether to release a prisoner before trial and, if so, what the appropriate bail amount should be (Government Digital Service, 2015). Furthermore, to guarantee, that witnesses and jurors tell the truth, magistrates give oaths to them (Courts and Tribunals Judiciary, 2022c). What is more, magistrates have the authority to impose punishments on individuals who have been convicted of a crime (Courts and Tribunals Judiciary, 2022b). Ultimately, magistrates are crucial members of the legal system who work to uphold the rule of law and defend the rights of every party.</w:t>
      </w:r>
    </w:p>
    <w:p w14:paraId="14EE3A72" w14:textId="77777777" w:rsidR="00EC7D0B" w:rsidRPr="00EC7D0B" w:rsidRDefault="00EC7D0B" w:rsidP="00EC7D0B">
      <w:pPr>
        <w:rPr>
          <w:rFonts w:ascii="Arial" w:hAnsi="Arial" w:cs="Arial"/>
          <w:sz w:val="24"/>
          <w:szCs w:val="24"/>
        </w:rPr>
      </w:pPr>
      <w:r w:rsidRPr="00EC7D0B">
        <w:rPr>
          <w:rFonts w:ascii="Arial" w:hAnsi="Arial" w:cs="Arial"/>
          <w:sz w:val="24"/>
          <w:szCs w:val="24"/>
        </w:rPr>
        <w:t xml:space="preserve">Moreover, in addition to what the Ministry of Justice stated after considering each survey result, they have chosen to shut down 86 courts, and tribunal locations while keeping 5, with another 22 sites closing, but with modifications to the original plans. </w:t>
      </w:r>
      <w:r w:rsidRPr="00EC7D0B">
        <w:rPr>
          <w:rFonts w:ascii="Arial" w:hAnsi="Arial" w:cs="Arial"/>
          <w:sz w:val="24"/>
          <w:szCs w:val="24"/>
        </w:rPr>
        <w:lastRenderedPageBreak/>
        <w:t>Furthermore, the government is dedicated to modernizing access to and delivery of justice. During the next four years, they will invest £700 million to modernize the court and tribunal facilities, deploy cutting-edge IT systems, and improve the justice system's effectiveness (Ministry of Justice, 2017).</w:t>
      </w:r>
    </w:p>
    <w:p w14:paraId="1244E216" w14:textId="77777777" w:rsidR="00EC7D0B" w:rsidRPr="00EC7D0B" w:rsidRDefault="00EC7D0B" w:rsidP="00EC7D0B">
      <w:pPr>
        <w:rPr>
          <w:rFonts w:ascii="Arial" w:hAnsi="Arial" w:cs="Arial"/>
          <w:sz w:val="24"/>
          <w:szCs w:val="24"/>
        </w:rPr>
      </w:pPr>
      <w:r w:rsidRPr="00EC7D0B">
        <w:rPr>
          <w:rFonts w:ascii="Arial" w:hAnsi="Arial" w:cs="Arial"/>
          <w:sz w:val="24"/>
          <w:szCs w:val="24"/>
        </w:rPr>
        <w:t>Moving on to, the qualities a magistrate needs. To begin with, a person can become a magistrate without any prior legal education or training. Secondly, magistrates must be able to consider, and absorb the viewpoints of others, and quick to change. Also, they are supposed to conduct themselves with honesty, integrity, and the greatest professionalism. Next, independence and being free from external pressures or factors, that could impair their judgment is very important. Not only but also, one must act swiftly, decisively, and by the law, and the relevant facts while making judgments. Following this, magistrates, are supposed to preserve the values of justice, and fairness in all of their decisions, and to have a profound regard for the rule of law. Finally, to make wise judgments, and have the capacity to assess complicated and perhaps contradictory facts, a strong dedication to public service, and a devotion to upholding the law and serving the community (Courts and Tribunals Judiciary, 2022e).</w:t>
      </w:r>
    </w:p>
    <w:p w14:paraId="77A22215" w14:textId="77777777" w:rsidR="00EC7D0B" w:rsidRPr="00EC7D0B" w:rsidRDefault="00EC7D0B" w:rsidP="00EC7D0B">
      <w:pPr>
        <w:rPr>
          <w:rFonts w:ascii="Arial" w:hAnsi="Arial" w:cs="Arial"/>
          <w:sz w:val="24"/>
          <w:szCs w:val="24"/>
        </w:rPr>
      </w:pPr>
      <w:r w:rsidRPr="00EC7D0B">
        <w:rPr>
          <w:rFonts w:ascii="Arial" w:hAnsi="Arial" w:cs="Arial"/>
          <w:sz w:val="24"/>
          <w:szCs w:val="24"/>
        </w:rPr>
        <w:t>Magistrates are essential individuals that oversee the administration of justice in many nations all over the world. However, like any other system, their use of justice has benefits and drawbacks. Firstly, to begin with, some of the benefits of Magistrates in the Administration of Justice, are the fact, that magistrates are more affordable than judges since they frequently do not need to have the same degree of legal education and training (</w:t>
      </w:r>
      <w:proofErr w:type="spellStart"/>
      <w:r w:rsidRPr="00EC7D0B">
        <w:rPr>
          <w:rFonts w:ascii="Arial" w:hAnsi="Arial" w:cs="Arial"/>
          <w:sz w:val="24"/>
          <w:szCs w:val="24"/>
        </w:rPr>
        <w:t>Allbon</w:t>
      </w:r>
      <w:proofErr w:type="spellEnd"/>
      <w:r w:rsidRPr="00EC7D0B">
        <w:rPr>
          <w:rFonts w:ascii="Arial" w:hAnsi="Arial" w:cs="Arial"/>
          <w:sz w:val="24"/>
          <w:szCs w:val="24"/>
        </w:rPr>
        <w:t xml:space="preserve"> and Dua, 2019,p. 339).In contrast, this makes it possible to appoint more judicial officials for less money, as magistrates can handle a lot of cases swiftly and effectively. Secondly, this implies that cases are processed more quickly, enabling quicker dispute settlement. Furthermore, we have accessibility compared to judges, magistrates are frequently more approachable. Additionally, magistrates are frequently locals and may add significant local expertise and insight to the judicial process (Courts and Tribunals Judiciary, 2022b). To elaborate, the downside of being a magistrate is how little legal expertise they have. compared to judges, magistrates do not have as much legal education. This might result in, injustice being done, and bad legal decisions being made. As well as patterns of sentencing are inconsistent. Notably, for offenses that appear to be similar, different magistrates in various regions impose vastly different punishments (</w:t>
      </w:r>
      <w:proofErr w:type="spellStart"/>
      <w:r w:rsidRPr="00EC7D0B">
        <w:rPr>
          <w:rFonts w:ascii="Arial" w:hAnsi="Arial" w:cs="Arial"/>
          <w:sz w:val="24"/>
          <w:szCs w:val="24"/>
        </w:rPr>
        <w:t>Allbon</w:t>
      </w:r>
      <w:proofErr w:type="spellEnd"/>
      <w:r w:rsidRPr="00EC7D0B">
        <w:rPr>
          <w:rFonts w:ascii="Arial" w:hAnsi="Arial" w:cs="Arial"/>
          <w:sz w:val="24"/>
          <w:szCs w:val="24"/>
        </w:rPr>
        <w:t xml:space="preserve"> and Dua, 2019,p.340). In addition, a problem has emerged because magistrates frequently believe the police as witnesses to crimes, that are heard in magistrates court, without examining other possibilities (</w:t>
      </w:r>
      <w:proofErr w:type="spellStart"/>
      <w:r w:rsidRPr="00EC7D0B">
        <w:rPr>
          <w:rFonts w:ascii="Arial" w:hAnsi="Arial" w:cs="Arial"/>
          <w:sz w:val="24"/>
          <w:szCs w:val="24"/>
        </w:rPr>
        <w:t>Allbon</w:t>
      </w:r>
      <w:proofErr w:type="spellEnd"/>
      <w:r w:rsidRPr="00EC7D0B">
        <w:rPr>
          <w:rFonts w:ascii="Arial" w:hAnsi="Arial" w:cs="Arial"/>
          <w:sz w:val="24"/>
          <w:szCs w:val="24"/>
        </w:rPr>
        <w:t xml:space="preserve"> and Dua, 2019,p.341). Resulting from this can give the impression, that the law is being soft, and it might not be a strong enough deterrence for some offenses (Courts and Tribunals Judiciary, 2022c).</w:t>
      </w:r>
    </w:p>
    <w:p w14:paraId="22027365" w14:textId="77777777" w:rsidR="00EC7D0B" w:rsidRPr="00EC7D0B" w:rsidRDefault="00EC7D0B" w:rsidP="00EC7D0B">
      <w:pPr>
        <w:rPr>
          <w:rFonts w:ascii="Arial" w:hAnsi="Arial" w:cs="Arial"/>
          <w:sz w:val="24"/>
          <w:szCs w:val="24"/>
        </w:rPr>
      </w:pPr>
      <w:r w:rsidRPr="00EC7D0B">
        <w:rPr>
          <w:rFonts w:ascii="Arial" w:hAnsi="Arial" w:cs="Arial"/>
          <w:sz w:val="24"/>
          <w:szCs w:val="24"/>
        </w:rPr>
        <w:t xml:space="preserve">It can be seen that, during the last 20 years, prolonged reforming procedures have gradually reduced the function of magistrates in England. The introduction of additional magisterial tasks, such as the supervision of out-of-court dispositions and a larger level of cooperation with local justice initiatives, is one of the current government plans' goals to realign and "strengthen" their role. (Reforming the Role </w:t>
      </w:r>
      <w:r w:rsidRPr="00EC7D0B">
        <w:rPr>
          <w:rFonts w:ascii="Arial" w:hAnsi="Arial" w:cs="Arial"/>
          <w:sz w:val="24"/>
          <w:szCs w:val="24"/>
        </w:rPr>
        <w:lastRenderedPageBreak/>
        <w:t>of Magistrates: 2014) Also, as stated, and recommended in a report by the House of Commons, the Ministry of Justice should make sure that at least 90% of users can get to the closest magistrates court location by public transport in less than an hour (The role of the magistracy, 2016). Additionally, implementation and support for the expansion of magistrates sentencing authority to include a 12-month sentence (The Role of the Magistracy, 2016). This suggests that, will free up an estimated 2,000 more Crown Court days each year. Further, establishing Nightingale Courtrooms around the country to enhance capacity, and allow for more cases to be heard. The amendments will take effect in the coming months as a result of a commencement order signed by the Justice Secretary. However, before this modification may take effect, magistrates must undergo appropriate training. The Judicial College will supply this as stated by the Ministry of Justice (Ministry of Justice, 2022).</w:t>
      </w:r>
    </w:p>
    <w:p w14:paraId="5311B598" w14:textId="77777777" w:rsidR="00EC7D0B" w:rsidRPr="00EC7D0B" w:rsidRDefault="00EC7D0B" w:rsidP="00EC7D0B">
      <w:pPr>
        <w:rPr>
          <w:rFonts w:ascii="Arial" w:hAnsi="Arial" w:cs="Arial"/>
          <w:sz w:val="24"/>
          <w:szCs w:val="24"/>
        </w:rPr>
      </w:pPr>
      <w:r w:rsidRPr="00EC7D0B">
        <w:rPr>
          <w:rFonts w:ascii="Arial" w:hAnsi="Arial" w:cs="Arial"/>
          <w:sz w:val="24"/>
          <w:szCs w:val="24"/>
        </w:rPr>
        <w:t>In all, magistrates are crucial to the local enforcement of the law. They oversee a variety of legal proceedings, such as traffic violations, civil disputes, and criminal trials. They are responsible for comprehending the law, and ensuring that justice is administered fairly and impartially. Thus, without magistrates managing legal cases would be the sole responsibility of higher courts, who would be overburdened by the number of cases. By addressing matters, that doesn't need a higher court's involvement, magistrates contribute to the legal system's efficiency. They work to uphold the rights of everyone, uphold the rule of law, and preserve public safety. Yet, their limited legal expertise, possible prejudice, lack of independence, and constrained sentencing powers may also pose difficulties for the administration of justice. Overall, magistrates are an essential component of the legal system, providing a critical link between individuals and the broader legal framework.</w:t>
      </w:r>
    </w:p>
    <w:p w14:paraId="69706221" w14:textId="77777777" w:rsidR="00EC7D0B" w:rsidRPr="00EC7D0B" w:rsidRDefault="00EC7D0B" w:rsidP="00EC7D0B">
      <w:pPr>
        <w:rPr>
          <w:rFonts w:ascii="Arial" w:hAnsi="Arial" w:cs="Arial"/>
          <w:sz w:val="24"/>
          <w:szCs w:val="24"/>
        </w:rPr>
      </w:pPr>
    </w:p>
    <w:p w14:paraId="17718AFF" w14:textId="77777777" w:rsidR="00EC7D0B" w:rsidRPr="00EC7D0B" w:rsidRDefault="00EC7D0B" w:rsidP="00EC7D0B">
      <w:pPr>
        <w:rPr>
          <w:rFonts w:ascii="Arial" w:hAnsi="Arial" w:cs="Arial"/>
          <w:sz w:val="24"/>
          <w:szCs w:val="24"/>
        </w:rPr>
      </w:pPr>
      <w:r w:rsidRPr="00EC7D0B">
        <w:rPr>
          <w:rFonts w:ascii="Arial" w:hAnsi="Arial" w:cs="Arial"/>
          <w:sz w:val="24"/>
          <w:szCs w:val="24"/>
        </w:rPr>
        <w:t>Reference list:</w:t>
      </w:r>
    </w:p>
    <w:p w14:paraId="79EE078A" w14:textId="77777777" w:rsidR="00EC7D0B" w:rsidRPr="00EC7D0B" w:rsidRDefault="00EC7D0B" w:rsidP="00EC7D0B">
      <w:pPr>
        <w:rPr>
          <w:rFonts w:ascii="Arial" w:hAnsi="Arial" w:cs="Arial"/>
          <w:sz w:val="24"/>
          <w:szCs w:val="24"/>
        </w:rPr>
      </w:pPr>
      <w:proofErr w:type="spellStart"/>
      <w:r w:rsidRPr="00EC7D0B">
        <w:rPr>
          <w:rFonts w:ascii="Arial" w:hAnsi="Arial" w:cs="Arial"/>
          <w:sz w:val="24"/>
          <w:szCs w:val="24"/>
        </w:rPr>
        <w:t>Allbon</w:t>
      </w:r>
      <w:proofErr w:type="spellEnd"/>
      <w:r w:rsidRPr="00EC7D0B">
        <w:rPr>
          <w:rFonts w:ascii="Arial" w:hAnsi="Arial" w:cs="Arial"/>
          <w:sz w:val="24"/>
          <w:szCs w:val="24"/>
        </w:rPr>
        <w:t>, E. and Dua, K.S. (2019) Elliott &amp; Quinn's English Legal System. 20th ed. Pearson, p.339</w:t>
      </w:r>
    </w:p>
    <w:p w14:paraId="3BA42E19" w14:textId="77777777" w:rsidR="00EC7D0B" w:rsidRPr="00EC7D0B" w:rsidRDefault="00EC7D0B" w:rsidP="00EC7D0B">
      <w:pPr>
        <w:rPr>
          <w:rFonts w:ascii="Arial" w:hAnsi="Arial" w:cs="Arial"/>
          <w:sz w:val="24"/>
          <w:szCs w:val="24"/>
        </w:rPr>
      </w:pPr>
      <w:proofErr w:type="spellStart"/>
      <w:r w:rsidRPr="00EC7D0B">
        <w:rPr>
          <w:rFonts w:ascii="Arial" w:hAnsi="Arial" w:cs="Arial"/>
          <w:sz w:val="24"/>
          <w:szCs w:val="24"/>
        </w:rPr>
        <w:t>Allbon</w:t>
      </w:r>
      <w:proofErr w:type="spellEnd"/>
      <w:r w:rsidRPr="00EC7D0B">
        <w:rPr>
          <w:rFonts w:ascii="Arial" w:hAnsi="Arial" w:cs="Arial"/>
          <w:sz w:val="24"/>
          <w:szCs w:val="24"/>
        </w:rPr>
        <w:t>, E. and Dua, K.S. (2019) Elliott &amp; Quinn's English Legal System. 20th ed. Pearson, p.340</w:t>
      </w:r>
    </w:p>
    <w:p w14:paraId="24893D64" w14:textId="77777777" w:rsidR="00EC7D0B" w:rsidRPr="00EC7D0B" w:rsidRDefault="00EC7D0B" w:rsidP="00EC7D0B">
      <w:pPr>
        <w:rPr>
          <w:rFonts w:ascii="Arial" w:hAnsi="Arial" w:cs="Arial"/>
          <w:sz w:val="24"/>
          <w:szCs w:val="24"/>
        </w:rPr>
      </w:pPr>
      <w:proofErr w:type="spellStart"/>
      <w:r w:rsidRPr="00EC7D0B">
        <w:rPr>
          <w:rFonts w:ascii="Arial" w:hAnsi="Arial" w:cs="Arial"/>
          <w:sz w:val="24"/>
          <w:szCs w:val="24"/>
        </w:rPr>
        <w:t>Allbon</w:t>
      </w:r>
      <w:proofErr w:type="spellEnd"/>
      <w:r w:rsidRPr="00EC7D0B">
        <w:rPr>
          <w:rFonts w:ascii="Arial" w:hAnsi="Arial" w:cs="Arial"/>
          <w:sz w:val="24"/>
          <w:szCs w:val="24"/>
        </w:rPr>
        <w:t>, E. and Dua, K.S. (2019) Elliott &amp; Quinn's English Legal System. 20th ed. Pearson, p.341</w:t>
      </w:r>
    </w:p>
    <w:p w14:paraId="169EF5C2" w14:textId="2B7EF394" w:rsidR="00EC7D0B" w:rsidRPr="00EC7D0B" w:rsidRDefault="00EC7D0B" w:rsidP="00EC7D0B">
      <w:pPr>
        <w:rPr>
          <w:rFonts w:ascii="Arial" w:hAnsi="Arial" w:cs="Arial"/>
          <w:sz w:val="24"/>
          <w:szCs w:val="24"/>
        </w:rPr>
      </w:pPr>
      <w:r w:rsidRPr="00EC7D0B">
        <w:rPr>
          <w:rFonts w:ascii="Arial" w:hAnsi="Arial" w:cs="Arial"/>
          <w:sz w:val="24"/>
          <w:szCs w:val="24"/>
        </w:rPr>
        <w:t>Courts and Tribunals Judiciary (2022c) Traditions of the courts - Courts and Tribunals Judiciary. Available at: https://www.judiciary.uk/about-the-judiciary/history-of-the-judiciary-in-england-and-wales/court-traditions/#:~:text=Judges%2C%20magistrates%20and%20tribunal%20members%20take%20two%20oaths,are%20collectively%20referred%20to%20as%20the%20judicial%20oath (Accessed: April 5, 2023).</w:t>
      </w:r>
    </w:p>
    <w:p w14:paraId="17A9D507" w14:textId="1A83172C" w:rsidR="00EC7D0B" w:rsidRPr="00EC7D0B" w:rsidRDefault="00EC7D0B" w:rsidP="00EC7D0B">
      <w:pPr>
        <w:rPr>
          <w:rFonts w:ascii="Arial" w:hAnsi="Arial" w:cs="Arial"/>
          <w:sz w:val="24"/>
          <w:szCs w:val="24"/>
        </w:rPr>
      </w:pPr>
      <w:r w:rsidRPr="00EC7D0B">
        <w:rPr>
          <w:rFonts w:ascii="Arial" w:hAnsi="Arial" w:cs="Arial"/>
          <w:sz w:val="24"/>
          <w:szCs w:val="24"/>
        </w:rPr>
        <w:t>Courts and Tribunals Judiciary (2022) About Magistrates' courts - Courts and Tribunals Judiciary. Available at: https://www.judiciary.uk/courts-and-tribunals/magistrates-courts/magistrates-court/ (Accessed: April 5, 2023).</w:t>
      </w:r>
    </w:p>
    <w:p w14:paraId="695E2D74" w14:textId="77777777" w:rsidR="00EC7D0B" w:rsidRPr="00EC7D0B" w:rsidRDefault="00EC7D0B" w:rsidP="00EC7D0B">
      <w:pPr>
        <w:rPr>
          <w:rFonts w:ascii="Arial" w:hAnsi="Arial" w:cs="Arial"/>
          <w:sz w:val="24"/>
          <w:szCs w:val="24"/>
        </w:rPr>
      </w:pPr>
      <w:r w:rsidRPr="00EC7D0B">
        <w:rPr>
          <w:rFonts w:ascii="Arial" w:hAnsi="Arial" w:cs="Arial"/>
          <w:sz w:val="24"/>
          <w:szCs w:val="24"/>
        </w:rPr>
        <w:lastRenderedPageBreak/>
        <w:t>Courts and Tribunals Judiciary (2022d) Magistrates - Courts and Tribunals Judiciary. Available at: https://www.judiciary.uk/about-the-judiciary/who-are-the-judiciary/magistrates/ (Accessed: April 5, 2023).</w:t>
      </w:r>
    </w:p>
    <w:p w14:paraId="5D02B905" w14:textId="77777777" w:rsidR="00EC7D0B" w:rsidRPr="00EC7D0B" w:rsidRDefault="00EC7D0B" w:rsidP="00EC7D0B">
      <w:pPr>
        <w:rPr>
          <w:rFonts w:ascii="Arial" w:hAnsi="Arial" w:cs="Arial"/>
          <w:sz w:val="24"/>
          <w:szCs w:val="24"/>
        </w:rPr>
      </w:pPr>
      <w:r w:rsidRPr="00EC7D0B">
        <w:rPr>
          <w:rFonts w:ascii="Arial" w:hAnsi="Arial" w:cs="Arial"/>
          <w:sz w:val="24"/>
          <w:szCs w:val="24"/>
        </w:rPr>
        <w:t>Crayford, B. (2020) "Statistics published on diversity in the magistracy," Magistrates Association, 29 September. Available at: https://www.magistrates-association.org.uk/News-and-Comments/statistics-published-on-diversity-in-the-magistracy (Accessed: April 7, 2023).</w:t>
      </w:r>
    </w:p>
    <w:p w14:paraId="4C80D4A6" w14:textId="77777777" w:rsidR="00EC7D0B" w:rsidRPr="00EC7D0B" w:rsidRDefault="00EC7D0B" w:rsidP="00EC7D0B">
      <w:pPr>
        <w:rPr>
          <w:rFonts w:ascii="Arial" w:hAnsi="Arial" w:cs="Arial"/>
          <w:sz w:val="24"/>
          <w:szCs w:val="24"/>
        </w:rPr>
      </w:pPr>
      <w:r w:rsidRPr="00EC7D0B">
        <w:rPr>
          <w:rFonts w:ascii="Arial" w:hAnsi="Arial" w:cs="Arial"/>
          <w:sz w:val="24"/>
          <w:szCs w:val="24"/>
        </w:rPr>
        <w:t>Campaigning to Transform Justice (2020). Available at: https://www.crimeandjustice.org.uk/sites/crimeandjustice.org.uk/files/PSJ%20248%2C%20Penelope%20Gibbs.pdf (Accessed: April 5, 2023).</w:t>
      </w:r>
    </w:p>
    <w:p w14:paraId="056ACA5C" w14:textId="77777777" w:rsidR="00EC7D0B" w:rsidRPr="00EC7D0B" w:rsidRDefault="00EC7D0B" w:rsidP="00EC7D0B">
      <w:pPr>
        <w:rPr>
          <w:rFonts w:ascii="Arial" w:hAnsi="Arial" w:cs="Arial"/>
          <w:sz w:val="24"/>
          <w:szCs w:val="24"/>
        </w:rPr>
      </w:pPr>
      <w:r w:rsidRPr="00EC7D0B">
        <w:rPr>
          <w:rFonts w:ascii="Arial" w:hAnsi="Arial" w:cs="Arial"/>
          <w:sz w:val="24"/>
          <w:szCs w:val="24"/>
        </w:rPr>
        <w:t>Diversity of the judiciary: 2020 statistics (2020). Available at: https://www.gov.uk/government/statistics/diversity-of-the-judiciary-2020-statistics (Accessed: April 7, 2023).</w:t>
      </w:r>
    </w:p>
    <w:p w14:paraId="3275951B" w14:textId="06431F0F" w:rsidR="00EC7D0B" w:rsidRPr="00EC7D0B" w:rsidRDefault="00EC7D0B" w:rsidP="00EC7D0B">
      <w:pPr>
        <w:rPr>
          <w:rFonts w:ascii="Arial" w:hAnsi="Arial" w:cs="Arial"/>
          <w:sz w:val="24"/>
          <w:szCs w:val="24"/>
        </w:rPr>
      </w:pPr>
      <w:r w:rsidRPr="00EC7D0B">
        <w:rPr>
          <w:rFonts w:ascii="Arial" w:hAnsi="Arial" w:cs="Arial"/>
          <w:sz w:val="24"/>
          <w:szCs w:val="24"/>
        </w:rPr>
        <w:t>Government Digital Service (2015) "Being charged with a crime," GOV.UK [Preprint]. Available at: https://www.gov.uk/charged-crime/bail (Accessed: April 11, 2023).</w:t>
      </w:r>
    </w:p>
    <w:p w14:paraId="63E5EB5F" w14:textId="77777777" w:rsidR="00EC7D0B" w:rsidRPr="00EC7D0B" w:rsidRDefault="00EC7D0B" w:rsidP="00EC7D0B">
      <w:pPr>
        <w:rPr>
          <w:rFonts w:ascii="Arial" w:hAnsi="Arial" w:cs="Arial"/>
          <w:sz w:val="24"/>
          <w:szCs w:val="24"/>
        </w:rPr>
      </w:pPr>
      <w:r w:rsidRPr="00EC7D0B">
        <w:rPr>
          <w:rFonts w:ascii="Arial" w:hAnsi="Arial" w:cs="Arial"/>
          <w:sz w:val="24"/>
          <w:szCs w:val="24"/>
        </w:rPr>
        <w:t>Ministry of Justice (2022) "Magistrates' Courts given more power to tackle the backlog," GOV.UK, 18 January. Available at: https://www.gov.uk/government/news/magistrates-courts-given-more-power-to-tackle-backlog (Accessed: April 11, 2023).</w:t>
      </w:r>
    </w:p>
    <w:p w14:paraId="06838F0E" w14:textId="77777777" w:rsidR="00EC7D0B" w:rsidRPr="00EC7D0B" w:rsidRDefault="00EC7D0B" w:rsidP="00EC7D0B">
      <w:pPr>
        <w:rPr>
          <w:rFonts w:ascii="Arial" w:hAnsi="Arial" w:cs="Arial"/>
          <w:sz w:val="24"/>
          <w:szCs w:val="24"/>
        </w:rPr>
      </w:pPr>
      <w:r w:rsidRPr="00EC7D0B">
        <w:rPr>
          <w:rFonts w:ascii="Arial" w:hAnsi="Arial" w:cs="Arial"/>
          <w:sz w:val="24"/>
          <w:szCs w:val="24"/>
        </w:rPr>
        <w:t>Ministry of Justice (2017b) "Proposal on the provision of court and tribunal estate in England and Wales," GOV.UK [Preprint]. Available at: https://www.gov.uk/government/consultations/proposal-on-the-provision-of-court-and-tribunal-estate-in-england-and-wales (Accessed: April 11, 2023).</w:t>
      </w:r>
    </w:p>
    <w:p w14:paraId="0013C303" w14:textId="77777777" w:rsidR="00EC7D0B" w:rsidRPr="00EC7D0B" w:rsidRDefault="00EC7D0B" w:rsidP="00EC7D0B">
      <w:pPr>
        <w:rPr>
          <w:rFonts w:ascii="Arial" w:hAnsi="Arial" w:cs="Arial"/>
          <w:sz w:val="24"/>
          <w:szCs w:val="24"/>
        </w:rPr>
      </w:pPr>
      <w:r w:rsidRPr="00EC7D0B">
        <w:rPr>
          <w:rFonts w:ascii="Arial" w:hAnsi="Arial" w:cs="Arial"/>
          <w:sz w:val="24"/>
          <w:szCs w:val="24"/>
        </w:rPr>
        <w:t>Magistrates Association &gt; About magistrates (no date). Available at: https://www.magistrates-association.org.uk/about-magistrates  (Accessed: April 11, 2023).</w:t>
      </w:r>
    </w:p>
    <w:p w14:paraId="112D030A" w14:textId="77777777" w:rsidR="00EC7D0B" w:rsidRPr="00EC7D0B" w:rsidRDefault="00EC7D0B" w:rsidP="00EC7D0B">
      <w:pPr>
        <w:rPr>
          <w:rFonts w:ascii="Arial" w:hAnsi="Arial" w:cs="Arial"/>
          <w:sz w:val="24"/>
          <w:szCs w:val="24"/>
        </w:rPr>
      </w:pPr>
      <w:r w:rsidRPr="00EC7D0B">
        <w:rPr>
          <w:rFonts w:ascii="Arial" w:hAnsi="Arial" w:cs="Arial"/>
          <w:sz w:val="24"/>
          <w:szCs w:val="24"/>
        </w:rPr>
        <w:t>Reforming the Role of Magistrates: (2014). Available at: https://plus-lexis-com.ezproxy.uwtsd.ac.uk/uk/document/?pdmfid=1001073&amp;crid=7ec282c7-b146-4d77-900f-29ea149ca17a&amp;pddocfullpath=%2Fshared%2Fdocument%2Fanalytical-materials-uk%2Furn%3AcontentItem%3A5G7Y-V851-F0CS-G483-00000-00&amp;pdcontentcomponentid=420531&amp;pdteaserkey=&amp;pdislpamode=false&amp;pddocumentnumber=2&amp;ecomp=tt5k&amp;earg=sr1&amp;prid=0960a780-8804-4c46-b980-4f14683a2f15 (Accessed: April 3, 2023).</w:t>
      </w:r>
    </w:p>
    <w:p w14:paraId="06DA4BE9" w14:textId="77777777" w:rsidR="00EC7D0B" w:rsidRPr="00EC7D0B" w:rsidRDefault="00EC7D0B" w:rsidP="00EC7D0B">
      <w:pPr>
        <w:rPr>
          <w:rFonts w:ascii="Arial" w:hAnsi="Arial" w:cs="Arial"/>
          <w:sz w:val="24"/>
          <w:szCs w:val="24"/>
        </w:rPr>
      </w:pPr>
      <w:r w:rsidRPr="00EC7D0B">
        <w:rPr>
          <w:rFonts w:ascii="Arial" w:hAnsi="Arial" w:cs="Arial"/>
          <w:sz w:val="24"/>
          <w:szCs w:val="24"/>
        </w:rPr>
        <w:t>Storey, H. (2013) "Consistency in Refugee Decision-Making: A Judicial Perspective," Oxford Academic, 32(4). Available at: https://academic.oup.com/rsq/article/32/4/112/1590675 (Accessed: April 11, 2023).</w:t>
      </w:r>
    </w:p>
    <w:p w14:paraId="7F9EF064" w14:textId="77777777" w:rsidR="00EC7D0B" w:rsidRPr="00EC7D0B" w:rsidRDefault="00EC7D0B" w:rsidP="00EC7D0B">
      <w:pPr>
        <w:rPr>
          <w:rFonts w:ascii="Arial" w:hAnsi="Arial" w:cs="Arial"/>
          <w:sz w:val="24"/>
          <w:szCs w:val="24"/>
        </w:rPr>
      </w:pPr>
      <w:r w:rsidRPr="00EC7D0B">
        <w:rPr>
          <w:rFonts w:ascii="Arial" w:hAnsi="Arial" w:cs="Arial"/>
          <w:sz w:val="24"/>
          <w:szCs w:val="24"/>
        </w:rPr>
        <w:t>The role of the magistracy (2016). Available at: https://publications.parliament.uk/pa/cm201617/cmselect/cmjust/165/165.pdf (Accessed: April 1, 2023).</w:t>
      </w:r>
    </w:p>
    <w:p w14:paraId="0F7936AB" w14:textId="77777777" w:rsidR="00EC7D0B" w:rsidRPr="00EC7D0B" w:rsidRDefault="00EC7D0B" w:rsidP="00EC7D0B">
      <w:pPr>
        <w:rPr>
          <w:rFonts w:ascii="Arial" w:hAnsi="Arial" w:cs="Arial"/>
          <w:sz w:val="24"/>
          <w:szCs w:val="24"/>
        </w:rPr>
      </w:pPr>
    </w:p>
    <w:p w14:paraId="652976C3" w14:textId="3832F5A5" w:rsidR="00316A5B" w:rsidRPr="00EC7D0B" w:rsidRDefault="00EC7D0B" w:rsidP="00EC7D0B">
      <w:pPr>
        <w:rPr>
          <w:rFonts w:ascii="Arial" w:hAnsi="Arial" w:cs="Arial"/>
          <w:sz w:val="24"/>
          <w:szCs w:val="24"/>
        </w:rPr>
      </w:pPr>
      <w:r w:rsidRPr="00EC7D0B">
        <w:rPr>
          <w:rFonts w:ascii="Arial" w:hAnsi="Arial" w:cs="Arial"/>
          <w:sz w:val="24"/>
          <w:szCs w:val="24"/>
        </w:rPr>
        <w:lastRenderedPageBreak/>
        <w:t>Witness Evidence and Questioning — Defence-Barrister.co.uk (no date). Available at: https://www.defence-barrister.co.uk/witness-evidence-and-questioning (Accessed: April 7, 2023).</w:t>
      </w:r>
    </w:p>
    <w:sectPr w:rsidR="00316A5B" w:rsidRPr="00EC7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5C8"/>
    <w:rsid w:val="00007C56"/>
    <w:rsid w:val="00012626"/>
    <w:rsid w:val="00013D17"/>
    <w:rsid w:val="00013FC1"/>
    <w:rsid w:val="000229A8"/>
    <w:rsid w:val="000230BD"/>
    <w:rsid w:val="00044C2A"/>
    <w:rsid w:val="00052BA7"/>
    <w:rsid w:val="000546D5"/>
    <w:rsid w:val="000575FF"/>
    <w:rsid w:val="00067F0B"/>
    <w:rsid w:val="000727B9"/>
    <w:rsid w:val="00077039"/>
    <w:rsid w:val="000860E4"/>
    <w:rsid w:val="000961BC"/>
    <w:rsid w:val="00096AFD"/>
    <w:rsid w:val="000A4F81"/>
    <w:rsid w:val="000B14AC"/>
    <w:rsid w:val="000C1CEB"/>
    <w:rsid w:val="000D09A6"/>
    <w:rsid w:val="000D10DE"/>
    <w:rsid w:val="000E06F1"/>
    <w:rsid w:val="000E741C"/>
    <w:rsid w:val="00102352"/>
    <w:rsid w:val="001235B0"/>
    <w:rsid w:val="00124AF7"/>
    <w:rsid w:val="00132A35"/>
    <w:rsid w:val="00132E57"/>
    <w:rsid w:val="00146530"/>
    <w:rsid w:val="00153139"/>
    <w:rsid w:val="00156C7C"/>
    <w:rsid w:val="00161F50"/>
    <w:rsid w:val="001713C9"/>
    <w:rsid w:val="00184512"/>
    <w:rsid w:val="00186F8C"/>
    <w:rsid w:val="00190CBE"/>
    <w:rsid w:val="001933FF"/>
    <w:rsid w:val="001A101C"/>
    <w:rsid w:val="001A4527"/>
    <w:rsid w:val="001D701B"/>
    <w:rsid w:val="001F588E"/>
    <w:rsid w:val="001F6AAE"/>
    <w:rsid w:val="001F7410"/>
    <w:rsid w:val="00207C1A"/>
    <w:rsid w:val="00211129"/>
    <w:rsid w:val="002240A9"/>
    <w:rsid w:val="00224816"/>
    <w:rsid w:val="00226D21"/>
    <w:rsid w:val="00227E95"/>
    <w:rsid w:val="00232BC0"/>
    <w:rsid w:val="002402C9"/>
    <w:rsid w:val="00250EE0"/>
    <w:rsid w:val="00266B23"/>
    <w:rsid w:val="0027044F"/>
    <w:rsid w:val="0027148E"/>
    <w:rsid w:val="00273D2B"/>
    <w:rsid w:val="002752FE"/>
    <w:rsid w:val="00275600"/>
    <w:rsid w:val="00275B24"/>
    <w:rsid w:val="00282DDE"/>
    <w:rsid w:val="002944B2"/>
    <w:rsid w:val="00295DBA"/>
    <w:rsid w:val="002B3CE8"/>
    <w:rsid w:val="002E0823"/>
    <w:rsid w:val="002F3EFA"/>
    <w:rsid w:val="002F474E"/>
    <w:rsid w:val="00304637"/>
    <w:rsid w:val="003076D8"/>
    <w:rsid w:val="00316A5B"/>
    <w:rsid w:val="00322E01"/>
    <w:rsid w:val="00331060"/>
    <w:rsid w:val="00331CA3"/>
    <w:rsid w:val="00351E39"/>
    <w:rsid w:val="003635D6"/>
    <w:rsid w:val="0038361C"/>
    <w:rsid w:val="00396AEF"/>
    <w:rsid w:val="003A1413"/>
    <w:rsid w:val="003A4B66"/>
    <w:rsid w:val="003C0FA1"/>
    <w:rsid w:val="003C1410"/>
    <w:rsid w:val="003D2AF5"/>
    <w:rsid w:val="003D45B0"/>
    <w:rsid w:val="003D6B2D"/>
    <w:rsid w:val="003E5F0D"/>
    <w:rsid w:val="003E64EE"/>
    <w:rsid w:val="003F1579"/>
    <w:rsid w:val="0041126E"/>
    <w:rsid w:val="004258A2"/>
    <w:rsid w:val="00432F50"/>
    <w:rsid w:val="004338F6"/>
    <w:rsid w:val="004440F6"/>
    <w:rsid w:val="00454C49"/>
    <w:rsid w:val="004557FA"/>
    <w:rsid w:val="0046593F"/>
    <w:rsid w:val="00471DF3"/>
    <w:rsid w:val="00481A5A"/>
    <w:rsid w:val="00491A59"/>
    <w:rsid w:val="004A2CEB"/>
    <w:rsid w:val="004A6BD5"/>
    <w:rsid w:val="004C053A"/>
    <w:rsid w:val="004C6A75"/>
    <w:rsid w:val="00513E6D"/>
    <w:rsid w:val="005347FA"/>
    <w:rsid w:val="00541F71"/>
    <w:rsid w:val="00545E7E"/>
    <w:rsid w:val="0056231E"/>
    <w:rsid w:val="0056691E"/>
    <w:rsid w:val="00575680"/>
    <w:rsid w:val="00595D7F"/>
    <w:rsid w:val="005A1A17"/>
    <w:rsid w:val="005A239D"/>
    <w:rsid w:val="005A3E98"/>
    <w:rsid w:val="005A4024"/>
    <w:rsid w:val="005B0EAC"/>
    <w:rsid w:val="005C1124"/>
    <w:rsid w:val="005D01E6"/>
    <w:rsid w:val="005D4D8F"/>
    <w:rsid w:val="00605DAF"/>
    <w:rsid w:val="0061027C"/>
    <w:rsid w:val="00614423"/>
    <w:rsid w:val="00620310"/>
    <w:rsid w:val="00621EAD"/>
    <w:rsid w:val="00626CEC"/>
    <w:rsid w:val="006312D1"/>
    <w:rsid w:val="006322B1"/>
    <w:rsid w:val="006366A3"/>
    <w:rsid w:val="00647C9D"/>
    <w:rsid w:val="0065230F"/>
    <w:rsid w:val="0065236B"/>
    <w:rsid w:val="00654159"/>
    <w:rsid w:val="0066020A"/>
    <w:rsid w:val="00666F3F"/>
    <w:rsid w:val="00667A69"/>
    <w:rsid w:val="00673DE3"/>
    <w:rsid w:val="00681E25"/>
    <w:rsid w:val="0068572C"/>
    <w:rsid w:val="00692BB0"/>
    <w:rsid w:val="006952F3"/>
    <w:rsid w:val="006A116D"/>
    <w:rsid w:val="006B0956"/>
    <w:rsid w:val="006B42DB"/>
    <w:rsid w:val="006C27DF"/>
    <w:rsid w:val="006D2A21"/>
    <w:rsid w:val="006D3459"/>
    <w:rsid w:val="006D6130"/>
    <w:rsid w:val="006E126C"/>
    <w:rsid w:val="006E7C90"/>
    <w:rsid w:val="007207ED"/>
    <w:rsid w:val="00720E4C"/>
    <w:rsid w:val="007249F3"/>
    <w:rsid w:val="00724B3D"/>
    <w:rsid w:val="007339D4"/>
    <w:rsid w:val="00735CD1"/>
    <w:rsid w:val="007426EA"/>
    <w:rsid w:val="00745D9D"/>
    <w:rsid w:val="0075419C"/>
    <w:rsid w:val="0076389E"/>
    <w:rsid w:val="00764F79"/>
    <w:rsid w:val="00773900"/>
    <w:rsid w:val="00776391"/>
    <w:rsid w:val="00784BF2"/>
    <w:rsid w:val="00797B14"/>
    <w:rsid w:val="007A09C9"/>
    <w:rsid w:val="007C4AF5"/>
    <w:rsid w:val="007F4DF4"/>
    <w:rsid w:val="00800069"/>
    <w:rsid w:val="008073B3"/>
    <w:rsid w:val="0081359B"/>
    <w:rsid w:val="00833E32"/>
    <w:rsid w:val="00834CCC"/>
    <w:rsid w:val="00835045"/>
    <w:rsid w:val="00840609"/>
    <w:rsid w:val="00843102"/>
    <w:rsid w:val="0084483D"/>
    <w:rsid w:val="00844E7D"/>
    <w:rsid w:val="00846525"/>
    <w:rsid w:val="00856CB2"/>
    <w:rsid w:val="00873BA4"/>
    <w:rsid w:val="00883651"/>
    <w:rsid w:val="00891AE4"/>
    <w:rsid w:val="00894B3C"/>
    <w:rsid w:val="00897ED5"/>
    <w:rsid w:val="008B008D"/>
    <w:rsid w:val="008B126F"/>
    <w:rsid w:val="008B1728"/>
    <w:rsid w:val="008B4426"/>
    <w:rsid w:val="008B7EA0"/>
    <w:rsid w:val="008C7D87"/>
    <w:rsid w:val="008C7DBF"/>
    <w:rsid w:val="008D1959"/>
    <w:rsid w:val="008E055A"/>
    <w:rsid w:val="008E0F82"/>
    <w:rsid w:val="008E40DB"/>
    <w:rsid w:val="008E4C36"/>
    <w:rsid w:val="00906C13"/>
    <w:rsid w:val="009122DD"/>
    <w:rsid w:val="00912DCA"/>
    <w:rsid w:val="00914105"/>
    <w:rsid w:val="0091656B"/>
    <w:rsid w:val="00916904"/>
    <w:rsid w:val="009211BE"/>
    <w:rsid w:val="009252EC"/>
    <w:rsid w:val="00933DF6"/>
    <w:rsid w:val="00936E6B"/>
    <w:rsid w:val="00950DE5"/>
    <w:rsid w:val="00952ABD"/>
    <w:rsid w:val="0095630A"/>
    <w:rsid w:val="00957B08"/>
    <w:rsid w:val="00966B80"/>
    <w:rsid w:val="00967CEB"/>
    <w:rsid w:val="0098061E"/>
    <w:rsid w:val="00984E08"/>
    <w:rsid w:val="00991DA9"/>
    <w:rsid w:val="00997E9A"/>
    <w:rsid w:val="009A3594"/>
    <w:rsid w:val="009A7A18"/>
    <w:rsid w:val="009B5793"/>
    <w:rsid w:val="009C33AF"/>
    <w:rsid w:val="00A15A68"/>
    <w:rsid w:val="00A21422"/>
    <w:rsid w:val="00A240AC"/>
    <w:rsid w:val="00A2683B"/>
    <w:rsid w:val="00A37DAF"/>
    <w:rsid w:val="00A4710A"/>
    <w:rsid w:val="00A8068C"/>
    <w:rsid w:val="00A851AC"/>
    <w:rsid w:val="00A911C2"/>
    <w:rsid w:val="00A96637"/>
    <w:rsid w:val="00AA1136"/>
    <w:rsid w:val="00AA18EB"/>
    <w:rsid w:val="00AC070A"/>
    <w:rsid w:val="00AC60ED"/>
    <w:rsid w:val="00AC70D2"/>
    <w:rsid w:val="00AE560A"/>
    <w:rsid w:val="00AF02A1"/>
    <w:rsid w:val="00B35209"/>
    <w:rsid w:val="00B40268"/>
    <w:rsid w:val="00B47D18"/>
    <w:rsid w:val="00B6359D"/>
    <w:rsid w:val="00B63C95"/>
    <w:rsid w:val="00B74F77"/>
    <w:rsid w:val="00B84480"/>
    <w:rsid w:val="00B87F7B"/>
    <w:rsid w:val="00B93C2B"/>
    <w:rsid w:val="00BA65B7"/>
    <w:rsid w:val="00BA6B4D"/>
    <w:rsid w:val="00BB018D"/>
    <w:rsid w:val="00BB291C"/>
    <w:rsid w:val="00BB3BE0"/>
    <w:rsid w:val="00BC1EF0"/>
    <w:rsid w:val="00BD72A9"/>
    <w:rsid w:val="00BF195C"/>
    <w:rsid w:val="00BF1DE2"/>
    <w:rsid w:val="00BF2694"/>
    <w:rsid w:val="00C04D10"/>
    <w:rsid w:val="00C10DE4"/>
    <w:rsid w:val="00C3173F"/>
    <w:rsid w:val="00C335C8"/>
    <w:rsid w:val="00C47AEB"/>
    <w:rsid w:val="00C51934"/>
    <w:rsid w:val="00C52BE9"/>
    <w:rsid w:val="00C53912"/>
    <w:rsid w:val="00C562C3"/>
    <w:rsid w:val="00C6469A"/>
    <w:rsid w:val="00C64D40"/>
    <w:rsid w:val="00C70B70"/>
    <w:rsid w:val="00C7509A"/>
    <w:rsid w:val="00C76C5B"/>
    <w:rsid w:val="00CD411D"/>
    <w:rsid w:val="00CE1027"/>
    <w:rsid w:val="00CE2F45"/>
    <w:rsid w:val="00CF3446"/>
    <w:rsid w:val="00D17340"/>
    <w:rsid w:val="00D23F3A"/>
    <w:rsid w:val="00D277DA"/>
    <w:rsid w:val="00D33B23"/>
    <w:rsid w:val="00D362B4"/>
    <w:rsid w:val="00D37608"/>
    <w:rsid w:val="00D37676"/>
    <w:rsid w:val="00D52308"/>
    <w:rsid w:val="00D620F8"/>
    <w:rsid w:val="00D64DB4"/>
    <w:rsid w:val="00D663B7"/>
    <w:rsid w:val="00D70529"/>
    <w:rsid w:val="00D72D04"/>
    <w:rsid w:val="00D737E6"/>
    <w:rsid w:val="00D741EC"/>
    <w:rsid w:val="00D81A58"/>
    <w:rsid w:val="00D94139"/>
    <w:rsid w:val="00DB49C9"/>
    <w:rsid w:val="00DC12D4"/>
    <w:rsid w:val="00DC3BDA"/>
    <w:rsid w:val="00DC6B3B"/>
    <w:rsid w:val="00DE6675"/>
    <w:rsid w:val="00E05145"/>
    <w:rsid w:val="00E07A3F"/>
    <w:rsid w:val="00E266CC"/>
    <w:rsid w:val="00E35158"/>
    <w:rsid w:val="00E4412F"/>
    <w:rsid w:val="00E81F12"/>
    <w:rsid w:val="00E84F02"/>
    <w:rsid w:val="00E87566"/>
    <w:rsid w:val="00EA1DF3"/>
    <w:rsid w:val="00EA6542"/>
    <w:rsid w:val="00EB55E4"/>
    <w:rsid w:val="00EC187E"/>
    <w:rsid w:val="00EC7D0B"/>
    <w:rsid w:val="00EE1437"/>
    <w:rsid w:val="00EF13A9"/>
    <w:rsid w:val="00EF1B99"/>
    <w:rsid w:val="00EF5B94"/>
    <w:rsid w:val="00EF7AE2"/>
    <w:rsid w:val="00F207E6"/>
    <w:rsid w:val="00F2587D"/>
    <w:rsid w:val="00F260F7"/>
    <w:rsid w:val="00F27237"/>
    <w:rsid w:val="00F31640"/>
    <w:rsid w:val="00F5591B"/>
    <w:rsid w:val="00F57C23"/>
    <w:rsid w:val="00F60D1F"/>
    <w:rsid w:val="00F723C4"/>
    <w:rsid w:val="00F72BFF"/>
    <w:rsid w:val="00F73561"/>
    <w:rsid w:val="00F839FD"/>
    <w:rsid w:val="00F92DD6"/>
    <w:rsid w:val="00F95EEC"/>
    <w:rsid w:val="00FA0B3D"/>
    <w:rsid w:val="00FA1737"/>
    <w:rsid w:val="00FA3239"/>
    <w:rsid w:val="00FA7DE8"/>
    <w:rsid w:val="00FB09FE"/>
    <w:rsid w:val="00FB62AC"/>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9257"/>
  <w15:chartTrackingRefBased/>
  <w15:docId w15:val="{E9770B04-5E3E-4B19-AA95-1968C862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2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1D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5045"/>
    <w:rPr>
      <w:color w:val="0563C1" w:themeColor="hyperlink"/>
      <w:u w:val="single"/>
    </w:rPr>
  </w:style>
  <w:style w:type="character" w:styleId="UnresolvedMention">
    <w:name w:val="Unresolved Mention"/>
    <w:basedOn w:val="DefaultParagraphFont"/>
    <w:uiPriority w:val="99"/>
    <w:semiHidden/>
    <w:unhideWhenUsed/>
    <w:rsid w:val="00835045"/>
    <w:rPr>
      <w:color w:val="605E5C"/>
      <w:shd w:val="clear" w:color="auto" w:fill="E1DFDD"/>
    </w:rPr>
  </w:style>
  <w:style w:type="character" w:styleId="Emphasis">
    <w:name w:val="Emphasis"/>
    <w:basedOn w:val="DefaultParagraphFont"/>
    <w:uiPriority w:val="20"/>
    <w:qFormat/>
    <w:rsid w:val="001933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3660">
      <w:bodyDiv w:val="1"/>
      <w:marLeft w:val="0"/>
      <w:marRight w:val="0"/>
      <w:marTop w:val="0"/>
      <w:marBottom w:val="0"/>
      <w:divBdr>
        <w:top w:val="none" w:sz="0" w:space="0" w:color="auto"/>
        <w:left w:val="none" w:sz="0" w:space="0" w:color="auto"/>
        <w:bottom w:val="none" w:sz="0" w:space="0" w:color="auto"/>
        <w:right w:val="none" w:sz="0" w:space="0" w:color="auto"/>
      </w:divBdr>
    </w:div>
    <w:div w:id="133375778">
      <w:bodyDiv w:val="1"/>
      <w:marLeft w:val="0"/>
      <w:marRight w:val="0"/>
      <w:marTop w:val="0"/>
      <w:marBottom w:val="0"/>
      <w:divBdr>
        <w:top w:val="none" w:sz="0" w:space="0" w:color="auto"/>
        <w:left w:val="none" w:sz="0" w:space="0" w:color="auto"/>
        <w:bottom w:val="none" w:sz="0" w:space="0" w:color="auto"/>
        <w:right w:val="none" w:sz="0" w:space="0" w:color="auto"/>
      </w:divBdr>
    </w:div>
    <w:div w:id="352462843">
      <w:bodyDiv w:val="1"/>
      <w:marLeft w:val="0"/>
      <w:marRight w:val="0"/>
      <w:marTop w:val="0"/>
      <w:marBottom w:val="0"/>
      <w:divBdr>
        <w:top w:val="none" w:sz="0" w:space="0" w:color="auto"/>
        <w:left w:val="none" w:sz="0" w:space="0" w:color="auto"/>
        <w:bottom w:val="none" w:sz="0" w:space="0" w:color="auto"/>
        <w:right w:val="none" w:sz="0" w:space="0" w:color="auto"/>
      </w:divBdr>
    </w:div>
    <w:div w:id="368989574">
      <w:bodyDiv w:val="1"/>
      <w:marLeft w:val="0"/>
      <w:marRight w:val="0"/>
      <w:marTop w:val="0"/>
      <w:marBottom w:val="0"/>
      <w:divBdr>
        <w:top w:val="none" w:sz="0" w:space="0" w:color="auto"/>
        <w:left w:val="none" w:sz="0" w:space="0" w:color="auto"/>
        <w:bottom w:val="none" w:sz="0" w:space="0" w:color="auto"/>
        <w:right w:val="none" w:sz="0" w:space="0" w:color="auto"/>
      </w:divBdr>
    </w:div>
    <w:div w:id="460540496">
      <w:bodyDiv w:val="1"/>
      <w:marLeft w:val="0"/>
      <w:marRight w:val="0"/>
      <w:marTop w:val="0"/>
      <w:marBottom w:val="0"/>
      <w:divBdr>
        <w:top w:val="none" w:sz="0" w:space="0" w:color="auto"/>
        <w:left w:val="none" w:sz="0" w:space="0" w:color="auto"/>
        <w:bottom w:val="none" w:sz="0" w:space="0" w:color="auto"/>
        <w:right w:val="none" w:sz="0" w:space="0" w:color="auto"/>
      </w:divBdr>
    </w:div>
    <w:div w:id="636375130">
      <w:bodyDiv w:val="1"/>
      <w:marLeft w:val="0"/>
      <w:marRight w:val="0"/>
      <w:marTop w:val="0"/>
      <w:marBottom w:val="0"/>
      <w:divBdr>
        <w:top w:val="none" w:sz="0" w:space="0" w:color="auto"/>
        <w:left w:val="none" w:sz="0" w:space="0" w:color="auto"/>
        <w:bottom w:val="none" w:sz="0" w:space="0" w:color="auto"/>
        <w:right w:val="none" w:sz="0" w:space="0" w:color="auto"/>
      </w:divBdr>
    </w:div>
    <w:div w:id="751436960">
      <w:bodyDiv w:val="1"/>
      <w:marLeft w:val="0"/>
      <w:marRight w:val="0"/>
      <w:marTop w:val="0"/>
      <w:marBottom w:val="0"/>
      <w:divBdr>
        <w:top w:val="none" w:sz="0" w:space="0" w:color="auto"/>
        <w:left w:val="none" w:sz="0" w:space="0" w:color="auto"/>
        <w:bottom w:val="none" w:sz="0" w:space="0" w:color="auto"/>
        <w:right w:val="none" w:sz="0" w:space="0" w:color="auto"/>
      </w:divBdr>
    </w:div>
    <w:div w:id="877008448">
      <w:bodyDiv w:val="1"/>
      <w:marLeft w:val="0"/>
      <w:marRight w:val="0"/>
      <w:marTop w:val="0"/>
      <w:marBottom w:val="0"/>
      <w:divBdr>
        <w:top w:val="none" w:sz="0" w:space="0" w:color="auto"/>
        <w:left w:val="none" w:sz="0" w:space="0" w:color="auto"/>
        <w:bottom w:val="none" w:sz="0" w:space="0" w:color="auto"/>
        <w:right w:val="none" w:sz="0" w:space="0" w:color="auto"/>
      </w:divBdr>
    </w:div>
    <w:div w:id="890193076">
      <w:bodyDiv w:val="1"/>
      <w:marLeft w:val="0"/>
      <w:marRight w:val="0"/>
      <w:marTop w:val="0"/>
      <w:marBottom w:val="0"/>
      <w:divBdr>
        <w:top w:val="none" w:sz="0" w:space="0" w:color="auto"/>
        <w:left w:val="none" w:sz="0" w:space="0" w:color="auto"/>
        <w:bottom w:val="none" w:sz="0" w:space="0" w:color="auto"/>
        <w:right w:val="none" w:sz="0" w:space="0" w:color="auto"/>
      </w:divBdr>
    </w:div>
    <w:div w:id="928343371">
      <w:bodyDiv w:val="1"/>
      <w:marLeft w:val="0"/>
      <w:marRight w:val="0"/>
      <w:marTop w:val="0"/>
      <w:marBottom w:val="0"/>
      <w:divBdr>
        <w:top w:val="none" w:sz="0" w:space="0" w:color="auto"/>
        <w:left w:val="none" w:sz="0" w:space="0" w:color="auto"/>
        <w:bottom w:val="none" w:sz="0" w:space="0" w:color="auto"/>
        <w:right w:val="none" w:sz="0" w:space="0" w:color="auto"/>
      </w:divBdr>
    </w:div>
    <w:div w:id="979920403">
      <w:bodyDiv w:val="1"/>
      <w:marLeft w:val="0"/>
      <w:marRight w:val="0"/>
      <w:marTop w:val="0"/>
      <w:marBottom w:val="0"/>
      <w:divBdr>
        <w:top w:val="none" w:sz="0" w:space="0" w:color="auto"/>
        <w:left w:val="none" w:sz="0" w:space="0" w:color="auto"/>
        <w:bottom w:val="none" w:sz="0" w:space="0" w:color="auto"/>
        <w:right w:val="none" w:sz="0" w:space="0" w:color="auto"/>
      </w:divBdr>
    </w:div>
    <w:div w:id="1033918459">
      <w:bodyDiv w:val="1"/>
      <w:marLeft w:val="0"/>
      <w:marRight w:val="0"/>
      <w:marTop w:val="0"/>
      <w:marBottom w:val="0"/>
      <w:divBdr>
        <w:top w:val="none" w:sz="0" w:space="0" w:color="auto"/>
        <w:left w:val="none" w:sz="0" w:space="0" w:color="auto"/>
        <w:bottom w:val="none" w:sz="0" w:space="0" w:color="auto"/>
        <w:right w:val="none" w:sz="0" w:space="0" w:color="auto"/>
      </w:divBdr>
    </w:div>
    <w:div w:id="1360937359">
      <w:bodyDiv w:val="1"/>
      <w:marLeft w:val="0"/>
      <w:marRight w:val="0"/>
      <w:marTop w:val="0"/>
      <w:marBottom w:val="0"/>
      <w:divBdr>
        <w:top w:val="none" w:sz="0" w:space="0" w:color="auto"/>
        <w:left w:val="none" w:sz="0" w:space="0" w:color="auto"/>
        <w:bottom w:val="none" w:sz="0" w:space="0" w:color="auto"/>
        <w:right w:val="none" w:sz="0" w:space="0" w:color="auto"/>
      </w:divBdr>
    </w:div>
    <w:div w:id="1643844290">
      <w:bodyDiv w:val="1"/>
      <w:marLeft w:val="0"/>
      <w:marRight w:val="0"/>
      <w:marTop w:val="0"/>
      <w:marBottom w:val="0"/>
      <w:divBdr>
        <w:top w:val="none" w:sz="0" w:space="0" w:color="auto"/>
        <w:left w:val="none" w:sz="0" w:space="0" w:color="auto"/>
        <w:bottom w:val="none" w:sz="0" w:space="0" w:color="auto"/>
        <w:right w:val="none" w:sz="0" w:space="0" w:color="auto"/>
      </w:divBdr>
    </w:div>
    <w:div w:id="1674332958">
      <w:bodyDiv w:val="1"/>
      <w:marLeft w:val="0"/>
      <w:marRight w:val="0"/>
      <w:marTop w:val="0"/>
      <w:marBottom w:val="0"/>
      <w:divBdr>
        <w:top w:val="none" w:sz="0" w:space="0" w:color="auto"/>
        <w:left w:val="none" w:sz="0" w:space="0" w:color="auto"/>
        <w:bottom w:val="none" w:sz="0" w:space="0" w:color="auto"/>
        <w:right w:val="none" w:sz="0" w:space="0" w:color="auto"/>
      </w:divBdr>
    </w:div>
    <w:div w:id="1843468557">
      <w:bodyDiv w:val="1"/>
      <w:marLeft w:val="0"/>
      <w:marRight w:val="0"/>
      <w:marTop w:val="0"/>
      <w:marBottom w:val="0"/>
      <w:divBdr>
        <w:top w:val="none" w:sz="0" w:space="0" w:color="auto"/>
        <w:left w:val="none" w:sz="0" w:space="0" w:color="auto"/>
        <w:bottom w:val="none" w:sz="0" w:space="0" w:color="auto"/>
        <w:right w:val="none" w:sz="0" w:space="0" w:color="auto"/>
      </w:divBdr>
    </w:div>
    <w:div w:id="1874534413">
      <w:bodyDiv w:val="1"/>
      <w:marLeft w:val="0"/>
      <w:marRight w:val="0"/>
      <w:marTop w:val="0"/>
      <w:marBottom w:val="0"/>
      <w:divBdr>
        <w:top w:val="none" w:sz="0" w:space="0" w:color="auto"/>
        <w:left w:val="none" w:sz="0" w:space="0" w:color="auto"/>
        <w:bottom w:val="none" w:sz="0" w:space="0" w:color="auto"/>
        <w:right w:val="none" w:sz="0" w:space="0" w:color="auto"/>
      </w:divBdr>
    </w:div>
    <w:div w:id="2085758003">
      <w:bodyDiv w:val="1"/>
      <w:marLeft w:val="0"/>
      <w:marRight w:val="0"/>
      <w:marTop w:val="0"/>
      <w:marBottom w:val="0"/>
      <w:divBdr>
        <w:top w:val="none" w:sz="0" w:space="0" w:color="auto"/>
        <w:left w:val="none" w:sz="0" w:space="0" w:color="auto"/>
        <w:bottom w:val="none" w:sz="0" w:space="0" w:color="auto"/>
        <w:right w:val="none" w:sz="0" w:space="0" w:color="auto"/>
      </w:divBdr>
    </w:div>
    <w:div w:id="213910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1912</Words>
  <Characters>10900</Characters>
  <Application>Microsoft Office Word</Application>
  <DocSecurity>0</DocSecurity>
  <Lines>90</Lines>
  <Paragraphs>25</Paragraphs>
  <ScaleCrop>false</ScaleCrop>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2</cp:revision>
  <dcterms:created xsi:type="dcterms:W3CDTF">2023-05-02T10:39:00Z</dcterms:created>
  <dcterms:modified xsi:type="dcterms:W3CDTF">2023-05-02T10:39:00Z</dcterms:modified>
</cp:coreProperties>
</file>