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A57" w:rsidRDefault="006F3A57" w:rsidP="00006A77"/>
    <w:p w:rsidR="006F3A57" w:rsidRDefault="006F3A57" w:rsidP="00006A77"/>
    <w:p w:rsidR="006F3A57" w:rsidRDefault="006F3A57" w:rsidP="00006A77"/>
    <w:p w:rsidR="006A33DD" w:rsidRDefault="006A33DD" w:rsidP="006A33DD">
      <w:pPr>
        <w:jc w:val="center"/>
        <w:rPr>
          <w:rFonts w:ascii="Arial" w:hAnsi="Arial" w:cs="Arial"/>
          <w:sz w:val="24"/>
          <w:szCs w:val="24"/>
        </w:rPr>
      </w:pPr>
    </w:p>
    <w:p w:rsidR="006A33DD" w:rsidRDefault="006A33DD" w:rsidP="006A33DD">
      <w:pPr>
        <w:jc w:val="center"/>
        <w:rPr>
          <w:rFonts w:ascii="Arial" w:hAnsi="Arial" w:cs="Arial"/>
          <w:sz w:val="24"/>
          <w:szCs w:val="24"/>
        </w:rPr>
      </w:pPr>
    </w:p>
    <w:p w:rsidR="006A33DD" w:rsidRDefault="006A33DD" w:rsidP="006A33DD">
      <w:pPr>
        <w:jc w:val="center"/>
        <w:rPr>
          <w:rFonts w:ascii="Arial" w:hAnsi="Arial" w:cs="Arial"/>
          <w:sz w:val="24"/>
          <w:szCs w:val="24"/>
        </w:rPr>
      </w:pPr>
    </w:p>
    <w:p w:rsidR="006A33DD" w:rsidRDefault="006A33DD" w:rsidP="006A33DD">
      <w:pPr>
        <w:jc w:val="center"/>
        <w:rPr>
          <w:rFonts w:ascii="Arial" w:hAnsi="Arial" w:cs="Arial"/>
          <w:sz w:val="24"/>
          <w:szCs w:val="24"/>
        </w:rPr>
      </w:pPr>
    </w:p>
    <w:p w:rsidR="006A33DD" w:rsidRDefault="006A33DD" w:rsidP="006A33DD">
      <w:pPr>
        <w:jc w:val="center"/>
        <w:rPr>
          <w:rFonts w:ascii="Arial" w:hAnsi="Arial" w:cs="Arial"/>
          <w:sz w:val="24"/>
          <w:szCs w:val="24"/>
        </w:rPr>
      </w:pPr>
    </w:p>
    <w:p w:rsidR="006A33DD" w:rsidRDefault="006A33DD" w:rsidP="006A33DD">
      <w:pPr>
        <w:jc w:val="center"/>
        <w:rPr>
          <w:rFonts w:ascii="Arial" w:hAnsi="Arial" w:cs="Arial"/>
          <w:sz w:val="24"/>
          <w:szCs w:val="24"/>
        </w:rPr>
      </w:pPr>
    </w:p>
    <w:p w:rsidR="006A33DD" w:rsidRDefault="006A33DD" w:rsidP="006A33DD">
      <w:pPr>
        <w:jc w:val="center"/>
        <w:rPr>
          <w:rFonts w:ascii="Arial" w:hAnsi="Arial" w:cs="Arial"/>
          <w:sz w:val="24"/>
          <w:szCs w:val="24"/>
        </w:rPr>
      </w:pPr>
    </w:p>
    <w:p w:rsidR="006A33DD" w:rsidRDefault="006A33DD" w:rsidP="006A33DD">
      <w:pPr>
        <w:jc w:val="center"/>
        <w:rPr>
          <w:rFonts w:ascii="Arial" w:hAnsi="Arial" w:cs="Arial"/>
          <w:sz w:val="24"/>
          <w:szCs w:val="24"/>
        </w:rPr>
      </w:pPr>
    </w:p>
    <w:p w:rsidR="006F3A57" w:rsidRDefault="006A33DD" w:rsidP="006A33DD">
      <w:pPr>
        <w:jc w:val="center"/>
        <w:rPr>
          <w:rFonts w:ascii="Arial" w:hAnsi="Arial" w:cs="Arial"/>
          <w:sz w:val="24"/>
          <w:szCs w:val="24"/>
        </w:rPr>
      </w:pPr>
      <w:bookmarkStart w:id="0" w:name="_GoBack"/>
      <w:r w:rsidRPr="006A33DD">
        <w:rPr>
          <w:rFonts w:ascii="Arial" w:hAnsi="Arial" w:cs="Arial"/>
          <w:sz w:val="24"/>
          <w:szCs w:val="24"/>
        </w:rPr>
        <w:t>Discuss the role of Corporate social responsibility (CSR) in promo</w:t>
      </w:r>
      <w:r>
        <w:rPr>
          <w:rFonts w:ascii="Arial" w:hAnsi="Arial" w:cs="Arial"/>
          <w:sz w:val="24"/>
          <w:szCs w:val="24"/>
        </w:rPr>
        <w:t xml:space="preserve">ting sustainability within the </w:t>
      </w:r>
      <w:r w:rsidRPr="006A33DD">
        <w:rPr>
          <w:rFonts w:ascii="Arial" w:hAnsi="Arial" w:cs="Arial"/>
          <w:sz w:val="24"/>
          <w:szCs w:val="24"/>
        </w:rPr>
        <w:t>hospitality industry</w:t>
      </w:r>
    </w:p>
    <w:bookmarkEnd w:id="0"/>
    <w:p w:rsidR="006A33DD" w:rsidRDefault="006A33DD" w:rsidP="006A33DD">
      <w:pPr>
        <w:jc w:val="center"/>
        <w:rPr>
          <w:rFonts w:ascii="Arial" w:hAnsi="Arial" w:cs="Arial"/>
          <w:sz w:val="24"/>
          <w:szCs w:val="24"/>
        </w:rPr>
      </w:pPr>
    </w:p>
    <w:p w:rsidR="006A33DD" w:rsidRDefault="006A33DD" w:rsidP="006A33DD">
      <w:pPr>
        <w:jc w:val="center"/>
        <w:rPr>
          <w:rFonts w:ascii="Arial" w:hAnsi="Arial" w:cs="Arial"/>
          <w:sz w:val="24"/>
          <w:szCs w:val="24"/>
        </w:rPr>
      </w:pPr>
    </w:p>
    <w:p w:rsidR="008B36EE" w:rsidRDefault="008B36EE" w:rsidP="008B36EE">
      <w:pPr>
        <w:jc w:val="right"/>
        <w:rPr>
          <w:rFonts w:ascii="Arial" w:hAnsi="Arial" w:cs="Arial"/>
          <w:sz w:val="24"/>
          <w:szCs w:val="24"/>
        </w:rPr>
      </w:pPr>
    </w:p>
    <w:p w:rsidR="008B36EE" w:rsidRDefault="008B36EE" w:rsidP="008B36EE">
      <w:pPr>
        <w:jc w:val="right"/>
        <w:rPr>
          <w:rFonts w:ascii="Arial" w:hAnsi="Arial" w:cs="Arial"/>
          <w:sz w:val="24"/>
          <w:szCs w:val="24"/>
        </w:rPr>
      </w:pPr>
    </w:p>
    <w:p w:rsidR="008B36EE" w:rsidRDefault="008B36EE" w:rsidP="008B36EE">
      <w:pPr>
        <w:jc w:val="right"/>
        <w:rPr>
          <w:rFonts w:ascii="Arial" w:hAnsi="Arial" w:cs="Arial"/>
          <w:sz w:val="24"/>
          <w:szCs w:val="24"/>
        </w:rPr>
      </w:pPr>
    </w:p>
    <w:p w:rsidR="008B36EE" w:rsidRDefault="008B36EE" w:rsidP="008B36EE">
      <w:pPr>
        <w:jc w:val="right"/>
        <w:rPr>
          <w:rFonts w:ascii="Arial" w:hAnsi="Arial" w:cs="Arial"/>
          <w:sz w:val="24"/>
          <w:szCs w:val="24"/>
        </w:rPr>
      </w:pPr>
    </w:p>
    <w:p w:rsidR="008B36EE" w:rsidRDefault="008B36EE" w:rsidP="008B36EE">
      <w:pPr>
        <w:jc w:val="right"/>
        <w:rPr>
          <w:rFonts w:ascii="Arial" w:hAnsi="Arial" w:cs="Arial"/>
          <w:sz w:val="24"/>
          <w:szCs w:val="24"/>
        </w:rPr>
      </w:pPr>
    </w:p>
    <w:p w:rsidR="006A33DD" w:rsidRDefault="006A33DD" w:rsidP="008B36EE">
      <w:pPr>
        <w:jc w:val="right"/>
        <w:rPr>
          <w:rFonts w:ascii="Arial" w:hAnsi="Arial" w:cs="Arial"/>
          <w:sz w:val="24"/>
          <w:szCs w:val="24"/>
        </w:rPr>
      </w:pPr>
      <w:r>
        <w:rPr>
          <w:rFonts w:ascii="Arial" w:hAnsi="Arial" w:cs="Arial"/>
          <w:sz w:val="24"/>
          <w:szCs w:val="24"/>
        </w:rPr>
        <w:t xml:space="preserve">Student Name: </w:t>
      </w:r>
      <w:proofErr w:type="spellStart"/>
      <w:r>
        <w:rPr>
          <w:rFonts w:ascii="Arial" w:hAnsi="Arial" w:cs="Arial"/>
          <w:sz w:val="24"/>
          <w:szCs w:val="24"/>
        </w:rPr>
        <w:t>Ancuta</w:t>
      </w:r>
      <w:proofErr w:type="spellEnd"/>
      <w:r>
        <w:rPr>
          <w:rFonts w:ascii="Arial" w:hAnsi="Arial" w:cs="Arial"/>
          <w:sz w:val="24"/>
          <w:szCs w:val="24"/>
        </w:rPr>
        <w:t xml:space="preserve"> Mariana Racovita</w:t>
      </w:r>
    </w:p>
    <w:p w:rsidR="006A33DD" w:rsidRDefault="006A33DD" w:rsidP="008B36EE">
      <w:pPr>
        <w:jc w:val="right"/>
        <w:rPr>
          <w:rFonts w:ascii="Arial" w:hAnsi="Arial" w:cs="Arial"/>
          <w:sz w:val="24"/>
          <w:szCs w:val="24"/>
        </w:rPr>
      </w:pPr>
      <w:r>
        <w:rPr>
          <w:rFonts w:ascii="Arial" w:hAnsi="Arial" w:cs="Arial"/>
          <w:sz w:val="24"/>
          <w:szCs w:val="24"/>
        </w:rPr>
        <w:t>ID Number: 2208682</w:t>
      </w:r>
    </w:p>
    <w:p w:rsidR="006A33DD" w:rsidRPr="006A33DD" w:rsidRDefault="006A33DD" w:rsidP="008B36EE">
      <w:pPr>
        <w:jc w:val="right"/>
        <w:rPr>
          <w:rFonts w:ascii="Arial" w:hAnsi="Arial" w:cs="Arial"/>
          <w:sz w:val="24"/>
          <w:szCs w:val="24"/>
        </w:rPr>
      </w:pPr>
      <w:r>
        <w:rPr>
          <w:rFonts w:ascii="Arial" w:hAnsi="Arial" w:cs="Arial"/>
          <w:sz w:val="24"/>
          <w:szCs w:val="24"/>
        </w:rPr>
        <w:t xml:space="preserve">Module Name: </w:t>
      </w:r>
      <w:r w:rsidRPr="006A33DD">
        <w:rPr>
          <w:rFonts w:ascii="Arial" w:hAnsi="Arial" w:cs="Arial"/>
          <w:sz w:val="24"/>
          <w:szCs w:val="24"/>
        </w:rPr>
        <w:t xml:space="preserve">Sustainable Hospitality &amp; Tourism </w:t>
      </w:r>
    </w:p>
    <w:p w:rsidR="006A33DD" w:rsidRPr="008B36EE" w:rsidRDefault="006A33DD" w:rsidP="008B36EE">
      <w:pPr>
        <w:jc w:val="right"/>
        <w:rPr>
          <w:rFonts w:ascii="Arial" w:hAnsi="Arial" w:cs="Arial"/>
          <w:sz w:val="24"/>
          <w:szCs w:val="24"/>
        </w:rPr>
      </w:pPr>
      <w:r w:rsidRPr="006A33DD">
        <w:rPr>
          <w:rFonts w:ascii="Arial" w:hAnsi="Arial" w:cs="Arial"/>
          <w:sz w:val="24"/>
          <w:szCs w:val="24"/>
        </w:rPr>
        <w:t>Management</w:t>
      </w:r>
      <w:r w:rsidR="008B36EE">
        <w:rPr>
          <w:rFonts w:ascii="Arial" w:hAnsi="Arial" w:cs="Arial"/>
          <w:sz w:val="24"/>
          <w:szCs w:val="24"/>
        </w:rPr>
        <w:t xml:space="preserve"> </w:t>
      </w:r>
      <w:r w:rsidR="008B36EE" w:rsidRPr="008B36EE">
        <w:rPr>
          <w:rFonts w:ascii="Arial" w:hAnsi="Arial" w:cs="Arial"/>
          <w:sz w:val="24"/>
          <w:szCs w:val="24"/>
        </w:rPr>
        <w:t>BMIH5006</w:t>
      </w:r>
    </w:p>
    <w:p w:rsidR="006A33DD" w:rsidRPr="006A33DD" w:rsidRDefault="008B36EE" w:rsidP="008B36EE">
      <w:pPr>
        <w:jc w:val="right"/>
        <w:rPr>
          <w:rFonts w:ascii="Arial" w:hAnsi="Arial" w:cs="Arial"/>
          <w:sz w:val="24"/>
          <w:szCs w:val="24"/>
        </w:rPr>
      </w:pPr>
      <w:r>
        <w:rPr>
          <w:rFonts w:ascii="Arial" w:hAnsi="Arial" w:cs="Arial"/>
          <w:sz w:val="24"/>
          <w:szCs w:val="24"/>
        </w:rPr>
        <w:t>Lecturer Name: Lisa-</w:t>
      </w:r>
      <w:proofErr w:type="gramStart"/>
      <w:r>
        <w:rPr>
          <w:rFonts w:ascii="Arial" w:hAnsi="Arial" w:cs="Arial"/>
          <w:sz w:val="24"/>
          <w:szCs w:val="24"/>
        </w:rPr>
        <w:t xml:space="preserve">Marie  </w:t>
      </w:r>
      <w:proofErr w:type="spellStart"/>
      <w:r>
        <w:rPr>
          <w:rFonts w:ascii="Arial" w:hAnsi="Arial" w:cs="Arial"/>
          <w:sz w:val="24"/>
          <w:szCs w:val="24"/>
        </w:rPr>
        <w:t>Bassler</w:t>
      </w:r>
      <w:proofErr w:type="spellEnd"/>
      <w:proofErr w:type="gramEnd"/>
      <w:r>
        <w:rPr>
          <w:rFonts w:ascii="Arial" w:hAnsi="Arial" w:cs="Arial"/>
          <w:sz w:val="24"/>
          <w:szCs w:val="24"/>
        </w:rPr>
        <w:t xml:space="preserve"> </w:t>
      </w:r>
    </w:p>
    <w:p w:rsidR="006F3A57" w:rsidRDefault="006F3A57" w:rsidP="00006A77"/>
    <w:p w:rsidR="006F3A57" w:rsidRDefault="006F3A57" w:rsidP="00006A77"/>
    <w:p w:rsidR="006F3A57" w:rsidRPr="006A33DD" w:rsidRDefault="006F3A57" w:rsidP="00006A77">
      <w:pPr>
        <w:rPr>
          <w:rFonts w:ascii="Arial" w:hAnsi="Arial" w:cs="Arial"/>
        </w:rPr>
      </w:pPr>
    </w:p>
    <w:p w:rsidR="006F3A57" w:rsidRPr="006A33DD" w:rsidRDefault="006F3A57" w:rsidP="00006A77">
      <w:pPr>
        <w:rPr>
          <w:rFonts w:ascii="Arial" w:hAnsi="Arial" w:cs="Arial"/>
        </w:rPr>
      </w:pPr>
    </w:p>
    <w:p w:rsidR="006F3A57" w:rsidRPr="006A33DD" w:rsidRDefault="006F3A57" w:rsidP="00006A77">
      <w:pPr>
        <w:rPr>
          <w:rFonts w:ascii="Arial" w:hAnsi="Arial" w:cs="Arial"/>
        </w:rPr>
      </w:pPr>
    </w:p>
    <w:p w:rsidR="00090949" w:rsidRPr="006A33DD" w:rsidRDefault="00006A77" w:rsidP="00006A77">
      <w:pPr>
        <w:rPr>
          <w:rFonts w:ascii="Arial" w:hAnsi="Arial" w:cs="Arial"/>
          <w:sz w:val="24"/>
          <w:szCs w:val="24"/>
        </w:rPr>
      </w:pPr>
      <w:r w:rsidRPr="006A33DD">
        <w:rPr>
          <w:rFonts w:ascii="Arial" w:hAnsi="Arial" w:cs="Arial"/>
          <w:sz w:val="24"/>
          <w:szCs w:val="24"/>
        </w:rPr>
        <w:lastRenderedPageBreak/>
        <w:t>Corporate Social Responsibility (CSR) has transformed from an ethical option to a strategic necessity in the hospitality industry. With escalating global environmental issues and shifting consumer preferences towards sustainable practices, hospitality businesses are increasingly integrating CSR into their operational and strategic frameworks. This essay focuses on Marriott International, a leader in the global hospitality market, to explore how CSR contributes to sustainability. It will examine the impacts of Marriott’s CSR initiatives on environmental, social, and economic sustainability, highlighting both the challenges and opport</w:t>
      </w:r>
      <w:r w:rsidRPr="006A33DD">
        <w:rPr>
          <w:rFonts w:ascii="Arial" w:hAnsi="Arial" w:cs="Arial"/>
          <w:sz w:val="24"/>
          <w:szCs w:val="24"/>
        </w:rPr>
        <w:t xml:space="preserve">unities these policies present. </w:t>
      </w:r>
      <w:r w:rsidRPr="006A33DD">
        <w:rPr>
          <w:rFonts w:ascii="Arial" w:hAnsi="Arial" w:cs="Arial"/>
          <w:sz w:val="24"/>
          <w:szCs w:val="24"/>
        </w:rPr>
        <w:t xml:space="preserve">As environmental stewardship, social equity, and economic viability become essential for business success, Marriott’s comprehensive CSR strategies serve as a model for integrating sustainability into core business operations. This discussion will detail how Marriott’s efforts in sustainable practice not only comply with global standards but also drive innovation and competitive advantage. By </w:t>
      </w:r>
      <w:r w:rsidRPr="006A33DD">
        <w:rPr>
          <w:rFonts w:ascii="Arial" w:hAnsi="Arial" w:cs="Arial"/>
          <w:sz w:val="24"/>
          <w:szCs w:val="24"/>
        </w:rPr>
        <w:t>analysing</w:t>
      </w:r>
      <w:r w:rsidRPr="006A33DD">
        <w:rPr>
          <w:rFonts w:ascii="Arial" w:hAnsi="Arial" w:cs="Arial"/>
          <w:sz w:val="24"/>
          <w:szCs w:val="24"/>
        </w:rPr>
        <w:t xml:space="preserve"> these dynamics, the essay will shed light on the broader implications of CSR in the hospitality industry, illustrating its role in shaping future business practices and strategies.</w:t>
      </w:r>
    </w:p>
    <w:p w:rsidR="00006A77" w:rsidRPr="006A33DD" w:rsidRDefault="00006A77" w:rsidP="00006A77">
      <w:pPr>
        <w:rPr>
          <w:rFonts w:ascii="Arial" w:hAnsi="Arial" w:cs="Arial"/>
          <w:sz w:val="24"/>
          <w:szCs w:val="24"/>
        </w:rPr>
      </w:pPr>
    </w:p>
    <w:p w:rsidR="00006A77" w:rsidRPr="006A33DD" w:rsidRDefault="00006A77" w:rsidP="00006A77">
      <w:pPr>
        <w:rPr>
          <w:rFonts w:ascii="Arial" w:hAnsi="Arial" w:cs="Arial"/>
          <w:sz w:val="24"/>
          <w:szCs w:val="24"/>
        </w:rPr>
      </w:pPr>
      <w:r w:rsidRPr="006A33DD">
        <w:rPr>
          <w:rFonts w:ascii="Arial" w:hAnsi="Arial" w:cs="Arial"/>
          <w:sz w:val="24"/>
          <w:szCs w:val="24"/>
        </w:rPr>
        <w:t>Marriott International has long championed the integration of Corporate Social Responsibility (CSR) within its business strategy, recognizing the critical role of sustainable operations in maintaining industry leadership and stakeholder trust. The company’s CSR framework, branded as “Serve 360: Doing Good in Every Direction,” articulates its commitment to creating a positive, sustainable impact across its global operations (Marriott International, 2021). This comprehensive strategy is structured around four pivotal pillars that guide all of its CSR activities: Nurture Our World, Sustain Responsible Operations, Empower Through Opportunity, and Welcome All &amp; Advance Human Rights.</w:t>
      </w:r>
    </w:p>
    <w:p w:rsidR="00006A77" w:rsidRPr="006A33DD" w:rsidRDefault="00006A77" w:rsidP="00006A77">
      <w:pPr>
        <w:rPr>
          <w:rFonts w:ascii="Arial" w:hAnsi="Arial" w:cs="Arial"/>
          <w:sz w:val="24"/>
          <w:szCs w:val="24"/>
        </w:rPr>
      </w:pPr>
      <w:r w:rsidRPr="006A33DD">
        <w:rPr>
          <w:rFonts w:ascii="Arial" w:hAnsi="Arial" w:cs="Arial"/>
          <w:sz w:val="24"/>
          <w:szCs w:val="24"/>
        </w:rPr>
        <w:t>This principle focuses on enhancing the company’s commitment to societal welfare and environmental sustainability. Marriott engages in various community outreach and disaster response initiatives, reflecting its dedication to social responsibility. For instance, Marriott’s disaster relief efforts provide immediate aid to communities affected by natural disasters, which not only helps those communities recover but also reinforces the resilience of local tourism economies (Smith, J., 2020).</w:t>
      </w:r>
    </w:p>
    <w:p w:rsidR="00006A77" w:rsidRPr="006A33DD" w:rsidRDefault="00006A77" w:rsidP="00006A77">
      <w:pPr>
        <w:rPr>
          <w:rFonts w:ascii="Arial" w:hAnsi="Arial" w:cs="Arial"/>
          <w:sz w:val="24"/>
          <w:szCs w:val="24"/>
        </w:rPr>
      </w:pPr>
      <w:r w:rsidRPr="006A33DD">
        <w:rPr>
          <w:rFonts w:ascii="Arial" w:hAnsi="Arial" w:cs="Arial"/>
          <w:sz w:val="24"/>
          <w:szCs w:val="24"/>
        </w:rPr>
        <w:t>Marriott’s commitment under this pillar is to minimize the environmental footprint of its operations. The company has set ambitious 2025 Sustainability and Social Impact Goals, which include significant reductions in water intensity, carbon intensity, and waste (Marriott International, 2021). By pursuing these targets, Marriott aligns with global environmental standards and addresses the growing consumer demand for eco-friendly practices (Wilson, E., 2021).</w:t>
      </w:r>
    </w:p>
    <w:p w:rsidR="00006A77" w:rsidRPr="006A33DD" w:rsidRDefault="00006A77" w:rsidP="00006A77">
      <w:pPr>
        <w:rPr>
          <w:rFonts w:ascii="Arial" w:hAnsi="Arial" w:cs="Arial"/>
          <w:sz w:val="24"/>
          <w:szCs w:val="24"/>
        </w:rPr>
      </w:pPr>
      <w:r w:rsidRPr="006A33DD">
        <w:rPr>
          <w:rFonts w:ascii="Arial" w:hAnsi="Arial" w:cs="Arial"/>
          <w:sz w:val="24"/>
          <w:szCs w:val="24"/>
        </w:rPr>
        <w:t>Marriott places a high priority on workforce diversity, equity, and inclusion. The company has developed extensive programs aimed at fostering an inclusive culture that values all employees. Through partnerships with educational institutions and community-based organizations, Marriott also provides career development opportunities to underrepresented groups, thereby supporting economic growth and social equity (Porter, M.E., &amp; Kramer, M.R., 2006).</w:t>
      </w:r>
    </w:p>
    <w:p w:rsidR="00006A77" w:rsidRPr="006A33DD" w:rsidRDefault="00006A77" w:rsidP="00006A77">
      <w:pPr>
        <w:rPr>
          <w:rFonts w:ascii="Arial" w:hAnsi="Arial" w:cs="Arial"/>
          <w:sz w:val="24"/>
          <w:szCs w:val="24"/>
        </w:rPr>
      </w:pPr>
      <w:r w:rsidRPr="006A33DD">
        <w:rPr>
          <w:rFonts w:ascii="Arial" w:hAnsi="Arial" w:cs="Arial"/>
          <w:sz w:val="24"/>
          <w:szCs w:val="24"/>
        </w:rPr>
        <w:lastRenderedPageBreak/>
        <w:t>Marriott is dedicated to ensuring that its operations worldwide are inclusive and respectful of human rights. The company adheres to international human rights principles as outlined in the United Nations Guiding Principles on Business and Human Rights, and it actively works to promote human rights within its sphere of influence, including its supply chain (Crane, A., &amp; Matten, D., 2016).</w:t>
      </w:r>
    </w:p>
    <w:p w:rsidR="00006A77" w:rsidRPr="006A33DD" w:rsidRDefault="00006A77" w:rsidP="00006A77">
      <w:pPr>
        <w:rPr>
          <w:rFonts w:ascii="Arial" w:hAnsi="Arial" w:cs="Arial"/>
          <w:sz w:val="24"/>
          <w:szCs w:val="24"/>
        </w:rPr>
      </w:pPr>
      <w:r w:rsidRPr="006A33DD">
        <w:rPr>
          <w:rFonts w:ascii="Arial" w:hAnsi="Arial" w:cs="Arial"/>
          <w:sz w:val="24"/>
          <w:szCs w:val="24"/>
        </w:rPr>
        <w:t>Marriott’s Serve 360 initiative underscores the company's broader commitment to CSR, encompassing a variety of strategic actions designed to make a lasting impact on the environment, society, and the global economy. The effectiveness of Marriott’s CSR policies in driving sustainable business practices is reflected in its consistent ranking on sustainability indices and recognition by CSR-focused organizations, underscoring its role as a leader in sustainable hospitality (Baker, M., 2018).</w:t>
      </w:r>
    </w:p>
    <w:p w:rsidR="00006A77" w:rsidRPr="006A33DD" w:rsidRDefault="00006A77" w:rsidP="00006A77">
      <w:pPr>
        <w:rPr>
          <w:rFonts w:ascii="Arial" w:hAnsi="Arial" w:cs="Arial"/>
          <w:sz w:val="24"/>
          <w:szCs w:val="24"/>
        </w:rPr>
      </w:pPr>
    </w:p>
    <w:p w:rsidR="00006A77" w:rsidRPr="006A33DD" w:rsidRDefault="00006A77" w:rsidP="00006A77">
      <w:pPr>
        <w:rPr>
          <w:rFonts w:ascii="Arial" w:hAnsi="Arial" w:cs="Arial"/>
          <w:sz w:val="24"/>
          <w:szCs w:val="24"/>
        </w:rPr>
      </w:pPr>
      <w:r w:rsidRPr="006A33DD">
        <w:rPr>
          <w:rFonts w:ascii="Arial" w:hAnsi="Arial" w:cs="Arial"/>
          <w:sz w:val="24"/>
          <w:szCs w:val="24"/>
        </w:rPr>
        <w:t>Marriott International has embarked on a series of robust environmental initiatives designed to reduce the ecological footprint of its operations globally. These initiatives include significant reductions in water and energy consumption, which aim to decrease water intensity by 15%, carbon intensity by 30%, and waste to landfill by 45% by the year 2025 (Marriott International, 2021). Such ambitious targets are aligned with global sustainability goals and respond directly to the growing environmental concerns among stakeholders and customers alike. By implementing advanced technologies for water recycling and energy-efficient systems across its properties, Marriott not only adheres to environmental regulations but also sets new standards for sustainability in the hospitality industry (Wilson, E., 2021).</w:t>
      </w:r>
    </w:p>
    <w:p w:rsidR="00006A77" w:rsidRPr="006A33DD" w:rsidRDefault="00006A77" w:rsidP="00006A77">
      <w:pPr>
        <w:rPr>
          <w:rFonts w:ascii="Arial" w:hAnsi="Arial" w:cs="Arial"/>
          <w:sz w:val="24"/>
          <w:szCs w:val="24"/>
        </w:rPr>
      </w:pPr>
      <w:r w:rsidRPr="006A33DD">
        <w:rPr>
          <w:rFonts w:ascii="Arial" w:hAnsi="Arial" w:cs="Arial"/>
          <w:sz w:val="24"/>
          <w:szCs w:val="24"/>
        </w:rPr>
        <w:t xml:space="preserve">Marriott's commitment to sustainable resource usage encompasses a comprehensive strategy for sourcing materials and products responsibly. The hotel chain prioritizes the procurement of sustainable seafood, ensures that its paper and wood products are sourced from certified forests, and is actively working to eliminate single-use plastics from all its operations. These efforts are part of Marriott's broader goal to minimize its environmental impact while catering to the preferences of eco-conscious consumers who increasingly </w:t>
      </w:r>
      <w:r w:rsidR="006F3A57" w:rsidRPr="006A33DD">
        <w:rPr>
          <w:rFonts w:ascii="Arial" w:hAnsi="Arial" w:cs="Arial"/>
          <w:sz w:val="24"/>
          <w:szCs w:val="24"/>
        </w:rPr>
        <w:t>favour</w:t>
      </w:r>
      <w:r w:rsidRPr="006A33DD">
        <w:rPr>
          <w:rFonts w:ascii="Arial" w:hAnsi="Arial" w:cs="Arial"/>
          <w:sz w:val="24"/>
          <w:szCs w:val="24"/>
        </w:rPr>
        <w:t xml:space="preserve"> businesses with strong environmental credentials (Jones, P., &amp; Hillier, D., 2019). Moreover, Marriott's move to larger, refillable toiletry containers in guest rooms exemplifies how operational changes can significantly reduce plastic waste, further demonstrating the company's commitment to environmental sustainability (Marriott International, 2021).</w:t>
      </w:r>
    </w:p>
    <w:p w:rsidR="00006A77" w:rsidRPr="006A33DD" w:rsidRDefault="00006A77" w:rsidP="00006A77">
      <w:pPr>
        <w:rPr>
          <w:rFonts w:ascii="Arial" w:hAnsi="Arial" w:cs="Arial"/>
          <w:sz w:val="24"/>
          <w:szCs w:val="24"/>
        </w:rPr>
      </w:pPr>
      <w:r w:rsidRPr="006A33DD">
        <w:rPr>
          <w:rFonts w:ascii="Arial" w:hAnsi="Arial" w:cs="Arial"/>
          <w:sz w:val="24"/>
          <w:szCs w:val="24"/>
        </w:rPr>
        <w:t xml:space="preserve">Marriott's approach to CSR also robustly addresses social responsibility. The company is committed to enhancing community well-being through extensive engagement initiatives, diversity promotion, and adherence to fair </w:t>
      </w:r>
      <w:r w:rsidR="006F3A57" w:rsidRPr="006A33DD">
        <w:rPr>
          <w:rFonts w:ascii="Arial" w:hAnsi="Arial" w:cs="Arial"/>
          <w:sz w:val="24"/>
          <w:szCs w:val="24"/>
        </w:rPr>
        <w:t>labour</w:t>
      </w:r>
      <w:r w:rsidRPr="006A33DD">
        <w:rPr>
          <w:rFonts w:ascii="Arial" w:hAnsi="Arial" w:cs="Arial"/>
          <w:sz w:val="24"/>
          <w:szCs w:val="24"/>
        </w:rPr>
        <w:t xml:space="preserve"> practices. Marriott’s community programs focus on providing disaster relief, fostering local economic growth, and supporting education, particularly in underprivileged areas. These initiatives not only contribute to societal enrichment but also build a positive brand image and foster loyalty among guests and employees alike. Marriott's proactive stance in these areas has earned it recognition as a leader in social responsibility within the hospitality sector (Smith, J., 2020).</w:t>
      </w:r>
    </w:p>
    <w:p w:rsidR="00006A77" w:rsidRPr="006A33DD" w:rsidRDefault="00006A77" w:rsidP="00006A77">
      <w:pPr>
        <w:rPr>
          <w:rFonts w:ascii="Arial" w:hAnsi="Arial" w:cs="Arial"/>
          <w:sz w:val="24"/>
          <w:szCs w:val="24"/>
        </w:rPr>
      </w:pPr>
      <w:r w:rsidRPr="006A33DD">
        <w:rPr>
          <w:rFonts w:ascii="Arial" w:hAnsi="Arial" w:cs="Arial"/>
          <w:sz w:val="24"/>
          <w:szCs w:val="24"/>
        </w:rPr>
        <w:lastRenderedPageBreak/>
        <w:t>The economic benefits of Marriott’s CSR practices are both direct and indirect. Cost savings resulting from reduced utility consumption contribute to financial efficiency, while sustainable practices enhance the brand’s reputation, attracting both new and repeat customers who value ethical business practices. Furthermore, Marriott's strong CSR reputation aids in attracting and retaining talent, reducing turnover, and fostering a motivated workforce, all of which contribute to operational efficiency and profitability (Baker, M., 2018). Such economic advantages underscore the business case for integrating CSR into core strategic planning, demonstrating that ethical practices can indeed result in substantial financial benefits.</w:t>
      </w:r>
    </w:p>
    <w:p w:rsidR="006F3A57" w:rsidRPr="006A33DD" w:rsidRDefault="006F3A57" w:rsidP="00006A77">
      <w:pPr>
        <w:rPr>
          <w:rFonts w:ascii="Arial" w:hAnsi="Arial" w:cs="Arial"/>
          <w:sz w:val="24"/>
          <w:szCs w:val="24"/>
        </w:rPr>
      </w:pPr>
    </w:p>
    <w:p w:rsidR="006F3A57" w:rsidRPr="006A33DD" w:rsidRDefault="006F3A57" w:rsidP="00006A77">
      <w:pPr>
        <w:rPr>
          <w:rFonts w:ascii="Arial" w:hAnsi="Arial" w:cs="Arial"/>
          <w:sz w:val="24"/>
          <w:szCs w:val="24"/>
        </w:rPr>
      </w:pPr>
      <w:r w:rsidRPr="006A33DD">
        <w:rPr>
          <w:rFonts w:ascii="Arial" w:hAnsi="Arial" w:cs="Arial"/>
          <w:sz w:val="24"/>
          <w:szCs w:val="24"/>
        </w:rPr>
        <w:t>Implementing comprehensive CSR strategies within the hospitality industry is fraught with significant challenges that can complicate the adoption and effectiveness of these initiatives. technologies and community engagement programs can be scarce. For hospitality businesses operating in these areas, prioritizing long-term sustainability initiatives over immediate financial survival can be particularly challenging. Additionally, the initial costs associated with transitioning to green technologies and processes can be prohibitive, discouraging businesses from adopting sustainable practices despite their potential long-term benefits (Wilson, E., 2021).</w:t>
      </w:r>
    </w:p>
    <w:p w:rsidR="006F3A57" w:rsidRPr="006A33DD" w:rsidRDefault="006F3A57" w:rsidP="00006A77">
      <w:pPr>
        <w:rPr>
          <w:rFonts w:ascii="Arial" w:hAnsi="Arial" w:cs="Arial"/>
          <w:sz w:val="24"/>
          <w:szCs w:val="24"/>
        </w:rPr>
      </w:pPr>
      <w:r w:rsidRPr="006A33DD">
        <w:rPr>
          <w:rFonts w:ascii="Arial" w:hAnsi="Arial" w:cs="Arial"/>
          <w:sz w:val="24"/>
          <w:szCs w:val="24"/>
        </w:rPr>
        <w:t>Another significant challenge lies in balancing the diverse and often competing interests of various stakeholders, including guests, employees, local communities, and shareholders. Each group has distinct expectations and demands concerning CSR, which can lead to conflicts. For example, while shareholders may prioritize short-term financial returns, employees and local communities might be more concerned with long-term job security and sustainable development. Similarly, guests may demand high standards of environmental responsibility without willingness to incur additional costs (Porter, M.E., &amp; Kramer, M.R., 2006). These differing priorities require careful management to achieve a balance that satisfies all parties and supports the overall CSR objectives.</w:t>
      </w:r>
    </w:p>
    <w:p w:rsidR="006F3A57" w:rsidRPr="006A33DD" w:rsidRDefault="006F3A57" w:rsidP="00006A77">
      <w:pPr>
        <w:rPr>
          <w:rFonts w:ascii="Arial" w:hAnsi="Arial" w:cs="Arial"/>
          <w:sz w:val="24"/>
          <w:szCs w:val="24"/>
        </w:rPr>
      </w:pPr>
      <w:r w:rsidRPr="006A33DD">
        <w:rPr>
          <w:rFonts w:ascii="Arial" w:hAnsi="Arial" w:cs="Arial"/>
          <w:sz w:val="24"/>
          <w:szCs w:val="24"/>
        </w:rPr>
        <w:t>The regulatory landscape for CSR in hospitality is continuously evolving, posing yet another challenge. Compliance requires not only keeping abreast of current regulations but also anticipating future legal changes that could impact operations. This dynamic regulatory environment demands continuous investment in innovation, staff training, and sometimes even organizational restructuring, which can be resource-intensive. Ensuring compliance while also striving to exceed the minimum legal standards to lead the industry in CSR can strain a company's resources and operational focus (Harris, L., 2019).</w:t>
      </w:r>
    </w:p>
    <w:p w:rsidR="006F3A57" w:rsidRPr="006A33DD" w:rsidRDefault="006F3A57" w:rsidP="00006A77">
      <w:pPr>
        <w:rPr>
          <w:rFonts w:ascii="Arial" w:hAnsi="Arial" w:cs="Arial"/>
          <w:sz w:val="24"/>
          <w:szCs w:val="24"/>
        </w:rPr>
      </w:pPr>
      <w:r w:rsidRPr="006A33DD">
        <w:rPr>
          <w:rFonts w:ascii="Arial" w:hAnsi="Arial" w:cs="Arial"/>
          <w:sz w:val="24"/>
          <w:szCs w:val="24"/>
        </w:rPr>
        <w:t>For global hospitality chains like Marriott, standardizing CSR practices across different cultural and regulatory environments adds an additional layer of complexity. What works in one country or region might not be effective or acceptable in another due to cultural differences or varying legal requirements. Developing a global CSR strategy that is flexible enough to adapt to local conditions while maintaining the company's core sustainability goals is a considerable challenge (Crane, A., &amp; Matten, D., 2016).</w:t>
      </w:r>
    </w:p>
    <w:p w:rsidR="006F3A57" w:rsidRPr="006A33DD" w:rsidRDefault="006F3A57" w:rsidP="00006A77">
      <w:pPr>
        <w:rPr>
          <w:rFonts w:ascii="Arial" w:hAnsi="Arial" w:cs="Arial"/>
          <w:sz w:val="24"/>
          <w:szCs w:val="24"/>
        </w:rPr>
      </w:pPr>
    </w:p>
    <w:p w:rsidR="006F3A57" w:rsidRPr="006A33DD" w:rsidRDefault="006F3A57" w:rsidP="00006A77">
      <w:pPr>
        <w:rPr>
          <w:rFonts w:ascii="Arial" w:hAnsi="Arial" w:cs="Arial"/>
          <w:sz w:val="24"/>
          <w:szCs w:val="24"/>
        </w:rPr>
      </w:pPr>
      <w:r w:rsidRPr="006A33DD">
        <w:rPr>
          <w:rFonts w:ascii="Arial" w:hAnsi="Arial" w:cs="Arial"/>
          <w:sz w:val="24"/>
          <w:szCs w:val="24"/>
        </w:rPr>
        <w:t xml:space="preserve">Despite the inherent challenges, the implementation of Corporate Social Responsibility (CSR) strategies within the hospitality industry offers substantial opportunities that can greatly benefit businesses. One of the most significant advantages is the enhancement of brand reputation. Companies known for their CSR efforts are often regarded more favourably by consumers, which can lead to increased customer loyalty and, subsequently, a larger market share (Wilson, E., 2021). Moreover, sustainable practices can lead to operational efficiencies such as reduced energy costs, lower water usage, and decreased waste production. These efficiencies not only reduce operating costs but can also significantly decrease the environmental impact of the business, making the initial investments in CSR very cost-effective in the long run (Baker, M., 2018). Additionally, robust CSR practices can attract business partners and investors who are increasingly looking to support companies with strong sustainability programs. As investors become more conscious of environmental, social, and governance (ESG) criteria, they are more likely to invest in companies that demonstrate responsible business practices, thus providing an edge in attracting capital and securing partnerships (Bhattacharya, C.B., Sen, S., &amp; </w:t>
      </w:r>
      <w:proofErr w:type="spellStart"/>
      <w:r w:rsidRPr="006A33DD">
        <w:rPr>
          <w:rFonts w:ascii="Arial" w:hAnsi="Arial" w:cs="Arial"/>
          <w:sz w:val="24"/>
          <w:szCs w:val="24"/>
        </w:rPr>
        <w:t>Korschun</w:t>
      </w:r>
      <w:proofErr w:type="spellEnd"/>
      <w:r w:rsidRPr="006A33DD">
        <w:rPr>
          <w:rFonts w:ascii="Arial" w:hAnsi="Arial" w:cs="Arial"/>
          <w:sz w:val="24"/>
          <w:szCs w:val="24"/>
        </w:rPr>
        <w:t>, D., 2008).</w:t>
      </w:r>
    </w:p>
    <w:p w:rsidR="006F3A57" w:rsidRPr="006A33DD" w:rsidRDefault="006F3A57" w:rsidP="00006A77">
      <w:pPr>
        <w:rPr>
          <w:rFonts w:ascii="Arial" w:hAnsi="Arial" w:cs="Arial"/>
          <w:sz w:val="24"/>
          <w:szCs w:val="24"/>
        </w:rPr>
      </w:pPr>
    </w:p>
    <w:p w:rsidR="006F3A57" w:rsidRPr="006A33DD" w:rsidRDefault="006F3A57" w:rsidP="00006A77">
      <w:pPr>
        <w:rPr>
          <w:rFonts w:ascii="Arial" w:hAnsi="Arial" w:cs="Arial"/>
          <w:sz w:val="24"/>
          <w:szCs w:val="24"/>
        </w:rPr>
      </w:pPr>
      <w:r w:rsidRPr="006A33DD">
        <w:rPr>
          <w:rFonts w:ascii="Arial" w:hAnsi="Arial" w:cs="Arial"/>
          <w:sz w:val="24"/>
          <w:szCs w:val="24"/>
        </w:rPr>
        <w:t>A prime example of Marriott International's commitment to CSR can be seen in its initiative to replace small plastic toiletry bottles with larger, pump-topped bottles in its showers. This initiative, which started in 2021, has been rolled out across numerous properties globally. The switch to larger bottles is expected to prevent about 500 million bottles annually from ending up in landfills, translating to nearly 1.7 million pounds of plastic savings (Marriott International, 2021). This case not only showcases Marriott’s proactive approach in reducing its environmental footprint but also illustrates how such practical changes can make a significant positive impact.</w:t>
      </w:r>
    </w:p>
    <w:p w:rsidR="006F3A57" w:rsidRPr="006A33DD" w:rsidRDefault="006F3A57" w:rsidP="00006A77">
      <w:pPr>
        <w:rPr>
          <w:rFonts w:ascii="Arial" w:hAnsi="Arial" w:cs="Arial"/>
          <w:sz w:val="24"/>
          <w:szCs w:val="24"/>
        </w:rPr>
      </w:pPr>
      <w:r w:rsidRPr="006A33DD">
        <w:rPr>
          <w:rFonts w:ascii="Arial" w:hAnsi="Arial" w:cs="Arial"/>
          <w:sz w:val="24"/>
          <w:szCs w:val="24"/>
        </w:rPr>
        <w:t>Another illustrative example is Marriott's involvement in providing vocational training to disadvantaged youth in various countries. This initiative not only aids in community development but also helps in building a skilled workforce, which is directly beneficial for the local economy and the hotel's operations. Such community engagement enhances Marriott's CSR profile and strengthens its brand reputation across different markets (Smith, J., 2020).</w:t>
      </w:r>
    </w:p>
    <w:p w:rsidR="006A33DD" w:rsidRPr="006A33DD" w:rsidRDefault="006A33DD" w:rsidP="00006A77">
      <w:pPr>
        <w:rPr>
          <w:rFonts w:ascii="Arial" w:hAnsi="Arial" w:cs="Arial"/>
          <w:sz w:val="24"/>
          <w:szCs w:val="24"/>
        </w:rPr>
      </w:pPr>
    </w:p>
    <w:p w:rsidR="006A33DD" w:rsidRPr="006A33DD" w:rsidRDefault="006A33DD" w:rsidP="00006A77">
      <w:pPr>
        <w:rPr>
          <w:rFonts w:ascii="Arial" w:hAnsi="Arial" w:cs="Arial"/>
          <w:sz w:val="24"/>
          <w:szCs w:val="24"/>
        </w:rPr>
      </w:pPr>
      <w:r w:rsidRPr="006A33DD">
        <w:rPr>
          <w:rFonts w:ascii="Arial" w:hAnsi="Arial" w:cs="Arial"/>
          <w:sz w:val="24"/>
          <w:szCs w:val="24"/>
        </w:rPr>
        <w:t xml:space="preserve">Marriott International's ongoing commitment to Corporate Social Responsibility (CSR) exemplifies the significant potential of well-executed CSR strategies to enhance sustainability in the hospitality industry. By integrating environmental, social, and economic considerations into every facet of its operations, Marriott not only enhances its own sustainability but also sets a benchmark in the industry (Marriott International, 2021). The company’s multifaceted approach to CSR demonstrates how sustainability can transcend environmental benefits to include economic advantages and social equity, aligning with broader societal goals (Wilson, E., 2021). The benefits of adopting robust CSR practices, as demonstrated by </w:t>
      </w:r>
      <w:r w:rsidRPr="006A33DD">
        <w:rPr>
          <w:rFonts w:ascii="Arial" w:hAnsi="Arial" w:cs="Arial"/>
          <w:sz w:val="24"/>
          <w:szCs w:val="24"/>
        </w:rPr>
        <w:lastRenderedPageBreak/>
        <w:t xml:space="preserve">Marriott, underscore the value of sustainability in building a resilient, profitable, and socially responsible business. Through initiatives such as reducing waste, conserving energy, and enhancing community engagement, Marriott has shown that CSR can contribute to both immediate benefits, like cost savings and enhanced customer loyalty, and long-term gains, including brand strength and competitive advantage (Baker, M., 2018). These efforts not only satisfy the increasing consumer demand for ethical and sustainable practices but also attract forward-thinking investors and partners interested in long-term sustainability (Bhattacharya, C.B., Sen, S., &amp; </w:t>
      </w:r>
      <w:proofErr w:type="spellStart"/>
      <w:r w:rsidRPr="006A33DD">
        <w:rPr>
          <w:rFonts w:ascii="Arial" w:hAnsi="Arial" w:cs="Arial"/>
          <w:sz w:val="24"/>
          <w:szCs w:val="24"/>
        </w:rPr>
        <w:t>Korschun</w:t>
      </w:r>
      <w:proofErr w:type="spellEnd"/>
      <w:r w:rsidRPr="006A33DD">
        <w:rPr>
          <w:rFonts w:ascii="Arial" w:hAnsi="Arial" w:cs="Arial"/>
          <w:sz w:val="24"/>
          <w:szCs w:val="24"/>
        </w:rPr>
        <w:t>, D., 2008). Moreover, Marriott’s leadership in CSR within the hospitality industry serves as a model for other companies seeking to implement or enhance their own sustainability strategies. The company’s success provides a clear indication that integrating CSR into business strategies is not only feasible but also beneficial for enhancing corporate reputation and achieving economic success while contributing positively to global sustainability challenges (Porter, M.E., &amp; Kramer, M.R., 2006).</w:t>
      </w:r>
    </w:p>
    <w:p w:rsidR="006A33DD" w:rsidRPr="006A33DD" w:rsidRDefault="006A33DD" w:rsidP="00006A77">
      <w:pPr>
        <w:rPr>
          <w:rFonts w:ascii="Arial" w:hAnsi="Arial" w:cs="Arial"/>
          <w:sz w:val="24"/>
          <w:szCs w:val="24"/>
        </w:rPr>
      </w:pPr>
    </w:p>
    <w:p w:rsidR="006A33DD" w:rsidRPr="006A33DD" w:rsidRDefault="006A33DD" w:rsidP="00006A77">
      <w:pPr>
        <w:rPr>
          <w:rFonts w:ascii="Arial" w:hAnsi="Arial" w:cs="Arial"/>
          <w:sz w:val="24"/>
          <w:szCs w:val="24"/>
        </w:rPr>
      </w:pPr>
    </w:p>
    <w:p w:rsidR="006A33DD" w:rsidRPr="006A33DD" w:rsidRDefault="006A33DD" w:rsidP="00006A77">
      <w:pPr>
        <w:rPr>
          <w:rFonts w:ascii="Arial" w:hAnsi="Arial" w:cs="Arial"/>
          <w:sz w:val="24"/>
          <w:szCs w:val="24"/>
        </w:rPr>
      </w:pPr>
    </w:p>
    <w:p w:rsidR="006A33DD" w:rsidRPr="006A33DD" w:rsidRDefault="006A33DD" w:rsidP="00006A77">
      <w:pPr>
        <w:rPr>
          <w:rFonts w:ascii="Arial" w:hAnsi="Arial" w:cs="Arial"/>
          <w:sz w:val="24"/>
          <w:szCs w:val="24"/>
        </w:rPr>
      </w:pPr>
    </w:p>
    <w:p w:rsidR="006A33DD" w:rsidRPr="006A33DD" w:rsidRDefault="006A33DD" w:rsidP="00006A77">
      <w:pPr>
        <w:rPr>
          <w:rFonts w:ascii="Arial" w:hAnsi="Arial" w:cs="Arial"/>
          <w:sz w:val="24"/>
          <w:szCs w:val="24"/>
        </w:rPr>
      </w:pPr>
    </w:p>
    <w:p w:rsidR="006A33DD" w:rsidRPr="006A33DD" w:rsidRDefault="006A33DD" w:rsidP="00006A77">
      <w:pPr>
        <w:rPr>
          <w:rFonts w:ascii="Arial" w:hAnsi="Arial" w:cs="Arial"/>
          <w:sz w:val="24"/>
          <w:szCs w:val="24"/>
        </w:rPr>
      </w:pPr>
    </w:p>
    <w:p w:rsidR="006A33DD" w:rsidRPr="006A33DD" w:rsidRDefault="006A33DD" w:rsidP="00006A77">
      <w:pPr>
        <w:rPr>
          <w:rFonts w:ascii="Arial" w:hAnsi="Arial" w:cs="Arial"/>
          <w:sz w:val="24"/>
          <w:szCs w:val="24"/>
        </w:rPr>
      </w:pPr>
    </w:p>
    <w:p w:rsidR="006A33DD" w:rsidRPr="006A33DD" w:rsidRDefault="006A33DD" w:rsidP="00006A77">
      <w:pPr>
        <w:rPr>
          <w:rFonts w:ascii="Arial" w:hAnsi="Arial" w:cs="Arial"/>
          <w:sz w:val="24"/>
          <w:szCs w:val="24"/>
        </w:rPr>
      </w:pPr>
    </w:p>
    <w:p w:rsidR="006A33DD" w:rsidRPr="006A33DD" w:rsidRDefault="006A33DD" w:rsidP="00006A77">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t>Baker, M. (2018). "The Business Case for Corporate Social Responsibility in the Hospitality Sector." International Journal of Hospitality Management, 34, 273-284.</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t>Marriott International. (2021). "Serve 360: Doing Good in Every Direction." [Online] Available at: Marriott's CSR homepage.</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t>Jones, P., &amp; Hillier, D. (2019). "Corporate Social Responsibility in the Hospitality and Tourism Industry." Advances in Hospitality and Tourism Research, 7(2), 112-127.</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t>Smith, J. (2020). "Impact of CSR on Brand Image in the Hospitality Industry." Journal of Hospitality Marketing &amp; Management, 29(3), 289-308.</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lastRenderedPageBreak/>
        <w:t>Harris, L. (2019). "Challenges of Implementing CSR in the Hospitality Industry." Tourism and Hospitality Research, 19(4), 423-435.</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t>Wilson, E. (2021). "Sustainability and Social Responsibility in Hospitality." Hospitality Management, 50, 150-162.</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t xml:space="preserve">Brown, T.J., &amp; </w:t>
      </w:r>
      <w:proofErr w:type="spellStart"/>
      <w:r w:rsidRPr="006A33DD">
        <w:rPr>
          <w:rFonts w:ascii="Arial" w:hAnsi="Arial" w:cs="Arial"/>
          <w:sz w:val="24"/>
          <w:szCs w:val="24"/>
        </w:rPr>
        <w:t>Dacin</w:t>
      </w:r>
      <w:proofErr w:type="spellEnd"/>
      <w:r w:rsidRPr="006A33DD">
        <w:rPr>
          <w:rFonts w:ascii="Arial" w:hAnsi="Arial" w:cs="Arial"/>
          <w:sz w:val="24"/>
          <w:szCs w:val="24"/>
        </w:rPr>
        <w:t>, P.A. (1997). "The Company and the Product: Corporate Associations and Consumer Product Responses." Journal of Marketing, 61(1), 68-84.</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t>Carroll, A.B. (1991). "The Pyramid of Corporate Social Responsibility: Toward the Moral Management of Organizational Stakeholders." Business Horizons, 34(4), 39-48.</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t>European Union. (2021). "Corporate Social Responsibility and Sustainability in the Hospitality Sector." [Online] Available at: EU Guidelines.</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t>Friedman, M. (1970). "The Social Responsibility of Business is to Increase its Profits." The New York Times Magazine.</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t>Porter, M.E., &amp; Kramer, M.R. (2006). "Strategy and Society: The Link Between Competitive Advantage and Corporate Social Responsibility." Harvard Business Review, 84(12), 78-92.</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proofErr w:type="spellStart"/>
      <w:r w:rsidRPr="006A33DD">
        <w:rPr>
          <w:rFonts w:ascii="Arial" w:hAnsi="Arial" w:cs="Arial"/>
          <w:sz w:val="24"/>
          <w:szCs w:val="24"/>
        </w:rPr>
        <w:t>Elkington</w:t>
      </w:r>
      <w:proofErr w:type="spellEnd"/>
      <w:r w:rsidRPr="006A33DD">
        <w:rPr>
          <w:rFonts w:ascii="Arial" w:hAnsi="Arial" w:cs="Arial"/>
          <w:sz w:val="24"/>
          <w:szCs w:val="24"/>
        </w:rPr>
        <w:t>, J. (1997). "Cannibals with Forks: The Triple Bottom Line of 21st Century Business." Capstone Publishing.</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t xml:space="preserve">Kotler, P., &amp; Lee, N. (2005). "Corporate Social Responsibility: Doing the </w:t>
      </w:r>
      <w:proofErr w:type="gramStart"/>
      <w:r w:rsidRPr="006A33DD">
        <w:rPr>
          <w:rFonts w:ascii="Arial" w:hAnsi="Arial" w:cs="Arial"/>
          <w:sz w:val="24"/>
          <w:szCs w:val="24"/>
        </w:rPr>
        <w:t xml:space="preserve">Most </w:t>
      </w:r>
      <w:r w:rsidRPr="006A33DD">
        <w:rPr>
          <w:rFonts w:ascii="Arial" w:hAnsi="Arial" w:cs="Arial"/>
          <w:sz w:val="24"/>
          <w:szCs w:val="24"/>
        </w:rPr>
        <w:t xml:space="preserve"> </w:t>
      </w:r>
      <w:r w:rsidRPr="006A33DD">
        <w:rPr>
          <w:rFonts w:ascii="Arial" w:hAnsi="Arial" w:cs="Arial"/>
          <w:sz w:val="24"/>
          <w:szCs w:val="24"/>
        </w:rPr>
        <w:t>Good</w:t>
      </w:r>
      <w:proofErr w:type="gramEnd"/>
      <w:r w:rsidRPr="006A33DD">
        <w:rPr>
          <w:rFonts w:ascii="Arial" w:hAnsi="Arial" w:cs="Arial"/>
          <w:sz w:val="24"/>
          <w:szCs w:val="24"/>
        </w:rPr>
        <w:t xml:space="preserve"> for Your Company and Your Cause." John Wiley &amp; Sons.</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t xml:space="preserve">Bhattacharya, C.B., Sen, S., &amp; </w:t>
      </w:r>
      <w:proofErr w:type="spellStart"/>
      <w:r w:rsidRPr="006A33DD">
        <w:rPr>
          <w:rFonts w:ascii="Arial" w:hAnsi="Arial" w:cs="Arial"/>
          <w:sz w:val="24"/>
          <w:szCs w:val="24"/>
        </w:rPr>
        <w:t>Korschun</w:t>
      </w:r>
      <w:proofErr w:type="spellEnd"/>
      <w:r w:rsidRPr="006A33DD">
        <w:rPr>
          <w:rFonts w:ascii="Arial" w:hAnsi="Arial" w:cs="Arial"/>
          <w:sz w:val="24"/>
          <w:szCs w:val="24"/>
        </w:rPr>
        <w:t>, D. (2008). "Using Corporate Social Responsibility to Win the War for Talent." MIT Sloan Management Review, 49(2), 37-44.</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t xml:space="preserve">Hopkins, M. (2007). "Corporate Social Responsibility and International Development: Is Business the Solution?" </w:t>
      </w:r>
      <w:proofErr w:type="spellStart"/>
      <w:r w:rsidRPr="006A33DD">
        <w:rPr>
          <w:rFonts w:ascii="Arial" w:hAnsi="Arial" w:cs="Arial"/>
          <w:sz w:val="24"/>
          <w:szCs w:val="24"/>
        </w:rPr>
        <w:t>Earthscan</w:t>
      </w:r>
      <w:proofErr w:type="spellEnd"/>
      <w:r w:rsidRPr="006A33DD">
        <w:rPr>
          <w:rFonts w:ascii="Arial" w:hAnsi="Arial" w:cs="Arial"/>
          <w:sz w:val="24"/>
          <w:szCs w:val="24"/>
        </w:rPr>
        <w:t>.</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t>Global Reporting Initiative. (2021). "GRI Standards for Sustainability Reporting." [Online] Available at: GRI Standards.</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t>World Tourism Organization (UNWTO). (2021). "Tourism and Sustainable Development." [Online] Available at: UNWTO Website.</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t>Siegel, D. (2009). "Green Management Matters Only If It Yields More Green: An Economic/Strategic Perspective." Academy of Management Perspectives, 23(3), 5-16.</w:t>
      </w:r>
    </w:p>
    <w:p w:rsidR="006A33DD" w:rsidRPr="006A33DD" w:rsidRDefault="006A33DD" w:rsidP="006A33DD">
      <w:pPr>
        <w:rPr>
          <w:rFonts w:ascii="Arial" w:hAnsi="Arial" w:cs="Arial"/>
          <w:sz w:val="24"/>
          <w:szCs w:val="24"/>
        </w:rPr>
      </w:pPr>
    </w:p>
    <w:p w:rsidR="006A33DD" w:rsidRPr="006A33DD" w:rsidRDefault="006A33DD" w:rsidP="006A33DD">
      <w:pPr>
        <w:rPr>
          <w:rFonts w:ascii="Arial" w:hAnsi="Arial" w:cs="Arial"/>
          <w:sz w:val="24"/>
          <w:szCs w:val="24"/>
        </w:rPr>
      </w:pPr>
      <w:r w:rsidRPr="006A33DD">
        <w:rPr>
          <w:rFonts w:ascii="Arial" w:hAnsi="Arial" w:cs="Arial"/>
          <w:sz w:val="24"/>
          <w:szCs w:val="24"/>
        </w:rPr>
        <w:t>Weber, M. (2008). "The Business Case for Corporate Social Responsibility: A Company-level Measurement Approach for CSR." European Management Journal, 26(4), 247-261.</w:t>
      </w:r>
    </w:p>
    <w:p w:rsidR="006A33DD" w:rsidRPr="006A33DD" w:rsidRDefault="006A33DD" w:rsidP="006A33DD">
      <w:pPr>
        <w:rPr>
          <w:rFonts w:ascii="Arial" w:hAnsi="Arial" w:cs="Arial"/>
          <w:sz w:val="24"/>
          <w:szCs w:val="24"/>
        </w:rPr>
      </w:pPr>
    </w:p>
    <w:p w:rsidR="006F3A57" w:rsidRPr="006A33DD" w:rsidRDefault="006A33DD" w:rsidP="006A33DD">
      <w:pPr>
        <w:rPr>
          <w:rFonts w:ascii="Arial" w:hAnsi="Arial" w:cs="Arial"/>
          <w:sz w:val="24"/>
          <w:szCs w:val="24"/>
        </w:rPr>
      </w:pPr>
      <w:r w:rsidRPr="006A33DD">
        <w:rPr>
          <w:rFonts w:ascii="Arial" w:hAnsi="Arial" w:cs="Arial"/>
          <w:sz w:val="24"/>
          <w:szCs w:val="24"/>
        </w:rPr>
        <w:t>Crane, A., &amp; Matten, D. (2016). "Business Ethics: Managing Corporate Citizenship and Sustainability in the Age of Globalization." Oxford University Press.</w:t>
      </w:r>
    </w:p>
    <w:p w:rsidR="006F3A57" w:rsidRPr="006A33DD" w:rsidRDefault="006F3A57" w:rsidP="00006A77">
      <w:pPr>
        <w:rPr>
          <w:sz w:val="24"/>
          <w:szCs w:val="24"/>
        </w:rPr>
      </w:pPr>
    </w:p>
    <w:p w:rsidR="006F3A57" w:rsidRPr="006A33DD" w:rsidRDefault="006F3A57" w:rsidP="00006A77">
      <w:pPr>
        <w:rPr>
          <w:sz w:val="24"/>
          <w:szCs w:val="24"/>
        </w:rPr>
      </w:pPr>
    </w:p>
    <w:p w:rsidR="00006A77" w:rsidRPr="006A33DD" w:rsidRDefault="00006A77" w:rsidP="00006A77">
      <w:pPr>
        <w:rPr>
          <w:sz w:val="24"/>
          <w:szCs w:val="24"/>
        </w:rPr>
      </w:pPr>
    </w:p>
    <w:sectPr w:rsidR="00006A77" w:rsidRPr="006A33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1C1"/>
    <w:rsid w:val="00006A77"/>
    <w:rsid w:val="000301C1"/>
    <w:rsid w:val="0003659B"/>
    <w:rsid w:val="00090949"/>
    <w:rsid w:val="005F0EE3"/>
    <w:rsid w:val="006A33DD"/>
    <w:rsid w:val="006F3A57"/>
    <w:rsid w:val="008B36EE"/>
    <w:rsid w:val="00AB5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DD293"/>
  <w15:chartTrackingRefBased/>
  <w15:docId w15:val="{D4FEE1E7-82BB-4CD3-A68F-918005A1B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8</Pages>
  <Words>2608</Words>
  <Characters>14866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moraru</dc:creator>
  <cp:keywords/>
  <dc:description/>
  <cp:lastModifiedBy>anca moraru</cp:lastModifiedBy>
  <cp:revision>1</cp:revision>
  <dcterms:created xsi:type="dcterms:W3CDTF">2024-05-13T20:41:00Z</dcterms:created>
  <dcterms:modified xsi:type="dcterms:W3CDTF">2024-05-13T21:48:00Z</dcterms:modified>
</cp:coreProperties>
</file>