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r>
        <w:object w:dxaOrig="3644" w:dyaOrig="1032">
          <v:rect xmlns:o="urn:schemas-microsoft-com:office:office" xmlns:v="urn:schemas-microsoft-com:vml" id="rectole0000000000" style="width:182.200000pt;height:51.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 Reflection on Academic And Employability Skills</w:t>
      </w: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BMSW4001 </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Group 2</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Petya Petrova (2009077)</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Lecturer: Barbara Chinyani</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Academic And Employability Skills</w:t>
      </w: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of Contents</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Table of Contents………………………………………..…………………..</w:t>
        <w:tab/>
        <w:t xml:space="preserve">2</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1.0 Introduction………………………………………………………………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3</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2.0 Reflection Model……………………………………………….……….</w:t>
        <w:tab/>
        <w:t xml:space="preserve">3</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3.0 Employability…………………………………………………………….</w:t>
        <w:tab/>
        <w:t xml:space="preserve">5</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3.1 Time Management……………………………………………………….</w:t>
        <w:tab/>
        <w:t xml:space="preserve">5</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3.2 Online Learning Experience…………………………………………….</w:t>
        <w:tab/>
        <w:t xml:space="preserve">8</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3.3 Public speaking and Giving Presentations…………..…………………..</w:t>
        <w:tab/>
        <w:t xml:space="preserve">10</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4.0 Conclusion……………………………………………………………….</w:t>
        <w:tab/>
        <w:t xml:space="preserve">12</w:t>
      </w:r>
    </w:p>
    <w:p>
      <w:pPr>
        <w:spacing w:before="0" w:after="20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Reference List…………………………………………….………………….</w:t>
        <w:tab/>
        <w:t xml:space="preserve">14</w:t>
      </w: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1.0 Introduction</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Universities and colleges are increasingly focusing on improving the graduate outcomes of their students through programmes such as work placement, internship schemes, real-work projects (Helyer and Lee, 2014). According to Creasey (2013), these programmes are intended to help students to acquire relevant knowledge and skills which can faciliatte smooth transition to the job market. Colleges and universities have shifted their attention from raising literacy levels and enhancing access and participation in education, towards equipping students with the knowledge and skills required by the labour market (Frankham, 2017). In this context, I seek to reflect on what I have in this module: </w:t>
      </w:r>
      <w:r>
        <w:rPr>
          <w:rFonts w:ascii="Times New Roman" w:hAnsi="Times New Roman" w:cs="Times New Roman" w:eastAsia="Times New Roman"/>
          <w:i/>
          <w:color w:val="0E101A"/>
          <w:spacing w:val="0"/>
          <w:position w:val="0"/>
          <w:sz w:val="24"/>
          <w:shd w:fill="auto" w:val="clear"/>
        </w:rPr>
        <w:t xml:space="preserve">Academic Employability Skills</w:t>
      </w:r>
      <w:r>
        <w:rPr>
          <w:rFonts w:ascii="Times New Roman" w:hAnsi="Times New Roman" w:cs="Times New Roman" w:eastAsia="Times New Roman"/>
          <w:color w:val="0E101A"/>
          <w:spacing w:val="0"/>
          <w:position w:val="0"/>
          <w:sz w:val="24"/>
          <w:shd w:fill="auto" w:val="clear"/>
        </w:rPr>
        <w:t xml:space="preserve">. This report aims to reflect on what I learned about time management, online learning experience and public speaking and giving presentations and how I might apply the knowledge and skills to my education and career practice. Kolb reflective cycle is used to inform the inquiry into the range of employability skills covered in this report. The reflection considers what I already knew and any learning I undertook outside of the classroom.</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2.0 Reflection Model</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This report adopted Kolb’s four-stage experiential learning model to reflect on the relevance of the three topics covered during this term. The model is commonly referred to as “reflective learning”, and it is based on the assumption that an individual learns through discovery and experience (Morris, 2019). According to Kolb, learning occurs through a cycle of four distinct stages: concrete experience, reflective observation, abstract conceptualization, and active experimentation (Wain, 2017). The basis of this framework is experience as a person reviews, analyses, and evaluates personal experiences systematically through three stages. The new experiences at the end of this cycle form the basis of another cycle. </w:t>
      </w:r>
    </w:p>
    <w:p>
      <w:pPr>
        <w:spacing w:before="0" w:after="0" w:line="480"/>
        <w:ind w:right="0" w:left="0" w:firstLine="0"/>
        <w:jc w:val="center"/>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Figure 2.1 Kolb’s Reflective Model</w:t>
      </w:r>
    </w:p>
    <w:p>
      <w:pPr>
        <w:spacing w:before="0" w:after="0" w:line="480"/>
        <w:ind w:right="0" w:left="0" w:firstLine="0"/>
        <w:jc w:val="left"/>
        <w:rPr>
          <w:rFonts w:ascii="Times New Roman" w:hAnsi="Times New Roman" w:cs="Times New Roman" w:eastAsia="Times New Roman"/>
          <w:b/>
          <w:color w:val="000000"/>
          <w:spacing w:val="0"/>
          <w:position w:val="0"/>
          <w:sz w:val="24"/>
          <w:shd w:fill="FFFFFF" w:val="clear"/>
        </w:rPr>
      </w:pPr>
      <w:r>
        <w:object w:dxaOrig="8038" w:dyaOrig="5081">
          <v:rect xmlns:o="urn:schemas-microsoft-com:office:office" xmlns:v="urn:schemas-microsoft-com:vml" id="rectole0000000001" style="width:401.900000pt;height:254.0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As illustrated in Table 2.1 above, in the first stage, a person encounters a new experience or situation or reinterprets an existing experience. The event makes the person realize the need to reflect critically in order to learn a new skill and practice or improve existing ones. In stage 2, the learner reflects deeply on the new experience or what happened in the situation. For example, one may examine aspects that worked and those that failed. In the third phase, the student tries to discern what has happened and decipher the experience to understand them. Through the interpretation, the person learns a new idea or modifies an existing abstract concept (Morris, 2019). At this stage, one may attempt to find out what could have been done better or differently or how he or she can improve on the situation. Finally, active experimentation involves applying what has been learned to actual practice. The learner attempts to put into practice the newly acquired theoretical knowledge, skill, or behaviour to the world around them. The experiences at this point form the basis for the concrete experiences in the next cycle.</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There are several reasons for selecting Kolb’s reflective model. Majorly, the framework provides a more holistic picture of the learning process (Wain, 2017). Most importantly, the model acknowledges the integral role of experience in the learning process. That is, people learn by reflecting on prior experiences and integrating them with new information. Another justification for selecting this framework is the application or transfer of what has been learned to specific real-world problems (Morris, 2019). The model underscores the need and importance of putting into practice the newly acquired theoretical knowledge and skills. </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3.0 Employability </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3.1 Time Management</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One of the most critical skills I acquired and honed throughout this term is effective time management. This course involved a robust time management skills training which focused on improving our ability to manage our time efficiently. One of the serious challenges I used to battle with before this course is chronic procrastination. Before this particular course, I was a poor time manager. I often found myself spending a lot of my time on less critical tasks and responsibilities. I most often procrastinated because I usually put more value on what is happening today and fail to appreciate what will happen tomorrow. Paying more attention to the present and immediate often led me to put off critical future tasks. Research shows that this habit hurts a student’s academic achievement and overall wellbeing (Nayak, 2019). Consistent with these findings, procrastination, procrastination has been detrimental to my school and grades because failing to keep up with the flow of schoolwork means that I fell behind. </w:t>
      </w: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3.1 Eisenhower Time Management Model</w:t>
      </w: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r>
        <w:object w:dxaOrig="7349" w:dyaOrig="5750">
          <v:rect xmlns:o="urn:schemas-microsoft-com:office:office" xmlns:v="urn:schemas-microsoft-com:vml" id="rectole0000000002" style="width:367.450000pt;height:287.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This module helped me learned some common time management mistakes and strategies for overcoming such pitfalls. These tactics include keeping a to-do list, setting clear and realistic personal goals, and scheduling and prioritizing tasks. Eisenhower’s time management technique was perhaps the most useful tool I was exposed to during this module. The model provides a simple but useful framework for getting things done. The Eisenhower Method requires a person to make radical categorization of his or her daily tasks into four quadrants depending on priority and importance (see Figure 3.1.1). The first quadrant comprises urgent and important tasks. The second quadrant constitutes activities that are important but which cannot be handled with urgency. The third group includes urgent tasks which are less critical to the person. The least priority contains duties that are neither urgent nor important (</w:t>
      </w:r>
      <w:r>
        <w:rPr>
          <w:rFonts w:ascii="Times New Roman" w:hAnsi="Times New Roman" w:cs="Times New Roman" w:eastAsia="Times New Roman"/>
          <w:color w:val="0E101A"/>
          <w:spacing w:val="0"/>
          <w:position w:val="0"/>
          <w:sz w:val="24"/>
          <w:shd w:fill="auto" w:val="clear"/>
        </w:rPr>
        <w:t xml:space="preserve">Čiarnienė and Vienažindienė, 2014). </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One important takeaway from this activity is that l developing good time management skills can help improve my learning and become more motivated in my schoolwork. I realized that managing time prudently could enable me to complete homework and assignments in less time and avoid procrastination and unnecessary stress and anxiety associated with late submission because my mind will be forced and I will not waste on distractions such as social media. Besides that, if I utilize time well, I can stay engaged with learning while still secure more free time to pursue other important activities that are important to me such as hanging out with family and friends or sports on the weekend.</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 intend to apply the time management skills and strategies I have learned in this module to my college education as well as my career in future. Mainly, I will utilize a To-Do List or action program to prioritize my tasks and assignments both at school and job. I will try to make radical categorization of my daily duties and activities by grouping them into four priorities. The first priority will comprise important and urgent such as emergencies and tasks with strict deadlines and which must be handled immediately and personally, such as assignments and projects. The second quadrant may include things that important but less urgent and require my attention, such as relationships and recreation. The third priority will include tasks that I can delegate to others like social meetings and interruptions. Evaluating all the activities and tasks that take up my time at school and work will allow me to complete more important work on time, and easily eliminate unnecessary things that waste time, drain me, and rarely help me to achieve my goals. This technique will help me to filter the noise and interruptions from my schedule and focus more on what really matters to my education and career in future. Placing them in the first quadrant and doing them within the first 90 minutes of my school or workday, for example, will help avoid the last-minute rash and deliver quality.</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3.2 Online Learning Experience</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The online learning experience focused on skilling us how we could study in virtual learning environments, interact with peers and professors through interactive media and tools enabled by the advanced technology, and leverage internet resources to enhance the overall learning experience. Before this class, I had limited knowledge about how I could utilize the Internet for academic purposes. I knew that the Internet had created vast opportunities for many people around the world in many different ways. Still, my understanding and use of this valuable tool were limited to social media and entertainment purposes. In fact, I spent a significant amount of time connecting with friends and relatives and sharing my life and experiences through selfies, videos, and status updates. I used to see these platforms as a fundamental tool for linking up with and maintaining relationships and learning about the latest news all around the globe. These patterns correspond with the findings of a recent Pew Research Center study which showed that about 81% of teens aged between 13 and 17 years feel more connected to their friends via social networking sites, with 61% of the population stating that these platforms help them to connect with more diverse people (Anderson and Jiang, 2018).</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However, in the course of this module, I realized the Internet has revolutionized traditional education dramatically. I learned that students could utilize the Internet in their academic studies in myriad ways. Notably, being physically present in a classroom is no longer the only option to study anymore. The proliferation of the Internet and new education technologies has allowed individuals to access quality education regardless of time, physical location, and other barriers that characterized traditional education (Graham, 2019). Most importantly, I was fascinated by the advanced communications tools that provide students with many ways of interacting with their peers and teachers in real-time. The zoom application is perhaps the most exciting tools as they became really useful during the COVID-19 pandemic period, where education was abruptly reduced to online learning (See Figure 3.2). Other tools include emails, discussion forums, and text messaging.</w:t>
      </w:r>
    </w:p>
    <w:p>
      <w:pPr>
        <w:spacing w:before="0" w:after="0" w:line="480"/>
        <w:ind w:right="0" w:left="0" w:firstLine="0"/>
        <w:jc w:val="center"/>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Figure 3.2 Students Using Zoom Application</w:t>
      </w: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r>
        <w:object w:dxaOrig="9091" w:dyaOrig="5304">
          <v:rect xmlns:o="urn:schemas-microsoft-com:office:office" xmlns:v="urn:schemas-microsoft-com:vml" id="rectole0000000003" style="width:454.550000pt;height:265.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In addition to communication and interaction with peers and instructors, I learned that the internet provides useful resources that can help students to do their coursework and assignments. The range of these invaluable resources includes eBooks, online academic journals, videos, recorded lectures, online discussion forums, quizzes, and live Q&amp;A sessions and interviews. Online journal articles really caught my attention most. I found academic journals to be useful when undertaking research for my assignments, scholarly projects, and other types of schoolwork. Unlike news media sources, I found that these databases provide credible peer-reviewed articles with focused research (Rallison, 2015).</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 am looking forward to using the various communication tools to engage with my peers both at school and work in future. I will mainly use applications such as discussion forums, live Q&amp;A sessions, and chatrooms to correspond with other classmates and seek clarification and feedback from my teachers. In a similar vein, I will utilise the different online resources such as academic journals, eBooks, videos, and recorded lectures to complete my schoolwork more quickly. Most importantly, I will utilise these resources to search for quantitative and qualitative studies, statistical data, case studies, and other pieces of evidence to support my claims in my papers and assignments. Lastly, I will consider pursuing online learning for career advancement and life-long learning. Enrolling in online programs will allow me to continue working and study at the same time. For example, I plan to work during the day and completing coursework in the evening or during weekends. This option will create an opportunity to apply what I learn from the classroom to my job immediately.</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3.3 Public speaking and Giving Presentations</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 found the content incorporate in the public speaking and giving presentations lesson quite relevant to my education and future career. Public speaking and making presentations before a group or class is a common activity. As a student, I am likely to find myself giving a presentation in front of my classmates at some point. Equally, I am likely to engage in public speaking in my future career. Therefore, developing useful skills and strategies to deliver this form of communication is imperative. Before this class, I knew that giving a public presentation is a tough task, especially dealing with stage fright, distractions (e.g., arguments and unwelcome comments), and people falling asleep during the presentation. Research shows that these issues make some people fear public speaking even more than death (Dwyer and Davidson, 2012). I agree with this point to some extent because it takes a lot of courage and effort to overcome anxiety when speaking to a group of people.</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Fortunately, this lesson took us through what it takes to give a compelling presentation. Notably, our instructor presented useful guidelines for preparing and designing a persuasive presentation, creating materials for the presentations, delivering the content, and handling undesirable behaviours in presentations or training. One major lesson from this class is that it is entirely normal to feel anxious about having to speak to a group. I learned that understanding the nature of stage fright, preparing adequately, rehearsing the presentation several times, focusing on what I am saying, and developing self-confidence can help overcome anxiety and other negative feelings that may distract me. I was also intrigued by the tips for preparing for a presentation. They include: </w:t>
      </w:r>
    </w:p>
    <w:p>
      <w:pPr>
        <w:numPr>
          <w:ilvl w:val="0"/>
          <w:numId w:val="24"/>
        </w:numPr>
        <w:tabs>
          <w:tab w:val="left" w:pos="720" w:leader="none"/>
        </w:tabs>
        <w:spacing w:before="0" w:after="0" w:line="480"/>
        <w:ind w:right="0" w:left="720" w:hanging="36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Analysing my audience and goals</w:t>
      </w:r>
    </w:p>
    <w:p>
      <w:pPr>
        <w:numPr>
          <w:ilvl w:val="0"/>
          <w:numId w:val="24"/>
        </w:numPr>
        <w:tabs>
          <w:tab w:val="left" w:pos="720" w:leader="none"/>
        </w:tabs>
        <w:spacing w:before="0" w:after="0" w:line="480"/>
        <w:ind w:right="0" w:left="720" w:hanging="36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Planning, researching, and organising my content</w:t>
      </w:r>
    </w:p>
    <w:p>
      <w:pPr>
        <w:numPr>
          <w:ilvl w:val="0"/>
          <w:numId w:val="24"/>
        </w:numPr>
        <w:tabs>
          <w:tab w:val="left" w:pos="720" w:leader="none"/>
        </w:tabs>
        <w:spacing w:before="0" w:after="0" w:line="480"/>
        <w:ind w:right="0" w:left="720" w:hanging="36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Drafting and revising the presentation</w:t>
      </w:r>
    </w:p>
    <w:p>
      <w:pPr>
        <w:numPr>
          <w:ilvl w:val="0"/>
          <w:numId w:val="24"/>
        </w:numPr>
        <w:tabs>
          <w:tab w:val="left" w:pos="720" w:leader="none"/>
        </w:tabs>
        <w:spacing w:before="0" w:after="0" w:line="480"/>
        <w:ind w:right="0" w:left="720" w:hanging="36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Preparing speaking notes</w:t>
      </w:r>
    </w:p>
    <w:p>
      <w:pPr>
        <w:numPr>
          <w:ilvl w:val="0"/>
          <w:numId w:val="24"/>
        </w:numPr>
        <w:tabs>
          <w:tab w:val="left" w:pos="720" w:leader="none"/>
        </w:tabs>
        <w:spacing w:before="0" w:after="0" w:line="480"/>
        <w:ind w:right="0" w:left="720" w:hanging="36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Practising the presentation</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 intend to apply these public speaking skills and tips when giving a presentation to a wide variety of audiences, including my peer students, discussion forums, colleague employees, board meetings, community meetings, and even groups of customers at my future workplace. For example, I will consider telling a short human-interest story, refer to my audience and their worlds, engage them by asking questions, asking for a show of hands, and requesting them to greet their neighbours. These tactics will help make my presentations engaging. Besides, I plan to integrate visual aids (e.g., charts, graphs, maps, photographs, video clips, handouts, PowerPoint slides, posters, and an overhead project) in my presentations to make them appealing and enhance understanding.</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4.0 Conclusion </w:t>
      </w:r>
    </w:p>
    <w:p>
      <w:pPr>
        <w:spacing w:before="0" w:after="0" w:line="480"/>
        <w:ind w:right="0" w:left="0" w:firstLine="720"/>
        <w:jc w:val="left"/>
        <w:rPr>
          <w:rFonts w:ascii="Times New Roman" w:hAnsi="Times New Roman" w:cs="Times New Roman" w:eastAsia="Times New Roman"/>
          <w:color w:val="0E101A"/>
          <w:spacing w:val="0"/>
          <w:position w:val="0"/>
          <w:sz w:val="24"/>
          <w:shd w:fill="auto" w:val="clear"/>
        </w:rPr>
      </w:pPr>
      <w:r>
        <w:rPr>
          <w:rFonts w:ascii="Times New Roman" w:hAnsi="Times New Roman" w:cs="Times New Roman" w:eastAsia="Times New Roman"/>
          <w:color w:val="0E101A"/>
          <w:spacing w:val="0"/>
          <w:position w:val="0"/>
          <w:sz w:val="24"/>
          <w:shd w:fill="auto" w:val="clear"/>
        </w:rPr>
        <w:t xml:space="preserve">In conclusion, ensuring that graduates are employable has become a fundamental goal of higher education institutions today. During this term, I have acquired useful knowledge and skills that will not only help me succeed in my academic assignments but also increase my chances of getting a job after graduation. Time management skills developed during this period will enable me to prioritise tasks and projects to allow me to complete them in time. I found the online learning experience helpful in terms of the high flexibility, affordable tuition, and a variety of academic opportunities and resources this mode of education offers. I will utilise the various online resources to enhance communication with peer students, teachers, employees, managers, and others, as well as to conduct extensive research to gain in-depth knowledge and understanding of the topic of my study. Lastly, I acquired valuable public speaking and presentation skills will, which will enable me to articulate my ideas, opinions, and concerns in group settings.</w:t>
      </w: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 List</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Anderson, M. and Jiang, J., 2018. Teens’ social media habits and experiences. </w:t>
      </w:r>
      <w:r>
        <w:rPr>
          <w:rFonts w:ascii="Times New Roman" w:hAnsi="Times New Roman" w:cs="Times New Roman" w:eastAsia="Times New Roman"/>
          <w:i/>
          <w:color w:val="000000"/>
          <w:spacing w:val="0"/>
          <w:position w:val="0"/>
          <w:sz w:val="24"/>
          <w:shd w:fill="FFFFFF" w:val="clear"/>
        </w:rPr>
        <w:t xml:space="preserve">Pew Research Center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28</w:t>
      </w:r>
      <w:r>
        <w:rPr>
          <w:rFonts w:ascii="Times New Roman" w:hAnsi="Times New Roman" w:cs="Times New Roman" w:eastAsia="Times New Roman"/>
          <w:color w:val="000000"/>
          <w:spacing w:val="0"/>
          <w:position w:val="0"/>
          <w:sz w:val="24"/>
          <w:shd w:fill="FFFFFF" w:val="clear"/>
        </w:rPr>
        <w:t xml:space="preserve">.</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Čiarnienė, R. and Vienažindienė, M., 2014. The conceptual model of time management. In </w:t>
      </w:r>
      <w:r>
        <w:rPr>
          <w:rFonts w:ascii="Times New Roman" w:hAnsi="Times New Roman" w:cs="Times New Roman" w:eastAsia="Times New Roman"/>
          <w:i/>
          <w:color w:val="000000"/>
          <w:spacing w:val="0"/>
          <w:position w:val="0"/>
          <w:sz w:val="24"/>
          <w:shd w:fill="FFFFFF" w:val="clear"/>
        </w:rPr>
        <w:t xml:space="preserve">Book of Proceedings</w:t>
      </w:r>
      <w:r>
        <w:rPr>
          <w:rFonts w:ascii="Times New Roman" w:hAnsi="Times New Roman" w:cs="Times New Roman" w:eastAsia="Times New Roman"/>
          <w:color w:val="000000"/>
          <w:spacing w:val="0"/>
          <w:position w:val="0"/>
          <w:sz w:val="24"/>
          <w:shd w:fill="FFFFFF" w:val="clear"/>
        </w:rPr>
        <w:t xml:space="preserve">.</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Creasey, R., 2013. Improving students’ employability. </w:t>
      </w:r>
      <w:r>
        <w:rPr>
          <w:rFonts w:ascii="Times New Roman" w:hAnsi="Times New Roman" w:cs="Times New Roman" w:eastAsia="Times New Roman"/>
          <w:i/>
          <w:color w:val="000000"/>
          <w:spacing w:val="0"/>
          <w:position w:val="0"/>
          <w:sz w:val="24"/>
          <w:shd w:fill="FFFFFF" w:val="clear"/>
        </w:rPr>
        <w:t xml:space="preserve">Engineering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(1), pp.16-30.</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Dwyer, K.K. and Davidson, M.M., 2012. Is public speaking really more feared than death?. </w:t>
      </w:r>
      <w:r>
        <w:rPr>
          <w:rFonts w:ascii="Times New Roman" w:hAnsi="Times New Roman" w:cs="Times New Roman" w:eastAsia="Times New Roman"/>
          <w:i/>
          <w:color w:val="000000"/>
          <w:spacing w:val="0"/>
          <w:position w:val="0"/>
          <w:sz w:val="24"/>
          <w:shd w:fill="FFFFFF" w:val="clear"/>
        </w:rPr>
        <w:t xml:space="preserve">Communication Research Reports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29</w:t>
      </w:r>
      <w:r>
        <w:rPr>
          <w:rFonts w:ascii="Times New Roman" w:hAnsi="Times New Roman" w:cs="Times New Roman" w:eastAsia="Times New Roman"/>
          <w:color w:val="000000"/>
          <w:spacing w:val="0"/>
          <w:position w:val="0"/>
          <w:sz w:val="24"/>
          <w:shd w:fill="FFFFFF" w:val="clear"/>
        </w:rPr>
        <w:t xml:space="preserve">(2), pp.99-107.</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Frankham, J., 2017. Employability and higher education: The follies of the ‘Productivity Challenge’in the Teaching Excellence Framework. </w:t>
      </w:r>
      <w:r>
        <w:rPr>
          <w:rFonts w:ascii="Times New Roman" w:hAnsi="Times New Roman" w:cs="Times New Roman" w:eastAsia="Times New Roman"/>
          <w:i/>
          <w:color w:val="000000"/>
          <w:spacing w:val="0"/>
          <w:position w:val="0"/>
          <w:sz w:val="24"/>
          <w:shd w:fill="FFFFFF" w:val="clear"/>
        </w:rPr>
        <w:t xml:space="preserve">Journal of Education Policy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32</w:t>
      </w:r>
      <w:r>
        <w:rPr>
          <w:rFonts w:ascii="Times New Roman" w:hAnsi="Times New Roman" w:cs="Times New Roman" w:eastAsia="Times New Roman"/>
          <w:color w:val="000000"/>
          <w:spacing w:val="0"/>
          <w:position w:val="0"/>
          <w:sz w:val="24"/>
          <w:shd w:fill="FFFFFF" w:val="clear"/>
        </w:rPr>
        <w:t xml:space="preserve">(5), pp.628-641.</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Graham, A., 2019. Benefits of online teaching for face-to-face teaching at historically black colleges and universities. </w:t>
      </w:r>
      <w:r>
        <w:rPr>
          <w:rFonts w:ascii="Times New Roman" w:hAnsi="Times New Roman" w:cs="Times New Roman" w:eastAsia="Times New Roman"/>
          <w:i/>
          <w:color w:val="000000"/>
          <w:spacing w:val="0"/>
          <w:position w:val="0"/>
          <w:sz w:val="24"/>
          <w:shd w:fill="FFFFFF" w:val="clear"/>
        </w:rPr>
        <w:t xml:space="preserve">Online Learning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23</w:t>
      </w:r>
      <w:r>
        <w:rPr>
          <w:rFonts w:ascii="Times New Roman" w:hAnsi="Times New Roman" w:cs="Times New Roman" w:eastAsia="Times New Roman"/>
          <w:color w:val="000000"/>
          <w:spacing w:val="0"/>
          <w:position w:val="0"/>
          <w:sz w:val="24"/>
          <w:shd w:fill="FFFFFF" w:val="clear"/>
        </w:rPr>
        <w:t xml:space="preserve">(1), 144-163.</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Helyer, R. and Lee, D., 2014. The role of work experience in the future employability of higher education graduates. </w:t>
      </w:r>
      <w:r>
        <w:rPr>
          <w:rFonts w:ascii="Times New Roman" w:hAnsi="Times New Roman" w:cs="Times New Roman" w:eastAsia="Times New Roman"/>
          <w:i/>
          <w:color w:val="000000"/>
          <w:spacing w:val="0"/>
          <w:position w:val="0"/>
          <w:sz w:val="24"/>
          <w:shd w:fill="FFFFFF" w:val="clear"/>
        </w:rPr>
        <w:t xml:space="preserve">Higher Education Quarterly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68</w:t>
      </w:r>
      <w:r>
        <w:rPr>
          <w:rFonts w:ascii="Times New Roman" w:hAnsi="Times New Roman" w:cs="Times New Roman" w:eastAsia="Times New Roman"/>
          <w:color w:val="000000"/>
          <w:spacing w:val="0"/>
          <w:position w:val="0"/>
          <w:sz w:val="24"/>
          <w:shd w:fill="FFFFFF" w:val="clear"/>
        </w:rPr>
        <w:t xml:space="preserve">(3), pp.348-372.</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Morris, T.H., 2019. Experiential learning</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a systematic review and revision of Kolb’s model. </w:t>
      </w:r>
      <w:r>
        <w:rPr>
          <w:rFonts w:ascii="Times New Roman" w:hAnsi="Times New Roman" w:cs="Times New Roman" w:eastAsia="Times New Roman"/>
          <w:i/>
          <w:color w:val="000000"/>
          <w:spacing w:val="0"/>
          <w:position w:val="0"/>
          <w:sz w:val="24"/>
          <w:shd w:fill="FFFFFF" w:val="clear"/>
        </w:rPr>
        <w:t xml:space="preserve">Interactive Learning Environments</w:t>
      </w:r>
      <w:r>
        <w:rPr>
          <w:rFonts w:ascii="Times New Roman" w:hAnsi="Times New Roman" w:cs="Times New Roman" w:eastAsia="Times New Roman"/>
          <w:color w:val="000000"/>
          <w:spacing w:val="0"/>
          <w:position w:val="0"/>
          <w:sz w:val="24"/>
          <w:shd w:fill="FFFFFF" w:val="clear"/>
        </w:rPr>
        <w:t xml:space="preserve">, pp.1-14.</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Nayak, S.G., 2019. Impact of Procrastination and Time-Management on Academic Stress among Undergraduate Nursing Students: A Cross Sectional Study. </w:t>
      </w:r>
      <w:r>
        <w:rPr>
          <w:rFonts w:ascii="Times New Roman" w:hAnsi="Times New Roman" w:cs="Times New Roman" w:eastAsia="Times New Roman"/>
          <w:i/>
          <w:color w:val="000000"/>
          <w:spacing w:val="0"/>
          <w:position w:val="0"/>
          <w:sz w:val="24"/>
          <w:shd w:fill="FFFFFF" w:val="clear"/>
        </w:rPr>
        <w:t xml:space="preserve">International Journal of Caring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(3).</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Rallison, S.P., 2015. What are Journals for?. </w:t>
      </w:r>
      <w:r>
        <w:rPr>
          <w:rFonts w:ascii="Times New Roman" w:hAnsi="Times New Roman" w:cs="Times New Roman" w:eastAsia="Times New Roman"/>
          <w:i/>
          <w:color w:val="000000"/>
          <w:spacing w:val="0"/>
          <w:position w:val="0"/>
          <w:sz w:val="24"/>
          <w:shd w:fill="FFFFFF" w:val="clear"/>
        </w:rPr>
        <w:t xml:space="preserve">The Annals of The Royal College of Surgeons of England</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97</w:t>
      </w:r>
      <w:r>
        <w:rPr>
          <w:rFonts w:ascii="Times New Roman" w:hAnsi="Times New Roman" w:cs="Times New Roman" w:eastAsia="Times New Roman"/>
          <w:color w:val="000000"/>
          <w:spacing w:val="0"/>
          <w:position w:val="0"/>
          <w:sz w:val="24"/>
          <w:shd w:fill="FFFFFF" w:val="clear"/>
        </w:rPr>
        <w:t xml:space="preserve">(2), pp.89-91.</w:t>
      </w:r>
    </w:p>
    <w:p>
      <w:pPr>
        <w:spacing w:before="0" w:after="0" w:line="480"/>
        <w:ind w:right="0" w:left="720" w:hanging="72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Wain, A., 2017. Learning through reflection. </w:t>
      </w:r>
      <w:r>
        <w:rPr>
          <w:rFonts w:ascii="Times New Roman" w:hAnsi="Times New Roman" w:cs="Times New Roman" w:eastAsia="Times New Roman"/>
          <w:i/>
          <w:color w:val="000000"/>
          <w:spacing w:val="0"/>
          <w:position w:val="0"/>
          <w:sz w:val="24"/>
          <w:shd w:fill="FFFFFF" w:val="clear"/>
        </w:rPr>
        <w:t xml:space="preserve">British Journal of Midwifery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25</w:t>
      </w:r>
      <w:r>
        <w:rPr>
          <w:rFonts w:ascii="Times New Roman" w:hAnsi="Times New Roman" w:cs="Times New Roman" w:eastAsia="Times New Roman"/>
          <w:color w:val="000000"/>
          <w:spacing w:val="0"/>
          <w:position w:val="0"/>
          <w:sz w:val="24"/>
          <w:shd w:fill="FFFFFF" w:val="clear"/>
        </w:rPr>
        <w:t xml:space="preserve">(10), pp.662-666.</w:t>
      </w:r>
    </w:p>
  </w:body>
</w:document>
</file>

<file path=word/numbering.xml><?xml version="1.0" encoding="utf-8"?>
<w:numbering xmlns:w="http://schemas.openxmlformats.org/wordprocessingml/2006/main">
  <w:abstractNum w:abstractNumId="0">
    <w:lvl w:ilvl="0">
      <w:start w:val="1"/>
      <w:numFmt w:val="bullet"/>
      <w:lvlText w:val="•"/>
    </w:lvl>
  </w:abstractNum>
  <w:num w:numId="2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