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4.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5.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6.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7.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8.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9.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10.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11.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2.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3.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4.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5.xml" ContentType="application/vnd.openxmlformats-officedocument.drawingml.chart+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133DB7" w14:textId="77777777" w:rsidR="00A5361F" w:rsidRPr="005329BD" w:rsidRDefault="00A5361F" w:rsidP="005329BD">
      <w:pPr>
        <w:spacing w:line="259" w:lineRule="auto"/>
        <w:jc w:val="center"/>
        <w:rPr>
          <w:b/>
          <w:sz w:val="56"/>
          <w:szCs w:val="56"/>
        </w:rPr>
      </w:pPr>
      <w:r w:rsidRPr="005329BD">
        <w:rPr>
          <w:b/>
          <w:sz w:val="56"/>
          <w:szCs w:val="56"/>
        </w:rPr>
        <w:t>University of Wales Trinity St David</w:t>
      </w:r>
    </w:p>
    <w:p w14:paraId="24336FB2" w14:textId="77777777" w:rsidR="00A5361F" w:rsidRPr="005329BD" w:rsidRDefault="00A5361F" w:rsidP="005329BD">
      <w:pPr>
        <w:spacing w:line="259" w:lineRule="auto"/>
        <w:jc w:val="center"/>
        <w:rPr>
          <w:b/>
          <w:sz w:val="56"/>
          <w:szCs w:val="56"/>
        </w:rPr>
      </w:pPr>
      <w:r w:rsidRPr="005329BD">
        <w:rPr>
          <w:b/>
          <w:sz w:val="56"/>
          <w:szCs w:val="56"/>
        </w:rPr>
        <w:t>School of Engineering</w:t>
      </w:r>
    </w:p>
    <w:p w14:paraId="6450CDD0" w14:textId="77777777" w:rsidR="00A5361F" w:rsidRDefault="00A5361F" w:rsidP="005329BD">
      <w:pPr>
        <w:spacing w:line="259" w:lineRule="auto"/>
        <w:jc w:val="center"/>
      </w:pPr>
    </w:p>
    <w:p w14:paraId="0AF48FB7" w14:textId="77777777" w:rsidR="00A5361F" w:rsidRDefault="00A5361F" w:rsidP="005329BD">
      <w:pPr>
        <w:spacing w:line="259" w:lineRule="auto"/>
        <w:jc w:val="center"/>
      </w:pPr>
    </w:p>
    <w:p w14:paraId="633A0937" w14:textId="77777777" w:rsidR="00A5361F" w:rsidRDefault="00A5361F" w:rsidP="005329BD">
      <w:pPr>
        <w:spacing w:line="259" w:lineRule="auto"/>
        <w:jc w:val="center"/>
      </w:pPr>
    </w:p>
    <w:p w14:paraId="4480637D" w14:textId="3C15CAA2" w:rsidR="00A5361F" w:rsidRPr="005329BD" w:rsidRDefault="001768B7" w:rsidP="005329BD">
      <w:pPr>
        <w:spacing w:line="259" w:lineRule="auto"/>
        <w:jc w:val="center"/>
        <w:rPr>
          <w:b/>
          <w:sz w:val="72"/>
          <w:szCs w:val="72"/>
        </w:rPr>
      </w:pPr>
      <w:r>
        <w:rPr>
          <w:b/>
          <w:sz w:val="72"/>
          <w:szCs w:val="72"/>
        </w:rPr>
        <w:t>Combustion Emissions, Calculations and Mapping for Efficiency</w:t>
      </w:r>
    </w:p>
    <w:p w14:paraId="0C758A74" w14:textId="77777777" w:rsidR="00A5361F" w:rsidRPr="005329BD" w:rsidRDefault="00A5361F" w:rsidP="005329BD">
      <w:pPr>
        <w:spacing w:line="259" w:lineRule="auto"/>
        <w:jc w:val="center"/>
        <w:rPr>
          <w:b/>
          <w:sz w:val="96"/>
          <w:szCs w:val="96"/>
        </w:rPr>
      </w:pPr>
    </w:p>
    <w:p w14:paraId="0A7D7DB3" w14:textId="77777777" w:rsidR="001768B7" w:rsidRDefault="001768B7" w:rsidP="005329BD">
      <w:pPr>
        <w:spacing w:line="259" w:lineRule="auto"/>
        <w:jc w:val="center"/>
        <w:rPr>
          <w:b/>
          <w:sz w:val="72"/>
          <w:szCs w:val="72"/>
        </w:rPr>
      </w:pPr>
      <w:r>
        <w:rPr>
          <w:b/>
          <w:sz w:val="72"/>
          <w:szCs w:val="72"/>
        </w:rPr>
        <w:t>Powertrain and Sustainability</w:t>
      </w:r>
    </w:p>
    <w:p w14:paraId="144D4807" w14:textId="76565C4E" w:rsidR="00A5361F" w:rsidRPr="005329BD" w:rsidRDefault="00A5361F" w:rsidP="005329BD">
      <w:pPr>
        <w:spacing w:line="259" w:lineRule="auto"/>
        <w:jc w:val="center"/>
        <w:rPr>
          <w:b/>
          <w:sz w:val="72"/>
          <w:szCs w:val="72"/>
        </w:rPr>
      </w:pPr>
      <w:r w:rsidRPr="005329BD">
        <w:rPr>
          <w:b/>
          <w:sz w:val="72"/>
          <w:szCs w:val="72"/>
        </w:rPr>
        <w:t xml:space="preserve"> M</w:t>
      </w:r>
      <w:r w:rsidR="001768B7">
        <w:rPr>
          <w:b/>
          <w:sz w:val="72"/>
          <w:szCs w:val="72"/>
        </w:rPr>
        <w:t>3</w:t>
      </w:r>
      <w:r w:rsidRPr="005329BD">
        <w:rPr>
          <w:b/>
          <w:sz w:val="72"/>
          <w:szCs w:val="72"/>
        </w:rPr>
        <w:t>X</w:t>
      </w:r>
      <w:r w:rsidR="001768B7">
        <w:rPr>
          <w:b/>
          <w:sz w:val="72"/>
          <w:szCs w:val="72"/>
        </w:rPr>
        <w:t>8824</w:t>
      </w:r>
    </w:p>
    <w:p w14:paraId="73D0FDBF" w14:textId="77777777" w:rsidR="00A5361F" w:rsidRDefault="00A5361F" w:rsidP="005329BD">
      <w:pPr>
        <w:spacing w:line="259" w:lineRule="auto"/>
        <w:jc w:val="center"/>
        <w:rPr>
          <w:sz w:val="52"/>
          <w:szCs w:val="52"/>
        </w:rPr>
      </w:pPr>
    </w:p>
    <w:p w14:paraId="33A373FC" w14:textId="77777777" w:rsidR="005329BD" w:rsidRDefault="005329BD" w:rsidP="005329BD">
      <w:pPr>
        <w:spacing w:line="259" w:lineRule="auto"/>
        <w:jc w:val="center"/>
        <w:rPr>
          <w:sz w:val="52"/>
          <w:szCs w:val="52"/>
        </w:rPr>
      </w:pPr>
    </w:p>
    <w:p w14:paraId="20A55E18" w14:textId="6B19903A" w:rsidR="005329BD" w:rsidRDefault="005329BD" w:rsidP="005329BD">
      <w:pPr>
        <w:spacing w:line="259" w:lineRule="auto"/>
        <w:jc w:val="center"/>
        <w:rPr>
          <w:sz w:val="52"/>
          <w:szCs w:val="52"/>
        </w:rPr>
      </w:pPr>
    </w:p>
    <w:p w14:paraId="03178681" w14:textId="3C5F4A21" w:rsidR="005329BD" w:rsidRPr="005329BD" w:rsidRDefault="001768B7" w:rsidP="005329BD">
      <w:pPr>
        <w:spacing w:line="259" w:lineRule="auto"/>
        <w:jc w:val="center"/>
        <w:rPr>
          <w:b/>
          <w:sz w:val="44"/>
          <w:szCs w:val="44"/>
        </w:rPr>
      </w:pPr>
      <w:r>
        <w:rPr>
          <w:b/>
          <w:sz w:val="44"/>
          <w:szCs w:val="44"/>
        </w:rPr>
        <w:t>P</w:t>
      </w:r>
      <w:r w:rsidR="00A5361F" w:rsidRPr="005329BD">
        <w:rPr>
          <w:b/>
          <w:sz w:val="44"/>
          <w:szCs w:val="44"/>
        </w:rPr>
        <w:t>hillip Bristow P144394</w:t>
      </w:r>
    </w:p>
    <w:p w14:paraId="24A0F51E" w14:textId="5B7EB501" w:rsidR="00A5361F" w:rsidRPr="005329BD" w:rsidRDefault="001768B7" w:rsidP="005329BD">
      <w:pPr>
        <w:spacing w:line="259" w:lineRule="auto"/>
        <w:jc w:val="center"/>
        <w:rPr>
          <w:b/>
          <w:sz w:val="52"/>
          <w:szCs w:val="52"/>
        </w:rPr>
      </w:pPr>
      <w:r>
        <w:rPr>
          <w:b/>
          <w:sz w:val="52"/>
          <w:szCs w:val="52"/>
        </w:rPr>
        <w:t>11</w:t>
      </w:r>
      <w:r w:rsidR="005329BD" w:rsidRPr="005329BD">
        <w:rPr>
          <w:b/>
          <w:sz w:val="52"/>
          <w:szCs w:val="52"/>
        </w:rPr>
        <w:t>/</w:t>
      </w:r>
      <w:r>
        <w:rPr>
          <w:b/>
          <w:sz w:val="52"/>
          <w:szCs w:val="52"/>
        </w:rPr>
        <w:t>01</w:t>
      </w:r>
      <w:r w:rsidR="005329BD" w:rsidRPr="005329BD">
        <w:rPr>
          <w:b/>
          <w:sz w:val="52"/>
          <w:szCs w:val="52"/>
        </w:rPr>
        <w:t>/201</w:t>
      </w:r>
      <w:r>
        <w:rPr>
          <w:b/>
          <w:sz w:val="52"/>
          <w:szCs w:val="52"/>
        </w:rPr>
        <w:t>8</w:t>
      </w:r>
    </w:p>
    <w:p w14:paraId="4DE83B04" w14:textId="77777777" w:rsidR="00A5361F" w:rsidRDefault="00A5361F" w:rsidP="005329BD">
      <w:pPr>
        <w:spacing w:line="259" w:lineRule="auto"/>
        <w:jc w:val="center"/>
        <w:rPr>
          <w:u w:val="single"/>
        </w:rPr>
      </w:pPr>
    </w:p>
    <w:sdt>
      <w:sdtPr>
        <w:rPr>
          <w:rFonts w:ascii="Times New Roman" w:eastAsiaTheme="minorHAnsi" w:hAnsi="Times New Roman" w:cstheme="minorBidi"/>
          <w:color w:val="auto"/>
          <w:sz w:val="22"/>
          <w:szCs w:val="22"/>
          <w:lang w:val="en-GB"/>
        </w:rPr>
        <w:id w:val="-691451474"/>
        <w:docPartObj>
          <w:docPartGallery w:val="Table of Contents"/>
          <w:docPartUnique/>
        </w:docPartObj>
      </w:sdtPr>
      <w:sdtEndPr>
        <w:rPr>
          <w:b/>
          <w:bCs/>
          <w:noProof/>
        </w:rPr>
      </w:sdtEndPr>
      <w:sdtContent>
        <w:p w14:paraId="612CEE5B" w14:textId="77777777" w:rsidR="00A5361F" w:rsidRPr="00C06824" w:rsidRDefault="00A5361F">
          <w:pPr>
            <w:pStyle w:val="TOCHeading"/>
            <w:rPr>
              <w:rStyle w:val="Heading1Char"/>
            </w:rPr>
          </w:pPr>
          <w:r w:rsidRPr="00C06824">
            <w:rPr>
              <w:rStyle w:val="Heading1Char"/>
            </w:rPr>
            <w:t>Contents</w:t>
          </w:r>
          <w:bookmarkStart w:id="0" w:name="_GoBack"/>
          <w:bookmarkEnd w:id="0"/>
        </w:p>
        <w:p w14:paraId="1EB8C9FB" w14:textId="39CD0988" w:rsidR="004E0ADF" w:rsidRDefault="00A5361F">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503445918" w:history="1">
            <w:r w:rsidR="004E0ADF" w:rsidRPr="00EC181D">
              <w:rPr>
                <w:rStyle w:val="Hyperlink"/>
                <w:noProof/>
              </w:rPr>
              <w:t>1</w:t>
            </w:r>
            <w:r w:rsidR="004E0ADF">
              <w:rPr>
                <w:rFonts w:asciiTheme="minorHAnsi" w:eastAsiaTheme="minorEastAsia" w:hAnsiTheme="minorHAnsi"/>
                <w:noProof/>
                <w:lang w:eastAsia="en-GB"/>
              </w:rPr>
              <w:tab/>
            </w:r>
            <w:r w:rsidR="004E0ADF" w:rsidRPr="00EC181D">
              <w:rPr>
                <w:rStyle w:val="Hyperlink"/>
                <w:noProof/>
              </w:rPr>
              <w:t>Table of Figures</w:t>
            </w:r>
            <w:r w:rsidR="004E0ADF">
              <w:rPr>
                <w:noProof/>
                <w:webHidden/>
              </w:rPr>
              <w:tab/>
            </w:r>
            <w:r w:rsidR="004E0ADF">
              <w:rPr>
                <w:noProof/>
                <w:webHidden/>
              </w:rPr>
              <w:fldChar w:fldCharType="begin"/>
            </w:r>
            <w:r w:rsidR="004E0ADF">
              <w:rPr>
                <w:noProof/>
                <w:webHidden/>
              </w:rPr>
              <w:instrText xml:space="preserve"> PAGEREF _Toc503445918 \h </w:instrText>
            </w:r>
            <w:r w:rsidR="004E0ADF">
              <w:rPr>
                <w:noProof/>
                <w:webHidden/>
              </w:rPr>
            </w:r>
            <w:r w:rsidR="004E0ADF">
              <w:rPr>
                <w:noProof/>
                <w:webHidden/>
              </w:rPr>
              <w:fldChar w:fldCharType="separate"/>
            </w:r>
            <w:r w:rsidR="004E0ADF">
              <w:rPr>
                <w:noProof/>
                <w:webHidden/>
              </w:rPr>
              <w:t>5</w:t>
            </w:r>
            <w:r w:rsidR="004E0ADF">
              <w:rPr>
                <w:noProof/>
                <w:webHidden/>
              </w:rPr>
              <w:fldChar w:fldCharType="end"/>
            </w:r>
          </w:hyperlink>
        </w:p>
        <w:p w14:paraId="322965C5" w14:textId="6E8C0523" w:rsidR="004E0ADF" w:rsidRDefault="004E0ADF">
          <w:pPr>
            <w:pStyle w:val="TOC1"/>
            <w:tabs>
              <w:tab w:val="left" w:pos="440"/>
              <w:tab w:val="right" w:leader="dot" w:pos="9016"/>
            </w:tabs>
            <w:rPr>
              <w:rFonts w:asciiTheme="minorHAnsi" w:eastAsiaTheme="minorEastAsia" w:hAnsiTheme="minorHAnsi"/>
              <w:noProof/>
              <w:lang w:eastAsia="en-GB"/>
            </w:rPr>
          </w:pPr>
          <w:hyperlink w:anchor="_Toc503445919" w:history="1">
            <w:r w:rsidRPr="00EC181D">
              <w:rPr>
                <w:rStyle w:val="Hyperlink"/>
                <w:noProof/>
              </w:rPr>
              <w:t>2</w:t>
            </w:r>
            <w:r>
              <w:rPr>
                <w:rFonts w:asciiTheme="minorHAnsi" w:eastAsiaTheme="minorEastAsia" w:hAnsiTheme="minorHAnsi"/>
                <w:noProof/>
                <w:lang w:eastAsia="en-GB"/>
              </w:rPr>
              <w:tab/>
            </w:r>
            <w:r w:rsidRPr="00EC181D">
              <w:rPr>
                <w:rStyle w:val="Hyperlink"/>
                <w:noProof/>
              </w:rPr>
              <w:t>Introduction</w:t>
            </w:r>
            <w:r>
              <w:rPr>
                <w:noProof/>
                <w:webHidden/>
              </w:rPr>
              <w:tab/>
            </w:r>
            <w:r>
              <w:rPr>
                <w:noProof/>
                <w:webHidden/>
              </w:rPr>
              <w:fldChar w:fldCharType="begin"/>
            </w:r>
            <w:r>
              <w:rPr>
                <w:noProof/>
                <w:webHidden/>
              </w:rPr>
              <w:instrText xml:space="preserve"> PAGEREF _Toc503445919 \h </w:instrText>
            </w:r>
            <w:r>
              <w:rPr>
                <w:noProof/>
                <w:webHidden/>
              </w:rPr>
            </w:r>
            <w:r>
              <w:rPr>
                <w:noProof/>
                <w:webHidden/>
              </w:rPr>
              <w:fldChar w:fldCharType="separate"/>
            </w:r>
            <w:r>
              <w:rPr>
                <w:noProof/>
                <w:webHidden/>
              </w:rPr>
              <w:t>i</w:t>
            </w:r>
            <w:r>
              <w:rPr>
                <w:noProof/>
                <w:webHidden/>
              </w:rPr>
              <w:fldChar w:fldCharType="end"/>
            </w:r>
          </w:hyperlink>
        </w:p>
        <w:p w14:paraId="79320A42" w14:textId="5578CBF9" w:rsidR="004E0ADF" w:rsidRDefault="004E0ADF">
          <w:pPr>
            <w:pStyle w:val="TOC2"/>
            <w:tabs>
              <w:tab w:val="left" w:pos="880"/>
              <w:tab w:val="right" w:leader="dot" w:pos="9016"/>
            </w:tabs>
            <w:rPr>
              <w:rFonts w:asciiTheme="minorHAnsi" w:eastAsiaTheme="minorEastAsia" w:hAnsiTheme="minorHAnsi"/>
              <w:noProof/>
              <w:lang w:eastAsia="en-GB"/>
            </w:rPr>
          </w:pPr>
          <w:hyperlink w:anchor="_Toc503445920" w:history="1">
            <w:r w:rsidRPr="00EC181D">
              <w:rPr>
                <w:rStyle w:val="Hyperlink"/>
                <w:noProof/>
              </w:rPr>
              <w:t>2.1</w:t>
            </w:r>
            <w:r>
              <w:rPr>
                <w:rFonts w:asciiTheme="minorHAnsi" w:eastAsiaTheme="minorEastAsia" w:hAnsiTheme="minorHAnsi"/>
                <w:noProof/>
                <w:lang w:eastAsia="en-GB"/>
              </w:rPr>
              <w:tab/>
            </w:r>
            <w:r w:rsidRPr="00EC181D">
              <w:rPr>
                <w:rStyle w:val="Hyperlink"/>
                <w:noProof/>
              </w:rPr>
              <w:t>Aim</w:t>
            </w:r>
            <w:r>
              <w:rPr>
                <w:noProof/>
                <w:webHidden/>
              </w:rPr>
              <w:tab/>
            </w:r>
            <w:r>
              <w:rPr>
                <w:noProof/>
                <w:webHidden/>
              </w:rPr>
              <w:fldChar w:fldCharType="begin"/>
            </w:r>
            <w:r>
              <w:rPr>
                <w:noProof/>
                <w:webHidden/>
              </w:rPr>
              <w:instrText xml:space="preserve"> PAGEREF _Toc503445920 \h </w:instrText>
            </w:r>
            <w:r>
              <w:rPr>
                <w:noProof/>
                <w:webHidden/>
              </w:rPr>
            </w:r>
            <w:r>
              <w:rPr>
                <w:noProof/>
                <w:webHidden/>
              </w:rPr>
              <w:fldChar w:fldCharType="separate"/>
            </w:r>
            <w:r>
              <w:rPr>
                <w:noProof/>
                <w:webHidden/>
              </w:rPr>
              <w:t>i</w:t>
            </w:r>
            <w:r>
              <w:rPr>
                <w:noProof/>
                <w:webHidden/>
              </w:rPr>
              <w:fldChar w:fldCharType="end"/>
            </w:r>
          </w:hyperlink>
        </w:p>
        <w:p w14:paraId="0FC08210" w14:textId="40D3831E" w:rsidR="004E0ADF" w:rsidRDefault="004E0ADF">
          <w:pPr>
            <w:pStyle w:val="TOC2"/>
            <w:tabs>
              <w:tab w:val="left" w:pos="880"/>
              <w:tab w:val="right" w:leader="dot" w:pos="9016"/>
            </w:tabs>
            <w:rPr>
              <w:rFonts w:asciiTheme="minorHAnsi" w:eastAsiaTheme="minorEastAsia" w:hAnsiTheme="minorHAnsi"/>
              <w:noProof/>
              <w:lang w:eastAsia="en-GB"/>
            </w:rPr>
          </w:pPr>
          <w:hyperlink w:anchor="_Toc503445921" w:history="1">
            <w:r w:rsidRPr="00EC181D">
              <w:rPr>
                <w:rStyle w:val="Hyperlink"/>
                <w:noProof/>
              </w:rPr>
              <w:t>2.2</w:t>
            </w:r>
            <w:r>
              <w:rPr>
                <w:rFonts w:asciiTheme="minorHAnsi" w:eastAsiaTheme="minorEastAsia" w:hAnsiTheme="minorHAnsi"/>
                <w:noProof/>
                <w:lang w:eastAsia="en-GB"/>
              </w:rPr>
              <w:tab/>
            </w:r>
            <w:r w:rsidRPr="00EC181D">
              <w:rPr>
                <w:rStyle w:val="Hyperlink"/>
                <w:noProof/>
              </w:rPr>
              <w:t>Assumptions</w:t>
            </w:r>
            <w:r>
              <w:rPr>
                <w:noProof/>
                <w:webHidden/>
              </w:rPr>
              <w:tab/>
            </w:r>
            <w:r>
              <w:rPr>
                <w:noProof/>
                <w:webHidden/>
              </w:rPr>
              <w:fldChar w:fldCharType="begin"/>
            </w:r>
            <w:r>
              <w:rPr>
                <w:noProof/>
                <w:webHidden/>
              </w:rPr>
              <w:instrText xml:space="preserve"> PAGEREF _Toc503445921 \h </w:instrText>
            </w:r>
            <w:r>
              <w:rPr>
                <w:noProof/>
                <w:webHidden/>
              </w:rPr>
            </w:r>
            <w:r>
              <w:rPr>
                <w:noProof/>
                <w:webHidden/>
              </w:rPr>
              <w:fldChar w:fldCharType="separate"/>
            </w:r>
            <w:r>
              <w:rPr>
                <w:noProof/>
                <w:webHidden/>
              </w:rPr>
              <w:t>i</w:t>
            </w:r>
            <w:r>
              <w:rPr>
                <w:noProof/>
                <w:webHidden/>
              </w:rPr>
              <w:fldChar w:fldCharType="end"/>
            </w:r>
          </w:hyperlink>
        </w:p>
        <w:p w14:paraId="674A4B7E" w14:textId="49A48829" w:rsidR="004E0ADF" w:rsidRDefault="004E0ADF">
          <w:pPr>
            <w:pStyle w:val="TOC2"/>
            <w:tabs>
              <w:tab w:val="left" w:pos="880"/>
              <w:tab w:val="right" w:leader="dot" w:pos="9016"/>
            </w:tabs>
            <w:rPr>
              <w:rFonts w:asciiTheme="minorHAnsi" w:eastAsiaTheme="minorEastAsia" w:hAnsiTheme="minorHAnsi"/>
              <w:noProof/>
              <w:lang w:eastAsia="en-GB"/>
            </w:rPr>
          </w:pPr>
          <w:hyperlink w:anchor="_Toc503445922" w:history="1">
            <w:r w:rsidRPr="00EC181D">
              <w:rPr>
                <w:rStyle w:val="Hyperlink"/>
                <w:noProof/>
              </w:rPr>
              <w:t>2.3</w:t>
            </w:r>
            <w:r>
              <w:rPr>
                <w:rFonts w:asciiTheme="minorHAnsi" w:eastAsiaTheme="minorEastAsia" w:hAnsiTheme="minorHAnsi"/>
                <w:noProof/>
                <w:lang w:eastAsia="en-GB"/>
              </w:rPr>
              <w:tab/>
            </w:r>
            <w:r w:rsidRPr="00EC181D">
              <w:rPr>
                <w:rStyle w:val="Hyperlink"/>
                <w:noProof/>
              </w:rPr>
              <w:t>Boundary Conditions</w:t>
            </w:r>
            <w:r>
              <w:rPr>
                <w:noProof/>
                <w:webHidden/>
              </w:rPr>
              <w:tab/>
            </w:r>
            <w:r>
              <w:rPr>
                <w:noProof/>
                <w:webHidden/>
              </w:rPr>
              <w:fldChar w:fldCharType="begin"/>
            </w:r>
            <w:r>
              <w:rPr>
                <w:noProof/>
                <w:webHidden/>
              </w:rPr>
              <w:instrText xml:space="preserve"> PAGEREF _Toc503445922 \h </w:instrText>
            </w:r>
            <w:r>
              <w:rPr>
                <w:noProof/>
                <w:webHidden/>
              </w:rPr>
            </w:r>
            <w:r>
              <w:rPr>
                <w:noProof/>
                <w:webHidden/>
              </w:rPr>
              <w:fldChar w:fldCharType="separate"/>
            </w:r>
            <w:r>
              <w:rPr>
                <w:noProof/>
                <w:webHidden/>
              </w:rPr>
              <w:t>ii</w:t>
            </w:r>
            <w:r>
              <w:rPr>
                <w:noProof/>
                <w:webHidden/>
              </w:rPr>
              <w:fldChar w:fldCharType="end"/>
            </w:r>
          </w:hyperlink>
        </w:p>
        <w:p w14:paraId="283F1D02" w14:textId="0DB66DB8" w:rsidR="004E0ADF" w:rsidRDefault="004E0ADF">
          <w:pPr>
            <w:pStyle w:val="TOC1"/>
            <w:tabs>
              <w:tab w:val="left" w:pos="440"/>
              <w:tab w:val="right" w:leader="dot" w:pos="9016"/>
            </w:tabs>
            <w:rPr>
              <w:rFonts w:asciiTheme="minorHAnsi" w:eastAsiaTheme="minorEastAsia" w:hAnsiTheme="minorHAnsi"/>
              <w:noProof/>
              <w:lang w:eastAsia="en-GB"/>
            </w:rPr>
          </w:pPr>
          <w:hyperlink w:anchor="_Toc503445923" w:history="1">
            <w:r w:rsidRPr="00EC181D">
              <w:rPr>
                <w:rStyle w:val="Hyperlink"/>
                <w:noProof/>
              </w:rPr>
              <w:t>3</w:t>
            </w:r>
            <w:r>
              <w:rPr>
                <w:rFonts w:asciiTheme="minorHAnsi" w:eastAsiaTheme="minorEastAsia" w:hAnsiTheme="minorHAnsi"/>
                <w:noProof/>
                <w:lang w:eastAsia="en-GB"/>
              </w:rPr>
              <w:tab/>
            </w:r>
            <w:r w:rsidRPr="00EC181D">
              <w:rPr>
                <w:rStyle w:val="Hyperlink"/>
                <w:noProof/>
              </w:rPr>
              <w:t>Reactant and Product Quantities</w:t>
            </w:r>
            <w:r>
              <w:rPr>
                <w:noProof/>
                <w:webHidden/>
              </w:rPr>
              <w:tab/>
            </w:r>
            <w:r>
              <w:rPr>
                <w:noProof/>
                <w:webHidden/>
              </w:rPr>
              <w:fldChar w:fldCharType="begin"/>
            </w:r>
            <w:r>
              <w:rPr>
                <w:noProof/>
                <w:webHidden/>
              </w:rPr>
              <w:instrText xml:space="preserve"> PAGEREF _Toc503445923 \h </w:instrText>
            </w:r>
            <w:r>
              <w:rPr>
                <w:noProof/>
                <w:webHidden/>
              </w:rPr>
            </w:r>
            <w:r>
              <w:rPr>
                <w:noProof/>
                <w:webHidden/>
              </w:rPr>
              <w:fldChar w:fldCharType="separate"/>
            </w:r>
            <w:r>
              <w:rPr>
                <w:noProof/>
                <w:webHidden/>
              </w:rPr>
              <w:t>iii</w:t>
            </w:r>
            <w:r>
              <w:rPr>
                <w:noProof/>
                <w:webHidden/>
              </w:rPr>
              <w:fldChar w:fldCharType="end"/>
            </w:r>
          </w:hyperlink>
        </w:p>
        <w:p w14:paraId="18488F59" w14:textId="407B65CF" w:rsidR="004E0ADF" w:rsidRDefault="004E0ADF">
          <w:pPr>
            <w:pStyle w:val="TOC2"/>
            <w:tabs>
              <w:tab w:val="left" w:pos="880"/>
              <w:tab w:val="right" w:leader="dot" w:pos="9016"/>
            </w:tabs>
            <w:rPr>
              <w:rFonts w:asciiTheme="minorHAnsi" w:eastAsiaTheme="minorEastAsia" w:hAnsiTheme="minorHAnsi"/>
              <w:noProof/>
              <w:lang w:eastAsia="en-GB"/>
            </w:rPr>
          </w:pPr>
          <w:hyperlink w:anchor="_Toc503445924" w:history="1">
            <w:r w:rsidRPr="00EC181D">
              <w:rPr>
                <w:rStyle w:val="Hyperlink"/>
                <w:noProof/>
              </w:rPr>
              <w:t>3.1</w:t>
            </w:r>
            <w:r>
              <w:rPr>
                <w:rFonts w:asciiTheme="minorHAnsi" w:eastAsiaTheme="minorEastAsia" w:hAnsiTheme="minorHAnsi"/>
                <w:noProof/>
                <w:lang w:eastAsia="en-GB"/>
              </w:rPr>
              <w:tab/>
            </w:r>
            <w:r w:rsidRPr="00EC181D">
              <w:rPr>
                <w:rStyle w:val="Hyperlink"/>
                <w:noProof/>
              </w:rPr>
              <w:t>Method</w:t>
            </w:r>
            <w:r>
              <w:rPr>
                <w:noProof/>
                <w:webHidden/>
              </w:rPr>
              <w:tab/>
            </w:r>
            <w:r>
              <w:rPr>
                <w:noProof/>
                <w:webHidden/>
              </w:rPr>
              <w:fldChar w:fldCharType="begin"/>
            </w:r>
            <w:r>
              <w:rPr>
                <w:noProof/>
                <w:webHidden/>
              </w:rPr>
              <w:instrText xml:space="preserve"> PAGEREF _Toc503445924 \h </w:instrText>
            </w:r>
            <w:r>
              <w:rPr>
                <w:noProof/>
                <w:webHidden/>
              </w:rPr>
            </w:r>
            <w:r>
              <w:rPr>
                <w:noProof/>
                <w:webHidden/>
              </w:rPr>
              <w:fldChar w:fldCharType="separate"/>
            </w:r>
            <w:r>
              <w:rPr>
                <w:noProof/>
                <w:webHidden/>
              </w:rPr>
              <w:t>iii</w:t>
            </w:r>
            <w:r>
              <w:rPr>
                <w:noProof/>
                <w:webHidden/>
              </w:rPr>
              <w:fldChar w:fldCharType="end"/>
            </w:r>
          </w:hyperlink>
        </w:p>
        <w:p w14:paraId="32B016F5" w14:textId="56DE3E5F" w:rsidR="004E0ADF" w:rsidRDefault="004E0ADF">
          <w:pPr>
            <w:pStyle w:val="TOC2"/>
            <w:tabs>
              <w:tab w:val="left" w:pos="880"/>
              <w:tab w:val="right" w:leader="dot" w:pos="9016"/>
            </w:tabs>
            <w:rPr>
              <w:rFonts w:asciiTheme="minorHAnsi" w:eastAsiaTheme="minorEastAsia" w:hAnsiTheme="minorHAnsi"/>
              <w:noProof/>
              <w:lang w:eastAsia="en-GB"/>
            </w:rPr>
          </w:pPr>
          <w:hyperlink w:anchor="_Toc503445925" w:history="1">
            <w:r w:rsidRPr="00EC181D">
              <w:rPr>
                <w:rStyle w:val="Hyperlink"/>
                <w:noProof/>
              </w:rPr>
              <w:t>3.2</w:t>
            </w:r>
            <w:r>
              <w:rPr>
                <w:rFonts w:asciiTheme="minorHAnsi" w:eastAsiaTheme="minorEastAsia" w:hAnsiTheme="minorHAnsi"/>
                <w:noProof/>
                <w:lang w:eastAsia="en-GB"/>
              </w:rPr>
              <w:tab/>
            </w:r>
            <w:r w:rsidRPr="00EC181D">
              <w:rPr>
                <w:rStyle w:val="Hyperlink"/>
                <w:noProof/>
              </w:rPr>
              <w:t>Results</w:t>
            </w:r>
            <w:r>
              <w:rPr>
                <w:noProof/>
                <w:webHidden/>
              </w:rPr>
              <w:tab/>
            </w:r>
            <w:r>
              <w:rPr>
                <w:noProof/>
                <w:webHidden/>
              </w:rPr>
              <w:fldChar w:fldCharType="begin"/>
            </w:r>
            <w:r>
              <w:rPr>
                <w:noProof/>
                <w:webHidden/>
              </w:rPr>
              <w:instrText xml:space="preserve"> PAGEREF _Toc503445925 \h </w:instrText>
            </w:r>
            <w:r>
              <w:rPr>
                <w:noProof/>
                <w:webHidden/>
              </w:rPr>
            </w:r>
            <w:r>
              <w:rPr>
                <w:noProof/>
                <w:webHidden/>
              </w:rPr>
              <w:fldChar w:fldCharType="separate"/>
            </w:r>
            <w:r>
              <w:rPr>
                <w:noProof/>
                <w:webHidden/>
              </w:rPr>
              <w:t>iii</w:t>
            </w:r>
            <w:r>
              <w:rPr>
                <w:noProof/>
                <w:webHidden/>
              </w:rPr>
              <w:fldChar w:fldCharType="end"/>
            </w:r>
          </w:hyperlink>
        </w:p>
        <w:p w14:paraId="286D95BD" w14:textId="2CC16990" w:rsidR="004E0ADF" w:rsidRDefault="004E0ADF">
          <w:pPr>
            <w:pStyle w:val="TOC2"/>
            <w:tabs>
              <w:tab w:val="left" w:pos="880"/>
              <w:tab w:val="right" w:leader="dot" w:pos="9016"/>
            </w:tabs>
            <w:rPr>
              <w:rFonts w:asciiTheme="minorHAnsi" w:eastAsiaTheme="minorEastAsia" w:hAnsiTheme="minorHAnsi"/>
              <w:noProof/>
              <w:lang w:eastAsia="en-GB"/>
            </w:rPr>
          </w:pPr>
          <w:hyperlink w:anchor="_Toc503445926" w:history="1">
            <w:r w:rsidRPr="00EC181D">
              <w:rPr>
                <w:rStyle w:val="Hyperlink"/>
                <w:noProof/>
              </w:rPr>
              <w:t>3.3</w:t>
            </w:r>
            <w:r>
              <w:rPr>
                <w:rFonts w:asciiTheme="minorHAnsi" w:eastAsiaTheme="minorEastAsia" w:hAnsiTheme="minorHAnsi"/>
                <w:noProof/>
                <w:lang w:eastAsia="en-GB"/>
              </w:rPr>
              <w:tab/>
            </w:r>
            <w:r w:rsidRPr="00EC181D">
              <w:rPr>
                <w:rStyle w:val="Hyperlink"/>
                <w:noProof/>
              </w:rPr>
              <w:t>Analysis</w:t>
            </w:r>
            <w:r>
              <w:rPr>
                <w:noProof/>
                <w:webHidden/>
              </w:rPr>
              <w:tab/>
            </w:r>
            <w:r>
              <w:rPr>
                <w:noProof/>
                <w:webHidden/>
              </w:rPr>
              <w:fldChar w:fldCharType="begin"/>
            </w:r>
            <w:r>
              <w:rPr>
                <w:noProof/>
                <w:webHidden/>
              </w:rPr>
              <w:instrText xml:space="preserve"> PAGEREF _Toc503445926 \h </w:instrText>
            </w:r>
            <w:r>
              <w:rPr>
                <w:noProof/>
                <w:webHidden/>
              </w:rPr>
            </w:r>
            <w:r>
              <w:rPr>
                <w:noProof/>
                <w:webHidden/>
              </w:rPr>
              <w:fldChar w:fldCharType="separate"/>
            </w:r>
            <w:r>
              <w:rPr>
                <w:noProof/>
                <w:webHidden/>
              </w:rPr>
              <w:t>iv</w:t>
            </w:r>
            <w:r>
              <w:rPr>
                <w:noProof/>
                <w:webHidden/>
              </w:rPr>
              <w:fldChar w:fldCharType="end"/>
            </w:r>
          </w:hyperlink>
        </w:p>
        <w:p w14:paraId="0F163A3F" w14:textId="11EDE937" w:rsidR="004E0ADF" w:rsidRDefault="004E0ADF">
          <w:pPr>
            <w:pStyle w:val="TOC1"/>
            <w:tabs>
              <w:tab w:val="left" w:pos="440"/>
              <w:tab w:val="right" w:leader="dot" w:pos="9016"/>
            </w:tabs>
            <w:rPr>
              <w:rFonts w:asciiTheme="minorHAnsi" w:eastAsiaTheme="minorEastAsia" w:hAnsiTheme="minorHAnsi"/>
              <w:noProof/>
              <w:lang w:eastAsia="en-GB"/>
            </w:rPr>
          </w:pPr>
          <w:hyperlink w:anchor="_Toc503445927" w:history="1">
            <w:r w:rsidRPr="00EC181D">
              <w:rPr>
                <w:rStyle w:val="Hyperlink"/>
                <w:noProof/>
              </w:rPr>
              <w:t>4</w:t>
            </w:r>
            <w:r>
              <w:rPr>
                <w:rFonts w:asciiTheme="minorHAnsi" w:eastAsiaTheme="minorEastAsia" w:hAnsiTheme="minorHAnsi"/>
                <w:noProof/>
                <w:lang w:eastAsia="en-GB"/>
              </w:rPr>
              <w:tab/>
            </w:r>
            <w:r w:rsidRPr="00EC181D">
              <w:rPr>
                <w:rStyle w:val="Hyperlink"/>
                <w:noProof/>
              </w:rPr>
              <w:t>Number of Reactant and Product Kmols</w:t>
            </w:r>
            <w:r>
              <w:rPr>
                <w:noProof/>
                <w:webHidden/>
              </w:rPr>
              <w:tab/>
            </w:r>
            <w:r>
              <w:rPr>
                <w:noProof/>
                <w:webHidden/>
              </w:rPr>
              <w:fldChar w:fldCharType="begin"/>
            </w:r>
            <w:r>
              <w:rPr>
                <w:noProof/>
                <w:webHidden/>
              </w:rPr>
              <w:instrText xml:space="preserve"> PAGEREF _Toc503445927 \h </w:instrText>
            </w:r>
            <w:r>
              <w:rPr>
                <w:noProof/>
                <w:webHidden/>
              </w:rPr>
            </w:r>
            <w:r>
              <w:rPr>
                <w:noProof/>
                <w:webHidden/>
              </w:rPr>
              <w:fldChar w:fldCharType="separate"/>
            </w:r>
            <w:r>
              <w:rPr>
                <w:noProof/>
                <w:webHidden/>
              </w:rPr>
              <w:t>v</w:t>
            </w:r>
            <w:r>
              <w:rPr>
                <w:noProof/>
                <w:webHidden/>
              </w:rPr>
              <w:fldChar w:fldCharType="end"/>
            </w:r>
          </w:hyperlink>
        </w:p>
        <w:p w14:paraId="62C53A68" w14:textId="64458CC5" w:rsidR="004E0ADF" w:rsidRDefault="004E0ADF">
          <w:pPr>
            <w:pStyle w:val="TOC2"/>
            <w:tabs>
              <w:tab w:val="left" w:pos="880"/>
              <w:tab w:val="right" w:leader="dot" w:pos="9016"/>
            </w:tabs>
            <w:rPr>
              <w:rFonts w:asciiTheme="minorHAnsi" w:eastAsiaTheme="minorEastAsia" w:hAnsiTheme="minorHAnsi"/>
              <w:noProof/>
              <w:lang w:eastAsia="en-GB"/>
            </w:rPr>
          </w:pPr>
          <w:hyperlink w:anchor="_Toc503445928" w:history="1">
            <w:r w:rsidRPr="00EC181D">
              <w:rPr>
                <w:rStyle w:val="Hyperlink"/>
                <w:noProof/>
              </w:rPr>
              <w:t>4.1</w:t>
            </w:r>
            <w:r>
              <w:rPr>
                <w:rFonts w:asciiTheme="minorHAnsi" w:eastAsiaTheme="minorEastAsia" w:hAnsiTheme="minorHAnsi"/>
                <w:noProof/>
                <w:lang w:eastAsia="en-GB"/>
              </w:rPr>
              <w:tab/>
            </w:r>
            <w:r w:rsidRPr="00EC181D">
              <w:rPr>
                <w:rStyle w:val="Hyperlink"/>
                <w:noProof/>
              </w:rPr>
              <w:t>Method</w:t>
            </w:r>
            <w:r>
              <w:rPr>
                <w:noProof/>
                <w:webHidden/>
              </w:rPr>
              <w:tab/>
            </w:r>
            <w:r>
              <w:rPr>
                <w:noProof/>
                <w:webHidden/>
              </w:rPr>
              <w:fldChar w:fldCharType="begin"/>
            </w:r>
            <w:r>
              <w:rPr>
                <w:noProof/>
                <w:webHidden/>
              </w:rPr>
              <w:instrText xml:space="preserve"> PAGEREF _Toc503445928 \h </w:instrText>
            </w:r>
            <w:r>
              <w:rPr>
                <w:noProof/>
                <w:webHidden/>
              </w:rPr>
            </w:r>
            <w:r>
              <w:rPr>
                <w:noProof/>
                <w:webHidden/>
              </w:rPr>
              <w:fldChar w:fldCharType="separate"/>
            </w:r>
            <w:r>
              <w:rPr>
                <w:noProof/>
                <w:webHidden/>
              </w:rPr>
              <w:t>v</w:t>
            </w:r>
            <w:r>
              <w:rPr>
                <w:noProof/>
                <w:webHidden/>
              </w:rPr>
              <w:fldChar w:fldCharType="end"/>
            </w:r>
          </w:hyperlink>
        </w:p>
        <w:p w14:paraId="435E9879" w14:textId="77DD1205" w:rsidR="004E0ADF" w:rsidRDefault="004E0ADF">
          <w:pPr>
            <w:pStyle w:val="TOC2"/>
            <w:tabs>
              <w:tab w:val="left" w:pos="880"/>
              <w:tab w:val="right" w:leader="dot" w:pos="9016"/>
            </w:tabs>
            <w:rPr>
              <w:rFonts w:asciiTheme="minorHAnsi" w:eastAsiaTheme="minorEastAsia" w:hAnsiTheme="minorHAnsi"/>
              <w:noProof/>
              <w:lang w:eastAsia="en-GB"/>
            </w:rPr>
          </w:pPr>
          <w:hyperlink w:anchor="_Toc503445929" w:history="1">
            <w:r w:rsidRPr="00EC181D">
              <w:rPr>
                <w:rStyle w:val="Hyperlink"/>
                <w:noProof/>
              </w:rPr>
              <w:t>4.2</w:t>
            </w:r>
            <w:r>
              <w:rPr>
                <w:rFonts w:asciiTheme="minorHAnsi" w:eastAsiaTheme="minorEastAsia" w:hAnsiTheme="minorHAnsi"/>
                <w:noProof/>
                <w:lang w:eastAsia="en-GB"/>
              </w:rPr>
              <w:tab/>
            </w:r>
            <w:r w:rsidRPr="00EC181D">
              <w:rPr>
                <w:rStyle w:val="Hyperlink"/>
                <w:noProof/>
              </w:rPr>
              <w:t>Results</w:t>
            </w:r>
            <w:r>
              <w:rPr>
                <w:noProof/>
                <w:webHidden/>
              </w:rPr>
              <w:tab/>
            </w:r>
            <w:r>
              <w:rPr>
                <w:noProof/>
                <w:webHidden/>
              </w:rPr>
              <w:fldChar w:fldCharType="begin"/>
            </w:r>
            <w:r>
              <w:rPr>
                <w:noProof/>
                <w:webHidden/>
              </w:rPr>
              <w:instrText xml:space="preserve"> PAGEREF _Toc503445929 \h </w:instrText>
            </w:r>
            <w:r>
              <w:rPr>
                <w:noProof/>
                <w:webHidden/>
              </w:rPr>
            </w:r>
            <w:r>
              <w:rPr>
                <w:noProof/>
                <w:webHidden/>
              </w:rPr>
              <w:fldChar w:fldCharType="separate"/>
            </w:r>
            <w:r>
              <w:rPr>
                <w:noProof/>
                <w:webHidden/>
              </w:rPr>
              <w:t>v</w:t>
            </w:r>
            <w:r>
              <w:rPr>
                <w:noProof/>
                <w:webHidden/>
              </w:rPr>
              <w:fldChar w:fldCharType="end"/>
            </w:r>
          </w:hyperlink>
        </w:p>
        <w:p w14:paraId="1F0C3AFE" w14:textId="4C230AF6" w:rsidR="004E0ADF" w:rsidRDefault="004E0ADF">
          <w:pPr>
            <w:pStyle w:val="TOC1"/>
            <w:tabs>
              <w:tab w:val="left" w:pos="440"/>
              <w:tab w:val="right" w:leader="dot" w:pos="9016"/>
            </w:tabs>
            <w:rPr>
              <w:rFonts w:asciiTheme="minorHAnsi" w:eastAsiaTheme="minorEastAsia" w:hAnsiTheme="minorHAnsi"/>
              <w:noProof/>
              <w:lang w:eastAsia="en-GB"/>
            </w:rPr>
          </w:pPr>
          <w:hyperlink w:anchor="_Toc503445930" w:history="1">
            <w:r w:rsidRPr="00EC181D">
              <w:rPr>
                <w:rStyle w:val="Hyperlink"/>
                <w:noProof/>
              </w:rPr>
              <w:t>5</w:t>
            </w:r>
            <w:r>
              <w:rPr>
                <w:rFonts w:asciiTheme="minorHAnsi" w:eastAsiaTheme="minorEastAsia" w:hAnsiTheme="minorHAnsi"/>
                <w:noProof/>
                <w:lang w:eastAsia="en-GB"/>
              </w:rPr>
              <w:tab/>
            </w:r>
            <w:r w:rsidRPr="00EC181D">
              <w:rPr>
                <w:rStyle w:val="Hyperlink"/>
                <w:noProof/>
              </w:rPr>
              <w:t>Enthalpy of Formation</w:t>
            </w:r>
            <w:r>
              <w:rPr>
                <w:noProof/>
                <w:webHidden/>
              </w:rPr>
              <w:tab/>
            </w:r>
            <w:r>
              <w:rPr>
                <w:noProof/>
                <w:webHidden/>
              </w:rPr>
              <w:fldChar w:fldCharType="begin"/>
            </w:r>
            <w:r>
              <w:rPr>
                <w:noProof/>
                <w:webHidden/>
              </w:rPr>
              <w:instrText xml:space="preserve"> PAGEREF _Toc503445930 \h </w:instrText>
            </w:r>
            <w:r>
              <w:rPr>
                <w:noProof/>
                <w:webHidden/>
              </w:rPr>
            </w:r>
            <w:r>
              <w:rPr>
                <w:noProof/>
                <w:webHidden/>
              </w:rPr>
              <w:fldChar w:fldCharType="separate"/>
            </w:r>
            <w:r>
              <w:rPr>
                <w:noProof/>
                <w:webHidden/>
              </w:rPr>
              <w:t>vi</w:t>
            </w:r>
            <w:r>
              <w:rPr>
                <w:noProof/>
                <w:webHidden/>
              </w:rPr>
              <w:fldChar w:fldCharType="end"/>
            </w:r>
          </w:hyperlink>
        </w:p>
        <w:p w14:paraId="333FDE5E" w14:textId="158CE420" w:rsidR="004E0ADF" w:rsidRDefault="004E0ADF">
          <w:pPr>
            <w:pStyle w:val="TOC2"/>
            <w:tabs>
              <w:tab w:val="left" w:pos="880"/>
              <w:tab w:val="right" w:leader="dot" w:pos="9016"/>
            </w:tabs>
            <w:rPr>
              <w:rFonts w:asciiTheme="minorHAnsi" w:eastAsiaTheme="minorEastAsia" w:hAnsiTheme="minorHAnsi"/>
              <w:noProof/>
              <w:lang w:eastAsia="en-GB"/>
            </w:rPr>
          </w:pPr>
          <w:hyperlink w:anchor="_Toc503445931" w:history="1">
            <w:r w:rsidRPr="00EC181D">
              <w:rPr>
                <w:rStyle w:val="Hyperlink"/>
                <w:noProof/>
              </w:rPr>
              <w:t>5.1</w:t>
            </w:r>
            <w:r>
              <w:rPr>
                <w:rFonts w:asciiTheme="minorHAnsi" w:eastAsiaTheme="minorEastAsia" w:hAnsiTheme="minorHAnsi"/>
                <w:noProof/>
                <w:lang w:eastAsia="en-GB"/>
              </w:rPr>
              <w:tab/>
            </w:r>
            <w:r w:rsidRPr="00EC181D">
              <w:rPr>
                <w:rStyle w:val="Hyperlink"/>
                <w:noProof/>
              </w:rPr>
              <w:t>Method</w:t>
            </w:r>
            <w:r>
              <w:rPr>
                <w:noProof/>
                <w:webHidden/>
              </w:rPr>
              <w:tab/>
            </w:r>
            <w:r>
              <w:rPr>
                <w:noProof/>
                <w:webHidden/>
              </w:rPr>
              <w:fldChar w:fldCharType="begin"/>
            </w:r>
            <w:r>
              <w:rPr>
                <w:noProof/>
                <w:webHidden/>
              </w:rPr>
              <w:instrText xml:space="preserve"> PAGEREF _Toc503445931 \h </w:instrText>
            </w:r>
            <w:r>
              <w:rPr>
                <w:noProof/>
                <w:webHidden/>
              </w:rPr>
            </w:r>
            <w:r>
              <w:rPr>
                <w:noProof/>
                <w:webHidden/>
              </w:rPr>
              <w:fldChar w:fldCharType="separate"/>
            </w:r>
            <w:r>
              <w:rPr>
                <w:noProof/>
                <w:webHidden/>
              </w:rPr>
              <w:t>vi</w:t>
            </w:r>
            <w:r>
              <w:rPr>
                <w:noProof/>
                <w:webHidden/>
              </w:rPr>
              <w:fldChar w:fldCharType="end"/>
            </w:r>
          </w:hyperlink>
        </w:p>
        <w:p w14:paraId="3442898D" w14:textId="7391D73C" w:rsidR="004E0ADF" w:rsidRDefault="004E0ADF">
          <w:pPr>
            <w:pStyle w:val="TOC2"/>
            <w:tabs>
              <w:tab w:val="left" w:pos="880"/>
              <w:tab w:val="right" w:leader="dot" w:pos="9016"/>
            </w:tabs>
            <w:rPr>
              <w:rFonts w:asciiTheme="minorHAnsi" w:eastAsiaTheme="minorEastAsia" w:hAnsiTheme="minorHAnsi"/>
              <w:noProof/>
              <w:lang w:eastAsia="en-GB"/>
            </w:rPr>
          </w:pPr>
          <w:hyperlink w:anchor="_Toc503445932" w:history="1">
            <w:r w:rsidRPr="00EC181D">
              <w:rPr>
                <w:rStyle w:val="Hyperlink"/>
                <w:noProof/>
              </w:rPr>
              <w:t>5.2</w:t>
            </w:r>
            <w:r>
              <w:rPr>
                <w:rFonts w:asciiTheme="minorHAnsi" w:eastAsiaTheme="minorEastAsia" w:hAnsiTheme="minorHAnsi"/>
                <w:noProof/>
                <w:lang w:eastAsia="en-GB"/>
              </w:rPr>
              <w:tab/>
            </w:r>
            <w:r w:rsidRPr="00EC181D">
              <w:rPr>
                <w:rStyle w:val="Hyperlink"/>
                <w:noProof/>
              </w:rPr>
              <w:t>Results</w:t>
            </w:r>
            <w:r>
              <w:rPr>
                <w:noProof/>
                <w:webHidden/>
              </w:rPr>
              <w:tab/>
            </w:r>
            <w:r>
              <w:rPr>
                <w:noProof/>
                <w:webHidden/>
              </w:rPr>
              <w:fldChar w:fldCharType="begin"/>
            </w:r>
            <w:r>
              <w:rPr>
                <w:noProof/>
                <w:webHidden/>
              </w:rPr>
              <w:instrText xml:space="preserve"> PAGEREF _Toc503445932 \h </w:instrText>
            </w:r>
            <w:r>
              <w:rPr>
                <w:noProof/>
                <w:webHidden/>
              </w:rPr>
            </w:r>
            <w:r>
              <w:rPr>
                <w:noProof/>
                <w:webHidden/>
              </w:rPr>
              <w:fldChar w:fldCharType="separate"/>
            </w:r>
            <w:r>
              <w:rPr>
                <w:noProof/>
                <w:webHidden/>
              </w:rPr>
              <w:t>vi</w:t>
            </w:r>
            <w:r>
              <w:rPr>
                <w:noProof/>
                <w:webHidden/>
              </w:rPr>
              <w:fldChar w:fldCharType="end"/>
            </w:r>
          </w:hyperlink>
        </w:p>
        <w:p w14:paraId="77A3B20C" w14:textId="56683CFE" w:rsidR="004E0ADF" w:rsidRDefault="004E0ADF">
          <w:pPr>
            <w:pStyle w:val="TOC1"/>
            <w:tabs>
              <w:tab w:val="left" w:pos="440"/>
              <w:tab w:val="right" w:leader="dot" w:pos="9016"/>
            </w:tabs>
            <w:rPr>
              <w:rFonts w:asciiTheme="minorHAnsi" w:eastAsiaTheme="minorEastAsia" w:hAnsiTheme="minorHAnsi"/>
              <w:noProof/>
              <w:lang w:eastAsia="en-GB"/>
            </w:rPr>
          </w:pPr>
          <w:hyperlink w:anchor="_Toc503445933" w:history="1">
            <w:r w:rsidRPr="00EC181D">
              <w:rPr>
                <w:rStyle w:val="Hyperlink"/>
                <w:noProof/>
              </w:rPr>
              <w:t>6</w:t>
            </w:r>
            <w:r>
              <w:rPr>
                <w:rFonts w:asciiTheme="minorHAnsi" w:eastAsiaTheme="minorEastAsia" w:hAnsiTheme="minorHAnsi"/>
                <w:noProof/>
                <w:lang w:eastAsia="en-GB"/>
              </w:rPr>
              <w:tab/>
            </w:r>
            <w:r w:rsidRPr="00EC181D">
              <w:rPr>
                <w:rStyle w:val="Hyperlink"/>
                <w:noProof/>
              </w:rPr>
              <w:t>NASA Enthalpy Tables and Graphs</w:t>
            </w:r>
            <w:r>
              <w:rPr>
                <w:noProof/>
                <w:webHidden/>
              </w:rPr>
              <w:tab/>
            </w:r>
            <w:r>
              <w:rPr>
                <w:noProof/>
                <w:webHidden/>
              </w:rPr>
              <w:fldChar w:fldCharType="begin"/>
            </w:r>
            <w:r>
              <w:rPr>
                <w:noProof/>
                <w:webHidden/>
              </w:rPr>
              <w:instrText xml:space="preserve"> PAGEREF _Toc503445933 \h </w:instrText>
            </w:r>
            <w:r>
              <w:rPr>
                <w:noProof/>
                <w:webHidden/>
              </w:rPr>
            </w:r>
            <w:r>
              <w:rPr>
                <w:noProof/>
                <w:webHidden/>
              </w:rPr>
              <w:fldChar w:fldCharType="separate"/>
            </w:r>
            <w:r>
              <w:rPr>
                <w:noProof/>
                <w:webHidden/>
              </w:rPr>
              <w:t>vii</w:t>
            </w:r>
            <w:r>
              <w:rPr>
                <w:noProof/>
                <w:webHidden/>
              </w:rPr>
              <w:fldChar w:fldCharType="end"/>
            </w:r>
          </w:hyperlink>
        </w:p>
        <w:p w14:paraId="5DF26FAB" w14:textId="59DD9395" w:rsidR="004E0ADF" w:rsidRDefault="004E0ADF">
          <w:pPr>
            <w:pStyle w:val="TOC2"/>
            <w:tabs>
              <w:tab w:val="left" w:pos="880"/>
              <w:tab w:val="right" w:leader="dot" w:pos="9016"/>
            </w:tabs>
            <w:rPr>
              <w:rFonts w:asciiTheme="minorHAnsi" w:eastAsiaTheme="minorEastAsia" w:hAnsiTheme="minorHAnsi"/>
              <w:noProof/>
              <w:lang w:eastAsia="en-GB"/>
            </w:rPr>
          </w:pPr>
          <w:hyperlink w:anchor="_Toc503445934" w:history="1">
            <w:r w:rsidRPr="00EC181D">
              <w:rPr>
                <w:rStyle w:val="Hyperlink"/>
                <w:noProof/>
              </w:rPr>
              <w:t>6.1</w:t>
            </w:r>
            <w:r>
              <w:rPr>
                <w:rFonts w:asciiTheme="minorHAnsi" w:eastAsiaTheme="minorEastAsia" w:hAnsiTheme="minorHAnsi"/>
                <w:noProof/>
                <w:lang w:eastAsia="en-GB"/>
              </w:rPr>
              <w:tab/>
            </w:r>
            <w:r w:rsidRPr="00EC181D">
              <w:rPr>
                <w:rStyle w:val="Hyperlink"/>
                <w:noProof/>
              </w:rPr>
              <w:t>Method</w:t>
            </w:r>
            <w:r>
              <w:rPr>
                <w:noProof/>
                <w:webHidden/>
              </w:rPr>
              <w:tab/>
            </w:r>
            <w:r>
              <w:rPr>
                <w:noProof/>
                <w:webHidden/>
              </w:rPr>
              <w:fldChar w:fldCharType="begin"/>
            </w:r>
            <w:r>
              <w:rPr>
                <w:noProof/>
                <w:webHidden/>
              </w:rPr>
              <w:instrText xml:space="preserve"> PAGEREF _Toc503445934 \h </w:instrText>
            </w:r>
            <w:r>
              <w:rPr>
                <w:noProof/>
                <w:webHidden/>
              </w:rPr>
            </w:r>
            <w:r>
              <w:rPr>
                <w:noProof/>
                <w:webHidden/>
              </w:rPr>
              <w:fldChar w:fldCharType="separate"/>
            </w:r>
            <w:r>
              <w:rPr>
                <w:noProof/>
                <w:webHidden/>
              </w:rPr>
              <w:t>ix</w:t>
            </w:r>
            <w:r>
              <w:rPr>
                <w:noProof/>
                <w:webHidden/>
              </w:rPr>
              <w:fldChar w:fldCharType="end"/>
            </w:r>
          </w:hyperlink>
        </w:p>
        <w:p w14:paraId="38B2CFF5" w14:textId="111C7F65" w:rsidR="004E0ADF" w:rsidRDefault="004E0ADF">
          <w:pPr>
            <w:pStyle w:val="TOC1"/>
            <w:tabs>
              <w:tab w:val="left" w:pos="440"/>
              <w:tab w:val="right" w:leader="dot" w:pos="9016"/>
            </w:tabs>
            <w:rPr>
              <w:rFonts w:asciiTheme="minorHAnsi" w:eastAsiaTheme="minorEastAsia" w:hAnsiTheme="minorHAnsi"/>
              <w:noProof/>
              <w:lang w:eastAsia="en-GB"/>
            </w:rPr>
          </w:pPr>
          <w:hyperlink w:anchor="_Toc503445935" w:history="1">
            <w:r w:rsidRPr="00EC181D">
              <w:rPr>
                <w:rStyle w:val="Hyperlink"/>
                <w:noProof/>
              </w:rPr>
              <w:t>7</w:t>
            </w:r>
            <w:r>
              <w:rPr>
                <w:rFonts w:asciiTheme="minorHAnsi" w:eastAsiaTheme="minorEastAsia" w:hAnsiTheme="minorHAnsi"/>
                <w:noProof/>
                <w:lang w:eastAsia="en-GB"/>
              </w:rPr>
              <w:tab/>
            </w:r>
            <w:r w:rsidRPr="00EC181D">
              <w:rPr>
                <w:rStyle w:val="Hyperlink"/>
                <w:noProof/>
              </w:rPr>
              <w:t>Enthalpy Released</w:t>
            </w:r>
            <w:r>
              <w:rPr>
                <w:noProof/>
                <w:webHidden/>
              </w:rPr>
              <w:tab/>
            </w:r>
            <w:r>
              <w:rPr>
                <w:noProof/>
                <w:webHidden/>
              </w:rPr>
              <w:fldChar w:fldCharType="begin"/>
            </w:r>
            <w:r>
              <w:rPr>
                <w:noProof/>
                <w:webHidden/>
              </w:rPr>
              <w:instrText xml:space="preserve"> PAGEREF _Toc503445935 \h </w:instrText>
            </w:r>
            <w:r>
              <w:rPr>
                <w:noProof/>
                <w:webHidden/>
              </w:rPr>
            </w:r>
            <w:r>
              <w:rPr>
                <w:noProof/>
                <w:webHidden/>
              </w:rPr>
              <w:fldChar w:fldCharType="separate"/>
            </w:r>
            <w:r>
              <w:rPr>
                <w:noProof/>
                <w:webHidden/>
              </w:rPr>
              <w:t>xi</w:t>
            </w:r>
            <w:r>
              <w:rPr>
                <w:noProof/>
                <w:webHidden/>
              </w:rPr>
              <w:fldChar w:fldCharType="end"/>
            </w:r>
          </w:hyperlink>
        </w:p>
        <w:p w14:paraId="3EE0C5DE" w14:textId="0AE19DDF" w:rsidR="004E0ADF" w:rsidRDefault="004E0ADF">
          <w:pPr>
            <w:pStyle w:val="TOC2"/>
            <w:tabs>
              <w:tab w:val="left" w:pos="880"/>
              <w:tab w:val="right" w:leader="dot" w:pos="9016"/>
            </w:tabs>
            <w:rPr>
              <w:rFonts w:asciiTheme="minorHAnsi" w:eastAsiaTheme="minorEastAsia" w:hAnsiTheme="minorHAnsi"/>
              <w:noProof/>
              <w:lang w:eastAsia="en-GB"/>
            </w:rPr>
          </w:pPr>
          <w:hyperlink w:anchor="_Toc503445936" w:history="1">
            <w:r w:rsidRPr="00EC181D">
              <w:rPr>
                <w:rStyle w:val="Hyperlink"/>
                <w:noProof/>
              </w:rPr>
              <w:t>7.1</w:t>
            </w:r>
            <w:r>
              <w:rPr>
                <w:rFonts w:asciiTheme="minorHAnsi" w:eastAsiaTheme="minorEastAsia" w:hAnsiTheme="minorHAnsi"/>
                <w:noProof/>
                <w:lang w:eastAsia="en-GB"/>
              </w:rPr>
              <w:tab/>
            </w:r>
            <w:r w:rsidRPr="00EC181D">
              <w:rPr>
                <w:rStyle w:val="Hyperlink"/>
                <w:noProof/>
              </w:rPr>
              <w:t>Method</w:t>
            </w:r>
            <w:r>
              <w:rPr>
                <w:noProof/>
                <w:webHidden/>
              </w:rPr>
              <w:tab/>
            </w:r>
            <w:r>
              <w:rPr>
                <w:noProof/>
                <w:webHidden/>
              </w:rPr>
              <w:fldChar w:fldCharType="begin"/>
            </w:r>
            <w:r>
              <w:rPr>
                <w:noProof/>
                <w:webHidden/>
              </w:rPr>
              <w:instrText xml:space="preserve"> PAGEREF _Toc503445936 \h </w:instrText>
            </w:r>
            <w:r>
              <w:rPr>
                <w:noProof/>
                <w:webHidden/>
              </w:rPr>
            </w:r>
            <w:r>
              <w:rPr>
                <w:noProof/>
                <w:webHidden/>
              </w:rPr>
              <w:fldChar w:fldCharType="separate"/>
            </w:r>
            <w:r>
              <w:rPr>
                <w:noProof/>
                <w:webHidden/>
              </w:rPr>
              <w:t>xi</w:t>
            </w:r>
            <w:r>
              <w:rPr>
                <w:noProof/>
                <w:webHidden/>
              </w:rPr>
              <w:fldChar w:fldCharType="end"/>
            </w:r>
          </w:hyperlink>
        </w:p>
        <w:p w14:paraId="5013A3A6" w14:textId="188837F8" w:rsidR="004E0ADF" w:rsidRDefault="004E0ADF">
          <w:pPr>
            <w:pStyle w:val="TOC1"/>
            <w:tabs>
              <w:tab w:val="left" w:pos="440"/>
              <w:tab w:val="right" w:leader="dot" w:pos="9016"/>
            </w:tabs>
            <w:rPr>
              <w:rFonts w:asciiTheme="minorHAnsi" w:eastAsiaTheme="minorEastAsia" w:hAnsiTheme="minorHAnsi"/>
              <w:noProof/>
              <w:lang w:eastAsia="en-GB"/>
            </w:rPr>
          </w:pPr>
          <w:hyperlink w:anchor="_Toc503445937" w:history="1">
            <w:r w:rsidRPr="00EC181D">
              <w:rPr>
                <w:rStyle w:val="Hyperlink"/>
                <w:noProof/>
              </w:rPr>
              <w:t>8</w:t>
            </w:r>
            <w:r>
              <w:rPr>
                <w:rFonts w:asciiTheme="minorHAnsi" w:eastAsiaTheme="minorEastAsia" w:hAnsiTheme="minorHAnsi"/>
                <w:noProof/>
                <w:lang w:eastAsia="en-GB"/>
              </w:rPr>
              <w:tab/>
            </w:r>
            <w:r w:rsidRPr="00EC181D">
              <w:rPr>
                <w:rStyle w:val="Hyperlink"/>
                <w:noProof/>
              </w:rPr>
              <w:t>Initial Flame Temperature</w:t>
            </w:r>
            <w:r>
              <w:rPr>
                <w:noProof/>
                <w:webHidden/>
              </w:rPr>
              <w:tab/>
            </w:r>
            <w:r>
              <w:rPr>
                <w:noProof/>
                <w:webHidden/>
              </w:rPr>
              <w:fldChar w:fldCharType="begin"/>
            </w:r>
            <w:r>
              <w:rPr>
                <w:noProof/>
                <w:webHidden/>
              </w:rPr>
              <w:instrText xml:space="preserve"> PAGEREF _Toc503445937 \h </w:instrText>
            </w:r>
            <w:r>
              <w:rPr>
                <w:noProof/>
                <w:webHidden/>
              </w:rPr>
            </w:r>
            <w:r>
              <w:rPr>
                <w:noProof/>
                <w:webHidden/>
              </w:rPr>
              <w:fldChar w:fldCharType="separate"/>
            </w:r>
            <w:r>
              <w:rPr>
                <w:noProof/>
                <w:webHidden/>
              </w:rPr>
              <w:t>xiii</w:t>
            </w:r>
            <w:r>
              <w:rPr>
                <w:noProof/>
                <w:webHidden/>
              </w:rPr>
              <w:fldChar w:fldCharType="end"/>
            </w:r>
          </w:hyperlink>
        </w:p>
        <w:p w14:paraId="1C79F485" w14:textId="417487B4" w:rsidR="004E0ADF" w:rsidRDefault="004E0ADF">
          <w:pPr>
            <w:pStyle w:val="TOC2"/>
            <w:tabs>
              <w:tab w:val="left" w:pos="880"/>
              <w:tab w:val="right" w:leader="dot" w:pos="9016"/>
            </w:tabs>
            <w:rPr>
              <w:rFonts w:asciiTheme="minorHAnsi" w:eastAsiaTheme="minorEastAsia" w:hAnsiTheme="minorHAnsi"/>
              <w:noProof/>
              <w:lang w:eastAsia="en-GB"/>
            </w:rPr>
          </w:pPr>
          <w:hyperlink w:anchor="_Toc503445938" w:history="1">
            <w:r w:rsidRPr="00EC181D">
              <w:rPr>
                <w:rStyle w:val="Hyperlink"/>
                <w:noProof/>
              </w:rPr>
              <w:t>8.1</w:t>
            </w:r>
            <w:r>
              <w:rPr>
                <w:rFonts w:asciiTheme="minorHAnsi" w:eastAsiaTheme="minorEastAsia" w:hAnsiTheme="minorHAnsi"/>
                <w:noProof/>
                <w:lang w:eastAsia="en-GB"/>
              </w:rPr>
              <w:tab/>
            </w:r>
            <w:r w:rsidRPr="00EC181D">
              <w:rPr>
                <w:rStyle w:val="Hyperlink"/>
                <w:noProof/>
              </w:rPr>
              <w:t>Method</w:t>
            </w:r>
            <w:r>
              <w:rPr>
                <w:noProof/>
                <w:webHidden/>
              </w:rPr>
              <w:tab/>
            </w:r>
            <w:r>
              <w:rPr>
                <w:noProof/>
                <w:webHidden/>
              </w:rPr>
              <w:fldChar w:fldCharType="begin"/>
            </w:r>
            <w:r>
              <w:rPr>
                <w:noProof/>
                <w:webHidden/>
              </w:rPr>
              <w:instrText xml:space="preserve"> PAGEREF _Toc503445938 \h </w:instrText>
            </w:r>
            <w:r>
              <w:rPr>
                <w:noProof/>
                <w:webHidden/>
              </w:rPr>
            </w:r>
            <w:r>
              <w:rPr>
                <w:noProof/>
                <w:webHidden/>
              </w:rPr>
              <w:fldChar w:fldCharType="separate"/>
            </w:r>
            <w:r>
              <w:rPr>
                <w:noProof/>
                <w:webHidden/>
              </w:rPr>
              <w:t>xiii</w:t>
            </w:r>
            <w:r>
              <w:rPr>
                <w:noProof/>
                <w:webHidden/>
              </w:rPr>
              <w:fldChar w:fldCharType="end"/>
            </w:r>
          </w:hyperlink>
        </w:p>
        <w:p w14:paraId="0DA6444C" w14:textId="4FAB14A8" w:rsidR="004E0ADF" w:rsidRDefault="004E0ADF">
          <w:pPr>
            <w:pStyle w:val="TOC2"/>
            <w:tabs>
              <w:tab w:val="left" w:pos="880"/>
              <w:tab w:val="right" w:leader="dot" w:pos="9016"/>
            </w:tabs>
            <w:rPr>
              <w:rFonts w:asciiTheme="minorHAnsi" w:eastAsiaTheme="minorEastAsia" w:hAnsiTheme="minorHAnsi"/>
              <w:noProof/>
              <w:lang w:eastAsia="en-GB"/>
            </w:rPr>
          </w:pPr>
          <w:hyperlink w:anchor="_Toc503445939" w:history="1">
            <w:r w:rsidRPr="00EC181D">
              <w:rPr>
                <w:rStyle w:val="Hyperlink"/>
                <w:noProof/>
              </w:rPr>
              <w:t>8.2</w:t>
            </w:r>
            <w:r>
              <w:rPr>
                <w:rFonts w:asciiTheme="minorHAnsi" w:eastAsiaTheme="minorEastAsia" w:hAnsiTheme="minorHAnsi"/>
                <w:noProof/>
                <w:lang w:eastAsia="en-GB"/>
              </w:rPr>
              <w:tab/>
            </w:r>
            <w:r w:rsidRPr="00EC181D">
              <w:rPr>
                <w:rStyle w:val="Hyperlink"/>
                <w:noProof/>
              </w:rPr>
              <w:t>Results</w:t>
            </w:r>
            <w:r>
              <w:rPr>
                <w:noProof/>
                <w:webHidden/>
              </w:rPr>
              <w:tab/>
            </w:r>
            <w:r>
              <w:rPr>
                <w:noProof/>
                <w:webHidden/>
              </w:rPr>
              <w:fldChar w:fldCharType="begin"/>
            </w:r>
            <w:r>
              <w:rPr>
                <w:noProof/>
                <w:webHidden/>
              </w:rPr>
              <w:instrText xml:space="preserve"> PAGEREF _Toc503445939 \h </w:instrText>
            </w:r>
            <w:r>
              <w:rPr>
                <w:noProof/>
                <w:webHidden/>
              </w:rPr>
            </w:r>
            <w:r>
              <w:rPr>
                <w:noProof/>
                <w:webHidden/>
              </w:rPr>
              <w:fldChar w:fldCharType="separate"/>
            </w:r>
            <w:r>
              <w:rPr>
                <w:noProof/>
                <w:webHidden/>
              </w:rPr>
              <w:t>xiii</w:t>
            </w:r>
            <w:r>
              <w:rPr>
                <w:noProof/>
                <w:webHidden/>
              </w:rPr>
              <w:fldChar w:fldCharType="end"/>
            </w:r>
          </w:hyperlink>
        </w:p>
        <w:p w14:paraId="3E96D101" w14:textId="488A2D61" w:rsidR="004E0ADF" w:rsidRDefault="004E0ADF">
          <w:pPr>
            <w:pStyle w:val="TOC2"/>
            <w:tabs>
              <w:tab w:val="left" w:pos="880"/>
              <w:tab w:val="right" w:leader="dot" w:pos="9016"/>
            </w:tabs>
            <w:rPr>
              <w:rFonts w:asciiTheme="minorHAnsi" w:eastAsiaTheme="minorEastAsia" w:hAnsiTheme="minorHAnsi"/>
              <w:noProof/>
              <w:lang w:eastAsia="en-GB"/>
            </w:rPr>
          </w:pPr>
          <w:hyperlink w:anchor="_Toc503445940" w:history="1">
            <w:r w:rsidRPr="00EC181D">
              <w:rPr>
                <w:rStyle w:val="Hyperlink"/>
                <w:noProof/>
              </w:rPr>
              <w:t>8.3</w:t>
            </w:r>
            <w:r>
              <w:rPr>
                <w:rFonts w:asciiTheme="minorHAnsi" w:eastAsiaTheme="minorEastAsia" w:hAnsiTheme="minorHAnsi"/>
                <w:noProof/>
                <w:lang w:eastAsia="en-GB"/>
              </w:rPr>
              <w:tab/>
            </w:r>
            <w:r w:rsidRPr="00EC181D">
              <w:rPr>
                <w:rStyle w:val="Hyperlink"/>
                <w:noProof/>
              </w:rPr>
              <w:t>Analysis</w:t>
            </w:r>
            <w:r>
              <w:rPr>
                <w:noProof/>
                <w:webHidden/>
              </w:rPr>
              <w:tab/>
            </w:r>
            <w:r>
              <w:rPr>
                <w:noProof/>
                <w:webHidden/>
              </w:rPr>
              <w:fldChar w:fldCharType="begin"/>
            </w:r>
            <w:r>
              <w:rPr>
                <w:noProof/>
                <w:webHidden/>
              </w:rPr>
              <w:instrText xml:space="preserve"> PAGEREF _Toc503445940 \h </w:instrText>
            </w:r>
            <w:r>
              <w:rPr>
                <w:noProof/>
                <w:webHidden/>
              </w:rPr>
            </w:r>
            <w:r>
              <w:rPr>
                <w:noProof/>
                <w:webHidden/>
              </w:rPr>
              <w:fldChar w:fldCharType="separate"/>
            </w:r>
            <w:r>
              <w:rPr>
                <w:noProof/>
                <w:webHidden/>
              </w:rPr>
              <w:t>xiv</w:t>
            </w:r>
            <w:r>
              <w:rPr>
                <w:noProof/>
                <w:webHidden/>
              </w:rPr>
              <w:fldChar w:fldCharType="end"/>
            </w:r>
          </w:hyperlink>
        </w:p>
        <w:p w14:paraId="3ADCF273" w14:textId="3C1E8283" w:rsidR="004E0ADF" w:rsidRDefault="004E0ADF">
          <w:pPr>
            <w:pStyle w:val="TOC1"/>
            <w:tabs>
              <w:tab w:val="left" w:pos="440"/>
              <w:tab w:val="right" w:leader="dot" w:pos="9016"/>
            </w:tabs>
            <w:rPr>
              <w:rFonts w:asciiTheme="minorHAnsi" w:eastAsiaTheme="minorEastAsia" w:hAnsiTheme="minorHAnsi"/>
              <w:noProof/>
              <w:lang w:eastAsia="en-GB"/>
            </w:rPr>
          </w:pPr>
          <w:hyperlink w:anchor="_Toc503445941" w:history="1">
            <w:r w:rsidRPr="00EC181D">
              <w:rPr>
                <w:rStyle w:val="Hyperlink"/>
                <w:noProof/>
              </w:rPr>
              <w:t>9</w:t>
            </w:r>
            <w:r>
              <w:rPr>
                <w:rFonts w:asciiTheme="minorHAnsi" w:eastAsiaTheme="minorEastAsia" w:hAnsiTheme="minorHAnsi"/>
                <w:noProof/>
                <w:lang w:eastAsia="en-GB"/>
              </w:rPr>
              <w:tab/>
            </w:r>
            <w:r w:rsidRPr="00EC181D">
              <w:rPr>
                <w:rStyle w:val="Hyperlink"/>
                <w:noProof/>
              </w:rPr>
              <w:t>Flame Temperatures with change in Crank Angle</w:t>
            </w:r>
            <w:r>
              <w:rPr>
                <w:noProof/>
                <w:webHidden/>
              </w:rPr>
              <w:tab/>
            </w:r>
            <w:r>
              <w:rPr>
                <w:noProof/>
                <w:webHidden/>
              </w:rPr>
              <w:fldChar w:fldCharType="begin"/>
            </w:r>
            <w:r>
              <w:rPr>
                <w:noProof/>
                <w:webHidden/>
              </w:rPr>
              <w:instrText xml:space="preserve"> PAGEREF _Toc503445941 \h </w:instrText>
            </w:r>
            <w:r>
              <w:rPr>
                <w:noProof/>
                <w:webHidden/>
              </w:rPr>
            </w:r>
            <w:r>
              <w:rPr>
                <w:noProof/>
                <w:webHidden/>
              </w:rPr>
              <w:fldChar w:fldCharType="separate"/>
            </w:r>
            <w:r>
              <w:rPr>
                <w:noProof/>
                <w:webHidden/>
              </w:rPr>
              <w:t>xv</w:t>
            </w:r>
            <w:r>
              <w:rPr>
                <w:noProof/>
                <w:webHidden/>
              </w:rPr>
              <w:fldChar w:fldCharType="end"/>
            </w:r>
          </w:hyperlink>
        </w:p>
        <w:p w14:paraId="494DEC82" w14:textId="62C84DFB" w:rsidR="004E0ADF" w:rsidRDefault="004E0ADF">
          <w:pPr>
            <w:pStyle w:val="TOC2"/>
            <w:tabs>
              <w:tab w:val="left" w:pos="880"/>
              <w:tab w:val="right" w:leader="dot" w:pos="9016"/>
            </w:tabs>
            <w:rPr>
              <w:rFonts w:asciiTheme="minorHAnsi" w:eastAsiaTheme="minorEastAsia" w:hAnsiTheme="minorHAnsi"/>
              <w:noProof/>
              <w:lang w:eastAsia="en-GB"/>
            </w:rPr>
          </w:pPr>
          <w:hyperlink w:anchor="_Toc503445942" w:history="1">
            <w:r w:rsidRPr="00EC181D">
              <w:rPr>
                <w:rStyle w:val="Hyperlink"/>
                <w:noProof/>
              </w:rPr>
              <w:t>9.1</w:t>
            </w:r>
            <w:r>
              <w:rPr>
                <w:rFonts w:asciiTheme="minorHAnsi" w:eastAsiaTheme="minorEastAsia" w:hAnsiTheme="minorHAnsi"/>
                <w:noProof/>
                <w:lang w:eastAsia="en-GB"/>
              </w:rPr>
              <w:tab/>
            </w:r>
            <w:r w:rsidRPr="00EC181D">
              <w:rPr>
                <w:rStyle w:val="Hyperlink"/>
                <w:noProof/>
              </w:rPr>
              <w:t>Method</w:t>
            </w:r>
            <w:r>
              <w:rPr>
                <w:noProof/>
                <w:webHidden/>
              </w:rPr>
              <w:tab/>
            </w:r>
            <w:r>
              <w:rPr>
                <w:noProof/>
                <w:webHidden/>
              </w:rPr>
              <w:fldChar w:fldCharType="begin"/>
            </w:r>
            <w:r>
              <w:rPr>
                <w:noProof/>
                <w:webHidden/>
              </w:rPr>
              <w:instrText xml:space="preserve"> PAGEREF _Toc503445942 \h </w:instrText>
            </w:r>
            <w:r>
              <w:rPr>
                <w:noProof/>
                <w:webHidden/>
              </w:rPr>
            </w:r>
            <w:r>
              <w:rPr>
                <w:noProof/>
                <w:webHidden/>
              </w:rPr>
              <w:fldChar w:fldCharType="separate"/>
            </w:r>
            <w:r>
              <w:rPr>
                <w:noProof/>
                <w:webHidden/>
              </w:rPr>
              <w:t>xv</w:t>
            </w:r>
            <w:r>
              <w:rPr>
                <w:noProof/>
                <w:webHidden/>
              </w:rPr>
              <w:fldChar w:fldCharType="end"/>
            </w:r>
          </w:hyperlink>
        </w:p>
        <w:p w14:paraId="4D77230C" w14:textId="74E7BC6B" w:rsidR="004E0ADF" w:rsidRDefault="004E0ADF">
          <w:pPr>
            <w:pStyle w:val="TOC2"/>
            <w:tabs>
              <w:tab w:val="left" w:pos="880"/>
              <w:tab w:val="right" w:leader="dot" w:pos="9016"/>
            </w:tabs>
            <w:rPr>
              <w:rFonts w:asciiTheme="minorHAnsi" w:eastAsiaTheme="minorEastAsia" w:hAnsiTheme="minorHAnsi"/>
              <w:noProof/>
              <w:lang w:eastAsia="en-GB"/>
            </w:rPr>
          </w:pPr>
          <w:hyperlink w:anchor="_Toc503445943" w:history="1">
            <w:r w:rsidRPr="00EC181D">
              <w:rPr>
                <w:rStyle w:val="Hyperlink"/>
                <w:noProof/>
              </w:rPr>
              <w:t>9.2</w:t>
            </w:r>
            <w:r>
              <w:rPr>
                <w:rFonts w:asciiTheme="minorHAnsi" w:eastAsiaTheme="minorEastAsia" w:hAnsiTheme="minorHAnsi"/>
                <w:noProof/>
                <w:lang w:eastAsia="en-GB"/>
              </w:rPr>
              <w:tab/>
            </w:r>
            <w:r w:rsidRPr="00EC181D">
              <w:rPr>
                <w:rStyle w:val="Hyperlink"/>
                <w:noProof/>
              </w:rPr>
              <w:t>Results</w:t>
            </w:r>
            <w:r>
              <w:rPr>
                <w:noProof/>
                <w:webHidden/>
              </w:rPr>
              <w:tab/>
            </w:r>
            <w:r>
              <w:rPr>
                <w:noProof/>
                <w:webHidden/>
              </w:rPr>
              <w:fldChar w:fldCharType="begin"/>
            </w:r>
            <w:r>
              <w:rPr>
                <w:noProof/>
                <w:webHidden/>
              </w:rPr>
              <w:instrText xml:space="preserve"> PAGEREF _Toc503445943 \h </w:instrText>
            </w:r>
            <w:r>
              <w:rPr>
                <w:noProof/>
                <w:webHidden/>
              </w:rPr>
            </w:r>
            <w:r>
              <w:rPr>
                <w:noProof/>
                <w:webHidden/>
              </w:rPr>
              <w:fldChar w:fldCharType="separate"/>
            </w:r>
            <w:r>
              <w:rPr>
                <w:noProof/>
                <w:webHidden/>
              </w:rPr>
              <w:t>xv</w:t>
            </w:r>
            <w:r>
              <w:rPr>
                <w:noProof/>
                <w:webHidden/>
              </w:rPr>
              <w:fldChar w:fldCharType="end"/>
            </w:r>
          </w:hyperlink>
        </w:p>
        <w:p w14:paraId="6E886BCF" w14:textId="01EE02B7" w:rsidR="004E0ADF" w:rsidRDefault="004E0ADF">
          <w:pPr>
            <w:pStyle w:val="TOC2"/>
            <w:tabs>
              <w:tab w:val="left" w:pos="880"/>
              <w:tab w:val="right" w:leader="dot" w:pos="9016"/>
            </w:tabs>
            <w:rPr>
              <w:rFonts w:asciiTheme="minorHAnsi" w:eastAsiaTheme="minorEastAsia" w:hAnsiTheme="minorHAnsi"/>
              <w:noProof/>
              <w:lang w:eastAsia="en-GB"/>
            </w:rPr>
          </w:pPr>
          <w:hyperlink w:anchor="_Toc503445944" w:history="1">
            <w:r w:rsidRPr="00EC181D">
              <w:rPr>
                <w:rStyle w:val="Hyperlink"/>
                <w:noProof/>
              </w:rPr>
              <w:t>9.3</w:t>
            </w:r>
            <w:r>
              <w:rPr>
                <w:rFonts w:asciiTheme="minorHAnsi" w:eastAsiaTheme="minorEastAsia" w:hAnsiTheme="minorHAnsi"/>
                <w:noProof/>
                <w:lang w:eastAsia="en-GB"/>
              </w:rPr>
              <w:tab/>
            </w:r>
            <w:r w:rsidRPr="00EC181D">
              <w:rPr>
                <w:rStyle w:val="Hyperlink"/>
                <w:noProof/>
              </w:rPr>
              <w:t>Analysis</w:t>
            </w:r>
            <w:r>
              <w:rPr>
                <w:noProof/>
                <w:webHidden/>
              </w:rPr>
              <w:tab/>
            </w:r>
            <w:r>
              <w:rPr>
                <w:noProof/>
                <w:webHidden/>
              </w:rPr>
              <w:fldChar w:fldCharType="begin"/>
            </w:r>
            <w:r>
              <w:rPr>
                <w:noProof/>
                <w:webHidden/>
              </w:rPr>
              <w:instrText xml:space="preserve"> PAGEREF _Toc503445944 \h </w:instrText>
            </w:r>
            <w:r>
              <w:rPr>
                <w:noProof/>
                <w:webHidden/>
              </w:rPr>
            </w:r>
            <w:r>
              <w:rPr>
                <w:noProof/>
                <w:webHidden/>
              </w:rPr>
              <w:fldChar w:fldCharType="separate"/>
            </w:r>
            <w:r>
              <w:rPr>
                <w:noProof/>
                <w:webHidden/>
              </w:rPr>
              <w:t>xvi</w:t>
            </w:r>
            <w:r>
              <w:rPr>
                <w:noProof/>
                <w:webHidden/>
              </w:rPr>
              <w:fldChar w:fldCharType="end"/>
            </w:r>
          </w:hyperlink>
        </w:p>
        <w:p w14:paraId="029CC5FC" w14:textId="3344A9C5" w:rsidR="004E0ADF" w:rsidRDefault="004E0ADF">
          <w:pPr>
            <w:pStyle w:val="TOC1"/>
            <w:tabs>
              <w:tab w:val="left" w:pos="660"/>
              <w:tab w:val="right" w:leader="dot" w:pos="9016"/>
            </w:tabs>
            <w:rPr>
              <w:rFonts w:asciiTheme="minorHAnsi" w:eastAsiaTheme="minorEastAsia" w:hAnsiTheme="minorHAnsi"/>
              <w:noProof/>
              <w:lang w:eastAsia="en-GB"/>
            </w:rPr>
          </w:pPr>
          <w:hyperlink w:anchor="_Toc503445945" w:history="1">
            <w:r w:rsidRPr="00EC181D">
              <w:rPr>
                <w:rStyle w:val="Hyperlink"/>
                <w:noProof/>
              </w:rPr>
              <w:t>10</w:t>
            </w:r>
            <w:r>
              <w:rPr>
                <w:rFonts w:asciiTheme="minorHAnsi" w:eastAsiaTheme="minorEastAsia" w:hAnsiTheme="minorHAnsi"/>
                <w:noProof/>
                <w:lang w:eastAsia="en-GB"/>
              </w:rPr>
              <w:tab/>
            </w:r>
            <w:r w:rsidRPr="00EC181D">
              <w:rPr>
                <w:rStyle w:val="Hyperlink"/>
                <w:noProof/>
              </w:rPr>
              <w:t>Multiplying Constant (α)</w:t>
            </w:r>
            <w:r>
              <w:rPr>
                <w:noProof/>
                <w:webHidden/>
              </w:rPr>
              <w:tab/>
            </w:r>
            <w:r>
              <w:rPr>
                <w:noProof/>
                <w:webHidden/>
              </w:rPr>
              <w:fldChar w:fldCharType="begin"/>
            </w:r>
            <w:r>
              <w:rPr>
                <w:noProof/>
                <w:webHidden/>
              </w:rPr>
              <w:instrText xml:space="preserve"> PAGEREF _Toc503445945 \h </w:instrText>
            </w:r>
            <w:r>
              <w:rPr>
                <w:noProof/>
                <w:webHidden/>
              </w:rPr>
            </w:r>
            <w:r>
              <w:rPr>
                <w:noProof/>
                <w:webHidden/>
              </w:rPr>
              <w:fldChar w:fldCharType="separate"/>
            </w:r>
            <w:r>
              <w:rPr>
                <w:noProof/>
                <w:webHidden/>
              </w:rPr>
              <w:t>xvii</w:t>
            </w:r>
            <w:r>
              <w:rPr>
                <w:noProof/>
                <w:webHidden/>
              </w:rPr>
              <w:fldChar w:fldCharType="end"/>
            </w:r>
          </w:hyperlink>
        </w:p>
        <w:p w14:paraId="536409AC" w14:textId="76BAED96" w:rsidR="004E0ADF" w:rsidRDefault="004E0ADF">
          <w:pPr>
            <w:pStyle w:val="TOC2"/>
            <w:tabs>
              <w:tab w:val="left" w:pos="880"/>
              <w:tab w:val="right" w:leader="dot" w:pos="9016"/>
            </w:tabs>
            <w:rPr>
              <w:rFonts w:asciiTheme="minorHAnsi" w:eastAsiaTheme="minorEastAsia" w:hAnsiTheme="minorHAnsi"/>
              <w:noProof/>
              <w:lang w:eastAsia="en-GB"/>
            </w:rPr>
          </w:pPr>
          <w:hyperlink w:anchor="_Toc503445946" w:history="1">
            <w:r w:rsidRPr="00EC181D">
              <w:rPr>
                <w:rStyle w:val="Hyperlink"/>
                <w:noProof/>
              </w:rPr>
              <w:t>10.1</w:t>
            </w:r>
            <w:r>
              <w:rPr>
                <w:rFonts w:asciiTheme="minorHAnsi" w:eastAsiaTheme="minorEastAsia" w:hAnsiTheme="minorHAnsi"/>
                <w:noProof/>
                <w:lang w:eastAsia="en-GB"/>
              </w:rPr>
              <w:tab/>
            </w:r>
            <w:r w:rsidRPr="00EC181D">
              <w:rPr>
                <w:rStyle w:val="Hyperlink"/>
                <w:noProof/>
              </w:rPr>
              <w:t>Method</w:t>
            </w:r>
            <w:r>
              <w:rPr>
                <w:noProof/>
                <w:webHidden/>
              </w:rPr>
              <w:tab/>
            </w:r>
            <w:r>
              <w:rPr>
                <w:noProof/>
                <w:webHidden/>
              </w:rPr>
              <w:fldChar w:fldCharType="begin"/>
            </w:r>
            <w:r>
              <w:rPr>
                <w:noProof/>
                <w:webHidden/>
              </w:rPr>
              <w:instrText xml:space="preserve"> PAGEREF _Toc503445946 \h </w:instrText>
            </w:r>
            <w:r>
              <w:rPr>
                <w:noProof/>
                <w:webHidden/>
              </w:rPr>
            </w:r>
            <w:r>
              <w:rPr>
                <w:noProof/>
                <w:webHidden/>
              </w:rPr>
              <w:fldChar w:fldCharType="separate"/>
            </w:r>
            <w:r>
              <w:rPr>
                <w:noProof/>
                <w:webHidden/>
              </w:rPr>
              <w:t>xvii</w:t>
            </w:r>
            <w:r>
              <w:rPr>
                <w:noProof/>
                <w:webHidden/>
              </w:rPr>
              <w:fldChar w:fldCharType="end"/>
            </w:r>
          </w:hyperlink>
        </w:p>
        <w:p w14:paraId="3FD3DD02" w14:textId="2E4E69AD" w:rsidR="004E0ADF" w:rsidRDefault="004E0ADF">
          <w:pPr>
            <w:pStyle w:val="TOC2"/>
            <w:tabs>
              <w:tab w:val="left" w:pos="880"/>
              <w:tab w:val="right" w:leader="dot" w:pos="9016"/>
            </w:tabs>
            <w:rPr>
              <w:rFonts w:asciiTheme="minorHAnsi" w:eastAsiaTheme="minorEastAsia" w:hAnsiTheme="minorHAnsi"/>
              <w:noProof/>
              <w:lang w:eastAsia="en-GB"/>
            </w:rPr>
          </w:pPr>
          <w:hyperlink w:anchor="_Toc503445947" w:history="1">
            <w:r w:rsidRPr="00EC181D">
              <w:rPr>
                <w:rStyle w:val="Hyperlink"/>
                <w:noProof/>
              </w:rPr>
              <w:t>10.2</w:t>
            </w:r>
            <w:r>
              <w:rPr>
                <w:rFonts w:asciiTheme="minorHAnsi" w:eastAsiaTheme="minorEastAsia" w:hAnsiTheme="minorHAnsi"/>
                <w:noProof/>
                <w:lang w:eastAsia="en-GB"/>
              </w:rPr>
              <w:tab/>
            </w:r>
            <w:r w:rsidRPr="00EC181D">
              <w:rPr>
                <w:rStyle w:val="Hyperlink"/>
                <w:noProof/>
              </w:rPr>
              <w:t>Results</w:t>
            </w:r>
            <w:r>
              <w:rPr>
                <w:noProof/>
                <w:webHidden/>
              </w:rPr>
              <w:tab/>
            </w:r>
            <w:r>
              <w:rPr>
                <w:noProof/>
                <w:webHidden/>
              </w:rPr>
              <w:fldChar w:fldCharType="begin"/>
            </w:r>
            <w:r>
              <w:rPr>
                <w:noProof/>
                <w:webHidden/>
              </w:rPr>
              <w:instrText xml:space="preserve"> PAGEREF _Toc503445947 \h </w:instrText>
            </w:r>
            <w:r>
              <w:rPr>
                <w:noProof/>
                <w:webHidden/>
              </w:rPr>
            </w:r>
            <w:r>
              <w:rPr>
                <w:noProof/>
                <w:webHidden/>
              </w:rPr>
              <w:fldChar w:fldCharType="separate"/>
            </w:r>
            <w:r>
              <w:rPr>
                <w:noProof/>
                <w:webHidden/>
              </w:rPr>
              <w:t>xvii</w:t>
            </w:r>
            <w:r>
              <w:rPr>
                <w:noProof/>
                <w:webHidden/>
              </w:rPr>
              <w:fldChar w:fldCharType="end"/>
            </w:r>
          </w:hyperlink>
        </w:p>
        <w:p w14:paraId="3DD2782F" w14:textId="4D5B9D15" w:rsidR="004E0ADF" w:rsidRDefault="004E0ADF">
          <w:pPr>
            <w:pStyle w:val="TOC1"/>
            <w:tabs>
              <w:tab w:val="left" w:pos="660"/>
              <w:tab w:val="right" w:leader="dot" w:pos="9016"/>
            </w:tabs>
            <w:rPr>
              <w:rFonts w:asciiTheme="minorHAnsi" w:eastAsiaTheme="minorEastAsia" w:hAnsiTheme="minorHAnsi"/>
              <w:noProof/>
              <w:lang w:eastAsia="en-GB"/>
            </w:rPr>
          </w:pPr>
          <w:hyperlink w:anchor="_Toc503445948" w:history="1">
            <w:r w:rsidRPr="00EC181D">
              <w:rPr>
                <w:rStyle w:val="Hyperlink"/>
                <w:noProof/>
              </w:rPr>
              <w:t>11</w:t>
            </w:r>
            <w:r>
              <w:rPr>
                <w:rFonts w:asciiTheme="minorHAnsi" w:eastAsiaTheme="minorEastAsia" w:hAnsiTheme="minorHAnsi"/>
                <w:noProof/>
                <w:lang w:eastAsia="en-GB"/>
              </w:rPr>
              <w:tab/>
            </w:r>
            <w:r w:rsidRPr="00EC181D">
              <w:rPr>
                <w:rStyle w:val="Hyperlink"/>
                <w:noProof/>
              </w:rPr>
              <w:t>N2 and O2 Concentrations</w:t>
            </w:r>
            <w:r>
              <w:rPr>
                <w:noProof/>
                <w:webHidden/>
              </w:rPr>
              <w:tab/>
            </w:r>
            <w:r>
              <w:rPr>
                <w:noProof/>
                <w:webHidden/>
              </w:rPr>
              <w:fldChar w:fldCharType="begin"/>
            </w:r>
            <w:r>
              <w:rPr>
                <w:noProof/>
                <w:webHidden/>
              </w:rPr>
              <w:instrText xml:space="preserve"> PAGEREF _Toc503445948 \h </w:instrText>
            </w:r>
            <w:r>
              <w:rPr>
                <w:noProof/>
                <w:webHidden/>
              </w:rPr>
            </w:r>
            <w:r>
              <w:rPr>
                <w:noProof/>
                <w:webHidden/>
              </w:rPr>
              <w:fldChar w:fldCharType="separate"/>
            </w:r>
            <w:r>
              <w:rPr>
                <w:noProof/>
                <w:webHidden/>
              </w:rPr>
              <w:t>xviii</w:t>
            </w:r>
            <w:r>
              <w:rPr>
                <w:noProof/>
                <w:webHidden/>
              </w:rPr>
              <w:fldChar w:fldCharType="end"/>
            </w:r>
          </w:hyperlink>
        </w:p>
        <w:p w14:paraId="4E597079" w14:textId="55C1B67F" w:rsidR="004E0ADF" w:rsidRDefault="004E0ADF">
          <w:pPr>
            <w:pStyle w:val="TOC2"/>
            <w:tabs>
              <w:tab w:val="left" w:pos="880"/>
              <w:tab w:val="right" w:leader="dot" w:pos="9016"/>
            </w:tabs>
            <w:rPr>
              <w:rFonts w:asciiTheme="minorHAnsi" w:eastAsiaTheme="minorEastAsia" w:hAnsiTheme="minorHAnsi"/>
              <w:noProof/>
              <w:lang w:eastAsia="en-GB"/>
            </w:rPr>
          </w:pPr>
          <w:hyperlink w:anchor="_Toc503445949" w:history="1">
            <w:r w:rsidRPr="00EC181D">
              <w:rPr>
                <w:rStyle w:val="Hyperlink"/>
                <w:noProof/>
              </w:rPr>
              <w:t>11.1</w:t>
            </w:r>
            <w:r>
              <w:rPr>
                <w:rFonts w:asciiTheme="minorHAnsi" w:eastAsiaTheme="minorEastAsia" w:hAnsiTheme="minorHAnsi"/>
                <w:noProof/>
                <w:lang w:eastAsia="en-GB"/>
              </w:rPr>
              <w:tab/>
            </w:r>
            <w:r w:rsidRPr="00EC181D">
              <w:rPr>
                <w:rStyle w:val="Hyperlink"/>
                <w:noProof/>
              </w:rPr>
              <w:t>Method</w:t>
            </w:r>
            <w:r>
              <w:rPr>
                <w:noProof/>
                <w:webHidden/>
              </w:rPr>
              <w:tab/>
            </w:r>
            <w:r>
              <w:rPr>
                <w:noProof/>
                <w:webHidden/>
              </w:rPr>
              <w:fldChar w:fldCharType="begin"/>
            </w:r>
            <w:r>
              <w:rPr>
                <w:noProof/>
                <w:webHidden/>
              </w:rPr>
              <w:instrText xml:space="preserve"> PAGEREF _Toc503445949 \h </w:instrText>
            </w:r>
            <w:r>
              <w:rPr>
                <w:noProof/>
                <w:webHidden/>
              </w:rPr>
            </w:r>
            <w:r>
              <w:rPr>
                <w:noProof/>
                <w:webHidden/>
              </w:rPr>
              <w:fldChar w:fldCharType="separate"/>
            </w:r>
            <w:r>
              <w:rPr>
                <w:noProof/>
                <w:webHidden/>
              </w:rPr>
              <w:t>xviii</w:t>
            </w:r>
            <w:r>
              <w:rPr>
                <w:noProof/>
                <w:webHidden/>
              </w:rPr>
              <w:fldChar w:fldCharType="end"/>
            </w:r>
          </w:hyperlink>
        </w:p>
        <w:p w14:paraId="583CC426" w14:textId="11A3EC7A" w:rsidR="004E0ADF" w:rsidRDefault="004E0ADF">
          <w:pPr>
            <w:pStyle w:val="TOC2"/>
            <w:tabs>
              <w:tab w:val="left" w:pos="880"/>
              <w:tab w:val="right" w:leader="dot" w:pos="9016"/>
            </w:tabs>
            <w:rPr>
              <w:rFonts w:asciiTheme="minorHAnsi" w:eastAsiaTheme="minorEastAsia" w:hAnsiTheme="minorHAnsi"/>
              <w:noProof/>
              <w:lang w:eastAsia="en-GB"/>
            </w:rPr>
          </w:pPr>
          <w:hyperlink w:anchor="_Toc503445950" w:history="1">
            <w:r w:rsidRPr="00EC181D">
              <w:rPr>
                <w:rStyle w:val="Hyperlink"/>
                <w:noProof/>
              </w:rPr>
              <w:t>11.2</w:t>
            </w:r>
            <w:r>
              <w:rPr>
                <w:rFonts w:asciiTheme="minorHAnsi" w:eastAsiaTheme="minorEastAsia" w:hAnsiTheme="minorHAnsi"/>
                <w:noProof/>
                <w:lang w:eastAsia="en-GB"/>
              </w:rPr>
              <w:tab/>
            </w:r>
            <w:r w:rsidRPr="00EC181D">
              <w:rPr>
                <w:rStyle w:val="Hyperlink"/>
                <w:noProof/>
              </w:rPr>
              <w:t>Results</w:t>
            </w:r>
            <w:r>
              <w:rPr>
                <w:noProof/>
                <w:webHidden/>
              </w:rPr>
              <w:tab/>
            </w:r>
            <w:r>
              <w:rPr>
                <w:noProof/>
                <w:webHidden/>
              </w:rPr>
              <w:fldChar w:fldCharType="begin"/>
            </w:r>
            <w:r>
              <w:rPr>
                <w:noProof/>
                <w:webHidden/>
              </w:rPr>
              <w:instrText xml:space="preserve"> PAGEREF _Toc503445950 \h </w:instrText>
            </w:r>
            <w:r>
              <w:rPr>
                <w:noProof/>
                <w:webHidden/>
              </w:rPr>
            </w:r>
            <w:r>
              <w:rPr>
                <w:noProof/>
                <w:webHidden/>
              </w:rPr>
              <w:fldChar w:fldCharType="separate"/>
            </w:r>
            <w:r>
              <w:rPr>
                <w:noProof/>
                <w:webHidden/>
              </w:rPr>
              <w:t>xviii</w:t>
            </w:r>
            <w:r>
              <w:rPr>
                <w:noProof/>
                <w:webHidden/>
              </w:rPr>
              <w:fldChar w:fldCharType="end"/>
            </w:r>
          </w:hyperlink>
        </w:p>
        <w:p w14:paraId="2E3DB8C0" w14:textId="06473252" w:rsidR="004E0ADF" w:rsidRDefault="004E0ADF">
          <w:pPr>
            <w:pStyle w:val="TOC2"/>
            <w:tabs>
              <w:tab w:val="left" w:pos="880"/>
              <w:tab w:val="right" w:leader="dot" w:pos="9016"/>
            </w:tabs>
            <w:rPr>
              <w:rFonts w:asciiTheme="minorHAnsi" w:eastAsiaTheme="minorEastAsia" w:hAnsiTheme="minorHAnsi"/>
              <w:noProof/>
              <w:lang w:eastAsia="en-GB"/>
            </w:rPr>
          </w:pPr>
          <w:hyperlink w:anchor="_Toc503445951" w:history="1">
            <w:r w:rsidRPr="00EC181D">
              <w:rPr>
                <w:rStyle w:val="Hyperlink"/>
                <w:noProof/>
              </w:rPr>
              <w:t>11.3</w:t>
            </w:r>
            <w:r>
              <w:rPr>
                <w:rFonts w:asciiTheme="minorHAnsi" w:eastAsiaTheme="minorEastAsia" w:hAnsiTheme="minorHAnsi"/>
                <w:noProof/>
                <w:lang w:eastAsia="en-GB"/>
              </w:rPr>
              <w:tab/>
            </w:r>
            <w:r w:rsidRPr="00EC181D">
              <w:rPr>
                <w:rStyle w:val="Hyperlink"/>
                <w:noProof/>
              </w:rPr>
              <w:t>Analysis</w:t>
            </w:r>
            <w:r>
              <w:rPr>
                <w:noProof/>
                <w:webHidden/>
              </w:rPr>
              <w:tab/>
            </w:r>
            <w:r>
              <w:rPr>
                <w:noProof/>
                <w:webHidden/>
              </w:rPr>
              <w:fldChar w:fldCharType="begin"/>
            </w:r>
            <w:r>
              <w:rPr>
                <w:noProof/>
                <w:webHidden/>
              </w:rPr>
              <w:instrText xml:space="preserve"> PAGEREF _Toc503445951 \h </w:instrText>
            </w:r>
            <w:r>
              <w:rPr>
                <w:noProof/>
                <w:webHidden/>
              </w:rPr>
            </w:r>
            <w:r>
              <w:rPr>
                <w:noProof/>
                <w:webHidden/>
              </w:rPr>
              <w:fldChar w:fldCharType="separate"/>
            </w:r>
            <w:r>
              <w:rPr>
                <w:noProof/>
                <w:webHidden/>
              </w:rPr>
              <w:t>xix</w:t>
            </w:r>
            <w:r>
              <w:rPr>
                <w:noProof/>
                <w:webHidden/>
              </w:rPr>
              <w:fldChar w:fldCharType="end"/>
            </w:r>
          </w:hyperlink>
        </w:p>
        <w:p w14:paraId="10E57A84" w14:textId="2B35142B" w:rsidR="004E0ADF" w:rsidRDefault="004E0ADF">
          <w:pPr>
            <w:pStyle w:val="TOC1"/>
            <w:tabs>
              <w:tab w:val="left" w:pos="660"/>
              <w:tab w:val="right" w:leader="dot" w:pos="9016"/>
            </w:tabs>
            <w:rPr>
              <w:rFonts w:asciiTheme="minorHAnsi" w:eastAsiaTheme="minorEastAsia" w:hAnsiTheme="minorHAnsi"/>
              <w:noProof/>
              <w:lang w:eastAsia="en-GB"/>
            </w:rPr>
          </w:pPr>
          <w:hyperlink w:anchor="_Toc503445952" w:history="1">
            <w:r w:rsidRPr="00EC181D">
              <w:rPr>
                <w:rStyle w:val="Hyperlink"/>
                <w:noProof/>
              </w:rPr>
              <w:t>12</w:t>
            </w:r>
            <w:r>
              <w:rPr>
                <w:rFonts w:asciiTheme="minorHAnsi" w:eastAsiaTheme="minorEastAsia" w:hAnsiTheme="minorHAnsi"/>
                <w:noProof/>
                <w:lang w:eastAsia="en-GB"/>
              </w:rPr>
              <w:tab/>
            </w:r>
            <w:r w:rsidRPr="00EC181D">
              <w:rPr>
                <w:rStyle w:val="Hyperlink"/>
                <w:noProof/>
              </w:rPr>
              <w:t>Zeldovich Model</w:t>
            </w:r>
            <w:r>
              <w:rPr>
                <w:noProof/>
                <w:webHidden/>
              </w:rPr>
              <w:tab/>
            </w:r>
            <w:r>
              <w:rPr>
                <w:noProof/>
                <w:webHidden/>
              </w:rPr>
              <w:fldChar w:fldCharType="begin"/>
            </w:r>
            <w:r>
              <w:rPr>
                <w:noProof/>
                <w:webHidden/>
              </w:rPr>
              <w:instrText xml:space="preserve"> PAGEREF _Toc503445952 \h </w:instrText>
            </w:r>
            <w:r>
              <w:rPr>
                <w:noProof/>
                <w:webHidden/>
              </w:rPr>
            </w:r>
            <w:r>
              <w:rPr>
                <w:noProof/>
                <w:webHidden/>
              </w:rPr>
              <w:fldChar w:fldCharType="separate"/>
            </w:r>
            <w:r>
              <w:rPr>
                <w:noProof/>
                <w:webHidden/>
              </w:rPr>
              <w:t>xx</w:t>
            </w:r>
            <w:r>
              <w:rPr>
                <w:noProof/>
                <w:webHidden/>
              </w:rPr>
              <w:fldChar w:fldCharType="end"/>
            </w:r>
          </w:hyperlink>
        </w:p>
        <w:p w14:paraId="4E99C87C" w14:textId="50A03394" w:rsidR="004E0ADF" w:rsidRDefault="004E0ADF">
          <w:pPr>
            <w:pStyle w:val="TOC2"/>
            <w:tabs>
              <w:tab w:val="left" w:pos="880"/>
              <w:tab w:val="right" w:leader="dot" w:pos="9016"/>
            </w:tabs>
            <w:rPr>
              <w:rFonts w:asciiTheme="minorHAnsi" w:eastAsiaTheme="minorEastAsia" w:hAnsiTheme="minorHAnsi"/>
              <w:noProof/>
              <w:lang w:eastAsia="en-GB"/>
            </w:rPr>
          </w:pPr>
          <w:hyperlink w:anchor="_Toc503445953" w:history="1">
            <w:r w:rsidRPr="00EC181D">
              <w:rPr>
                <w:rStyle w:val="Hyperlink"/>
                <w:noProof/>
              </w:rPr>
              <w:t>12.1</w:t>
            </w:r>
            <w:r>
              <w:rPr>
                <w:rFonts w:asciiTheme="minorHAnsi" w:eastAsiaTheme="minorEastAsia" w:hAnsiTheme="minorHAnsi"/>
                <w:noProof/>
                <w:lang w:eastAsia="en-GB"/>
              </w:rPr>
              <w:tab/>
            </w:r>
            <w:r w:rsidRPr="00EC181D">
              <w:rPr>
                <w:rStyle w:val="Hyperlink"/>
                <w:noProof/>
              </w:rPr>
              <w:t>Method</w:t>
            </w:r>
            <w:r>
              <w:rPr>
                <w:noProof/>
                <w:webHidden/>
              </w:rPr>
              <w:tab/>
            </w:r>
            <w:r>
              <w:rPr>
                <w:noProof/>
                <w:webHidden/>
              </w:rPr>
              <w:fldChar w:fldCharType="begin"/>
            </w:r>
            <w:r>
              <w:rPr>
                <w:noProof/>
                <w:webHidden/>
              </w:rPr>
              <w:instrText xml:space="preserve"> PAGEREF _Toc503445953 \h </w:instrText>
            </w:r>
            <w:r>
              <w:rPr>
                <w:noProof/>
                <w:webHidden/>
              </w:rPr>
            </w:r>
            <w:r>
              <w:rPr>
                <w:noProof/>
                <w:webHidden/>
              </w:rPr>
              <w:fldChar w:fldCharType="separate"/>
            </w:r>
            <w:r>
              <w:rPr>
                <w:noProof/>
                <w:webHidden/>
              </w:rPr>
              <w:t>xx</w:t>
            </w:r>
            <w:r>
              <w:rPr>
                <w:noProof/>
                <w:webHidden/>
              </w:rPr>
              <w:fldChar w:fldCharType="end"/>
            </w:r>
          </w:hyperlink>
        </w:p>
        <w:p w14:paraId="7CAD0F2A" w14:textId="0EA0C7B9" w:rsidR="004E0ADF" w:rsidRDefault="004E0ADF">
          <w:pPr>
            <w:pStyle w:val="TOC2"/>
            <w:tabs>
              <w:tab w:val="left" w:pos="880"/>
              <w:tab w:val="right" w:leader="dot" w:pos="9016"/>
            </w:tabs>
            <w:rPr>
              <w:rFonts w:asciiTheme="minorHAnsi" w:eastAsiaTheme="minorEastAsia" w:hAnsiTheme="minorHAnsi"/>
              <w:noProof/>
              <w:lang w:eastAsia="en-GB"/>
            </w:rPr>
          </w:pPr>
          <w:hyperlink w:anchor="_Toc503445954" w:history="1">
            <w:r w:rsidRPr="00EC181D">
              <w:rPr>
                <w:rStyle w:val="Hyperlink"/>
                <w:noProof/>
              </w:rPr>
              <w:t>12.2</w:t>
            </w:r>
            <w:r>
              <w:rPr>
                <w:rFonts w:asciiTheme="minorHAnsi" w:eastAsiaTheme="minorEastAsia" w:hAnsiTheme="minorHAnsi"/>
                <w:noProof/>
                <w:lang w:eastAsia="en-GB"/>
              </w:rPr>
              <w:tab/>
            </w:r>
            <w:r w:rsidRPr="00EC181D">
              <w:rPr>
                <w:rStyle w:val="Hyperlink"/>
                <w:noProof/>
              </w:rPr>
              <w:t>Results</w:t>
            </w:r>
            <w:r>
              <w:rPr>
                <w:noProof/>
                <w:webHidden/>
              </w:rPr>
              <w:tab/>
            </w:r>
            <w:r>
              <w:rPr>
                <w:noProof/>
                <w:webHidden/>
              </w:rPr>
              <w:fldChar w:fldCharType="begin"/>
            </w:r>
            <w:r>
              <w:rPr>
                <w:noProof/>
                <w:webHidden/>
              </w:rPr>
              <w:instrText xml:space="preserve"> PAGEREF _Toc503445954 \h </w:instrText>
            </w:r>
            <w:r>
              <w:rPr>
                <w:noProof/>
                <w:webHidden/>
              </w:rPr>
            </w:r>
            <w:r>
              <w:rPr>
                <w:noProof/>
                <w:webHidden/>
              </w:rPr>
              <w:fldChar w:fldCharType="separate"/>
            </w:r>
            <w:r>
              <w:rPr>
                <w:noProof/>
                <w:webHidden/>
              </w:rPr>
              <w:t>xx</w:t>
            </w:r>
            <w:r>
              <w:rPr>
                <w:noProof/>
                <w:webHidden/>
              </w:rPr>
              <w:fldChar w:fldCharType="end"/>
            </w:r>
          </w:hyperlink>
        </w:p>
        <w:p w14:paraId="162BC176" w14:textId="70C18D29" w:rsidR="004E0ADF" w:rsidRDefault="004E0ADF">
          <w:pPr>
            <w:pStyle w:val="TOC2"/>
            <w:tabs>
              <w:tab w:val="left" w:pos="880"/>
              <w:tab w:val="right" w:leader="dot" w:pos="9016"/>
            </w:tabs>
            <w:rPr>
              <w:rFonts w:asciiTheme="minorHAnsi" w:eastAsiaTheme="minorEastAsia" w:hAnsiTheme="minorHAnsi"/>
              <w:noProof/>
              <w:lang w:eastAsia="en-GB"/>
            </w:rPr>
          </w:pPr>
          <w:hyperlink w:anchor="_Toc503445955" w:history="1">
            <w:r w:rsidRPr="00EC181D">
              <w:rPr>
                <w:rStyle w:val="Hyperlink"/>
                <w:noProof/>
              </w:rPr>
              <w:t>12.3</w:t>
            </w:r>
            <w:r>
              <w:rPr>
                <w:rFonts w:asciiTheme="minorHAnsi" w:eastAsiaTheme="minorEastAsia" w:hAnsiTheme="minorHAnsi"/>
                <w:noProof/>
                <w:lang w:eastAsia="en-GB"/>
              </w:rPr>
              <w:tab/>
            </w:r>
            <w:r w:rsidRPr="00EC181D">
              <w:rPr>
                <w:rStyle w:val="Hyperlink"/>
                <w:noProof/>
              </w:rPr>
              <w:t>Analysis</w:t>
            </w:r>
            <w:r>
              <w:rPr>
                <w:noProof/>
                <w:webHidden/>
              </w:rPr>
              <w:tab/>
            </w:r>
            <w:r>
              <w:rPr>
                <w:noProof/>
                <w:webHidden/>
              </w:rPr>
              <w:fldChar w:fldCharType="begin"/>
            </w:r>
            <w:r>
              <w:rPr>
                <w:noProof/>
                <w:webHidden/>
              </w:rPr>
              <w:instrText xml:space="preserve"> PAGEREF _Toc503445955 \h </w:instrText>
            </w:r>
            <w:r>
              <w:rPr>
                <w:noProof/>
                <w:webHidden/>
              </w:rPr>
            </w:r>
            <w:r>
              <w:rPr>
                <w:noProof/>
                <w:webHidden/>
              </w:rPr>
              <w:fldChar w:fldCharType="separate"/>
            </w:r>
            <w:r>
              <w:rPr>
                <w:noProof/>
                <w:webHidden/>
              </w:rPr>
              <w:t>xx</w:t>
            </w:r>
            <w:r>
              <w:rPr>
                <w:noProof/>
                <w:webHidden/>
              </w:rPr>
              <w:fldChar w:fldCharType="end"/>
            </w:r>
          </w:hyperlink>
        </w:p>
        <w:p w14:paraId="27A98171" w14:textId="0051B17D" w:rsidR="004E0ADF" w:rsidRDefault="004E0ADF">
          <w:pPr>
            <w:pStyle w:val="TOC1"/>
            <w:tabs>
              <w:tab w:val="left" w:pos="660"/>
              <w:tab w:val="right" w:leader="dot" w:pos="9016"/>
            </w:tabs>
            <w:rPr>
              <w:rFonts w:asciiTheme="minorHAnsi" w:eastAsiaTheme="minorEastAsia" w:hAnsiTheme="minorHAnsi"/>
              <w:noProof/>
              <w:lang w:eastAsia="en-GB"/>
            </w:rPr>
          </w:pPr>
          <w:hyperlink w:anchor="_Toc503445956" w:history="1">
            <w:r w:rsidRPr="00EC181D">
              <w:rPr>
                <w:rStyle w:val="Hyperlink"/>
                <w:noProof/>
              </w:rPr>
              <w:t>13</w:t>
            </w:r>
            <w:r>
              <w:rPr>
                <w:rFonts w:asciiTheme="minorHAnsi" w:eastAsiaTheme="minorEastAsia" w:hAnsiTheme="minorHAnsi"/>
                <w:noProof/>
                <w:lang w:eastAsia="en-GB"/>
              </w:rPr>
              <w:tab/>
            </w:r>
            <w:r w:rsidRPr="00EC181D">
              <w:rPr>
                <w:rStyle w:val="Hyperlink"/>
                <w:noProof/>
              </w:rPr>
              <w:t>Kmols of NOx per Degree</w:t>
            </w:r>
            <w:r>
              <w:rPr>
                <w:noProof/>
                <w:webHidden/>
              </w:rPr>
              <w:tab/>
            </w:r>
            <w:r>
              <w:rPr>
                <w:noProof/>
                <w:webHidden/>
              </w:rPr>
              <w:fldChar w:fldCharType="begin"/>
            </w:r>
            <w:r>
              <w:rPr>
                <w:noProof/>
                <w:webHidden/>
              </w:rPr>
              <w:instrText xml:space="preserve"> PAGEREF _Toc503445956 \h </w:instrText>
            </w:r>
            <w:r>
              <w:rPr>
                <w:noProof/>
                <w:webHidden/>
              </w:rPr>
            </w:r>
            <w:r>
              <w:rPr>
                <w:noProof/>
                <w:webHidden/>
              </w:rPr>
              <w:fldChar w:fldCharType="separate"/>
            </w:r>
            <w:r>
              <w:rPr>
                <w:noProof/>
                <w:webHidden/>
              </w:rPr>
              <w:t>xxi</w:t>
            </w:r>
            <w:r>
              <w:rPr>
                <w:noProof/>
                <w:webHidden/>
              </w:rPr>
              <w:fldChar w:fldCharType="end"/>
            </w:r>
          </w:hyperlink>
        </w:p>
        <w:p w14:paraId="2CD7A105" w14:textId="40F8267F" w:rsidR="004E0ADF" w:rsidRDefault="004E0ADF">
          <w:pPr>
            <w:pStyle w:val="TOC2"/>
            <w:tabs>
              <w:tab w:val="left" w:pos="880"/>
              <w:tab w:val="right" w:leader="dot" w:pos="9016"/>
            </w:tabs>
            <w:rPr>
              <w:rFonts w:asciiTheme="minorHAnsi" w:eastAsiaTheme="minorEastAsia" w:hAnsiTheme="minorHAnsi"/>
              <w:noProof/>
              <w:lang w:eastAsia="en-GB"/>
            </w:rPr>
          </w:pPr>
          <w:hyperlink w:anchor="_Toc503445957" w:history="1">
            <w:r w:rsidRPr="00EC181D">
              <w:rPr>
                <w:rStyle w:val="Hyperlink"/>
                <w:noProof/>
              </w:rPr>
              <w:t>13.1</w:t>
            </w:r>
            <w:r>
              <w:rPr>
                <w:rFonts w:asciiTheme="minorHAnsi" w:eastAsiaTheme="minorEastAsia" w:hAnsiTheme="minorHAnsi"/>
                <w:noProof/>
                <w:lang w:eastAsia="en-GB"/>
              </w:rPr>
              <w:tab/>
            </w:r>
            <w:r w:rsidRPr="00EC181D">
              <w:rPr>
                <w:rStyle w:val="Hyperlink"/>
                <w:noProof/>
              </w:rPr>
              <w:t>Method</w:t>
            </w:r>
            <w:r>
              <w:rPr>
                <w:noProof/>
                <w:webHidden/>
              </w:rPr>
              <w:tab/>
            </w:r>
            <w:r>
              <w:rPr>
                <w:noProof/>
                <w:webHidden/>
              </w:rPr>
              <w:fldChar w:fldCharType="begin"/>
            </w:r>
            <w:r>
              <w:rPr>
                <w:noProof/>
                <w:webHidden/>
              </w:rPr>
              <w:instrText xml:space="preserve"> PAGEREF _Toc503445957 \h </w:instrText>
            </w:r>
            <w:r>
              <w:rPr>
                <w:noProof/>
                <w:webHidden/>
              </w:rPr>
            </w:r>
            <w:r>
              <w:rPr>
                <w:noProof/>
                <w:webHidden/>
              </w:rPr>
              <w:fldChar w:fldCharType="separate"/>
            </w:r>
            <w:r>
              <w:rPr>
                <w:noProof/>
                <w:webHidden/>
              </w:rPr>
              <w:t>xxi</w:t>
            </w:r>
            <w:r>
              <w:rPr>
                <w:noProof/>
                <w:webHidden/>
              </w:rPr>
              <w:fldChar w:fldCharType="end"/>
            </w:r>
          </w:hyperlink>
        </w:p>
        <w:p w14:paraId="674915E7" w14:textId="3DE3C4E4" w:rsidR="004E0ADF" w:rsidRDefault="004E0ADF">
          <w:pPr>
            <w:pStyle w:val="TOC2"/>
            <w:tabs>
              <w:tab w:val="left" w:pos="880"/>
              <w:tab w:val="right" w:leader="dot" w:pos="9016"/>
            </w:tabs>
            <w:rPr>
              <w:rFonts w:asciiTheme="minorHAnsi" w:eastAsiaTheme="minorEastAsia" w:hAnsiTheme="minorHAnsi"/>
              <w:noProof/>
              <w:lang w:eastAsia="en-GB"/>
            </w:rPr>
          </w:pPr>
          <w:hyperlink w:anchor="_Toc503445958" w:history="1">
            <w:r w:rsidRPr="00EC181D">
              <w:rPr>
                <w:rStyle w:val="Hyperlink"/>
                <w:noProof/>
              </w:rPr>
              <w:t>13.2</w:t>
            </w:r>
            <w:r>
              <w:rPr>
                <w:rFonts w:asciiTheme="minorHAnsi" w:eastAsiaTheme="minorEastAsia" w:hAnsiTheme="minorHAnsi"/>
                <w:noProof/>
                <w:lang w:eastAsia="en-GB"/>
              </w:rPr>
              <w:tab/>
            </w:r>
            <w:r w:rsidRPr="00EC181D">
              <w:rPr>
                <w:rStyle w:val="Hyperlink"/>
                <w:noProof/>
              </w:rPr>
              <w:t>Results</w:t>
            </w:r>
            <w:r>
              <w:rPr>
                <w:noProof/>
                <w:webHidden/>
              </w:rPr>
              <w:tab/>
            </w:r>
            <w:r>
              <w:rPr>
                <w:noProof/>
                <w:webHidden/>
              </w:rPr>
              <w:fldChar w:fldCharType="begin"/>
            </w:r>
            <w:r>
              <w:rPr>
                <w:noProof/>
                <w:webHidden/>
              </w:rPr>
              <w:instrText xml:space="preserve"> PAGEREF _Toc503445958 \h </w:instrText>
            </w:r>
            <w:r>
              <w:rPr>
                <w:noProof/>
                <w:webHidden/>
              </w:rPr>
            </w:r>
            <w:r>
              <w:rPr>
                <w:noProof/>
                <w:webHidden/>
              </w:rPr>
              <w:fldChar w:fldCharType="separate"/>
            </w:r>
            <w:r>
              <w:rPr>
                <w:noProof/>
                <w:webHidden/>
              </w:rPr>
              <w:t>xxi</w:t>
            </w:r>
            <w:r>
              <w:rPr>
                <w:noProof/>
                <w:webHidden/>
              </w:rPr>
              <w:fldChar w:fldCharType="end"/>
            </w:r>
          </w:hyperlink>
        </w:p>
        <w:p w14:paraId="79DA3DFE" w14:textId="7E560212" w:rsidR="004E0ADF" w:rsidRDefault="004E0ADF">
          <w:pPr>
            <w:pStyle w:val="TOC1"/>
            <w:tabs>
              <w:tab w:val="left" w:pos="660"/>
              <w:tab w:val="right" w:leader="dot" w:pos="9016"/>
            </w:tabs>
            <w:rPr>
              <w:rFonts w:asciiTheme="minorHAnsi" w:eastAsiaTheme="minorEastAsia" w:hAnsiTheme="minorHAnsi"/>
              <w:noProof/>
              <w:lang w:eastAsia="en-GB"/>
            </w:rPr>
          </w:pPr>
          <w:hyperlink w:anchor="_Toc503445959" w:history="1">
            <w:r w:rsidRPr="00EC181D">
              <w:rPr>
                <w:rStyle w:val="Hyperlink"/>
                <w:noProof/>
              </w:rPr>
              <w:t>14</w:t>
            </w:r>
            <w:r>
              <w:rPr>
                <w:rFonts w:asciiTheme="minorHAnsi" w:eastAsiaTheme="minorEastAsia" w:hAnsiTheme="minorHAnsi"/>
                <w:noProof/>
                <w:lang w:eastAsia="en-GB"/>
              </w:rPr>
              <w:tab/>
            </w:r>
            <w:r w:rsidRPr="00EC181D">
              <w:rPr>
                <w:rStyle w:val="Hyperlink"/>
                <w:noProof/>
              </w:rPr>
              <w:t>NOx in Cylinder</w:t>
            </w:r>
            <w:r>
              <w:rPr>
                <w:noProof/>
                <w:webHidden/>
              </w:rPr>
              <w:tab/>
            </w:r>
            <w:r>
              <w:rPr>
                <w:noProof/>
                <w:webHidden/>
              </w:rPr>
              <w:fldChar w:fldCharType="begin"/>
            </w:r>
            <w:r>
              <w:rPr>
                <w:noProof/>
                <w:webHidden/>
              </w:rPr>
              <w:instrText xml:space="preserve"> PAGEREF _Toc503445959 \h </w:instrText>
            </w:r>
            <w:r>
              <w:rPr>
                <w:noProof/>
                <w:webHidden/>
              </w:rPr>
            </w:r>
            <w:r>
              <w:rPr>
                <w:noProof/>
                <w:webHidden/>
              </w:rPr>
              <w:fldChar w:fldCharType="separate"/>
            </w:r>
            <w:r>
              <w:rPr>
                <w:noProof/>
                <w:webHidden/>
              </w:rPr>
              <w:t>xxii</w:t>
            </w:r>
            <w:r>
              <w:rPr>
                <w:noProof/>
                <w:webHidden/>
              </w:rPr>
              <w:fldChar w:fldCharType="end"/>
            </w:r>
          </w:hyperlink>
        </w:p>
        <w:p w14:paraId="44893BE0" w14:textId="61DDF86C" w:rsidR="004E0ADF" w:rsidRDefault="004E0ADF">
          <w:pPr>
            <w:pStyle w:val="TOC2"/>
            <w:tabs>
              <w:tab w:val="left" w:pos="880"/>
              <w:tab w:val="right" w:leader="dot" w:pos="9016"/>
            </w:tabs>
            <w:rPr>
              <w:rFonts w:asciiTheme="minorHAnsi" w:eastAsiaTheme="minorEastAsia" w:hAnsiTheme="minorHAnsi"/>
              <w:noProof/>
              <w:lang w:eastAsia="en-GB"/>
            </w:rPr>
          </w:pPr>
          <w:hyperlink w:anchor="_Toc503445960" w:history="1">
            <w:r w:rsidRPr="00EC181D">
              <w:rPr>
                <w:rStyle w:val="Hyperlink"/>
                <w:noProof/>
              </w:rPr>
              <w:t>14.1</w:t>
            </w:r>
            <w:r>
              <w:rPr>
                <w:rFonts w:asciiTheme="minorHAnsi" w:eastAsiaTheme="minorEastAsia" w:hAnsiTheme="minorHAnsi"/>
                <w:noProof/>
                <w:lang w:eastAsia="en-GB"/>
              </w:rPr>
              <w:tab/>
            </w:r>
            <w:r w:rsidRPr="00EC181D">
              <w:rPr>
                <w:rStyle w:val="Hyperlink"/>
                <w:noProof/>
              </w:rPr>
              <w:t>Method</w:t>
            </w:r>
            <w:r>
              <w:rPr>
                <w:noProof/>
                <w:webHidden/>
              </w:rPr>
              <w:tab/>
            </w:r>
            <w:r>
              <w:rPr>
                <w:noProof/>
                <w:webHidden/>
              </w:rPr>
              <w:fldChar w:fldCharType="begin"/>
            </w:r>
            <w:r>
              <w:rPr>
                <w:noProof/>
                <w:webHidden/>
              </w:rPr>
              <w:instrText xml:space="preserve"> PAGEREF _Toc503445960 \h </w:instrText>
            </w:r>
            <w:r>
              <w:rPr>
                <w:noProof/>
                <w:webHidden/>
              </w:rPr>
            </w:r>
            <w:r>
              <w:rPr>
                <w:noProof/>
                <w:webHidden/>
              </w:rPr>
              <w:fldChar w:fldCharType="separate"/>
            </w:r>
            <w:r>
              <w:rPr>
                <w:noProof/>
                <w:webHidden/>
              </w:rPr>
              <w:t>xxii</w:t>
            </w:r>
            <w:r>
              <w:rPr>
                <w:noProof/>
                <w:webHidden/>
              </w:rPr>
              <w:fldChar w:fldCharType="end"/>
            </w:r>
          </w:hyperlink>
        </w:p>
        <w:p w14:paraId="5FCACAED" w14:textId="680C0D9F" w:rsidR="004E0ADF" w:rsidRDefault="004E0ADF">
          <w:pPr>
            <w:pStyle w:val="TOC2"/>
            <w:tabs>
              <w:tab w:val="left" w:pos="880"/>
              <w:tab w:val="right" w:leader="dot" w:pos="9016"/>
            </w:tabs>
            <w:rPr>
              <w:rFonts w:asciiTheme="minorHAnsi" w:eastAsiaTheme="minorEastAsia" w:hAnsiTheme="minorHAnsi"/>
              <w:noProof/>
              <w:lang w:eastAsia="en-GB"/>
            </w:rPr>
          </w:pPr>
          <w:hyperlink w:anchor="_Toc503445961" w:history="1">
            <w:r w:rsidRPr="00EC181D">
              <w:rPr>
                <w:rStyle w:val="Hyperlink"/>
                <w:noProof/>
              </w:rPr>
              <w:t>14.2</w:t>
            </w:r>
            <w:r>
              <w:rPr>
                <w:rFonts w:asciiTheme="minorHAnsi" w:eastAsiaTheme="minorEastAsia" w:hAnsiTheme="minorHAnsi"/>
                <w:noProof/>
                <w:lang w:eastAsia="en-GB"/>
              </w:rPr>
              <w:tab/>
            </w:r>
            <w:r w:rsidRPr="00EC181D">
              <w:rPr>
                <w:rStyle w:val="Hyperlink"/>
                <w:noProof/>
              </w:rPr>
              <w:t>Results</w:t>
            </w:r>
            <w:r>
              <w:rPr>
                <w:noProof/>
                <w:webHidden/>
              </w:rPr>
              <w:tab/>
            </w:r>
            <w:r>
              <w:rPr>
                <w:noProof/>
                <w:webHidden/>
              </w:rPr>
              <w:fldChar w:fldCharType="begin"/>
            </w:r>
            <w:r>
              <w:rPr>
                <w:noProof/>
                <w:webHidden/>
              </w:rPr>
              <w:instrText xml:space="preserve"> PAGEREF _Toc503445961 \h </w:instrText>
            </w:r>
            <w:r>
              <w:rPr>
                <w:noProof/>
                <w:webHidden/>
              </w:rPr>
            </w:r>
            <w:r>
              <w:rPr>
                <w:noProof/>
                <w:webHidden/>
              </w:rPr>
              <w:fldChar w:fldCharType="separate"/>
            </w:r>
            <w:r>
              <w:rPr>
                <w:noProof/>
                <w:webHidden/>
              </w:rPr>
              <w:t>xxii</w:t>
            </w:r>
            <w:r>
              <w:rPr>
                <w:noProof/>
                <w:webHidden/>
              </w:rPr>
              <w:fldChar w:fldCharType="end"/>
            </w:r>
          </w:hyperlink>
        </w:p>
        <w:p w14:paraId="01D7DC0A" w14:textId="26DDA077" w:rsidR="004E0ADF" w:rsidRDefault="004E0ADF">
          <w:pPr>
            <w:pStyle w:val="TOC1"/>
            <w:tabs>
              <w:tab w:val="left" w:pos="660"/>
              <w:tab w:val="right" w:leader="dot" w:pos="9016"/>
            </w:tabs>
            <w:rPr>
              <w:rFonts w:asciiTheme="minorHAnsi" w:eastAsiaTheme="minorEastAsia" w:hAnsiTheme="minorHAnsi"/>
              <w:noProof/>
              <w:lang w:eastAsia="en-GB"/>
            </w:rPr>
          </w:pPr>
          <w:hyperlink w:anchor="_Toc503445962" w:history="1">
            <w:r w:rsidRPr="00EC181D">
              <w:rPr>
                <w:rStyle w:val="Hyperlink"/>
                <w:noProof/>
              </w:rPr>
              <w:t>15</w:t>
            </w:r>
            <w:r>
              <w:rPr>
                <w:rFonts w:asciiTheme="minorHAnsi" w:eastAsiaTheme="minorEastAsia" w:hAnsiTheme="minorHAnsi"/>
                <w:noProof/>
                <w:lang w:eastAsia="en-GB"/>
              </w:rPr>
              <w:tab/>
            </w:r>
            <w:r w:rsidRPr="00EC181D">
              <w:rPr>
                <w:rStyle w:val="Hyperlink"/>
                <w:noProof/>
              </w:rPr>
              <w:t>Total Kmols NOx made during combustion</w:t>
            </w:r>
            <w:r>
              <w:rPr>
                <w:noProof/>
                <w:webHidden/>
              </w:rPr>
              <w:tab/>
            </w:r>
            <w:r>
              <w:rPr>
                <w:noProof/>
                <w:webHidden/>
              </w:rPr>
              <w:fldChar w:fldCharType="begin"/>
            </w:r>
            <w:r>
              <w:rPr>
                <w:noProof/>
                <w:webHidden/>
              </w:rPr>
              <w:instrText xml:space="preserve"> PAGEREF _Toc503445962 \h </w:instrText>
            </w:r>
            <w:r>
              <w:rPr>
                <w:noProof/>
                <w:webHidden/>
              </w:rPr>
            </w:r>
            <w:r>
              <w:rPr>
                <w:noProof/>
                <w:webHidden/>
              </w:rPr>
              <w:fldChar w:fldCharType="separate"/>
            </w:r>
            <w:r>
              <w:rPr>
                <w:noProof/>
                <w:webHidden/>
              </w:rPr>
              <w:t>xxiii</w:t>
            </w:r>
            <w:r>
              <w:rPr>
                <w:noProof/>
                <w:webHidden/>
              </w:rPr>
              <w:fldChar w:fldCharType="end"/>
            </w:r>
          </w:hyperlink>
        </w:p>
        <w:p w14:paraId="51211B5D" w14:textId="5D8E2A3C" w:rsidR="004E0ADF" w:rsidRDefault="004E0ADF">
          <w:pPr>
            <w:pStyle w:val="TOC2"/>
            <w:tabs>
              <w:tab w:val="left" w:pos="880"/>
              <w:tab w:val="right" w:leader="dot" w:pos="9016"/>
            </w:tabs>
            <w:rPr>
              <w:rFonts w:asciiTheme="minorHAnsi" w:eastAsiaTheme="minorEastAsia" w:hAnsiTheme="minorHAnsi"/>
              <w:noProof/>
              <w:lang w:eastAsia="en-GB"/>
            </w:rPr>
          </w:pPr>
          <w:hyperlink w:anchor="_Toc503445963" w:history="1">
            <w:r w:rsidRPr="00EC181D">
              <w:rPr>
                <w:rStyle w:val="Hyperlink"/>
                <w:noProof/>
              </w:rPr>
              <w:t>15.1</w:t>
            </w:r>
            <w:r>
              <w:rPr>
                <w:rFonts w:asciiTheme="minorHAnsi" w:eastAsiaTheme="minorEastAsia" w:hAnsiTheme="minorHAnsi"/>
                <w:noProof/>
                <w:lang w:eastAsia="en-GB"/>
              </w:rPr>
              <w:tab/>
            </w:r>
            <w:r w:rsidRPr="00EC181D">
              <w:rPr>
                <w:rStyle w:val="Hyperlink"/>
                <w:noProof/>
              </w:rPr>
              <w:t>Method</w:t>
            </w:r>
            <w:r>
              <w:rPr>
                <w:noProof/>
                <w:webHidden/>
              </w:rPr>
              <w:tab/>
            </w:r>
            <w:r>
              <w:rPr>
                <w:noProof/>
                <w:webHidden/>
              </w:rPr>
              <w:fldChar w:fldCharType="begin"/>
            </w:r>
            <w:r>
              <w:rPr>
                <w:noProof/>
                <w:webHidden/>
              </w:rPr>
              <w:instrText xml:space="preserve"> PAGEREF _Toc503445963 \h </w:instrText>
            </w:r>
            <w:r>
              <w:rPr>
                <w:noProof/>
                <w:webHidden/>
              </w:rPr>
            </w:r>
            <w:r>
              <w:rPr>
                <w:noProof/>
                <w:webHidden/>
              </w:rPr>
              <w:fldChar w:fldCharType="separate"/>
            </w:r>
            <w:r>
              <w:rPr>
                <w:noProof/>
                <w:webHidden/>
              </w:rPr>
              <w:t>xxiii</w:t>
            </w:r>
            <w:r>
              <w:rPr>
                <w:noProof/>
                <w:webHidden/>
              </w:rPr>
              <w:fldChar w:fldCharType="end"/>
            </w:r>
          </w:hyperlink>
        </w:p>
        <w:p w14:paraId="7E238D4F" w14:textId="342A24CB" w:rsidR="004E0ADF" w:rsidRDefault="004E0ADF">
          <w:pPr>
            <w:pStyle w:val="TOC2"/>
            <w:tabs>
              <w:tab w:val="left" w:pos="880"/>
              <w:tab w:val="right" w:leader="dot" w:pos="9016"/>
            </w:tabs>
            <w:rPr>
              <w:rFonts w:asciiTheme="minorHAnsi" w:eastAsiaTheme="minorEastAsia" w:hAnsiTheme="minorHAnsi"/>
              <w:noProof/>
              <w:lang w:eastAsia="en-GB"/>
            </w:rPr>
          </w:pPr>
          <w:hyperlink w:anchor="_Toc503445964" w:history="1">
            <w:r w:rsidRPr="00EC181D">
              <w:rPr>
                <w:rStyle w:val="Hyperlink"/>
                <w:noProof/>
              </w:rPr>
              <w:t>15.2</w:t>
            </w:r>
            <w:r>
              <w:rPr>
                <w:rFonts w:asciiTheme="minorHAnsi" w:eastAsiaTheme="minorEastAsia" w:hAnsiTheme="minorHAnsi"/>
                <w:noProof/>
                <w:lang w:eastAsia="en-GB"/>
              </w:rPr>
              <w:tab/>
            </w:r>
            <w:r w:rsidRPr="00EC181D">
              <w:rPr>
                <w:rStyle w:val="Hyperlink"/>
                <w:noProof/>
              </w:rPr>
              <w:t>Results</w:t>
            </w:r>
            <w:r>
              <w:rPr>
                <w:noProof/>
                <w:webHidden/>
              </w:rPr>
              <w:tab/>
            </w:r>
            <w:r>
              <w:rPr>
                <w:noProof/>
                <w:webHidden/>
              </w:rPr>
              <w:fldChar w:fldCharType="begin"/>
            </w:r>
            <w:r>
              <w:rPr>
                <w:noProof/>
                <w:webHidden/>
              </w:rPr>
              <w:instrText xml:space="preserve"> PAGEREF _Toc503445964 \h </w:instrText>
            </w:r>
            <w:r>
              <w:rPr>
                <w:noProof/>
                <w:webHidden/>
              </w:rPr>
            </w:r>
            <w:r>
              <w:rPr>
                <w:noProof/>
                <w:webHidden/>
              </w:rPr>
              <w:fldChar w:fldCharType="separate"/>
            </w:r>
            <w:r>
              <w:rPr>
                <w:noProof/>
                <w:webHidden/>
              </w:rPr>
              <w:t>xxiii</w:t>
            </w:r>
            <w:r>
              <w:rPr>
                <w:noProof/>
                <w:webHidden/>
              </w:rPr>
              <w:fldChar w:fldCharType="end"/>
            </w:r>
          </w:hyperlink>
        </w:p>
        <w:p w14:paraId="34F10E54" w14:textId="6BD5EFD0" w:rsidR="004E0ADF" w:rsidRDefault="004E0ADF">
          <w:pPr>
            <w:pStyle w:val="TOC1"/>
            <w:tabs>
              <w:tab w:val="left" w:pos="660"/>
              <w:tab w:val="right" w:leader="dot" w:pos="9016"/>
            </w:tabs>
            <w:rPr>
              <w:rFonts w:asciiTheme="minorHAnsi" w:eastAsiaTheme="minorEastAsia" w:hAnsiTheme="minorHAnsi"/>
              <w:noProof/>
              <w:lang w:eastAsia="en-GB"/>
            </w:rPr>
          </w:pPr>
          <w:hyperlink w:anchor="_Toc503445965" w:history="1">
            <w:r w:rsidRPr="00EC181D">
              <w:rPr>
                <w:rStyle w:val="Hyperlink"/>
                <w:noProof/>
              </w:rPr>
              <w:t>16</w:t>
            </w:r>
            <w:r>
              <w:rPr>
                <w:rFonts w:asciiTheme="minorHAnsi" w:eastAsiaTheme="minorEastAsia" w:hAnsiTheme="minorHAnsi"/>
                <w:noProof/>
                <w:lang w:eastAsia="en-GB"/>
              </w:rPr>
              <w:tab/>
            </w:r>
            <w:r w:rsidRPr="00EC181D">
              <w:rPr>
                <w:rStyle w:val="Hyperlink"/>
                <w:noProof/>
              </w:rPr>
              <w:t>Total NOxx</w:t>
            </w:r>
            <w:r>
              <w:rPr>
                <w:noProof/>
                <w:webHidden/>
              </w:rPr>
              <w:tab/>
            </w:r>
            <w:r>
              <w:rPr>
                <w:noProof/>
                <w:webHidden/>
              </w:rPr>
              <w:fldChar w:fldCharType="begin"/>
            </w:r>
            <w:r>
              <w:rPr>
                <w:noProof/>
                <w:webHidden/>
              </w:rPr>
              <w:instrText xml:space="preserve"> PAGEREF _Toc503445965 \h </w:instrText>
            </w:r>
            <w:r>
              <w:rPr>
                <w:noProof/>
                <w:webHidden/>
              </w:rPr>
            </w:r>
            <w:r>
              <w:rPr>
                <w:noProof/>
                <w:webHidden/>
              </w:rPr>
              <w:fldChar w:fldCharType="separate"/>
            </w:r>
            <w:r>
              <w:rPr>
                <w:noProof/>
                <w:webHidden/>
              </w:rPr>
              <w:t>xxiv</w:t>
            </w:r>
            <w:r>
              <w:rPr>
                <w:noProof/>
                <w:webHidden/>
              </w:rPr>
              <w:fldChar w:fldCharType="end"/>
            </w:r>
          </w:hyperlink>
        </w:p>
        <w:p w14:paraId="1EBF8575" w14:textId="3613FB6A" w:rsidR="004E0ADF" w:rsidRDefault="004E0ADF">
          <w:pPr>
            <w:pStyle w:val="TOC2"/>
            <w:tabs>
              <w:tab w:val="left" w:pos="880"/>
              <w:tab w:val="right" w:leader="dot" w:pos="9016"/>
            </w:tabs>
            <w:rPr>
              <w:rFonts w:asciiTheme="minorHAnsi" w:eastAsiaTheme="minorEastAsia" w:hAnsiTheme="minorHAnsi"/>
              <w:noProof/>
              <w:lang w:eastAsia="en-GB"/>
            </w:rPr>
          </w:pPr>
          <w:hyperlink w:anchor="_Toc503445966" w:history="1">
            <w:r w:rsidRPr="00EC181D">
              <w:rPr>
                <w:rStyle w:val="Hyperlink"/>
                <w:noProof/>
              </w:rPr>
              <w:t>16.1</w:t>
            </w:r>
            <w:r>
              <w:rPr>
                <w:rFonts w:asciiTheme="minorHAnsi" w:eastAsiaTheme="minorEastAsia" w:hAnsiTheme="minorHAnsi"/>
                <w:noProof/>
                <w:lang w:eastAsia="en-GB"/>
              </w:rPr>
              <w:tab/>
            </w:r>
            <w:r w:rsidRPr="00EC181D">
              <w:rPr>
                <w:rStyle w:val="Hyperlink"/>
                <w:noProof/>
              </w:rPr>
              <w:t>Method</w:t>
            </w:r>
            <w:r>
              <w:rPr>
                <w:noProof/>
                <w:webHidden/>
              </w:rPr>
              <w:tab/>
            </w:r>
            <w:r>
              <w:rPr>
                <w:noProof/>
                <w:webHidden/>
              </w:rPr>
              <w:fldChar w:fldCharType="begin"/>
            </w:r>
            <w:r>
              <w:rPr>
                <w:noProof/>
                <w:webHidden/>
              </w:rPr>
              <w:instrText xml:space="preserve"> PAGEREF _Toc503445966 \h </w:instrText>
            </w:r>
            <w:r>
              <w:rPr>
                <w:noProof/>
                <w:webHidden/>
              </w:rPr>
            </w:r>
            <w:r>
              <w:rPr>
                <w:noProof/>
                <w:webHidden/>
              </w:rPr>
              <w:fldChar w:fldCharType="separate"/>
            </w:r>
            <w:r>
              <w:rPr>
                <w:noProof/>
                <w:webHidden/>
              </w:rPr>
              <w:t>xxiv</w:t>
            </w:r>
            <w:r>
              <w:rPr>
                <w:noProof/>
                <w:webHidden/>
              </w:rPr>
              <w:fldChar w:fldCharType="end"/>
            </w:r>
          </w:hyperlink>
        </w:p>
        <w:p w14:paraId="346FA449" w14:textId="14EF71B9" w:rsidR="004E0ADF" w:rsidRDefault="004E0ADF">
          <w:pPr>
            <w:pStyle w:val="TOC2"/>
            <w:tabs>
              <w:tab w:val="left" w:pos="880"/>
              <w:tab w:val="right" w:leader="dot" w:pos="9016"/>
            </w:tabs>
            <w:rPr>
              <w:rFonts w:asciiTheme="minorHAnsi" w:eastAsiaTheme="minorEastAsia" w:hAnsiTheme="minorHAnsi"/>
              <w:noProof/>
              <w:lang w:eastAsia="en-GB"/>
            </w:rPr>
          </w:pPr>
          <w:hyperlink w:anchor="_Toc503445967" w:history="1">
            <w:r w:rsidRPr="00EC181D">
              <w:rPr>
                <w:rStyle w:val="Hyperlink"/>
                <w:noProof/>
              </w:rPr>
              <w:t>16.2</w:t>
            </w:r>
            <w:r>
              <w:rPr>
                <w:rFonts w:asciiTheme="minorHAnsi" w:eastAsiaTheme="minorEastAsia" w:hAnsiTheme="minorHAnsi"/>
                <w:noProof/>
                <w:lang w:eastAsia="en-GB"/>
              </w:rPr>
              <w:tab/>
            </w:r>
            <w:r w:rsidRPr="00EC181D">
              <w:rPr>
                <w:rStyle w:val="Hyperlink"/>
                <w:noProof/>
              </w:rPr>
              <w:t>Results</w:t>
            </w:r>
            <w:r>
              <w:rPr>
                <w:noProof/>
                <w:webHidden/>
              </w:rPr>
              <w:tab/>
            </w:r>
            <w:r>
              <w:rPr>
                <w:noProof/>
                <w:webHidden/>
              </w:rPr>
              <w:fldChar w:fldCharType="begin"/>
            </w:r>
            <w:r>
              <w:rPr>
                <w:noProof/>
                <w:webHidden/>
              </w:rPr>
              <w:instrText xml:space="preserve"> PAGEREF _Toc503445967 \h </w:instrText>
            </w:r>
            <w:r>
              <w:rPr>
                <w:noProof/>
                <w:webHidden/>
              </w:rPr>
            </w:r>
            <w:r>
              <w:rPr>
                <w:noProof/>
                <w:webHidden/>
              </w:rPr>
              <w:fldChar w:fldCharType="separate"/>
            </w:r>
            <w:r>
              <w:rPr>
                <w:noProof/>
                <w:webHidden/>
              </w:rPr>
              <w:t>xxiv</w:t>
            </w:r>
            <w:r>
              <w:rPr>
                <w:noProof/>
                <w:webHidden/>
              </w:rPr>
              <w:fldChar w:fldCharType="end"/>
            </w:r>
          </w:hyperlink>
        </w:p>
        <w:p w14:paraId="39FE42A3" w14:textId="110E8183" w:rsidR="004E0ADF" w:rsidRDefault="004E0ADF">
          <w:pPr>
            <w:pStyle w:val="TOC1"/>
            <w:tabs>
              <w:tab w:val="left" w:pos="660"/>
              <w:tab w:val="right" w:leader="dot" w:pos="9016"/>
            </w:tabs>
            <w:rPr>
              <w:rFonts w:asciiTheme="minorHAnsi" w:eastAsiaTheme="minorEastAsia" w:hAnsiTheme="minorHAnsi"/>
              <w:noProof/>
              <w:lang w:eastAsia="en-GB"/>
            </w:rPr>
          </w:pPr>
          <w:hyperlink w:anchor="_Toc503445968" w:history="1">
            <w:r w:rsidRPr="00EC181D">
              <w:rPr>
                <w:rStyle w:val="Hyperlink"/>
                <w:noProof/>
              </w:rPr>
              <w:t>17</w:t>
            </w:r>
            <w:r>
              <w:rPr>
                <w:rFonts w:asciiTheme="minorHAnsi" w:eastAsiaTheme="minorEastAsia" w:hAnsiTheme="minorHAnsi"/>
                <w:noProof/>
                <w:lang w:eastAsia="en-GB"/>
              </w:rPr>
              <w:tab/>
            </w:r>
            <w:r w:rsidRPr="00EC181D">
              <w:rPr>
                <w:rStyle w:val="Hyperlink"/>
                <w:noProof/>
              </w:rPr>
              <w:t>Kmols in Exhaust</w:t>
            </w:r>
            <w:r>
              <w:rPr>
                <w:noProof/>
                <w:webHidden/>
              </w:rPr>
              <w:tab/>
            </w:r>
            <w:r>
              <w:rPr>
                <w:noProof/>
                <w:webHidden/>
              </w:rPr>
              <w:fldChar w:fldCharType="begin"/>
            </w:r>
            <w:r>
              <w:rPr>
                <w:noProof/>
                <w:webHidden/>
              </w:rPr>
              <w:instrText xml:space="preserve"> PAGEREF _Toc503445968 \h </w:instrText>
            </w:r>
            <w:r>
              <w:rPr>
                <w:noProof/>
                <w:webHidden/>
              </w:rPr>
            </w:r>
            <w:r>
              <w:rPr>
                <w:noProof/>
                <w:webHidden/>
              </w:rPr>
              <w:fldChar w:fldCharType="separate"/>
            </w:r>
            <w:r>
              <w:rPr>
                <w:noProof/>
                <w:webHidden/>
              </w:rPr>
              <w:t>xxv</w:t>
            </w:r>
            <w:r>
              <w:rPr>
                <w:noProof/>
                <w:webHidden/>
              </w:rPr>
              <w:fldChar w:fldCharType="end"/>
            </w:r>
          </w:hyperlink>
        </w:p>
        <w:p w14:paraId="6A4F30F1" w14:textId="65D9928B" w:rsidR="004E0ADF" w:rsidRDefault="004E0ADF">
          <w:pPr>
            <w:pStyle w:val="TOC2"/>
            <w:tabs>
              <w:tab w:val="left" w:pos="880"/>
              <w:tab w:val="right" w:leader="dot" w:pos="9016"/>
            </w:tabs>
            <w:rPr>
              <w:rFonts w:asciiTheme="minorHAnsi" w:eastAsiaTheme="minorEastAsia" w:hAnsiTheme="minorHAnsi"/>
              <w:noProof/>
              <w:lang w:eastAsia="en-GB"/>
            </w:rPr>
          </w:pPr>
          <w:hyperlink w:anchor="_Toc503445969" w:history="1">
            <w:r w:rsidRPr="00EC181D">
              <w:rPr>
                <w:rStyle w:val="Hyperlink"/>
                <w:noProof/>
              </w:rPr>
              <w:t>17.1</w:t>
            </w:r>
            <w:r>
              <w:rPr>
                <w:rFonts w:asciiTheme="minorHAnsi" w:eastAsiaTheme="minorEastAsia" w:hAnsiTheme="minorHAnsi"/>
                <w:noProof/>
                <w:lang w:eastAsia="en-GB"/>
              </w:rPr>
              <w:tab/>
            </w:r>
            <w:r w:rsidRPr="00EC181D">
              <w:rPr>
                <w:rStyle w:val="Hyperlink"/>
                <w:noProof/>
              </w:rPr>
              <w:t>Method</w:t>
            </w:r>
            <w:r>
              <w:rPr>
                <w:noProof/>
                <w:webHidden/>
              </w:rPr>
              <w:tab/>
            </w:r>
            <w:r>
              <w:rPr>
                <w:noProof/>
                <w:webHidden/>
              </w:rPr>
              <w:fldChar w:fldCharType="begin"/>
            </w:r>
            <w:r>
              <w:rPr>
                <w:noProof/>
                <w:webHidden/>
              </w:rPr>
              <w:instrText xml:space="preserve"> PAGEREF _Toc503445969 \h </w:instrText>
            </w:r>
            <w:r>
              <w:rPr>
                <w:noProof/>
                <w:webHidden/>
              </w:rPr>
            </w:r>
            <w:r>
              <w:rPr>
                <w:noProof/>
                <w:webHidden/>
              </w:rPr>
              <w:fldChar w:fldCharType="separate"/>
            </w:r>
            <w:r>
              <w:rPr>
                <w:noProof/>
                <w:webHidden/>
              </w:rPr>
              <w:t>xxv</w:t>
            </w:r>
            <w:r>
              <w:rPr>
                <w:noProof/>
                <w:webHidden/>
              </w:rPr>
              <w:fldChar w:fldCharType="end"/>
            </w:r>
          </w:hyperlink>
        </w:p>
        <w:p w14:paraId="7B15838F" w14:textId="5C872544" w:rsidR="004E0ADF" w:rsidRDefault="004E0ADF">
          <w:pPr>
            <w:pStyle w:val="TOC2"/>
            <w:tabs>
              <w:tab w:val="left" w:pos="880"/>
              <w:tab w:val="right" w:leader="dot" w:pos="9016"/>
            </w:tabs>
            <w:rPr>
              <w:rFonts w:asciiTheme="minorHAnsi" w:eastAsiaTheme="minorEastAsia" w:hAnsiTheme="minorHAnsi"/>
              <w:noProof/>
              <w:lang w:eastAsia="en-GB"/>
            </w:rPr>
          </w:pPr>
          <w:hyperlink w:anchor="_Toc503445970" w:history="1">
            <w:r w:rsidRPr="00EC181D">
              <w:rPr>
                <w:rStyle w:val="Hyperlink"/>
                <w:noProof/>
              </w:rPr>
              <w:t>17.2</w:t>
            </w:r>
            <w:r>
              <w:rPr>
                <w:rFonts w:asciiTheme="minorHAnsi" w:eastAsiaTheme="minorEastAsia" w:hAnsiTheme="minorHAnsi"/>
                <w:noProof/>
                <w:lang w:eastAsia="en-GB"/>
              </w:rPr>
              <w:tab/>
            </w:r>
            <w:r w:rsidRPr="00EC181D">
              <w:rPr>
                <w:rStyle w:val="Hyperlink"/>
                <w:noProof/>
              </w:rPr>
              <w:t>Results</w:t>
            </w:r>
            <w:r>
              <w:rPr>
                <w:noProof/>
                <w:webHidden/>
              </w:rPr>
              <w:tab/>
            </w:r>
            <w:r>
              <w:rPr>
                <w:noProof/>
                <w:webHidden/>
              </w:rPr>
              <w:fldChar w:fldCharType="begin"/>
            </w:r>
            <w:r>
              <w:rPr>
                <w:noProof/>
                <w:webHidden/>
              </w:rPr>
              <w:instrText xml:space="preserve"> PAGEREF _Toc503445970 \h </w:instrText>
            </w:r>
            <w:r>
              <w:rPr>
                <w:noProof/>
                <w:webHidden/>
              </w:rPr>
            </w:r>
            <w:r>
              <w:rPr>
                <w:noProof/>
                <w:webHidden/>
              </w:rPr>
              <w:fldChar w:fldCharType="separate"/>
            </w:r>
            <w:r>
              <w:rPr>
                <w:noProof/>
                <w:webHidden/>
              </w:rPr>
              <w:t>xxv</w:t>
            </w:r>
            <w:r>
              <w:rPr>
                <w:noProof/>
                <w:webHidden/>
              </w:rPr>
              <w:fldChar w:fldCharType="end"/>
            </w:r>
          </w:hyperlink>
        </w:p>
        <w:p w14:paraId="03650861" w14:textId="00F6C76A" w:rsidR="004E0ADF" w:rsidRDefault="004E0ADF">
          <w:pPr>
            <w:pStyle w:val="TOC1"/>
            <w:tabs>
              <w:tab w:val="left" w:pos="660"/>
              <w:tab w:val="right" w:leader="dot" w:pos="9016"/>
            </w:tabs>
            <w:rPr>
              <w:rFonts w:asciiTheme="minorHAnsi" w:eastAsiaTheme="minorEastAsia" w:hAnsiTheme="minorHAnsi"/>
              <w:noProof/>
              <w:lang w:eastAsia="en-GB"/>
            </w:rPr>
          </w:pPr>
          <w:hyperlink w:anchor="_Toc503445971" w:history="1">
            <w:r w:rsidRPr="00EC181D">
              <w:rPr>
                <w:rStyle w:val="Hyperlink"/>
                <w:noProof/>
              </w:rPr>
              <w:t>18</w:t>
            </w:r>
            <w:r>
              <w:rPr>
                <w:rFonts w:asciiTheme="minorHAnsi" w:eastAsiaTheme="minorEastAsia" w:hAnsiTheme="minorHAnsi"/>
                <w:noProof/>
                <w:lang w:eastAsia="en-GB"/>
              </w:rPr>
              <w:tab/>
            </w:r>
            <w:r w:rsidRPr="00EC181D">
              <w:rPr>
                <w:rStyle w:val="Hyperlink"/>
                <w:noProof/>
              </w:rPr>
              <w:t>NOx Parts per Million</w:t>
            </w:r>
            <w:r>
              <w:rPr>
                <w:noProof/>
                <w:webHidden/>
              </w:rPr>
              <w:tab/>
            </w:r>
            <w:r>
              <w:rPr>
                <w:noProof/>
                <w:webHidden/>
              </w:rPr>
              <w:fldChar w:fldCharType="begin"/>
            </w:r>
            <w:r>
              <w:rPr>
                <w:noProof/>
                <w:webHidden/>
              </w:rPr>
              <w:instrText xml:space="preserve"> PAGEREF _Toc503445971 \h </w:instrText>
            </w:r>
            <w:r>
              <w:rPr>
                <w:noProof/>
                <w:webHidden/>
              </w:rPr>
            </w:r>
            <w:r>
              <w:rPr>
                <w:noProof/>
                <w:webHidden/>
              </w:rPr>
              <w:fldChar w:fldCharType="separate"/>
            </w:r>
            <w:r>
              <w:rPr>
                <w:noProof/>
                <w:webHidden/>
              </w:rPr>
              <w:t>xxvi</w:t>
            </w:r>
            <w:r>
              <w:rPr>
                <w:noProof/>
                <w:webHidden/>
              </w:rPr>
              <w:fldChar w:fldCharType="end"/>
            </w:r>
          </w:hyperlink>
        </w:p>
        <w:p w14:paraId="55FF156D" w14:textId="2685EAA8" w:rsidR="004E0ADF" w:rsidRDefault="004E0ADF">
          <w:pPr>
            <w:pStyle w:val="TOC2"/>
            <w:tabs>
              <w:tab w:val="left" w:pos="880"/>
              <w:tab w:val="right" w:leader="dot" w:pos="9016"/>
            </w:tabs>
            <w:rPr>
              <w:rFonts w:asciiTheme="minorHAnsi" w:eastAsiaTheme="minorEastAsia" w:hAnsiTheme="minorHAnsi"/>
              <w:noProof/>
              <w:lang w:eastAsia="en-GB"/>
            </w:rPr>
          </w:pPr>
          <w:hyperlink w:anchor="_Toc503445972" w:history="1">
            <w:r w:rsidRPr="00EC181D">
              <w:rPr>
                <w:rStyle w:val="Hyperlink"/>
                <w:noProof/>
              </w:rPr>
              <w:t>18.1</w:t>
            </w:r>
            <w:r>
              <w:rPr>
                <w:rFonts w:asciiTheme="minorHAnsi" w:eastAsiaTheme="minorEastAsia" w:hAnsiTheme="minorHAnsi"/>
                <w:noProof/>
                <w:lang w:eastAsia="en-GB"/>
              </w:rPr>
              <w:tab/>
            </w:r>
            <w:r w:rsidRPr="00EC181D">
              <w:rPr>
                <w:rStyle w:val="Hyperlink"/>
                <w:noProof/>
              </w:rPr>
              <w:t>Method</w:t>
            </w:r>
            <w:r>
              <w:rPr>
                <w:noProof/>
                <w:webHidden/>
              </w:rPr>
              <w:tab/>
            </w:r>
            <w:r>
              <w:rPr>
                <w:noProof/>
                <w:webHidden/>
              </w:rPr>
              <w:fldChar w:fldCharType="begin"/>
            </w:r>
            <w:r>
              <w:rPr>
                <w:noProof/>
                <w:webHidden/>
              </w:rPr>
              <w:instrText xml:space="preserve"> PAGEREF _Toc503445972 \h </w:instrText>
            </w:r>
            <w:r>
              <w:rPr>
                <w:noProof/>
                <w:webHidden/>
              </w:rPr>
            </w:r>
            <w:r>
              <w:rPr>
                <w:noProof/>
                <w:webHidden/>
              </w:rPr>
              <w:fldChar w:fldCharType="separate"/>
            </w:r>
            <w:r>
              <w:rPr>
                <w:noProof/>
                <w:webHidden/>
              </w:rPr>
              <w:t>xxvi</w:t>
            </w:r>
            <w:r>
              <w:rPr>
                <w:noProof/>
                <w:webHidden/>
              </w:rPr>
              <w:fldChar w:fldCharType="end"/>
            </w:r>
          </w:hyperlink>
        </w:p>
        <w:p w14:paraId="35E5EC89" w14:textId="01C76D8F" w:rsidR="004E0ADF" w:rsidRDefault="004E0ADF">
          <w:pPr>
            <w:pStyle w:val="TOC2"/>
            <w:tabs>
              <w:tab w:val="left" w:pos="880"/>
              <w:tab w:val="right" w:leader="dot" w:pos="9016"/>
            </w:tabs>
            <w:rPr>
              <w:rFonts w:asciiTheme="minorHAnsi" w:eastAsiaTheme="minorEastAsia" w:hAnsiTheme="minorHAnsi"/>
              <w:noProof/>
              <w:lang w:eastAsia="en-GB"/>
            </w:rPr>
          </w:pPr>
          <w:hyperlink w:anchor="_Toc503445973" w:history="1">
            <w:r w:rsidRPr="00EC181D">
              <w:rPr>
                <w:rStyle w:val="Hyperlink"/>
                <w:noProof/>
              </w:rPr>
              <w:t>18.2</w:t>
            </w:r>
            <w:r>
              <w:rPr>
                <w:rFonts w:asciiTheme="minorHAnsi" w:eastAsiaTheme="minorEastAsia" w:hAnsiTheme="minorHAnsi"/>
                <w:noProof/>
                <w:lang w:eastAsia="en-GB"/>
              </w:rPr>
              <w:tab/>
            </w:r>
            <w:r w:rsidRPr="00EC181D">
              <w:rPr>
                <w:rStyle w:val="Hyperlink"/>
                <w:noProof/>
              </w:rPr>
              <w:t>Results</w:t>
            </w:r>
            <w:r>
              <w:rPr>
                <w:noProof/>
                <w:webHidden/>
              </w:rPr>
              <w:tab/>
            </w:r>
            <w:r>
              <w:rPr>
                <w:noProof/>
                <w:webHidden/>
              </w:rPr>
              <w:fldChar w:fldCharType="begin"/>
            </w:r>
            <w:r>
              <w:rPr>
                <w:noProof/>
                <w:webHidden/>
              </w:rPr>
              <w:instrText xml:space="preserve"> PAGEREF _Toc503445973 \h </w:instrText>
            </w:r>
            <w:r>
              <w:rPr>
                <w:noProof/>
                <w:webHidden/>
              </w:rPr>
            </w:r>
            <w:r>
              <w:rPr>
                <w:noProof/>
                <w:webHidden/>
              </w:rPr>
              <w:fldChar w:fldCharType="separate"/>
            </w:r>
            <w:r>
              <w:rPr>
                <w:noProof/>
                <w:webHidden/>
              </w:rPr>
              <w:t>xxvi</w:t>
            </w:r>
            <w:r>
              <w:rPr>
                <w:noProof/>
                <w:webHidden/>
              </w:rPr>
              <w:fldChar w:fldCharType="end"/>
            </w:r>
          </w:hyperlink>
        </w:p>
        <w:p w14:paraId="50B019DD" w14:textId="425E9F38" w:rsidR="004E0ADF" w:rsidRDefault="004E0ADF">
          <w:pPr>
            <w:pStyle w:val="TOC2"/>
            <w:tabs>
              <w:tab w:val="left" w:pos="880"/>
              <w:tab w:val="right" w:leader="dot" w:pos="9016"/>
            </w:tabs>
            <w:rPr>
              <w:rFonts w:asciiTheme="minorHAnsi" w:eastAsiaTheme="minorEastAsia" w:hAnsiTheme="minorHAnsi"/>
              <w:noProof/>
              <w:lang w:eastAsia="en-GB"/>
            </w:rPr>
          </w:pPr>
          <w:hyperlink w:anchor="_Toc503445974" w:history="1">
            <w:r w:rsidRPr="00EC181D">
              <w:rPr>
                <w:rStyle w:val="Hyperlink"/>
                <w:noProof/>
              </w:rPr>
              <w:t>18.3</w:t>
            </w:r>
            <w:r>
              <w:rPr>
                <w:rFonts w:asciiTheme="minorHAnsi" w:eastAsiaTheme="minorEastAsia" w:hAnsiTheme="minorHAnsi"/>
                <w:noProof/>
                <w:lang w:eastAsia="en-GB"/>
              </w:rPr>
              <w:tab/>
            </w:r>
            <w:r w:rsidRPr="00EC181D">
              <w:rPr>
                <w:rStyle w:val="Hyperlink"/>
                <w:noProof/>
              </w:rPr>
              <w:t>Analysis</w:t>
            </w:r>
            <w:r>
              <w:rPr>
                <w:noProof/>
                <w:webHidden/>
              </w:rPr>
              <w:tab/>
            </w:r>
            <w:r>
              <w:rPr>
                <w:noProof/>
                <w:webHidden/>
              </w:rPr>
              <w:fldChar w:fldCharType="begin"/>
            </w:r>
            <w:r>
              <w:rPr>
                <w:noProof/>
                <w:webHidden/>
              </w:rPr>
              <w:instrText xml:space="preserve"> PAGEREF _Toc503445974 \h </w:instrText>
            </w:r>
            <w:r>
              <w:rPr>
                <w:noProof/>
                <w:webHidden/>
              </w:rPr>
            </w:r>
            <w:r>
              <w:rPr>
                <w:noProof/>
                <w:webHidden/>
              </w:rPr>
              <w:fldChar w:fldCharType="separate"/>
            </w:r>
            <w:r>
              <w:rPr>
                <w:noProof/>
                <w:webHidden/>
              </w:rPr>
              <w:t>xxvii</w:t>
            </w:r>
            <w:r>
              <w:rPr>
                <w:noProof/>
                <w:webHidden/>
              </w:rPr>
              <w:fldChar w:fldCharType="end"/>
            </w:r>
          </w:hyperlink>
        </w:p>
        <w:p w14:paraId="0EDD01D0" w14:textId="62D5F142" w:rsidR="004E0ADF" w:rsidRDefault="004E0ADF">
          <w:pPr>
            <w:pStyle w:val="TOC1"/>
            <w:tabs>
              <w:tab w:val="left" w:pos="660"/>
              <w:tab w:val="right" w:leader="dot" w:pos="9016"/>
            </w:tabs>
            <w:rPr>
              <w:rFonts w:asciiTheme="minorHAnsi" w:eastAsiaTheme="minorEastAsia" w:hAnsiTheme="minorHAnsi"/>
              <w:noProof/>
              <w:lang w:eastAsia="en-GB"/>
            </w:rPr>
          </w:pPr>
          <w:hyperlink w:anchor="_Toc503445975" w:history="1">
            <w:r w:rsidRPr="00EC181D">
              <w:rPr>
                <w:rStyle w:val="Hyperlink"/>
                <w:noProof/>
              </w:rPr>
              <w:t>19</w:t>
            </w:r>
            <w:r>
              <w:rPr>
                <w:rFonts w:asciiTheme="minorHAnsi" w:eastAsiaTheme="minorEastAsia" w:hAnsiTheme="minorHAnsi"/>
                <w:noProof/>
                <w:lang w:eastAsia="en-GB"/>
              </w:rPr>
              <w:tab/>
            </w:r>
            <w:r w:rsidRPr="00EC181D">
              <w:rPr>
                <w:rStyle w:val="Hyperlink"/>
                <w:noProof/>
              </w:rPr>
              <w:t>EGR</w:t>
            </w:r>
            <w:r>
              <w:rPr>
                <w:noProof/>
                <w:webHidden/>
              </w:rPr>
              <w:tab/>
            </w:r>
            <w:r>
              <w:rPr>
                <w:noProof/>
                <w:webHidden/>
              </w:rPr>
              <w:fldChar w:fldCharType="begin"/>
            </w:r>
            <w:r>
              <w:rPr>
                <w:noProof/>
                <w:webHidden/>
              </w:rPr>
              <w:instrText xml:space="preserve"> PAGEREF _Toc503445975 \h </w:instrText>
            </w:r>
            <w:r>
              <w:rPr>
                <w:noProof/>
                <w:webHidden/>
              </w:rPr>
            </w:r>
            <w:r>
              <w:rPr>
                <w:noProof/>
                <w:webHidden/>
              </w:rPr>
              <w:fldChar w:fldCharType="separate"/>
            </w:r>
            <w:r>
              <w:rPr>
                <w:noProof/>
                <w:webHidden/>
              </w:rPr>
              <w:t>xxviii</w:t>
            </w:r>
            <w:r>
              <w:rPr>
                <w:noProof/>
                <w:webHidden/>
              </w:rPr>
              <w:fldChar w:fldCharType="end"/>
            </w:r>
          </w:hyperlink>
        </w:p>
        <w:p w14:paraId="4F9B49D3" w14:textId="0F62E483" w:rsidR="004E0ADF" w:rsidRDefault="004E0ADF">
          <w:pPr>
            <w:pStyle w:val="TOC2"/>
            <w:tabs>
              <w:tab w:val="left" w:pos="880"/>
              <w:tab w:val="right" w:leader="dot" w:pos="9016"/>
            </w:tabs>
            <w:rPr>
              <w:rFonts w:asciiTheme="minorHAnsi" w:eastAsiaTheme="minorEastAsia" w:hAnsiTheme="minorHAnsi"/>
              <w:noProof/>
              <w:lang w:eastAsia="en-GB"/>
            </w:rPr>
          </w:pPr>
          <w:hyperlink w:anchor="_Toc503445976" w:history="1">
            <w:r w:rsidRPr="00EC181D">
              <w:rPr>
                <w:rStyle w:val="Hyperlink"/>
                <w:noProof/>
              </w:rPr>
              <w:t>19.1</w:t>
            </w:r>
            <w:r>
              <w:rPr>
                <w:rFonts w:asciiTheme="minorHAnsi" w:eastAsiaTheme="minorEastAsia" w:hAnsiTheme="minorHAnsi"/>
                <w:noProof/>
                <w:lang w:eastAsia="en-GB"/>
              </w:rPr>
              <w:tab/>
            </w:r>
            <w:r w:rsidRPr="00EC181D">
              <w:rPr>
                <w:rStyle w:val="Hyperlink"/>
                <w:noProof/>
              </w:rPr>
              <w:t>Method</w:t>
            </w:r>
            <w:r>
              <w:rPr>
                <w:noProof/>
                <w:webHidden/>
              </w:rPr>
              <w:tab/>
            </w:r>
            <w:r>
              <w:rPr>
                <w:noProof/>
                <w:webHidden/>
              </w:rPr>
              <w:fldChar w:fldCharType="begin"/>
            </w:r>
            <w:r>
              <w:rPr>
                <w:noProof/>
                <w:webHidden/>
              </w:rPr>
              <w:instrText xml:space="preserve"> PAGEREF _Toc503445976 \h </w:instrText>
            </w:r>
            <w:r>
              <w:rPr>
                <w:noProof/>
                <w:webHidden/>
              </w:rPr>
            </w:r>
            <w:r>
              <w:rPr>
                <w:noProof/>
                <w:webHidden/>
              </w:rPr>
              <w:fldChar w:fldCharType="separate"/>
            </w:r>
            <w:r>
              <w:rPr>
                <w:noProof/>
                <w:webHidden/>
              </w:rPr>
              <w:t>xxviii</w:t>
            </w:r>
            <w:r>
              <w:rPr>
                <w:noProof/>
                <w:webHidden/>
              </w:rPr>
              <w:fldChar w:fldCharType="end"/>
            </w:r>
          </w:hyperlink>
        </w:p>
        <w:p w14:paraId="136C0583" w14:textId="38EF9562" w:rsidR="004E0ADF" w:rsidRDefault="004E0ADF">
          <w:pPr>
            <w:pStyle w:val="TOC2"/>
            <w:tabs>
              <w:tab w:val="left" w:pos="880"/>
              <w:tab w:val="right" w:leader="dot" w:pos="9016"/>
            </w:tabs>
            <w:rPr>
              <w:rFonts w:asciiTheme="minorHAnsi" w:eastAsiaTheme="minorEastAsia" w:hAnsiTheme="minorHAnsi"/>
              <w:noProof/>
              <w:lang w:eastAsia="en-GB"/>
            </w:rPr>
          </w:pPr>
          <w:hyperlink w:anchor="_Toc503445977" w:history="1">
            <w:r w:rsidRPr="00EC181D">
              <w:rPr>
                <w:rStyle w:val="Hyperlink"/>
                <w:noProof/>
              </w:rPr>
              <w:t>19.2</w:t>
            </w:r>
            <w:r>
              <w:rPr>
                <w:rFonts w:asciiTheme="minorHAnsi" w:eastAsiaTheme="minorEastAsia" w:hAnsiTheme="minorHAnsi"/>
                <w:noProof/>
                <w:lang w:eastAsia="en-GB"/>
              </w:rPr>
              <w:tab/>
            </w:r>
            <w:r w:rsidRPr="00EC181D">
              <w:rPr>
                <w:rStyle w:val="Hyperlink"/>
                <w:noProof/>
              </w:rPr>
              <w:t>Results</w:t>
            </w:r>
            <w:r>
              <w:rPr>
                <w:noProof/>
                <w:webHidden/>
              </w:rPr>
              <w:tab/>
            </w:r>
            <w:r>
              <w:rPr>
                <w:noProof/>
                <w:webHidden/>
              </w:rPr>
              <w:fldChar w:fldCharType="begin"/>
            </w:r>
            <w:r>
              <w:rPr>
                <w:noProof/>
                <w:webHidden/>
              </w:rPr>
              <w:instrText xml:space="preserve"> PAGEREF _Toc503445977 \h </w:instrText>
            </w:r>
            <w:r>
              <w:rPr>
                <w:noProof/>
                <w:webHidden/>
              </w:rPr>
            </w:r>
            <w:r>
              <w:rPr>
                <w:noProof/>
                <w:webHidden/>
              </w:rPr>
              <w:fldChar w:fldCharType="separate"/>
            </w:r>
            <w:r>
              <w:rPr>
                <w:noProof/>
                <w:webHidden/>
              </w:rPr>
              <w:t>xxviii</w:t>
            </w:r>
            <w:r>
              <w:rPr>
                <w:noProof/>
                <w:webHidden/>
              </w:rPr>
              <w:fldChar w:fldCharType="end"/>
            </w:r>
          </w:hyperlink>
        </w:p>
        <w:p w14:paraId="321C2E9C" w14:textId="5C077E06" w:rsidR="004E0ADF" w:rsidRDefault="004E0ADF">
          <w:pPr>
            <w:pStyle w:val="TOC2"/>
            <w:tabs>
              <w:tab w:val="left" w:pos="880"/>
              <w:tab w:val="right" w:leader="dot" w:pos="9016"/>
            </w:tabs>
            <w:rPr>
              <w:rFonts w:asciiTheme="minorHAnsi" w:eastAsiaTheme="minorEastAsia" w:hAnsiTheme="minorHAnsi"/>
              <w:noProof/>
              <w:lang w:eastAsia="en-GB"/>
            </w:rPr>
          </w:pPr>
          <w:hyperlink w:anchor="_Toc503445978" w:history="1">
            <w:r w:rsidRPr="00EC181D">
              <w:rPr>
                <w:rStyle w:val="Hyperlink"/>
                <w:noProof/>
              </w:rPr>
              <w:t>19.3</w:t>
            </w:r>
            <w:r>
              <w:rPr>
                <w:rFonts w:asciiTheme="minorHAnsi" w:eastAsiaTheme="minorEastAsia" w:hAnsiTheme="minorHAnsi"/>
                <w:noProof/>
                <w:lang w:eastAsia="en-GB"/>
              </w:rPr>
              <w:tab/>
            </w:r>
            <w:r w:rsidRPr="00EC181D">
              <w:rPr>
                <w:rStyle w:val="Hyperlink"/>
                <w:noProof/>
              </w:rPr>
              <w:t>Analysis</w:t>
            </w:r>
            <w:r>
              <w:rPr>
                <w:noProof/>
                <w:webHidden/>
              </w:rPr>
              <w:tab/>
            </w:r>
            <w:r>
              <w:rPr>
                <w:noProof/>
                <w:webHidden/>
              </w:rPr>
              <w:fldChar w:fldCharType="begin"/>
            </w:r>
            <w:r>
              <w:rPr>
                <w:noProof/>
                <w:webHidden/>
              </w:rPr>
              <w:instrText xml:space="preserve"> PAGEREF _Toc503445978 \h </w:instrText>
            </w:r>
            <w:r>
              <w:rPr>
                <w:noProof/>
                <w:webHidden/>
              </w:rPr>
            </w:r>
            <w:r>
              <w:rPr>
                <w:noProof/>
                <w:webHidden/>
              </w:rPr>
              <w:fldChar w:fldCharType="separate"/>
            </w:r>
            <w:r>
              <w:rPr>
                <w:noProof/>
                <w:webHidden/>
              </w:rPr>
              <w:t>xxx</w:t>
            </w:r>
            <w:r>
              <w:rPr>
                <w:noProof/>
                <w:webHidden/>
              </w:rPr>
              <w:fldChar w:fldCharType="end"/>
            </w:r>
          </w:hyperlink>
        </w:p>
        <w:p w14:paraId="7E34DD1A" w14:textId="161C842F" w:rsidR="004E0ADF" w:rsidRDefault="004E0ADF">
          <w:pPr>
            <w:pStyle w:val="TOC1"/>
            <w:tabs>
              <w:tab w:val="left" w:pos="660"/>
              <w:tab w:val="right" w:leader="dot" w:pos="9016"/>
            </w:tabs>
            <w:rPr>
              <w:rFonts w:asciiTheme="minorHAnsi" w:eastAsiaTheme="minorEastAsia" w:hAnsiTheme="minorHAnsi"/>
              <w:noProof/>
              <w:lang w:eastAsia="en-GB"/>
            </w:rPr>
          </w:pPr>
          <w:hyperlink w:anchor="_Toc503445979" w:history="1">
            <w:r w:rsidRPr="00EC181D">
              <w:rPr>
                <w:rStyle w:val="Hyperlink"/>
                <w:noProof/>
              </w:rPr>
              <w:t>20</w:t>
            </w:r>
            <w:r>
              <w:rPr>
                <w:rFonts w:asciiTheme="minorHAnsi" w:eastAsiaTheme="minorEastAsia" w:hAnsiTheme="minorHAnsi"/>
                <w:noProof/>
                <w:lang w:eastAsia="en-GB"/>
              </w:rPr>
              <w:tab/>
            </w:r>
            <w:r w:rsidRPr="00EC181D">
              <w:rPr>
                <w:rStyle w:val="Hyperlink"/>
                <w:noProof/>
              </w:rPr>
              <w:t>Conclusion</w:t>
            </w:r>
            <w:r>
              <w:rPr>
                <w:noProof/>
                <w:webHidden/>
              </w:rPr>
              <w:tab/>
            </w:r>
            <w:r>
              <w:rPr>
                <w:noProof/>
                <w:webHidden/>
              </w:rPr>
              <w:fldChar w:fldCharType="begin"/>
            </w:r>
            <w:r>
              <w:rPr>
                <w:noProof/>
                <w:webHidden/>
              </w:rPr>
              <w:instrText xml:space="preserve"> PAGEREF _Toc503445979 \h </w:instrText>
            </w:r>
            <w:r>
              <w:rPr>
                <w:noProof/>
                <w:webHidden/>
              </w:rPr>
            </w:r>
            <w:r>
              <w:rPr>
                <w:noProof/>
                <w:webHidden/>
              </w:rPr>
              <w:fldChar w:fldCharType="separate"/>
            </w:r>
            <w:r>
              <w:rPr>
                <w:noProof/>
                <w:webHidden/>
              </w:rPr>
              <w:t>xxxi</w:t>
            </w:r>
            <w:r>
              <w:rPr>
                <w:noProof/>
                <w:webHidden/>
              </w:rPr>
              <w:fldChar w:fldCharType="end"/>
            </w:r>
          </w:hyperlink>
        </w:p>
        <w:p w14:paraId="4D1324C2" w14:textId="2FF58587" w:rsidR="004E0ADF" w:rsidRDefault="004E0ADF">
          <w:pPr>
            <w:pStyle w:val="TOC1"/>
            <w:tabs>
              <w:tab w:val="left" w:pos="660"/>
              <w:tab w:val="right" w:leader="dot" w:pos="9016"/>
            </w:tabs>
            <w:rPr>
              <w:rFonts w:asciiTheme="minorHAnsi" w:eastAsiaTheme="minorEastAsia" w:hAnsiTheme="minorHAnsi"/>
              <w:noProof/>
              <w:lang w:eastAsia="en-GB"/>
            </w:rPr>
          </w:pPr>
          <w:hyperlink w:anchor="_Toc503445980" w:history="1">
            <w:r w:rsidRPr="00EC181D">
              <w:rPr>
                <w:rStyle w:val="Hyperlink"/>
                <w:noProof/>
              </w:rPr>
              <w:t>21</w:t>
            </w:r>
            <w:r>
              <w:rPr>
                <w:rFonts w:asciiTheme="minorHAnsi" w:eastAsiaTheme="minorEastAsia" w:hAnsiTheme="minorHAnsi"/>
                <w:noProof/>
                <w:lang w:eastAsia="en-GB"/>
              </w:rPr>
              <w:tab/>
            </w:r>
            <w:r w:rsidRPr="00EC181D">
              <w:rPr>
                <w:rStyle w:val="Hyperlink"/>
                <w:noProof/>
              </w:rPr>
              <w:t>References</w:t>
            </w:r>
            <w:r>
              <w:rPr>
                <w:noProof/>
                <w:webHidden/>
              </w:rPr>
              <w:tab/>
            </w:r>
            <w:r>
              <w:rPr>
                <w:noProof/>
                <w:webHidden/>
              </w:rPr>
              <w:fldChar w:fldCharType="begin"/>
            </w:r>
            <w:r>
              <w:rPr>
                <w:noProof/>
                <w:webHidden/>
              </w:rPr>
              <w:instrText xml:space="preserve"> PAGEREF _Toc503445980 \h </w:instrText>
            </w:r>
            <w:r>
              <w:rPr>
                <w:noProof/>
                <w:webHidden/>
              </w:rPr>
            </w:r>
            <w:r>
              <w:rPr>
                <w:noProof/>
                <w:webHidden/>
              </w:rPr>
              <w:fldChar w:fldCharType="separate"/>
            </w:r>
            <w:r>
              <w:rPr>
                <w:noProof/>
                <w:webHidden/>
              </w:rPr>
              <w:t>xxxii</w:t>
            </w:r>
            <w:r>
              <w:rPr>
                <w:noProof/>
                <w:webHidden/>
              </w:rPr>
              <w:fldChar w:fldCharType="end"/>
            </w:r>
          </w:hyperlink>
        </w:p>
        <w:p w14:paraId="7275F91F" w14:textId="0510E44E" w:rsidR="004E0ADF" w:rsidRDefault="004E0ADF">
          <w:pPr>
            <w:pStyle w:val="TOC1"/>
            <w:tabs>
              <w:tab w:val="left" w:pos="660"/>
              <w:tab w:val="right" w:leader="dot" w:pos="9016"/>
            </w:tabs>
            <w:rPr>
              <w:rFonts w:asciiTheme="minorHAnsi" w:eastAsiaTheme="minorEastAsia" w:hAnsiTheme="minorHAnsi"/>
              <w:noProof/>
              <w:lang w:eastAsia="en-GB"/>
            </w:rPr>
          </w:pPr>
          <w:hyperlink w:anchor="_Toc503445981" w:history="1">
            <w:r w:rsidRPr="00EC181D">
              <w:rPr>
                <w:rStyle w:val="Hyperlink"/>
                <w:noProof/>
              </w:rPr>
              <w:t>22</w:t>
            </w:r>
            <w:r>
              <w:rPr>
                <w:rFonts w:asciiTheme="minorHAnsi" w:eastAsiaTheme="minorEastAsia" w:hAnsiTheme="minorHAnsi"/>
                <w:noProof/>
                <w:lang w:eastAsia="en-GB"/>
              </w:rPr>
              <w:tab/>
            </w:r>
            <w:r w:rsidRPr="00EC181D">
              <w:rPr>
                <w:rStyle w:val="Hyperlink"/>
                <w:noProof/>
              </w:rPr>
              <w:t>Appendix 1 – EGR Flame Temperature Results</w:t>
            </w:r>
            <w:r>
              <w:rPr>
                <w:noProof/>
                <w:webHidden/>
              </w:rPr>
              <w:tab/>
            </w:r>
            <w:r>
              <w:rPr>
                <w:noProof/>
                <w:webHidden/>
              </w:rPr>
              <w:fldChar w:fldCharType="begin"/>
            </w:r>
            <w:r>
              <w:rPr>
                <w:noProof/>
                <w:webHidden/>
              </w:rPr>
              <w:instrText xml:space="preserve"> PAGEREF _Toc503445981 \h </w:instrText>
            </w:r>
            <w:r>
              <w:rPr>
                <w:noProof/>
                <w:webHidden/>
              </w:rPr>
            </w:r>
            <w:r>
              <w:rPr>
                <w:noProof/>
                <w:webHidden/>
              </w:rPr>
              <w:fldChar w:fldCharType="separate"/>
            </w:r>
            <w:r>
              <w:rPr>
                <w:noProof/>
                <w:webHidden/>
              </w:rPr>
              <w:t>xxxiii</w:t>
            </w:r>
            <w:r>
              <w:rPr>
                <w:noProof/>
                <w:webHidden/>
              </w:rPr>
              <w:fldChar w:fldCharType="end"/>
            </w:r>
          </w:hyperlink>
        </w:p>
        <w:p w14:paraId="32E30184" w14:textId="0B00F8AA" w:rsidR="004E0ADF" w:rsidRDefault="004E0ADF">
          <w:pPr>
            <w:pStyle w:val="TOC1"/>
            <w:tabs>
              <w:tab w:val="left" w:pos="660"/>
              <w:tab w:val="right" w:leader="dot" w:pos="9016"/>
            </w:tabs>
            <w:rPr>
              <w:rFonts w:asciiTheme="minorHAnsi" w:eastAsiaTheme="minorEastAsia" w:hAnsiTheme="minorHAnsi"/>
              <w:noProof/>
              <w:lang w:eastAsia="en-GB"/>
            </w:rPr>
          </w:pPr>
          <w:hyperlink w:anchor="_Toc503445982" w:history="1">
            <w:r w:rsidRPr="00EC181D">
              <w:rPr>
                <w:rStyle w:val="Hyperlink"/>
                <w:noProof/>
              </w:rPr>
              <w:t>23</w:t>
            </w:r>
            <w:r>
              <w:rPr>
                <w:rFonts w:asciiTheme="minorHAnsi" w:eastAsiaTheme="minorEastAsia" w:hAnsiTheme="minorHAnsi"/>
                <w:noProof/>
                <w:lang w:eastAsia="en-GB"/>
              </w:rPr>
              <w:tab/>
            </w:r>
            <w:r w:rsidRPr="00EC181D">
              <w:rPr>
                <w:rStyle w:val="Hyperlink"/>
                <w:noProof/>
              </w:rPr>
              <w:t>Appendix 2 – EGR PPM Results</w:t>
            </w:r>
            <w:r>
              <w:rPr>
                <w:noProof/>
                <w:webHidden/>
              </w:rPr>
              <w:tab/>
            </w:r>
            <w:r>
              <w:rPr>
                <w:noProof/>
                <w:webHidden/>
              </w:rPr>
              <w:fldChar w:fldCharType="begin"/>
            </w:r>
            <w:r>
              <w:rPr>
                <w:noProof/>
                <w:webHidden/>
              </w:rPr>
              <w:instrText xml:space="preserve"> PAGEREF _Toc503445982 \h </w:instrText>
            </w:r>
            <w:r>
              <w:rPr>
                <w:noProof/>
                <w:webHidden/>
              </w:rPr>
            </w:r>
            <w:r>
              <w:rPr>
                <w:noProof/>
                <w:webHidden/>
              </w:rPr>
              <w:fldChar w:fldCharType="separate"/>
            </w:r>
            <w:r>
              <w:rPr>
                <w:noProof/>
                <w:webHidden/>
              </w:rPr>
              <w:t>xxxiv</w:t>
            </w:r>
            <w:r>
              <w:rPr>
                <w:noProof/>
                <w:webHidden/>
              </w:rPr>
              <w:fldChar w:fldCharType="end"/>
            </w:r>
          </w:hyperlink>
        </w:p>
        <w:p w14:paraId="418036BF" w14:textId="5AB2F6F4" w:rsidR="00C06824" w:rsidRDefault="00A5361F">
          <w:pPr>
            <w:rPr>
              <w:b/>
              <w:bCs/>
              <w:noProof/>
            </w:rPr>
          </w:pPr>
          <w:r>
            <w:rPr>
              <w:b/>
              <w:bCs/>
              <w:noProof/>
            </w:rPr>
            <w:fldChar w:fldCharType="end"/>
          </w:r>
        </w:p>
      </w:sdtContent>
    </w:sdt>
    <w:p w14:paraId="246ACEBB" w14:textId="77777777" w:rsidR="00C06824" w:rsidRDefault="00C06824">
      <w:pPr>
        <w:spacing w:line="259" w:lineRule="auto"/>
        <w:rPr>
          <w:b/>
          <w:bCs/>
          <w:noProof/>
        </w:rPr>
      </w:pPr>
      <w:r>
        <w:rPr>
          <w:b/>
          <w:bCs/>
          <w:noProof/>
        </w:rPr>
        <w:br w:type="page"/>
      </w:r>
    </w:p>
    <w:p w14:paraId="48FBD605" w14:textId="0D3F07B5" w:rsidR="00C06824" w:rsidRDefault="00C06824" w:rsidP="00C06824">
      <w:pPr>
        <w:pStyle w:val="Heading1"/>
      </w:pPr>
      <w:bookmarkStart w:id="1" w:name="_Toc503445918"/>
      <w:r>
        <w:lastRenderedPageBreak/>
        <w:t>Table of Figures</w:t>
      </w:r>
      <w:bookmarkEnd w:id="1"/>
    </w:p>
    <w:p w14:paraId="185A665D" w14:textId="03F6A4F9" w:rsidR="004E0ADF" w:rsidRDefault="00D2452E">
      <w:pPr>
        <w:pStyle w:val="TableofFigures"/>
        <w:tabs>
          <w:tab w:val="right" w:leader="dot" w:pos="9016"/>
        </w:tabs>
        <w:rPr>
          <w:rFonts w:asciiTheme="minorHAnsi" w:eastAsiaTheme="minorEastAsia" w:hAnsiTheme="minorHAnsi"/>
          <w:noProof/>
          <w:lang w:eastAsia="en-GB"/>
        </w:rPr>
      </w:pPr>
      <w:r>
        <w:rPr>
          <w:u w:val="single"/>
        </w:rPr>
        <w:fldChar w:fldCharType="begin"/>
      </w:r>
      <w:r>
        <w:rPr>
          <w:u w:val="single"/>
        </w:rPr>
        <w:instrText xml:space="preserve"> TOC \h \z \c "Figure" </w:instrText>
      </w:r>
      <w:r>
        <w:rPr>
          <w:u w:val="single"/>
        </w:rPr>
        <w:fldChar w:fldCharType="separate"/>
      </w:r>
      <w:hyperlink w:anchor="_Toc503445880" w:history="1">
        <w:r w:rsidR="004E0ADF" w:rsidRPr="008E6E9E">
          <w:rPr>
            <w:rStyle w:val="Hyperlink"/>
            <w:noProof/>
          </w:rPr>
          <w:t>Figure 1: Boundary Conditions (Heywood, 1988) (Turns, 2006)</w:t>
        </w:r>
        <w:r w:rsidR="004E0ADF">
          <w:rPr>
            <w:noProof/>
            <w:webHidden/>
          </w:rPr>
          <w:tab/>
        </w:r>
        <w:r w:rsidR="004E0ADF">
          <w:rPr>
            <w:noProof/>
            <w:webHidden/>
          </w:rPr>
          <w:fldChar w:fldCharType="begin"/>
        </w:r>
        <w:r w:rsidR="004E0ADF">
          <w:rPr>
            <w:noProof/>
            <w:webHidden/>
          </w:rPr>
          <w:instrText xml:space="preserve"> PAGEREF _Toc503445880 \h </w:instrText>
        </w:r>
        <w:r w:rsidR="004E0ADF">
          <w:rPr>
            <w:noProof/>
            <w:webHidden/>
          </w:rPr>
        </w:r>
        <w:r w:rsidR="004E0ADF">
          <w:rPr>
            <w:noProof/>
            <w:webHidden/>
          </w:rPr>
          <w:fldChar w:fldCharType="separate"/>
        </w:r>
        <w:r w:rsidR="004E0ADF">
          <w:rPr>
            <w:noProof/>
            <w:webHidden/>
          </w:rPr>
          <w:t>ii</w:t>
        </w:r>
        <w:r w:rsidR="004E0ADF">
          <w:rPr>
            <w:noProof/>
            <w:webHidden/>
          </w:rPr>
          <w:fldChar w:fldCharType="end"/>
        </w:r>
      </w:hyperlink>
    </w:p>
    <w:p w14:paraId="5F15B681" w14:textId="514C95CB" w:rsidR="004E0ADF" w:rsidRDefault="004E0ADF">
      <w:pPr>
        <w:pStyle w:val="TableofFigures"/>
        <w:tabs>
          <w:tab w:val="right" w:leader="dot" w:pos="9016"/>
        </w:tabs>
        <w:rPr>
          <w:rFonts w:asciiTheme="minorHAnsi" w:eastAsiaTheme="minorEastAsia" w:hAnsiTheme="minorHAnsi"/>
          <w:noProof/>
          <w:lang w:eastAsia="en-GB"/>
        </w:rPr>
      </w:pPr>
      <w:hyperlink w:anchor="_Toc503445881" w:history="1">
        <w:r w:rsidRPr="008E6E9E">
          <w:rPr>
            <w:rStyle w:val="Hyperlink"/>
            <w:noProof/>
          </w:rPr>
          <w:t>Figure 2:Quantities of Reactants</w:t>
        </w:r>
        <w:r>
          <w:rPr>
            <w:noProof/>
            <w:webHidden/>
          </w:rPr>
          <w:tab/>
        </w:r>
        <w:r>
          <w:rPr>
            <w:noProof/>
            <w:webHidden/>
          </w:rPr>
          <w:fldChar w:fldCharType="begin"/>
        </w:r>
        <w:r>
          <w:rPr>
            <w:noProof/>
            <w:webHidden/>
          </w:rPr>
          <w:instrText xml:space="preserve"> PAGEREF _Toc503445881 \h </w:instrText>
        </w:r>
        <w:r>
          <w:rPr>
            <w:noProof/>
            <w:webHidden/>
          </w:rPr>
        </w:r>
        <w:r>
          <w:rPr>
            <w:noProof/>
            <w:webHidden/>
          </w:rPr>
          <w:fldChar w:fldCharType="separate"/>
        </w:r>
        <w:r>
          <w:rPr>
            <w:noProof/>
            <w:webHidden/>
          </w:rPr>
          <w:t>iii</w:t>
        </w:r>
        <w:r>
          <w:rPr>
            <w:noProof/>
            <w:webHidden/>
          </w:rPr>
          <w:fldChar w:fldCharType="end"/>
        </w:r>
      </w:hyperlink>
    </w:p>
    <w:p w14:paraId="5F075FF5" w14:textId="53C6AD6D" w:rsidR="004E0ADF" w:rsidRDefault="004E0ADF">
      <w:pPr>
        <w:pStyle w:val="TableofFigures"/>
        <w:tabs>
          <w:tab w:val="right" w:leader="dot" w:pos="9016"/>
        </w:tabs>
        <w:rPr>
          <w:rFonts w:asciiTheme="minorHAnsi" w:eastAsiaTheme="minorEastAsia" w:hAnsiTheme="minorHAnsi"/>
          <w:noProof/>
          <w:lang w:eastAsia="en-GB"/>
        </w:rPr>
      </w:pPr>
      <w:hyperlink w:anchor="_Toc503445882" w:history="1">
        <w:r w:rsidRPr="008E6E9E">
          <w:rPr>
            <w:rStyle w:val="Hyperlink"/>
            <w:noProof/>
          </w:rPr>
          <w:t>Figure 3: Quantities of Products</w:t>
        </w:r>
        <w:r>
          <w:rPr>
            <w:noProof/>
            <w:webHidden/>
          </w:rPr>
          <w:tab/>
        </w:r>
        <w:r>
          <w:rPr>
            <w:noProof/>
            <w:webHidden/>
          </w:rPr>
          <w:fldChar w:fldCharType="begin"/>
        </w:r>
        <w:r>
          <w:rPr>
            <w:noProof/>
            <w:webHidden/>
          </w:rPr>
          <w:instrText xml:space="preserve"> PAGEREF _Toc503445882 \h </w:instrText>
        </w:r>
        <w:r>
          <w:rPr>
            <w:noProof/>
            <w:webHidden/>
          </w:rPr>
        </w:r>
        <w:r>
          <w:rPr>
            <w:noProof/>
            <w:webHidden/>
          </w:rPr>
          <w:fldChar w:fldCharType="separate"/>
        </w:r>
        <w:r>
          <w:rPr>
            <w:noProof/>
            <w:webHidden/>
          </w:rPr>
          <w:t>iii</w:t>
        </w:r>
        <w:r>
          <w:rPr>
            <w:noProof/>
            <w:webHidden/>
          </w:rPr>
          <w:fldChar w:fldCharType="end"/>
        </w:r>
      </w:hyperlink>
    </w:p>
    <w:p w14:paraId="38F925D4" w14:textId="619E25B7" w:rsidR="004E0ADF" w:rsidRDefault="004E0ADF">
      <w:pPr>
        <w:pStyle w:val="TableofFigures"/>
        <w:tabs>
          <w:tab w:val="right" w:leader="dot" w:pos="9016"/>
        </w:tabs>
        <w:rPr>
          <w:rFonts w:asciiTheme="minorHAnsi" w:eastAsiaTheme="minorEastAsia" w:hAnsiTheme="minorHAnsi"/>
          <w:noProof/>
          <w:lang w:eastAsia="en-GB"/>
        </w:rPr>
      </w:pPr>
      <w:hyperlink w:anchor="_Toc503445883" w:history="1">
        <w:r w:rsidRPr="008E6E9E">
          <w:rPr>
            <w:rStyle w:val="Hyperlink"/>
            <w:noProof/>
          </w:rPr>
          <w:t>Figure 4: Number of Kmols in Reactants and Products</w:t>
        </w:r>
        <w:r>
          <w:rPr>
            <w:noProof/>
            <w:webHidden/>
          </w:rPr>
          <w:tab/>
        </w:r>
        <w:r>
          <w:rPr>
            <w:noProof/>
            <w:webHidden/>
          </w:rPr>
          <w:fldChar w:fldCharType="begin"/>
        </w:r>
        <w:r>
          <w:rPr>
            <w:noProof/>
            <w:webHidden/>
          </w:rPr>
          <w:instrText xml:space="preserve"> PAGEREF _Toc503445883 \h </w:instrText>
        </w:r>
        <w:r>
          <w:rPr>
            <w:noProof/>
            <w:webHidden/>
          </w:rPr>
        </w:r>
        <w:r>
          <w:rPr>
            <w:noProof/>
            <w:webHidden/>
          </w:rPr>
          <w:fldChar w:fldCharType="separate"/>
        </w:r>
        <w:r>
          <w:rPr>
            <w:noProof/>
            <w:webHidden/>
          </w:rPr>
          <w:t>v</w:t>
        </w:r>
        <w:r>
          <w:rPr>
            <w:noProof/>
            <w:webHidden/>
          </w:rPr>
          <w:fldChar w:fldCharType="end"/>
        </w:r>
      </w:hyperlink>
    </w:p>
    <w:p w14:paraId="492CF81A" w14:textId="73126A8F" w:rsidR="004E0ADF" w:rsidRDefault="004E0ADF">
      <w:pPr>
        <w:pStyle w:val="TableofFigures"/>
        <w:tabs>
          <w:tab w:val="right" w:leader="dot" w:pos="9016"/>
        </w:tabs>
        <w:rPr>
          <w:rFonts w:asciiTheme="minorHAnsi" w:eastAsiaTheme="minorEastAsia" w:hAnsiTheme="minorHAnsi"/>
          <w:noProof/>
          <w:lang w:eastAsia="en-GB"/>
        </w:rPr>
      </w:pPr>
      <w:hyperlink w:anchor="_Toc503445884" w:history="1">
        <w:r w:rsidRPr="008E6E9E">
          <w:rPr>
            <w:rStyle w:val="Hyperlink"/>
            <w:noProof/>
          </w:rPr>
          <w:t>Figure 5: Enthalpies of Formation</w:t>
        </w:r>
        <w:r>
          <w:rPr>
            <w:noProof/>
            <w:webHidden/>
          </w:rPr>
          <w:tab/>
        </w:r>
        <w:r>
          <w:rPr>
            <w:noProof/>
            <w:webHidden/>
          </w:rPr>
          <w:fldChar w:fldCharType="begin"/>
        </w:r>
        <w:r>
          <w:rPr>
            <w:noProof/>
            <w:webHidden/>
          </w:rPr>
          <w:instrText xml:space="preserve"> PAGEREF _Toc503445884 \h </w:instrText>
        </w:r>
        <w:r>
          <w:rPr>
            <w:noProof/>
            <w:webHidden/>
          </w:rPr>
        </w:r>
        <w:r>
          <w:rPr>
            <w:noProof/>
            <w:webHidden/>
          </w:rPr>
          <w:fldChar w:fldCharType="separate"/>
        </w:r>
        <w:r>
          <w:rPr>
            <w:noProof/>
            <w:webHidden/>
          </w:rPr>
          <w:t>vi</w:t>
        </w:r>
        <w:r>
          <w:rPr>
            <w:noProof/>
            <w:webHidden/>
          </w:rPr>
          <w:fldChar w:fldCharType="end"/>
        </w:r>
      </w:hyperlink>
    </w:p>
    <w:p w14:paraId="5D36DF3A" w14:textId="054A0616" w:rsidR="004E0ADF" w:rsidRDefault="004E0ADF">
      <w:pPr>
        <w:pStyle w:val="TableofFigures"/>
        <w:tabs>
          <w:tab w:val="right" w:leader="dot" w:pos="9016"/>
        </w:tabs>
        <w:rPr>
          <w:rFonts w:asciiTheme="minorHAnsi" w:eastAsiaTheme="minorEastAsia" w:hAnsiTheme="minorHAnsi"/>
          <w:noProof/>
          <w:lang w:eastAsia="en-GB"/>
        </w:rPr>
      </w:pPr>
      <w:hyperlink w:anchor="_Toc503445885" w:history="1">
        <w:r w:rsidRPr="008E6E9E">
          <w:rPr>
            <w:rStyle w:val="Hyperlink"/>
            <w:noProof/>
          </w:rPr>
          <w:t>Figure 6: H2O NASA Table Enthalpy Graph</w:t>
        </w:r>
        <w:r>
          <w:rPr>
            <w:noProof/>
            <w:webHidden/>
          </w:rPr>
          <w:tab/>
        </w:r>
        <w:r>
          <w:rPr>
            <w:noProof/>
            <w:webHidden/>
          </w:rPr>
          <w:fldChar w:fldCharType="begin"/>
        </w:r>
        <w:r>
          <w:rPr>
            <w:noProof/>
            <w:webHidden/>
          </w:rPr>
          <w:instrText xml:space="preserve"> PAGEREF _Toc503445885 \h </w:instrText>
        </w:r>
        <w:r>
          <w:rPr>
            <w:noProof/>
            <w:webHidden/>
          </w:rPr>
        </w:r>
        <w:r>
          <w:rPr>
            <w:noProof/>
            <w:webHidden/>
          </w:rPr>
          <w:fldChar w:fldCharType="separate"/>
        </w:r>
        <w:r>
          <w:rPr>
            <w:noProof/>
            <w:webHidden/>
          </w:rPr>
          <w:t>ix</w:t>
        </w:r>
        <w:r>
          <w:rPr>
            <w:noProof/>
            <w:webHidden/>
          </w:rPr>
          <w:fldChar w:fldCharType="end"/>
        </w:r>
      </w:hyperlink>
    </w:p>
    <w:p w14:paraId="1D1E8F7C" w14:textId="595A3789" w:rsidR="004E0ADF" w:rsidRDefault="004E0ADF">
      <w:pPr>
        <w:pStyle w:val="TableofFigures"/>
        <w:tabs>
          <w:tab w:val="right" w:leader="dot" w:pos="9016"/>
        </w:tabs>
        <w:rPr>
          <w:rFonts w:asciiTheme="minorHAnsi" w:eastAsiaTheme="minorEastAsia" w:hAnsiTheme="minorHAnsi"/>
          <w:noProof/>
          <w:lang w:eastAsia="en-GB"/>
        </w:rPr>
      </w:pPr>
      <w:hyperlink w:anchor="_Toc503445886" w:history="1">
        <w:r w:rsidRPr="008E6E9E">
          <w:rPr>
            <w:rStyle w:val="Hyperlink"/>
            <w:noProof/>
          </w:rPr>
          <w:t>Figure 7: CO2 NASA Table Enthalpy Graph</w:t>
        </w:r>
        <w:r>
          <w:rPr>
            <w:noProof/>
            <w:webHidden/>
          </w:rPr>
          <w:tab/>
        </w:r>
        <w:r>
          <w:rPr>
            <w:noProof/>
            <w:webHidden/>
          </w:rPr>
          <w:fldChar w:fldCharType="begin"/>
        </w:r>
        <w:r>
          <w:rPr>
            <w:noProof/>
            <w:webHidden/>
          </w:rPr>
          <w:instrText xml:space="preserve"> PAGEREF _Toc503445886 \h </w:instrText>
        </w:r>
        <w:r>
          <w:rPr>
            <w:noProof/>
            <w:webHidden/>
          </w:rPr>
        </w:r>
        <w:r>
          <w:rPr>
            <w:noProof/>
            <w:webHidden/>
          </w:rPr>
          <w:fldChar w:fldCharType="separate"/>
        </w:r>
        <w:r>
          <w:rPr>
            <w:noProof/>
            <w:webHidden/>
          </w:rPr>
          <w:t>x</w:t>
        </w:r>
        <w:r>
          <w:rPr>
            <w:noProof/>
            <w:webHidden/>
          </w:rPr>
          <w:fldChar w:fldCharType="end"/>
        </w:r>
      </w:hyperlink>
    </w:p>
    <w:p w14:paraId="3873529A" w14:textId="71A008C6" w:rsidR="004E0ADF" w:rsidRDefault="004E0ADF">
      <w:pPr>
        <w:pStyle w:val="TableofFigures"/>
        <w:tabs>
          <w:tab w:val="right" w:leader="dot" w:pos="9016"/>
        </w:tabs>
        <w:rPr>
          <w:rFonts w:asciiTheme="minorHAnsi" w:eastAsiaTheme="minorEastAsia" w:hAnsiTheme="minorHAnsi"/>
          <w:noProof/>
          <w:lang w:eastAsia="en-GB"/>
        </w:rPr>
      </w:pPr>
      <w:hyperlink w:anchor="_Toc503445887" w:history="1">
        <w:r w:rsidRPr="008E6E9E">
          <w:rPr>
            <w:rStyle w:val="Hyperlink"/>
            <w:noProof/>
          </w:rPr>
          <w:t>Figure 8:  O2 NASA Table Enthalpy Graph</w:t>
        </w:r>
        <w:r>
          <w:rPr>
            <w:noProof/>
            <w:webHidden/>
          </w:rPr>
          <w:tab/>
        </w:r>
        <w:r>
          <w:rPr>
            <w:noProof/>
            <w:webHidden/>
          </w:rPr>
          <w:fldChar w:fldCharType="begin"/>
        </w:r>
        <w:r>
          <w:rPr>
            <w:noProof/>
            <w:webHidden/>
          </w:rPr>
          <w:instrText xml:space="preserve"> PAGEREF _Toc503445887 \h </w:instrText>
        </w:r>
        <w:r>
          <w:rPr>
            <w:noProof/>
            <w:webHidden/>
          </w:rPr>
        </w:r>
        <w:r>
          <w:rPr>
            <w:noProof/>
            <w:webHidden/>
          </w:rPr>
          <w:fldChar w:fldCharType="separate"/>
        </w:r>
        <w:r>
          <w:rPr>
            <w:noProof/>
            <w:webHidden/>
          </w:rPr>
          <w:t>x</w:t>
        </w:r>
        <w:r>
          <w:rPr>
            <w:noProof/>
            <w:webHidden/>
          </w:rPr>
          <w:fldChar w:fldCharType="end"/>
        </w:r>
      </w:hyperlink>
    </w:p>
    <w:p w14:paraId="3B34AD85" w14:textId="2A7D258A" w:rsidR="004E0ADF" w:rsidRDefault="004E0ADF">
      <w:pPr>
        <w:pStyle w:val="TableofFigures"/>
        <w:tabs>
          <w:tab w:val="right" w:leader="dot" w:pos="9016"/>
        </w:tabs>
        <w:rPr>
          <w:rFonts w:asciiTheme="minorHAnsi" w:eastAsiaTheme="minorEastAsia" w:hAnsiTheme="minorHAnsi"/>
          <w:noProof/>
          <w:lang w:eastAsia="en-GB"/>
        </w:rPr>
      </w:pPr>
      <w:hyperlink w:anchor="_Toc503445888" w:history="1">
        <w:r w:rsidRPr="008E6E9E">
          <w:rPr>
            <w:rStyle w:val="Hyperlink"/>
            <w:noProof/>
          </w:rPr>
          <w:t>Figure 9: N2 NASA Table Enthalpy Graph</w:t>
        </w:r>
        <w:r>
          <w:rPr>
            <w:noProof/>
            <w:webHidden/>
          </w:rPr>
          <w:tab/>
        </w:r>
        <w:r>
          <w:rPr>
            <w:noProof/>
            <w:webHidden/>
          </w:rPr>
          <w:fldChar w:fldCharType="begin"/>
        </w:r>
        <w:r>
          <w:rPr>
            <w:noProof/>
            <w:webHidden/>
          </w:rPr>
          <w:instrText xml:space="preserve"> PAGEREF _Toc503445888 \h </w:instrText>
        </w:r>
        <w:r>
          <w:rPr>
            <w:noProof/>
            <w:webHidden/>
          </w:rPr>
        </w:r>
        <w:r>
          <w:rPr>
            <w:noProof/>
            <w:webHidden/>
          </w:rPr>
          <w:fldChar w:fldCharType="separate"/>
        </w:r>
        <w:r>
          <w:rPr>
            <w:noProof/>
            <w:webHidden/>
          </w:rPr>
          <w:t>x</w:t>
        </w:r>
        <w:r>
          <w:rPr>
            <w:noProof/>
            <w:webHidden/>
          </w:rPr>
          <w:fldChar w:fldCharType="end"/>
        </w:r>
      </w:hyperlink>
    </w:p>
    <w:p w14:paraId="6EF19D68" w14:textId="786BFC92" w:rsidR="004E0ADF" w:rsidRDefault="004E0ADF">
      <w:pPr>
        <w:pStyle w:val="TableofFigures"/>
        <w:tabs>
          <w:tab w:val="right" w:leader="dot" w:pos="9016"/>
        </w:tabs>
        <w:rPr>
          <w:rFonts w:asciiTheme="minorHAnsi" w:eastAsiaTheme="minorEastAsia" w:hAnsiTheme="minorHAnsi"/>
          <w:noProof/>
          <w:lang w:eastAsia="en-GB"/>
        </w:rPr>
      </w:pPr>
      <w:hyperlink w:anchor="_Toc503445889" w:history="1">
        <w:r w:rsidRPr="008E6E9E">
          <w:rPr>
            <w:rStyle w:val="Hyperlink"/>
            <w:noProof/>
          </w:rPr>
          <w:t>Figure 10: Example of Molecular Enthalpy vs Temperature</w:t>
        </w:r>
        <w:r>
          <w:rPr>
            <w:noProof/>
            <w:webHidden/>
          </w:rPr>
          <w:tab/>
        </w:r>
        <w:r>
          <w:rPr>
            <w:noProof/>
            <w:webHidden/>
          </w:rPr>
          <w:fldChar w:fldCharType="begin"/>
        </w:r>
        <w:r>
          <w:rPr>
            <w:noProof/>
            <w:webHidden/>
          </w:rPr>
          <w:instrText xml:space="preserve"> PAGEREF _Toc503445889 \h </w:instrText>
        </w:r>
        <w:r>
          <w:rPr>
            <w:noProof/>
            <w:webHidden/>
          </w:rPr>
        </w:r>
        <w:r>
          <w:rPr>
            <w:noProof/>
            <w:webHidden/>
          </w:rPr>
          <w:fldChar w:fldCharType="separate"/>
        </w:r>
        <w:r>
          <w:rPr>
            <w:noProof/>
            <w:webHidden/>
          </w:rPr>
          <w:t>xi</w:t>
        </w:r>
        <w:r>
          <w:rPr>
            <w:noProof/>
            <w:webHidden/>
          </w:rPr>
          <w:fldChar w:fldCharType="end"/>
        </w:r>
      </w:hyperlink>
    </w:p>
    <w:p w14:paraId="463093AB" w14:textId="1448B022" w:rsidR="004E0ADF" w:rsidRDefault="004E0ADF">
      <w:pPr>
        <w:pStyle w:val="TableofFigures"/>
        <w:tabs>
          <w:tab w:val="right" w:leader="dot" w:pos="9016"/>
        </w:tabs>
        <w:rPr>
          <w:rFonts w:asciiTheme="minorHAnsi" w:eastAsiaTheme="minorEastAsia" w:hAnsiTheme="minorHAnsi"/>
          <w:noProof/>
          <w:lang w:eastAsia="en-GB"/>
        </w:rPr>
      </w:pPr>
      <w:hyperlink w:anchor="_Toc503445890" w:history="1">
        <w:r w:rsidRPr="008E6E9E">
          <w:rPr>
            <w:rStyle w:val="Hyperlink"/>
            <w:noProof/>
          </w:rPr>
          <w:t>Figure 11: Example of Enthalpy Released, Net Enthalpy and Error Table</w:t>
        </w:r>
        <w:r>
          <w:rPr>
            <w:noProof/>
            <w:webHidden/>
          </w:rPr>
          <w:tab/>
        </w:r>
        <w:r>
          <w:rPr>
            <w:noProof/>
            <w:webHidden/>
          </w:rPr>
          <w:fldChar w:fldCharType="begin"/>
        </w:r>
        <w:r>
          <w:rPr>
            <w:noProof/>
            <w:webHidden/>
          </w:rPr>
          <w:instrText xml:space="preserve"> PAGEREF _Toc503445890 \h </w:instrText>
        </w:r>
        <w:r>
          <w:rPr>
            <w:noProof/>
            <w:webHidden/>
          </w:rPr>
        </w:r>
        <w:r>
          <w:rPr>
            <w:noProof/>
            <w:webHidden/>
          </w:rPr>
          <w:fldChar w:fldCharType="separate"/>
        </w:r>
        <w:r>
          <w:rPr>
            <w:noProof/>
            <w:webHidden/>
          </w:rPr>
          <w:t>xii</w:t>
        </w:r>
        <w:r>
          <w:rPr>
            <w:noProof/>
            <w:webHidden/>
          </w:rPr>
          <w:fldChar w:fldCharType="end"/>
        </w:r>
      </w:hyperlink>
    </w:p>
    <w:p w14:paraId="509DEEBF" w14:textId="3E945445" w:rsidR="004E0ADF" w:rsidRDefault="004E0ADF">
      <w:pPr>
        <w:pStyle w:val="TableofFigures"/>
        <w:tabs>
          <w:tab w:val="right" w:leader="dot" w:pos="9016"/>
        </w:tabs>
        <w:rPr>
          <w:rFonts w:asciiTheme="minorHAnsi" w:eastAsiaTheme="minorEastAsia" w:hAnsiTheme="minorHAnsi"/>
          <w:noProof/>
          <w:lang w:eastAsia="en-GB"/>
        </w:rPr>
      </w:pPr>
      <w:hyperlink w:anchor="_Toc503445891" w:history="1">
        <w:r w:rsidRPr="008E6E9E">
          <w:rPr>
            <w:rStyle w:val="Hyperlink"/>
            <w:noProof/>
          </w:rPr>
          <w:t>Figure 12: Initial Flame Temperature Results</w:t>
        </w:r>
        <w:r>
          <w:rPr>
            <w:noProof/>
            <w:webHidden/>
          </w:rPr>
          <w:tab/>
        </w:r>
        <w:r>
          <w:rPr>
            <w:noProof/>
            <w:webHidden/>
          </w:rPr>
          <w:fldChar w:fldCharType="begin"/>
        </w:r>
        <w:r>
          <w:rPr>
            <w:noProof/>
            <w:webHidden/>
          </w:rPr>
          <w:instrText xml:space="preserve"> PAGEREF _Toc503445891 \h </w:instrText>
        </w:r>
        <w:r>
          <w:rPr>
            <w:noProof/>
            <w:webHidden/>
          </w:rPr>
        </w:r>
        <w:r>
          <w:rPr>
            <w:noProof/>
            <w:webHidden/>
          </w:rPr>
          <w:fldChar w:fldCharType="separate"/>
        </w:r>
        <w:r>
          <w:rPr>
            <w:noProof/>
            <w:webHidden/>
          </w:rPr>
          <w:t>xiii</w:t>
        </w:r>
        <w:r>
          <w:rPr>
            <w:noProof/>
            <w:webHidden/>
          </w:rPr>
          <w:fldChar w:fldCharType="end"/>
        </w:r>
      </w:hyperlink>
    </w:p>
    <w:p w14:paraId="55DCF73E" w14:textId="069A99E8" w:rsidR="004E0ADF" w:rsidRDefault="004E0ADF">
      <w:pPr>
        <w:pStyle w:val="TableofFigures"/>
        <w:tabs>
          <w:tab w:val="right" w:leader="dot" w:pos="9016"/>
        </w:tabs>
        <w:rPr>
          <w:rFonts w:asciiTheme="minorHAnsi" w:eastAsiaTheme="minorEastAsia" w:hAnsiTheme="minorHAnsi"/>
          <w:noProof/>
          <w:lang w:eastAsia="en-GB"/>
        </w:rPr>
      </w:pPr>
      <w:hyperlink w:anchor="_Toc503445892" w:history="1">
        <w:r w:rsidRPr="008E6E9E">
          <w:rPr>
            <w:rStyle w:val="Hyperlink"/>
            <w:noProof/>
          </w:rPr>
          <w:t>Figure 13: Flame Temperature vs Fuel Equivalence Ratio</w:t>
        </w:r>
        <w:r>
          <w:rPr>
            <w:noProof/>
            <w:webHidden/>
          </w:rPr>
          <w:tab/>
        </w:r>
        <w:r>
          <w:rPr>
            <w:noProof/>
            <w:webHidden/>
          </w:rPr>
          <w:fldChar w:fldCharType="begin"/>
        </w:r>
        <w:r>
          <w:rPr>
            <w:noProof/>
            <w:webHidden/>
          </w:rPr>
          <w:instrText xml:space="preserve"> PAGEREF _Toc503445892 \h </w:instrText>
        </w:r>
        <w:r>
          <w:rPr>
            <w:noProof/>
            <w:webHidden/>
          </w:rPr>
        </w:r>
        <w:r>
          <w:rPr>
            <w:noProof/>
            <w:webHidden/>
          </w:rPr>
          <w:fldChar w:fldCharType="separate"/>
        </w:r>
        <w:r>
          <w:rPr>
            <w:noProof/>
            <w:webHidden/>
          </w:rPr>
          <w:t>xiii</w:t>
        </w:r>
        <w:r>
          <w:rPr>
            <w:noProof/>
            <w:webHidden/>
          </w:rPr>
          <w:fldChar w:fldCharType="end"/>
        </w:r>
      </w:hyperlink>
    </w:p>
    <w:p w14:paraId="1905E7E8" w14:textId="66039E6E" w:rsidR="004E0ADF" w:rsidRDefault="004E0ADF">
      <w:pPr>
        <w:pStyle w:val="TableofFigures"/>
        <w:tabs>
          <w:tab w:val="right" w:leader="dot" w:pos="9016"/>
        </w:tabs>
        <w:rPr>
          <w:rFonts w:asciiTheme="minorHAnsi" w:eastAsiaTheme="minorEastAsia" w:hAnsiTheme="minorHAnsi"/>
          <w:noProof/>
          <w:lang w:eastAsia="en-GB"/>
        </w:rPr>
      </w:pPr>
      <w:hyperlink w:anchor="_Toc503445893" w:history="1">
        <w:r w:rsidRPr="008E6E9E">
          <w:rPr>
            <w:rStyle w:val="Hyperlink"/>
            <w:noProof/>
          </w:rPr>
          <w:t>Figure 14: Example of Results for Flame Temperature vs Change in Crank Angle</w:t>
        </w:r>
        <w:r>
          <w:rPr>
            <w:noProof/>
            <w:webHidden/>
          </w:rPr>
          <w:tab/>
        </w:r>
        <w:r>
          <w:rPr>
            <w:noProof/>
            <w:webHidden/>
          </w:rPr>
          <w:fldChar w:fldCharType="begin"/>
        </w:r>
        <w:r>
          <w:rPr>
            <w:noProof/>
            <w:webHidden/>
          </w:rPr>
          <w:instrText xml:space="preserve"> PAGEREF _Toc503445893 \h </w:instrText>
        </w:r>
        <w:r>
          <w:rPr>
            <w:noProof/>
            <w:webHidden/>
          </w:rPr>
        </w:r>
        <w:r>
          <w:rPr>
            <w:noProof/>
            <w:webHidden/>
          </w:rPr>
          <w:fldChar w:fldCharType="separate"/>
        </w:r>
        <w:r>
          <w:rPr>
            <w:noProof/>
            <w:webHidden/>
          </w:rPr>
          <w:t>xv</w:t>
        </w:r>
        <w:r>
          <w:rPr>
            <w:noProof/>
            <w:webHidden/>
          </w:rPr>
          <w:fldChar w:fldCharType="end"/>
        </w:r>
      </w:hyperlink>
    </w:p>
    <w:p w14:paraId="129E75B8" w14:textId="5CDF9EEB" w:rsidR="004E0ADF" w:rsidRDefault="004E0ADF">
      <w:pPr>
        <w:pStyle w:val="TableofFigures"/>
        <w:tabs>
          <w:tab w:val="right" w:leader="dot" w:pos="9016"/>
        </w:tabs>
        <w:rPr>
          <w:rFonts w:asciiTheme="minorHAnsi" w:eastAsiaTheme="minorEastAsia" w:hAnsiTheme="minorHAnsi"/>
          <w:noProof/>
          <w:lang w:eastAsia="en-GB"/>
        </w:rPr>
      </w:pPr>
      <w:hyperlink w:anchor="_Toc503445894" w:history="1">
        <w:r w:rsidRPr="008E6E9E">
          <w:rPr>
            <w:rStyle w:val="Hyperlink"/>
            <w:noProof/>
          </w:rPr>
          <w:t>Figure 15: Crank Angle vs Flame Temperature</w:t>
        </w:r>
        <w:r>
          <w:rPr>
            <w:noProof/>
            <w:webHidden/>
          </w:rPr>
          <w:tab/>
        </w:r>
        <w:r>
          <w:rPr>
            <w:noProof/>
            <w:webHidden/>
          </w:rPr>
          <w:fldChar w:fldCharType="begin"/>
        </w:r>
        <w:r>
          <w:rPr>
            <w:noProof/>
            <w:webHidden/>
          </w:rPr>
          <w:instrText xml:space="preserve"> PAGEREF _Toc503445894 \h </w:instrText>
        </w:r>
        <w:r>
          <w:rPr>
            <w:noProof/>
            <w:webHidden/>
          </w:rPr>
        </w:r>
        <w:r>
          <w:rPr>
            <w:noProof/>
            <w:webHidden/>
          </w:rPr>
          <w:fldChar w:fldCharType="separate"/>
        </w:r>
        <w:r>
          <w:rPr>
            <w:noProof/>
            <w:webHidden/>
          </w:rPr>
          <w:t>xvi</w:t>
        </w:r>
        <w:r>
          <w:rPr>
            <w:noProof/>
            <w:webHidden/>
          </w:rPr>
          <w:fldChar w:fldCharType="end"/>
        </w:r>
      </w:hyperlink>
    </w:p>
    <w:p w14:paraId="6416BD6D" w14:textId="29914816" w:rsidR="004E0ADF" w:rsidRDefault="004E0ADF">
      <w:pPr>
        <w:pStyle w:val="TableofFigures"/>
        <w:tabs>
          <w:tab w:val="right" w:leader="dot" w:pos="9016"/>
        </w:tabs>
        <w:rPr>
          <w:rFonts w:asciiTheme="minorHAnsi" w:eastAsiaTheme="minorEastAsia" w:hAnsiTheme="minorHAnsi"/>
          <w:noProof/>
          <w:lang w:eastAsia="en-GB"/>
        </w:rPr>
      </w:pPr>
      <w:hyperlink w:anchor="_Toc503445895" w:history="1">
        <w:r w:rsidRPr="008E6E9E">
          <w:rPr>
            <w:rStyle w:val="Hyperlink"/>
            <w:noProof/>
          </w:rPr>
          <w:t>Figure 16: Multiplying Constant Results</w:t>
        </w:r>
        <w:r>
          <w:rPr>
            <w:noProof/>
            <w:webHidden/>
          </w:rPr>
          <w:tab/>
        </w:r>
        <w:r>
          <w:rPr>
            <w:noProof/>
            <w:webHidden/>
          </w:rPr>
          <w:fldChar w:fldCharType="begin"/>
        </w:r>
        <w:r>
          <w:rPr>
            <w:noProof/>
            <w:webHidden/>
          </w:rPr>
          <w:instrText xml:space="preserve"> PAGEREF _Toc503445895 \h </w:instrText>
        </w:r>
        <w:r>
          <w:rPr>
            <w:noProof/>
            <w:webHidden/>
          </w:rPr>
        </w:r>
        <w:r>
          <w:rPr>
            <w:noProof/>
            <w:webHidden/>
          </w:rPr>
          <w:fldChar w:fldCharType="separate"/>
        </w:r>
        <w:r>
          <w:rPr>
            <w:noProof/>
            <w:webHidden/>
          </w:rPr>
          <w:t>xvii</w:t>
        </w:r>
        <w:r>
          <w:rPr>
            <w:noProof/>
            <w:webHidden/>
          </w:rPr>
          <w:fldChar w:fldCharType="end"/>
        </w:r>
      </w:hyperlink>
    </w:p>
    <w:p w14:paraId="576DF788" w14:textId="77008CE6" w:rsidR="004E0ADF" w:rsidRDefault="004E0ADF">
      <w:pPr>
        <w:pStyle w:val="TableofFigures"/>
        <w:tabs>
          <w:tab w:val="right" w:leader="dot" w:pos="9016"/>
        </w:tabs>
        <w:rPr>
          <w:rFonts w:asciiTheme="minorHAnsi" w:eastAsiaTheme="minorEastAsia" w:hAnsiTheme="minorHAnsi"/>
          <w:noProof/>
          <w:lang w:eastAsia="en-GB"/>
        </w:rPr>
      </w:pPr>
      <w:hyperlink w:anchor="_Toc503445896" w:history="1">
        <w:r w:rsidRPr="008E6E9E">
          <w:rPr>
            <w:rStyle w:val="Hyperlink"/>
            <w:noProof/>
          </w:rPr>
          <w:t>Figure 17: Nitrogen and Oxygen Concentrations</w:t>
        </w:r>
        <w:r>
          <w:rPr>
            <w:noProof/>
            <w:webHidden/>
          </w:rPr>
          <w:tab/>
        </w:r>
        <w:r>
          <w:rPr>
            <w:noProof/>
            <w:webHidden/>
          </w:rPr>
          <w:fldChar w:fldCharType="begin"/>
        </w:r>
        <w:r>
          <w:rPr>
            <w:noProof/>
            <w:webHidden/>
          </w:rPr>
          <w:instrText xml:space="preserve"> PAGEREF _Toc503445896 \h </w:instrText>
        </w:r>
        <w:r>
          <w:rPr>
            <w:noProof/>
            <w:webHidden/>
          </w:rPr>
        </w:r>
        <w:r>
          <w:rPr>
            <w:noProof/>
            <w:webHidden/>
          </w:rPr>
          <w:fldChar w:fldCharType="separate"/>
        </w:r>
        <w:r>
          <w:rPr>
            <w:noProof/>
            <w:webHidden/>
          </w:rPr>
          <w:t>xviii</w:t>
        </w:r>
        <w:r>
          <w:rPr>
            <w:noProof/>
            <w:webHidden/>
          </w:rPr>
          <w:fldChar w:fldCharType="end"/>
        </w:r>
      </w:hyperlink>
    </w:p>
    <w:p w14:paraId="30BDFCB1" w14:textId="57E2237D" w:rsidR="004E0ADF" w:rsidRDefault="004E0ADF">
      <w:pPr>
        <w:pStyle w:val="TableofFigures"/>
        <w:tabs>
          <w:tab w:val="right" w:leader="dot" w:pos="9016"/>
        </w:tabs>
        <w:rPr>
          <w:rFonts w:asciiTheme="minorHAnsi" w:eastAsiaTheme="minorEastAsia" w:hAnsiTheme="minorHAnsi"/>
          <w:noProof/>
          <w:lang w:eastAsia="en-GB"/>
        </w:rPr>
      </w:pPr>
      <w:hyperlink w:anchor="_Toc503445897" w:history="1">
        <w:r w:rsidRPr="008E6E9E">
          <w:rPr>
            <w:rStyle w:val="Hyperlink"/>
            <w:noProof/>
          </w:rPr>
          <w:t>Figure 18: Nitrogen Concentration vs Fuel Equivalence Ratio</w:t>
        </w:r>
        <w:r>
          <w:rPr>
            <w:noProof/>
            <w:webHidden/>
          </w:rPr>
          <w:tab/>
        </w:r>
        <w:r>
          <w:rPr>
            <w:noProof/>
            <w:webHidden/>
          </w:rPr>
          <w:fldChar w:fldCharType="begin"/>
        </w:r>
        <w:r>
          <w:rPr>
            <w:noProof/>
            <w:webHidden/>
          </w:rPr>
          <w:instrText xml:space="preserve"> PAGEREF _Toc503445897 \h </w:instrText>
        </w:r>
        <w:r>
          <w:rPr>
            <w:noProof/>
            <w:webHidden/>
          </w:rPr>
        </w:r>
        <w:r>
          <w:rPr>
            <w:noProof/>
            <w:webHidden/>
          </w:rPr>
          <w:fldChar w:fldCharType="separate"/>
        </w:r>
        <w:r>
          <w:rPr>
            <w:noProof/>
            <w:webHidden/>
          </w:rPr>
          <w:t>xviii</w:t>
        </w:r>
        <w:r>
          <w:rPr>
            <w:noProof/>
            <w:webHidden/>
          </w:rPr>
          <w:fldChar w:fldCharType="end"/>
        </w:r>
      </w:hyperlink>
    </w:p>
    <w:p w14:paraId="0393D571" w14:textId="0E8BA076" w:rsidR="004E0ADF" w:rsidRDefault="004E0ADF">
      <w:pPr>
        <w:pStyle w:val="TableofFigures"/>
        <w:tabs>
          <w:tab w:val="right" w:leader="dot" w:pos="9016"/>
        </w:tabs>
        <w:rPr>
          <w:rFonts w:asciiTheme="minorHAnsi" w:eastAsiaTheme="minorEastAsia" w:hAnsiTheme="minorHAnsi"/>
          <w:noProof/>
          <w:lang w:eastAsia="en-GB"/>
        </w:rPr>
      </w:pPr>
      <w:hyperlink w:anchor="_Toc503445898" w:history="1">
        <w:r w:rsidRPr="008E6E9E">
          <w:rPr>
            <w:rStyle w:val="Hyperlink"/>
            <w:noProof/>
          </w:rPr>
          <w:t>Figure 19: Oxygen Concentration vs Fuel Equivalence Ratio</w:t>
        </w:r>
        <w:r>
          <w:rPr>
            <w:noProof/>
            <w:webHidden/>
          </w:rPr>
          <w:tab/>
        </w:r>
        <w:r>
          <w:rPr>
            <w:noProof/>
            <w:webHidden/>
          </w:rPr>
          <w:fldChar w:fldCharType="begin"/>
        </w:r>
        <w:r>
          <w:rPr>
            <w:noProof/>
            <w:webHidden/>
          </w:rPr>
          <w:instrText xml:space="preserve"> PAGEREF _Toc503445898 \h </w:instrText>
        </w:r>
        <w:r>
          <w:rPr>
            <w:noProof/>
            <w:webHidden/>
          </w:rPr>
        </w:r>
        <w:r>
          <w:rPr>
            <w:noProof/>
            <w:webHidden/>
          </w:rPr>
          <w:fldChar w:fldCharType="separate"/>
        </w:r>
        <w:r>
          <w:rPr>
            <w:noProof/>
            <w:webHidden/>
          </w:rPr>
          <w:t>xix</w:t>
        </w:r>
        <w:r>
          <w:rPr>
            <w:noProof/>
            <w:webHidden/>
          </w:rPr>
          <w:fldChar w:fldCharType="end"/>
        </w:r>
      </w:hyperlink>
    </w:p>
    <w:p w14:paraId="596FF9EF" w14:textId="4D4148ED" w:rsidR="004E0ADF" w:rsidRDefault="004E0ADF">
      <w:pPr>
        <w:pStyle w:val="TableofFigures"/>
        <w:tabs>
          <w:tab w:val="right" w:leader="dot" w:pos="9016"/>
        </w:tabs>
        <w:rPr>
          <w:rFonts w:asciiTheme="minorHAnsi" w:eastAsiaTheme="minorEastAsia" w:hAnsiTheme="minorHAnsi"/>
          <w:noProof/>
          <w:lang w:eastAsia="en-GB"/>
        </w:rPr>
      </w:pPr>
      <w:hyperlink w:anchor="_Toc503445899" w:history="1">
        <w:r w:rsidRPr="008E6E9E">
          <w:rPr>
            <w:rStyle w:val="Hyperlink"/>
            <w:noProof/>
          </w:rPr>
          <w:t>Figure 20: Zeldovich Model Results</w:t>
        </w:r>
        <w:r>
          <w:rPr>
            <w:noProof/>
            <w:webHidden/>
          </w:rPr>
          <w:tab/>
        </w:r>
        <w:r>
          <w:rPr>
            <w:noProof/>
            <w:webHidden/>
          </w:rPr>
          <w:fldChar w:fldCharType="begin"/>
        </w:r>
        <w:r>
          <w:rPr>
            <w:noProof/>
            <w:webHidden/>
          </w:rPr>
          <w:instrText xml:space="preserve"> PAGEREF _Toc503445899 \h </w:instrText>
        </w:r>
        <w:r>
          <w:rPr>
            <w:noProof/>
            <w:webHidden/>
          </w:rPr>
        </w:r>
        <w:r>
          <w:rPr>
            <w:noProof/>
            <w:webHidden/>
          </w:rPr>
          <w:fldChar w:fldCharType="separate"/>
        </w:r>
        <w:r>
          <w:rPr>
            <w:noProof/>
            <w:webHidden/>
          </w:rPr>
          <w:t>xx</w:t>
        </w:r>
        <w:r>
          <w:rPr>
            <w:noProof/>
            <w:webHidden/>
          </w:rPr>
          <w:fldChar w:fldCharType="end"/>
        </w:r>
      </w:hyperlink>
    </w:p>
    <w:p w14:paraId="37D43445" w14:textId="13521B39" w:rsidR="004E0ADF" w:rsidRDefault="004E0ADF">
      <w:pPr>
        <w:pStyle w:val="TableofFigures"/>
        <w:tabs>
          <w:tab w:val="right" w:leader="dot" w:pos="9016"/>
        </w:tabs>
        <w:rPr>
          <w:rFonts w:asciiTheme="minorHAnsi" w:eastAsiaTheme="minorEastAsia" w:hAnsiTheme="minorHAnsi"/>
          <w:noProof/>
          <w:lang w:eastAsia="en-GB"/>
        </w:rPr>
      </w:pPr>
      <w:hyperlink w:anchor="_Toc503445900" w:history="1">
        <w:r w:rsidRPr="008E6E9E">
          <w:rPr>
            <w:rStyle w:val="Hyperlink"/>
            <w:noProof/>
          </w:rPr>
          <w:t>Figure 21: Kmols NOx per Degree Results</w:t>
        </w:r>
        <w:r>
          <w:rPr>
            <w:noProof/>
            <w:webHidden/>
          </w:rPr>
          <w:tab/>
        </w:r>
        <w:r>
          <w:rPr>
            <w:noProof/>
            <w:webHidden/>
          </w:rPr>
          <w:fldChar w:fldCharType="begin"/>
        </w:r>
        <w:r>
          <w:rPr>
            <w:noProof/>
            <w:webHidden/>
          </w:rPr>
          <w:instrText xml:space="preserve"> PAGEREF _Toc503445900 \h </w:instrText>
        </w:r>
        <w:r>
          <w:rPr>
            <w:noProof/>
            <w:webHidden/>
          </w:rPr>
        </w:r>
        <w:r>
          <w:rPr>
            <w:noProof/>
            <w:webHidden/>
          </w:rPr>
          <w:fldChar w:fldCharType="separate"/>
        </w:r>
        <w:r>
          <w:rPr>
            <w:noProof/>
            <w:webHidden/>
          </w:rPr>
          <w:t>xxi</w:t>
        </w:r>
        <w:r>
          <w:rPr>
            <w:noProof/>
            <w:webHidden/>
          </w:rPr>
          <w:fldChar w:fldCharType="end"/>
        </w:r>
      </w:hyperlink>
    </w:p>
    <w:p w14:paraId="62E60ADD" w14:textId="7BF3D230" w:rsidR="004E0ADF" w:rsidRDefault="004E0ADF">
      <w:pPr>
        <w:pStyle w:val="TableofFigures"/>
        <w:tabs>
          <w:tab w:val="right" w:leader="dot" w:pos="9016"/>
        </w:tabs>
        <w:rPr>
          <w:rFonts w:asciiTheme="minorHAnsi" w:eastAsiaTheme="minorEastAsia" w:hAnsiTheme="minorHAnsi"/>
          <w:noProof/>
          <w:lang w:eastAsia="en-GB"/>
        </w:rPr>
      </w:pPr>
      <w:hyperlink w:anchor="_Toc503445901" w:history="1">
        <w:r w:rsidRPr="008E6E9E">
          <w:rPr>
            <w:rStyle w:val="Hyperlink"/>
            <w:noProof/>
          </w:rPr>
          <w:t>Figure 22:NOx in Cylinder Results</w:t>
        </w:r>
        <w:r>
          <w:rPr>
            <w:noProof/>
            <w:webHidden/>
          </w:rPr>
          <w:tab/>
        </w:r>
        <w:r>
          <w:rPr>
            <w:noProof/>
            <w:webHidden/>
          </w:rPr>
          <w:fldChar w:fldCharType="begin"/>
        </w:r>
        <w:r>
          <w:rPr>
            <w:noProof/>
            <w:webHidden/>
          </w:rPr>
          <w:instrText xml:space="preserve"> PAGEREF _Toc503445901 \h </w:instrText>
        </w:r>
        <w:r>
          <w:rPr>
            <w:noProof/>
            <w:webHidden/>
          </w:rPr>
        </w:r>
        <w:r>
          <w:rPr>
            <w:noProof/>
            <w:webHidden/>
          </w:rPr>
          <w:fldChar w:fldCharType="separate"/>
        </w:r>
        <w:r>
          <w:rPr>
            <w:noProof/>
            <w:webHidden/>
          </w:rPr>
          <w:t>xxii</w:t>
        </w:r>
        <w:r>
          <w:rPr>
            <w:noProof/>
            <w:webHidden/>
          </w:rPr>
          <w:fldChar w:fldCharType="end"/>
        </w:r>
      </w:hyperlink>
    </w:p>
    <w:p w14:paraId="2E3BAB49" w14:textId="7FC6E6E3" w:rsidR="004E0ADF" w:rsidRDefault="004E0ADF">
      <w:pPr>
        <w:pStyle w:val="TableofFigures"/>
        <w:tabs>
          <w:tab w:val="right" w:leader="dot" w:pos="9016"/>
        </w:tabs>
        <w:rPr>
          <w:rFonts w:asciiTheme="minorHAnsi" w:eastAsiaTheme="minorEastAsia" w:hAnsiTheme="minorHAnsi"/>
          <w:noProof/>
          <w:lang w:eastAsia="en-GB"/>
        </w:rPr>
      </w:pPr>
      <w:hyperlink w:anchor="_Toc503445902" w:history="1">
        <w:r w:rsidRPr="008E6E9E">
          <w:rPr>
            <w:rStyle w:val="Hyperlink"/>
            <w:noProof/>
          </w:rPr>
          <w:t>Figure 23: Total Kmols NOx made during Combustion</w:t>
        </w:r>
        <w:r>
          <w:rPr>
            <w:noProof/>
            <w:webHidden/>
          </w:rPr>
          <w:tab/>
        </w:r>
        <w:r>
          <w:rPr>
            <w:noProof/>
            <w:webHidden/>
          </w:rPr>
          <w:fldChar w:fldCharType="begin"/>
        </w:r>
        <w:r>
          <w:rPr>
            <w:noProof/>
            <w:webHidden/>
          </w:rPr>
          <w:instrText xml:space="preserve"> PAGEREF _Toc503445902 \h </w:instrText>
        </w:r>
        <w:r>
          <w:rPr>
            <w:noProof/>
            <w:webHidden/>
          </w:rPr>
        </w:r>
        <w:r>
          <w:rPr>
            <w:noProof/>
            <w:webHidden/>
          </w:rPr>
          <w:fldChar w:fldCharType="separate"/>
        </w:r>
        <w:r>
          <w:rPr>
            <w:noProof/>
            <w:webHidden/>
          </w:rPr>
          <w:t>xxiii</w:t>
        </w:r>
        <w:r>
          <w:rPr>
            <w:noProof/>
            <w:webHidden/>
          </w:rPr>
          <w:fldChar w:fldCharType="end"/>
        </w:r>
      </w:hyperlink>
    </w:p>
    <w:p w14:paraId="4226D1AE" w14:textId="5EAF2187" w:rsidR="004E0ADF" w:rsidRDefault="004E0ADF">
      <w:pPr>
        <w:pStyle w:val="TableofFigures"/>
        <w:tabs>
          <w:tab w:val="right" w:leader="dot" w:pos="9016"/>
        </w:tabs>
        <w:rPr>
          <w:rFonts w:asciiTheme="minorHAnsi" w:eastAsiaTheme="minorEastAsia" w:hAnsiTheme="minorHAnsi"/>
          <w:noProof/>
          <w:lang w:eastAsia="en-GB"/>
        </w:rPr>
      </w:pPr>
      <w:hyperlink w:anchor="_Toc503445903" w:history="1">
        <w:r w:rsidRPr="008E6E9E">
          <w:rPr>
            <w:rStyle w:val="Hyperlink"/>
            <w:noProof/>
          </w:rPr>
          <w:t>Figure 24: Total NOx Produced</w:t>
        </w:r>
        <w:r>
          <w:rPr>
            <w:noProof/>
            <w:webHidden/>
          </w:rPr>
          <w:tab/>
        </w:r>
        <w:r>
          <w:rPr>
            <w:noProof/>
            <w:webHidden/>
          </w:rPr>
          <w:fldChar w:fldCharType="begin"/>
        </w:r>
        <w:r>
          <w:rPr>
            <w:noProof/>
            <w:webHidden/>
          </w:rPr>
          <w:instrText xml:space="preserve"> PAGEREF _Toc503445903 \h </w:instrText>
        </w:r>
        <w:r>
          <w:rPr>
            <w:noProof/>
            <w:webHidden/>
          </w:rPr>
        </w:r>
        <w:r>
          <w:rPr>
            <w:noProof/>
            <w:webHidden/>
          </w:rPr>
          <w:fldChar w:fldCharType="separate"/>
        </w:r>
        <w:r>
          <w:rPr>
            <w:noProof/>
            <w:webHidden/>
          </w:rPr>
          <w:t>xxiv</w:t>
        </w:r>
        <w:r>
          <w:rPr>
            <w:noProof/>
            <w:webHidden/>
          </w:rPr>
          <w:fldChar w:fldCharType="end"/>
        </w:r>
      </w:hyperlink>
    </w:p>
    <w:p w14:paraId="6646E8F5" w14:textId="3F243CB4" w:rsidR="004E0ADF" w:rsidRDefault="004E0ADF">
      <w:pPr>
        <w:pStyle w:val="TableofFigures"/>
        <w:tabs>
          <w:tab w:val="right" w:leader="dot" w:pos="9016"/>
        </w:tabs>
        <w:rPr>
          <w:rFonts w:asciiTheme="minorHAnsi" w:eastAsiaTheme="minorEastAsia" w:hAnsiTheme="minorHAnsi"/>
          <w:noProof/>
          <w:lang w:eastAsia="en-GB"/>
        </w:rPr>
      </w:pPr>
      <w:hyperlink w:anchor="_Toc503445904" w:history="1">
        <w:r w:rsidRPr="008E6E9E">
          <w:rPr>
            <w:rStyle w:val="Hyperlink"/>
            <w:noProof/>
          </w:rPr>
          <w:t>Figure 25:Kmols in Exhaust Results</w:t>
        </w:r>
        <w:r>
          <w:rPr>
            <w:noProof/>
            <w:webHidden/>
          </w:rPr>
          <w:tab/>
        </w:r>
        <w:r>
          <w:rPr>
            <w:noProof/>
            <w:webHidden/>
          </w:rPr>
          <w:fldChar w:fldCharType="begin"/>
        </w:r>
        <w:r>
          <w:rPr>
            <w:noProof/>
            <w:webHidden/>
          </w:rPr>
          <w:instrText xml:space="preserve"> PAGEREF _Toc503445904 \h </w:instrText>
        </w:r>
        <w:r>
          <w:rPr>
            <w:noProof/>
            <w:webHidden/>
          </w:rPr>
        </w:r>
        <w:r>
          <w:rPr>
            <w:noProof/>
            <w:webHidden/>
          </w:rPr>
          <w:fldChar w:fldCharType="separate"/>
        </w:r>
        <w:r>
          <w:rPr>
            <w:noProof/>
            <w:webHidden/>
          </w:rPr>
          <w:t>xxv</w:t>
        </w:r>
        <w:r>
          <w:rPr>
            <w:noProof/>
            <w:webHidden/>
          </w:rPr>
          <w:fldChar w:fldCharType="end"/>
        </w:r>
      </w:hyperlink>
    </w:p>
    <w:p w14:paraId="4963FCA9" w14:textId="480FEBAD" w:rsidR="004E0ADF" w:rsidRDefault="004E0ADF">
      <w:pPr>
        <w:pStyle w:val="TableofFigures"/>
        <w:tabs>
          <w:tab w:val="right" w:leader="dot" w:pos="9016"/>
        </w:tabs>
        <w:rPr>
          <w:rFonts w:asciiTheme="minorHAnsi" w:eastAsiaTheme="minorEastAsia" w:hAnsiTheme="minorHAnsi"/>
          <w:noProof/>
          <w:lang w:eastAsia="en-GB"/>
        </w:rPr>
      </w:pPr>
      <w:hyperlink w:anchor="_Toc503445905" w:history="1">
        <w:r w:rsidRPr="008E6E9E">
          <w:rPr>
            <w:rStyle w:val="Hyperlink"/>
            <w:noProof/>
          </w:rPr>
          <w:t>Figure 26: NOx Parts per Million in Exhaust</w:t>
        </w:r>
        <w:r>
          <w:rPr>
            <w:noProof/>
            <w:webHidden/>
          </w:rPr>
          <w:tab/>
        </w:r>
        <w:r>
          <w:rPr>
            <w:noProof/>
            <w:webHidden/>
          </w:rPr>
          <w:fldChar w:fldCharType="begin"/>
        </w:r>
        <w:r>
          <w:rPr>
            <w:noProof/>
            <w:webHidden/>
          </w:rPr>
          <w:instrText xml:space="preserve"> PAGEREF _Toc503445905 \h </w:instrText>
        </w:r>
        <w:r>
          <w:rPr>
            <w:noProof/>
            <w:webHidden/>
          </w:rPr>
        </w:r>
        <w:r>
          <w:rPr>
            <w:noProof/>
            <w:webHidden/>
          </w:rPr>
          <w:fldChar w:fldCharType="separate"/>
        </w:r>
        <w:r>
          <w:rPr>
            <w:noProof/>
            <w:webHidden/>
          </w:rPr>
          <w:t>xxvi</w:t>
        </w:r>
        <w:r>
          <w:rPr>
            <w:noProof/>
            <w:webHidden/>
          </w:rPr>
          <w:fldChar w:fldCharType="end"/>
        </w:r>
      </w:hyperlink>
    </w:p>
    <w:p w14:paraId="1BE0AA53" w14:textId="7C6982A8" w:rsidR="004E0ADF" w:rsidRDefault="004E0ADF">
      <w:pPr>
        <w:pStyle w:val="TableofFigures"/>
        <w:tabs>
          <w:tab w:val="right" w:leader="dot" w:pos="9016"/>
        </w:tabs>
        <w:rPr>
          <w:rFonts w:asciiTheme="minorHAnsi" w:eastAsiaTheme="minorEastAsia" w:hAnsiTheme="minorHAnsi"/>
          <w:noProof/>
          <w:lang w:eastAsia="en-GB"/>
        </w:rPr>
      </w:pPr>
      <w:hyperlink w:anchor="_Toc503445906" w:history="1">
        <w:r w:rsidRPr="008E6E9E">
          <w:rPr>
            <w:rStyle w:val="Hyperlink"/>
            <w:noProof/>
          </w:rPr>
          <w:t>Figure 27: NOx PPM vs Fuel Equivalence Ratio</w:t>
        </w:r>
        <w:r>
          <w:rPr>
            <w:noProof/>
            <w:webHidden/>
          </w:rPr>
          <w:tab/>
        </w:r>
        <w:r>
          <w:rPr>
            <w:noProof/>
            <w:webHidden/>
          </w:rPr>
          <w:fldChar w:fldCharType="begin"/>
        </w:r>
        <w:r>
          <w:rPr>
            <w:noProof/>
            <w:webHidden/>
          </w:rPr>
          <w:instrText xml:space="preserve"> PAGEREF _Toc503445906 \h </w:instrText>
        </w:r>
        <w:r>
          <w:rPr>
            <w:noProof/>
            <w:webHidden/>
          </w:rPr>
        </w:r>
        <w:r>
          <w:rPr>
            <w:noProof/>
            <w:webHidden/>
          </w:rPr>
          <w:fldChar w:fldCharType="separate"/>
        </w:r>
        <w:r>
          <w:rPr>
            <w:noProof/>
            <w:webHidden/>
          </w:rPr>
          <w:t>xxvi</w:t>
        </w:r>
        <w:r>
          <w:rPr>
            <w:noProof/>
            <w:webHidden/>
          </w:rPr>
          <w:fldChar w:fldCharType="end"/>
        </w:r>
      </w:hyperlink>
    </w:p>
    <w:p w14:paraId="14F2FE35" w14:textId="6E3436E4" w:rsidR="004E0ADF" w:rsidRDefault="004E0ADF">
      <w:pPr>
        <w:pStyle w:val="TableofFigures"/>
        <w:tabs>
          <w:tab w:val="right" w:leader="dot" w:pos="9016"/>
        </w:tabs>
        <w:rPr>
          <w:rFonts w:asciiTheme="minorHAnsi" w:eastAsiaTheme="minorEastAsia" w:hAnsiTheme="minorHAnsi"/>
          <w:noProof/>
          <w:lang w:eastAsia="en-GB"/>
        </w:rPr>
      </w:pPr>
      <w:hyperlink w:anchor="_Toc503445907" w:history="1">
        <w:r w:rsidRPr="008E6E9E">
          <w:rPr>
            <w:rStyle w:val="Hyperlink"/>
            <w:noProof/>
          </w:rPr>
          <w:t xml:space="preserve">Figure 28: NOx PPM vs Flame Temperature </w:t>
        </w:r>
        <w:r w:rsidRPr="008E6E9E">
          <w:rPr>
            <w:rStyle w:val="Hyperlink"/>
            <w:rFonts w:ascii="Calibri" w:hAnsi="Calibri" w:cs="Calibri"/>
            <w:noProof/>
          </w:rPr>
          <w:t>φ</w:t>
        </w:r>
        <w:r w:rsidRPr="008E6E9E">
          <w:rPr>
            <w:rStyle w:val="Hyperlink"/>
            <w:noProof/>
          </w:rPr>
          <w:t>=0.95</w:t>
        </w:r>
        <w:r>
          <w:rPr>
            <w:noProof/>
            <w:webHidden/>
          </w:rPr>
          <w:tab/>
        </w:r>
        <w:r>
          <w:rPr>
            <w:noProof/>
            <w:webHidden/>
          </w:rPr>
          <w:fldChar w:fldCharType="begin"/>
        </w:r>
        <w:r>
          <w:rPr>
            <w:noProof/>
            <w:webHidden/>
          </w:rPr>
          <w:instrText xml:space="preserve"> PAGEREF _Toc503445907 \h </w:instrText>
        </w:r>
        <w:r>
          <w:rPr>
            <w:noProof/>
            <w:webHidden/>
          </w:rPr>
        </w:r>
        <w:r>
          <w:rPr>
            <w:noProof/>
            <w:webHidden/>
          </w:rPr>
          <w:fldChar w:fldCharType="separate"/>
        </w:r>
        <w:r>
          <w:rPr>
            <w:noProof/>
            <w:webHidden/>
          </w:rPr>
          <w:t>xxvii</w:t>
        </w:r>
        <w:r>
          <w:rPr>
            <w:noProof/>
            <w:webHidden/>
          </w:rPr>
          <w:fldChar w:fldCharType="end"/>
        </w:r>
      </w:hyperlink>
    </w:p>
    <w:p w14:paraId="490EF8BE" w14:textId="15B4CA22" w:rsidR="004E0ADF" w:rsidRDefault="004E0ADF">
      <w:pPr>
        <w:pStyle w:val="TableofFigures"/>
        <w:tabs>
          <w:tab w:val="right" w:leader="dot" w:pos="9016"/>
        </w:tabs>
        <w:rPr>
          <w:rFonts w:asciiTheme="minorHAnsi" w:eastAsiaTheme="minorEastAsia" w:hAnsiTheme="minorHAnsi"/>
          <w:noProof/>
          <w:lang w:eastAsia="en-GB"/>
        </w:rPr>
      </w:pPr>
      <w:hyperlink w:anchor="_Toc503445908" w:history="1">
        <w:r w:rsidRPr="008E6E9E">
          <w:rPr>
            <w:rStyle w:val="Hyperlink"/>
            <w:noProof/>
          </w:rPr>
          <w:t>Figure 29: NOx PPM vs Flame Temperature φ</w:t>
        </w:r>
        <w:r w:rsidRPr="008E6E9E">
          <w:rPr>
            <w:rStyle w:val="Hyperlink"/>
            <w:rFonts w:ascii="Calibri" w:hAnsi="Calibri" w:cs="Calibri"/>
            <w:noProof/>
          </w:rPr>
          <w:t xml:space="preserve">= </w:t>
        </w:r>
        <w:r w:rsidRPr="008E6E9E">
          <w:rPr>
            <w:rStyle w:val="Hyperlink"/>
            <w:noProof/>
          </w:rPr>
          <w:t>0.6</w:t>
        </w:r>
        <w:r>
          <w:rPr>
            <w:noProof/>
            <w:webHidden/>
          </w:rPr>
          <w:tab/>
        </w:r>
        <w:r>
          <w:rPr>
            <w:noProof/>
            <w:webHidden/>
          </w:rPr>
          <w:fldChar w:fldCharType="begin"/>
        </w:r>
        <w:r>
          <w:rPr>
            <w:noProof/>
            <w:webHidden/>
          </w:rPr>
          <w:instrText xml:space="preserve"> PAGEREF _Toc503445908 \h </w:instrText>
        </w:r>
        <w:r>
          <w:rPr>
            <w:noProof/>
            <w:webHidden/>
          </w:rPr>
        </w:r>
        <w:r>
          <w:rPr>
            <w:noProof/>
            <w:webHidden/>
          </w:rPr>
          <w:fldChar w:fldCharType="separate"/>
        </w:r>
        <w:r>
          <w:rPr>
            <w:noProof/>
            <w:webHidden/>
          </w:rPr>
          <w:t>xxvii</w:t>
        </w:r>
        <w:r>
          <w:rPr>
            <w:noProof/>
            <w:webHidden/>
          </w:rPr>
          <w:fldChar w:fldCharType="end"/>
        </w:r>
      </w:hyperlink>
    </w:p>
    <w:p w14:paraId="5E69616C" w14:textId="3BE5A84A" w:rsidR="004E0ADF" w:rsidRDefault="004E0ADF">
      <w:pPr>
        <w:pStyle w:val="TableofFigures"/>
        <w:tabs>
          <w:tab w:val="right" w:leader="dot" w:pos="9016"/>
        </w:tabs>
        <w:rPr>
          <w:rFonts w:asciiTheme="minorHAnsi" w:eastAsiaTheme="minorEastAsia" w:hAnsiTheme="minorHAnsi"/>
          <w:noProof/>
          <w:lang w:eastAsia="en-GB"/>
        </w:rPr>
      </w:pPr>
      <w:hyperlink w:anchor="_Toc503445909" w:history="1">
        <w:r w:rsidRPr="008E6E9E">
          <w:rPr>
            <w:rStyle w:val="Hyperlink"/>
            <w:noProof/>
          </w:rPr>
          <w:t>Figure 30: EGR Results φ=0.95</w:t>
        </w:r>
        <w:r>
          <w:rPr>
            <w:noProof/>
            <w:webHidden/>
          </w:rPr>
          <w:tab/>
        </w:r>
        <w:r>
          <w:rPr>
            <w:noProof/>
            <w:webHidden/>
          </w:rPr>
          <w:fldChar w:fldCharType="begin"/>
        </w:r>
        <w:r>
          <w:rPr>
            <w:noProof/>
            <w:webHidden/>
          </w:rPr>
          <w:instrText xml:space="preserve"> PAGEREF _Toc503445909 \h </w:instrText>
        </w:r>
        <w:r>
          <w:rPr>
            <w:noProof/>
            <w:webHidden/>
          </w:rPr>
        </w:r>
        <w:r>
          <w:rPr>
            <w:noProof/>
            <w:webHidden/>
          </w:rPr>
          <w:fldChar w:fldCharType="separate"/>
        </w:r>
        <w:r>
          <w:rPr>
            <w:noProof/>
            <w:webHidden/>
          </w:rPr>
          <w:t>xxviii</w:t>
        </w:r>
        <w:r>
          <w:rPr>
            <w:noProof/>
            <w:webHidden/>
          </w:rPr>
          <w:fldChar w:fldCharType="end"/>
        </w:r>
      </w:hyperlink>
    </w:p>
    <w:p w14:paraId="0BCB4241" w14:textId="6A0A14FB" w:rsidR="004E0ADF" w:rsidRDefault="004E0ADF">
      <w:pPr>
        <w:pStyle w:val="TableofFigures"/>
        <w:tabs>
          <w:tab w:val="right" w:leader="dot" w:pos="9016"/>
        </w:tabs>
        <w:rPr>
          <w:rFonts w:asciiTheme="minorHAnsi" w:eastAsiaTheme="minorEastAsia" w:hAnsiTheme="minorHAnsi"/>
          <w:noProof/>
          <w:lang w:eastAsia="en-GB"/>
        </w:rPr>
      </w:pPr>
      <w:hyperlink w:anchor="_Toc503445910" w:history="1">
        <w:r w:rsidRPr="008E6E9E">
          <w:rPr>
            <w:rStyle w:val="Hyperlink"/>
            <w:noProof/>
          </w:rPr>
          <w:t>Figure 31: Flame Temperature vs Fuel Equivalence Ratio with EGR</w:t>
        </w:r>
        <w:r>
          <w:rPr>
            <w:noProof/>
            <w:webHidden/>
          </w:rPr>
          <w:tab/>
        </w:r>
        <w:r>
          <w:rPr>
            <w:noProof/>
            <w:webHidden/>
          </w:rPr>
          <w:fldChar w:fldCharType="begin"/>
        </w:r>
        <w:r>
          <w:rPr>
            <w:noProof/>
            <w:webHidden/>
          </w:rPr>
          <w:instrText xml:space="preserve"> PAGEREF _Toc503445910 \h </w:instrText>
        </w:r>
        <w:r>
          <w:rPr>
            <w:noProof/>
            <w:webHidden/>
          </w:rPr>
        </w:r>
        <w:r>
          <w:rPr>
            <w:noProof/>
            <w:webHidden/>
          </w:rPr>
          <w:fldChar w:fldCharType="separate"/>
        </w:r>
        <w:r>
          <w:rPr>
            <w:noProof/>
            <w:webHidden/>
          </w:rPr>
          <w:t>xxix</w:t>
        </w:r>
        <w:r>
          <w:rPr>
            <w:noProof/>
            <w:webHidden/>
          </w:rPr>
          <w:fldChar w:fldCharType="end"/>
        </w:r>
      </w:hyperlink>
    </w:p>
    <w:p w14:paraId="0FB97F2C" w14:textId="53077689" w:rsidR="004E0ADF" w:rsidRDefault="004E0ADF">
      <w:pPr>
        <w:pStyle w:val="TableofFigures"/>
        <w:tabs>
          <w:tab w:val="right" w:leader="dot" w:pos="9016"/>
        </w:tabs>
        <w:rPr>
          <w:rFonts w:asciiTheme="minorHAnsi" w:eastAsiaTheme="minorEastAsia" w:hAnsiTheme="minorHAnsi"/>
          <w:noProof/>
          <w:lang w:eastAsia="en-GB"/>
        </w:rPr>
      </w:pPr>
      <w:hyperlink w:anchor="_Toc503445911" w:history="1">
        <w:r w:rsidRPr="008E6E9E">
          <w:rPr>
            <w:rStyle w:val="Hyperlink"/>
            <w:noProof/>
          </w:rPr>
          <w:t>Figure 32: NOx PPM vs EGR</w:t>
        </w:r>
        <w:r>
          <w:rPr>
            <w:noProof/>
            <w:webHidden/>
          </w:rPr>
          <w:tab/>
        </w:r>
        <w:r>
          <w:rPr>
            <w:noProof/>
            <w:webHidden/>
          </w:rPr>
          <w:fldChar w:fldCharType="begin"/>
        </w:r>
        <w:r>
          <w:rPr>
            <w:noProof/>
            <w:webHidden/>
          </w:rPr>
          <w:instrText xml:space="preserve"> PAGEREF _Toc503445911 \h </w:instrText>
        </w:r>
        <w:r>
          <w:rPr>
            <w:noProof/>
            <w:webHidden/>
          </w:rPr>
        </w:r>
        <w:r>
          <w:rPr>
            <w:noProof/>
            <w:webHidden/>
          </w:rPr>
          <w:fldChar w:fldCharType="separate"/>
        </w:r>
        <w:r>
          <w:rPr>
            <w:noProof/>
            <w:webHidden/>
          </w:rPr>
          <w:t>xxix</w:t>
        </w:r>
        <w:r>
          <w:rPr>
            <w:noProof/>
            <w:webHidden/>
          </w:rPr>
          <w:fldChar w:fldCharType="end"/>
        </w:r>
      </w:hyperlink>
    </w:p>
    <w:p w14:paraId="5A50805E" w14:textId="30183F1E" w:rsidR="004E0ADF" w:rsidRDefault="004E0ADF">
      <w:pPr>
        <w:pStyle w:val="TableofFigures"/>
        <w:tabs>
          <w:tab w:val="right" w:leader="dot" w:pos="9016"/>
        </w:tabs>
        <w:rPr>
          <w:rFonts w:asciiTheme="minorHAnsi" w:eastAsiaTheme="minorEastAsia" w:hAnsiTheme="minorHAnsi"/>
          <w:noProof/>
          <w:lang w:eastAsia="en-GB"/>
        </w:rPr>
      </w:pPr>
      <w:hyperlink w:anchor="_Toc503445912" w:history="1">
        <w:r w:rsidRPr="008E6E9E">
          <w:rPr>
            <w:rStyle w:val="Hyperlink"/>
            <w:noProof/>
          </w:rPr>
          <w:t>Figure 33: NOx PPM vs Fuel Equivalence Ratio</w:t>
        </w:r>
        <w:r>
          <w:rPr>
            <w:noProof/>
            <w:webHidden/>
          </w:rPr>
          <w:tab/>
        </w:r>
        <w:r>
          <w:rPr>
            <w:noProof/>
            <w:webHidden/>
          </w:rPr>
          <w:fldChar w:fldCharType="begin"/>
        </w:r>
        <w:r>
          <w:rPr>
            <w:noProof/>
            <w:webHidden/>
          </w:rPr>
          <w:instrText xml:space="preserve"> PAGEREF _Toc503445912 \h </w:instrText>
        </w:r>
        <w:r>
          <w:rPr>
            <w:noProof/>
            <w:webHidden/>
          </w:rPr>
        </w:r>
        <w:r>
          <w:rPr>
            <w:noProof/>
            <w:webHidden/>
          </w:rPr>
          <w:fldChar w:fldCharType="separate"/>
        </w:r>
        <w:r>
          <w:rPr>
            <w:noProof/>
            <w:webHidden/>
          </w:rPr>
          <w:t>xxx</w:t>
        </w:r>
        <w:r>
          <w:rPr>
            <w:noProof/>
            <w:webHidden/>
          </w:rPr>
          <w:fldChar w:fldCharType="end"/>
        </w:r>
      </w:hyperlink>
    </w:p>
    <w:p w14:paraId="5D5977A1" w14:textId="154441EB" w:rsidR="004E0ADF" w:rsidRDefault="004E0ADF">
      <w:pPr>
        <w:pStyle w:val="TableofFigures"/>
        <w:tabs>
          <w:tab w:val="right" w:leader="dot" w:pos="9016"/>
        </w:tabs>
        <w:rPr>
          <w:rFonts w:asciiTheme="minorHAnsi" w:eastAsiaTheme="minorEastAsia" w:hAnsiTheme="minorHAnsi"/>
          <w:noProof/>
          <w:lang w:eastAsia="en-GB"/>
        </w:rPr>
      </w:pPr>
      <w:hyperlink w:anchor="_Toc503445913" w:history="1">
        <w:r w:rsidRPr="008E6E9E">
          <w:rPr>
            <w:rStyle w:val="Hyperlink"/>
            <w:noProof/>
          </w:rPr>
          <w:t>Figure 34: NOx PPM vs EGR vs Fuel Equivalence Ratio</w:t>
        </w:r>
        <w:r>
          <w:rPr>
            <w:noProof/>
            <w:webHidden/>
          </w:rPr>
          <w:tab/>
        </w:r>
        <w:r>
          <w:rPr>
            <w:noProof/>
            <w:webHidden/>
          </w:rPr>
          <w:fldChar w:fldCharType="begin"/>
        </w:r>
        <w:r>
          <w:rPr>
            <w:noProof/>
            <w:webHidden/>
          </w:rPr>
          <w:instrText xml:space="preserve"> PAGEREF _Toc503445913 \h </w:instrText>
        </w:r>
        <w:r>
          <w:rPr>
            <w:noProof/>
            <w:webHidden/>
          </w:rPr>
        </w:r>
        <w:r>
          <w:rPr>
            <w:noProof/>
            <w:webHidden/>
          </w:rPr>
          <w:fldChar w:fldCharType="separate"/>
        </w:r>
        <w:r>
          <w:rPr>
            <w:noProof/>
            <w:webHidden/>
          </w:rPr>
          <w:t>xxx</w:t>
        </w:r>
        <w:r>
          <w:rPr>
            <w:noProof/>
            <w:webHidden/>
          </w:rPr>
          <w:fldChar w:fldCharType="end"/>
        </w:r>
      </w:hyperlink>
    </w:p>
    <w:p w14:paraId="4C4F4164" w14:textId="6742AEA4" w:rsidR="004E0ADF" w:rsidRDefault="004E0ADF">
      <w:pPr>
        <w:pStyle w:val="TableofFigures"/>
        <w:tabs>
          <w:tab w:val="right" w:leader="dot" w:pos="9016"/>
        </w:tabs>
        <w:rPr>
          <w:rFonts w:asciiTheme="minorHAnsi" w:eastAsiaTheme="minorEastAsia" w:hAnsiTheme="minorHAnsi"/>
          <w:noProof/>
          <w:lang w:eastAsia="en-GB"/>
        </w:rPr>
      </w:pPr>
      <w:hyperlink w:anchor="_Toc503445914" w:history="1">
        <w:r w:rsidRPr="008E6E9E">
          <w:rPr>
            <w:rStyle w:val="Hyperlink"/>
            <w:noProof/>
          </w:rPr>
          <w:t>Figure 35: EGR Flame Temperatures 1</w:t>
        </w:r>
        <w:r>
          <w:rPr>
            <w:noProof/>
            <w:webHidden/>
          </w:rPr>
          <w:tab/>
        </w:r>
        <w:r>
          <w:rPr>
            <w:noProof/>
            <w:webHidden/>
          </w:rPr>
          <w:fldChar w:fldCharType="begin"/>
        </w:r>
        <w:r>
          <w:rPr>
            <w:noProof/>
            <w:webHidden/>
          </w:rPr>
          <w:instrText xml:space="preserve"> PAGEREF _Toc503445914 \h </w:instrText>
        </w:r>
        <w:r>
          <w:rPr>
            <w:noProof/>
            <w:webHidden/>
          </w:rPr>
        </w:r>
        <w:r>
          <w:rPr>
            <w:noProof/>
            <w:webHidden/>
          </w:rPr>
          <w:fldChar w:fldCharType="separate"/>
        </w:r>
        <w:r>
          <w:rPr>
            <w:noProof/>
            <w:webHidden/>
          </w:rPr>
          <w:t>xxxiii</w:t>
        </w:r>
        <w:r>
          <w:rPr>
            <w:noProof/>
            <w:webHidden/>
          </w:rPr>
          <w:fldChar w:fldCharType="end"/>
        </w:r>
      </w:hyperlink>
    </w:p>
    <w:p w14:paraId="178C745E" w14:textId="5FB9C38B" w:rsidR="004E0ADF" w:rsidRDefault="004E0ADF">
      <w:pPr>
        <w:pStyle w:val="TableofFigures"/>
        <w:tabs>
          <w:tab w:val="right" w:leader="dot" w:pos="9016"/>
        </w:tabs>
        <w:rPr>
          <w:rFonts w:asciiTheme="minorHAnsi" w:eastAsiaTheme="minorEastAsia" w:hAnsiTheme="minorHAnsi"/>
          <w:noProof/>
          <w:lang w:eastAsia="en-GB"/>
        </w:rPr>
      </w:pPr>
      <w:hyperlink w:anchor="_Toc503445915" w:history="1">
        <w:r w:rsidRPr="008E6E9E">
          <w:rPr>
            <w:rStyle w:val="Hyperlink"/>
            <w:noProof/>
          </w:rPr>
          <w:t>Figure 36: EGR Flame Temperature Results 2</w:t>
        </w:r>
        <w:r>
          <w:rPr>
            <w:noProof/>
            <w:webHidden/>
          </w:rPr>
          <w:tab/>
        </w:r>
        <w:r>
          <w:rPr>
            <w:noProof/>
            <w:webHidden/>
          </w:rPr>
          <w:fldChar w:fldCharType="begin"/>
        </w:r>
        <w:r>
          <w:rPr>
            <w:noProof/>
            <w:webHidden/>
          </w:rPr>
          <w:instrText xml:space="preserve"> PAGEREF _Toc503445915 \h </w:instrText>
        </w:r>
        <w:r>
          <w:rPr>
            <w:noProof/>
            <w:webHidden/>
          </w:rPr>
        </w:r>
        <w:r>
          <w:rPr>
            <w:noProof/>
            <w:webHidden/>
          </w:rPr>
          <w:fldChar w:fldCharType="separate"/>
        </w:r>
        <w:r>
          <w:rPr>
            <w:noProof/>
            <w:webHidden/>
          </w:rPr>
          <w:t>xxxiii</w:t>
        </w:r>
        <w:r>
          <w:rPr>
            <w:noProof/>
            <w:webHidden/>
          </w:rPr>
          <w:fldChar w:fldCharType="end"/>
        </w:r>
      </w:hyperlink>
    </w:p>
    <w:p w14:paraId="0259083A" w14:textId="2D219471" w:rsidR="004E0ADF" w:rsidRDefault="004E0ADF">
      <w:pPr>
        <w:pStyle w:val="TableofFigures"/>
        <w:tabs>
          <w:tab w:val="right" w:leader="dot" w:pos="9016"/>
        </w:tabs>
        <w:rPr>
          <w:rFonts w:asciiTheme="minorHAnsi" w:eastAsiaTheme="minorEastAsia" w:hAnsiTheme="minorHAnsi"/>
          <w:noProof/>
          <w:lang w:eastAsia="en-GB"/>
        </w:rPr>
      </w:pPr>
      <w:hyperlink w:anchor="_Toc503445916" w:history="1">
        <w:r w:rsidRPr="008E6E9E">
          <w:rPr>
            <w:rStyle w:val="Hyperlink"/>
            <w:noProof/>
          </w:rPr>
          <w:t>Figure 37: EGR PPM Results 1</w:t>
        </w:r>
        <w:r>
          <w:rPr>
            <w:noProof/>
            <w:webHidden/>
          </w:rPr>
          <w:tab/>
        </w:r>
        <w:r>
          <w:rPr>
            <w:noProof/>
            <w:webHidden/>
          </w:rPr>
          <w:fldChar w:fldCharType="begin"/>
        </w:r>
        <w:r>
          <w:rPr>
            <w:noProof/>
            <w:webHidden/>
          </w:rPr>
          <w:instrText xml:space="preserve"> PAGEREF _Toc503445916 \h </w:instrText>
        </w:r>
        <w:r>
          <w:rPr>
            <w:noProof/>
            <w:webHidden/>
          </w:rPr>
        </w:r>
        <w:r>
          <w:rPr>
            <w:noProof/>
            <w:webHidden/>
          </w:rPr>
          <w:fldChar w:fldCharType="separate"/>
        </w:r>
        <w:r>
          <w:rPr>
            <w:noProof/>
            <w:webHidden/>
          </w:rPr>
          <w:t>xxxiv</w:t>
        </w:r>
        <w:r>
          <w:rPr>
            <w:noProof/>
            <w:webHidden/>
          </w:rPr>
          <w:fldChar w:fldCharType="end"/>
        </w:r>
      </w:hyperlink>
    </w:p>
    <w:p w14:paraId="2C9D56E3" w14:textId="578B664A" w:rsidR="004E0ADF" w:rsidRDefault="004E0ADF">
      <w:pPr>
        <w:pStyle w:val="TableofFigures"/>
        <w:tabs>
          <w:tab w:val="right" w:leader="dot" w:pos="9016"/>
        </w:tabs>
        <w:rPr>
          <w:rFonts w:asciiTheme="minorHAnsi" w:eastAsiaTheme="minorEastAsia" w:hAnsiTheme="minorHAnsi"/>
          <w:noProof/>
          <w:lang w:eastAsia="en-GB"/>
        </w:rPr>
      </w:pPr>
      <w:hyperlink w:anchor="_Toc503445917" w:history="1">
        <w:r w:rsidRPr="008E6E9E">
          <w:rPr>
            <w:rStyle w:val="Hyperlink"/>
            <w:noProof/>
          </w:rPr>
          <w:t>Figure 38: EGR PPM Results 2</w:t>
        </w:r>
        <w:r>
          <w:rPr>
            <w:noProof/>
            <w:webHidden/>
          </w:rPr>
          <w:tab/>
        </w:r>
        <w:r>
          <w:rPr>
            <w:noProof/>
            <w:webHidden/>
          </w:rPr>
          <w:fldChar w:fldCharType="begin"/>
        </w:r>
        <w:r>
          <w:rPr>
            <w:noProof/>
            <w:webHidden/>
          </w:rPr>
          <w:instrText xml:space="preserve"> PAGEREF _Toc503445917 \h </w:instrText>
        </w:r>
        <w:r>
          <w:rPr>
            <w:noProof/>
            <w:webHidden/>
          </w:rPr>
        </w:r>
        <w:r>
          <w:rPr>
            <w:noProof/>
            <w:webHidden/>
          </w:rPr>
          <w:fldChar w:fldCharType="separate"/>
        </w:r>
        <w:r>
          <w:rPr>
            <w:noProof/>
            <w:webHidden/>
          </w:rPr>
          <w:t>xxxiv</w:t>
        </w:r>
        <w:r>
          <w:rPr>
            <w:noProof/>
            <w:webHidden/>
          </w:rPr>
          <w:fldChar w:fldCharType="end"/>
        </w:r>
      </w:hyperlink>
    </w:p>
    <w:p w14:paraId="6EC106BD" w14:textId="13BEC363" w:rsidR="00A5361F" w:rsidRDefault="00D2452E">
      <w:pPr>
        <w:spacing w:line="259" w:lineRule="auto"/>
        <w:rPr>
          <w:u w:val="single"/>
        </w:rPr>
      </w:pPr>
      <w:r>
        <w:rPr>
          <w:u w:val="single"/>
        </w:rPr>
        <w:fldChar w:fldCharType="end"/>
      </w:r>
      <w:r w:rsidR="00A5361F">
        <w:rPr>
          <w:u w:val="single"/>
        </w:rPr>
        <w:br w:type="page"/>
      </w:r>
    </w:p>
    <w:p w14:paraId="7E2C7A31" w14:textId="77777777" w:rsidR="00141C51" w:rsidRDefault="00141C51" w:rsidP="00AD7F97">
      <w:pPr>
        <w:rPr>
          <w:u w:val="single"/>
        </w:rPr>
        <w:sectPr w:rsidR="00141C51" w:rsidSect="00A5361F">
          <w:footerReference w:type="default" r:id="rId8"/>
          <w:pgSz w:w="11906" w:h="16838"/>
          <w:pgMar w:top="1440" w:right="1440" w:bottom="1440" w:left="1440" w:header="708" w:footer="708" w:gutter="0"/>
          <w:cols w:space="708"/>
          <w:titlePg/>
          <w:docGrid w:linePitch="360"/>
        </w:sectPr>
      </w:pPr>
    </w:p>
    <w:p w14:paraId="0B589B9F" w14:textId="77777777" w:rsidR="00AD7F97" w:rsidRDefault="00AD7F97" w:rsidP="00141C51">
      <w:pPr>
        <w:pStyle w:val="Heading1"/>
      </w:pPr>
      <w:bookmarkStart w:id="2" w:name="_Toc503445919"/>
      <w:r>
        <w:lastRenderedPageBreak/>
        <w:t>Introduction</w:t>
      </w:r>
      <w:bookmarkEnd w:id="2"/>
    </w:p>
    <w:p w14:paraId="02E6BD44" w14:textId="688F4BCC" w:rsidR="00A5361F" w:rsidRDefault="006E6F66" w:rsidP="00A5361F">
      <w:pPr>
        <w:pStyle w:val="Heading2"/>
      </w:pPr>
      <w:bookmarkStart w:id="3" w:name="_Toc503445920"/>
      <w:r>
        <w:t>Aim</w:t>
      </w:r>
      <w:bookmarkEnd w:id="3"/>
    </w:p>
    <w:p w14:paraId="5C5BB909" w14:textId="2577CB36" w:rsidR="006E6F66" w:rsidRPr="006E6F66" w:rsidRDefault="00796DA7" w:rsidP="006E6F66">
      <w:r>
        <w:t>The aim of this study is to develop a NOx model of an engine running</w:t>
      </w:r>
      <w:r w:rsidR="00DB6AD3">
        <w:t xml:space="preserve"> isooctane fuel and investigate the effects of running on the lean side of stoichiometric and varying the Fuel Equivalence Ratio. The effects of adding Exhaust Gas Recirculation will also be investigated.</w:t>
      </w:r>
    </w:p>
    <w:p w14:paraId="0D415BB1" w14:textId="7FCDD544" w:rsidR="001540E8" w:rsidRDefault="006E6F66" w:rsidP="001540E8">
      <w:pPr>
        <w:pStyle w:val="Heading2"/>
      </w:pPr>
      <w:bookmarkStart w:id="4" w:name="_Toc503445921"/>
      <w:r>
        <w:t>Assumptions</w:t>
      </w:r>
      <w:bookmarkEnd w:id="4"/>
    </w:p>
    <w:p w14:paraId="385198C1" w14:textId="541DB9BE" w:rsidR="00BF74A5" w:rsidRDefault="00BF74A5" w:rsidP="00BF74A5">
      <w:pPr>
        <w:pStyle w:val="ListParagraph"/>
        <w:numPr>
          <w:ilvl w:val="0"/>
          <w:numId w:val="4"/>
        </w:numPr>
      </w:pPr>
      <w:r>
        <w:t>Rise in Pressure after start of combustion (SOC) is linear and increases by 2 bar per degree of crank rotation.</w:t>
      </w:r>
    </w:p>
    <w:p w14:paraId="0DE27C96" w14:textId="1DF29E12" w:rsidR="00BF74A5" w:rsidRDefault="00BF74A5" w:rsidP="00BF74A5">
      <w:pPr>
        <w:pStyle w:val="ListParagraph"/>
        <w:numPr>
          <w:ilvl w:val="0"/>
          <w:numId w:val="4"/>
        </w:numPr>
      </w:pPr>
      <w:r>
        <w:t>Cylinder pressure is initially 10 bar at SOC and peaks at 50 bar.</w:t>
      </w:r>
    </w:p>
    <w:p w14:paraId="7FA6E81C" w14:textId="48E86FE2" w:rsidR="00BF74A5" w:rsidRDefault="00A11E8E" w:rsidP="00BF74A5">
      <w:pPr>
        <w:pStyle w:val="ListParagraph"/>
        <w:numPr>
          <w:ilvl w:val="0"/>
          <w:numId w:val="4"/>
        </w:numPr>
      </w:pPr>
      <w:r>
        <w:t>Naturally Aspirated</w:t>
      </w:r>
      <w:r w:rsidR="00D279E3">
        <w:t>, Spark Ignition,</w:t>
      </w:r>
      <w:r>
        <w:t xml:space="preserve"> 1600cc </w:t>
      </w:r>
      <w:r w:rsidR="00046E77">
        <w:t>Engine</w:t>
      </w:r>
      <w:r w:rsidR="0096764D">
        <w:t>.</w:t>
      </w:r>
    </w:p>
    <w:p w14:paraId="6CDBDE15" w14:textId="7F492F5C" w:rsidR="00046E77" w:rsidRDefault="0096764D" w:rsidP="0096764D">
      <w:pPr>
        <w:pStyle w:val="ListParagraph"/>
        <w:numPr>
          <w:ilvl w:val="0"/>
          <w:numId w:val="4"/>
        </w:numPr>
      </w:pPr>
      <w:r>
        <w:t>Volume at Top Dead Centre is 40ccs.</w:t>
      </w:r>
    </w:p>
    <w:p w14:paraId="430EA699" w14:textId="4B4C5049" w:rsidR="0096764D" w:rsidRDefault="0096764D" w:rsidP="00BF74A5">
      <w:pPr>
        <w:pStyle w:val="ListParagraph"/>
        <w:numPr>
          <w:ilvl w:val="0"/>
          <w:numId w:val="4"/>
        </w:numPr>
      </w:pPr>
      <w:r>
        <w:t>Engine Speed is 1800RPM.</w:t>
      </w:r>
    </w:p>
    <w:p w14:paraId="13FC53F4" w14:textId="6132D46A" w:rsidR="0096764D" w:rsidRDefault="0096764D" w:rsidP="00BF74A5">
      <w:pPr>
        <w:pStyle w:val="ListParagraph"/>
        <w:numPr>
          <w:ilvl w:val="0"/>
          <w:numId w:val="4"/>
        </w:numPr>
      </w:pPr>
      <w:r>
        <w:t>[N2] and [O2] concentrations constant during combustion.</w:t>
      </w:r>
    </w:p>
    <w:p w14:paraId="760BE090" w14:textId="11E3795D" w:rsidR="0096764D" w:rsidRDefault="0096764D" w:rsidP="00BF74A5">
      <w:pPr>
        <w:pStyle w:val="ListParagraph"/>
        <w:numPr>
          <w:ilvl w:val="0"/>
          <w:numId w:val="4"/>
        </w:numPr>
      </w:pPr>
      <w:r>
        <w:t>Universal Gas Constant of 8316 KmolK</w:t>
      </w:r>
      <w:r w:rsidR="001C21A1">
        <w:t>.</w:t>
      </w:r>
    </w:p>
    <w:p w14:paraId="40924750" w14:textId="0F038EBC" w:rsidR="0096764D" w:rsidRDefault="001C21A1" w:rsidP="00BF74A5">
      <w:pPr>
        <w:pStyle w:val="ListParagraph"/>
        <w:numPr>
          <w:ilvl w:val="0"/>
          <w:numId w:val="4"/>
        </w:numPr>
      </w:pPr>
      <w:r>
        <w:t>Polytrophic Index for burned zone up to peak pressure of 1.2.</w:t>
      </w:r>
    </w:p>
    <w:p w14:paraId="002FB2D0" w14:textId="43E48DAA" w:rsidR="001C21A1" w:rsidRDefault="001C21A1" w:rsidP="00BF74A5">
      <w:pPr>
        <w:pStyle w:val="ListParagraph"/>
        <w:numPr>
          <w:ilvl w:val="0"/>
          <w:numId w:val="4"/>
        </w:numPr>
      </w:pPr>
      <w:r>
        <w:t>40% Volumetric Efficiency.</w:t>
      </w:r>
    </w:p>
    <w:p w14:paraId="42895F44" w14:textId="523E81D2" w:rsidR="001C21A1" w:rsidRDefault="001C21A1" w:rsidP="00BF74A5">
      <w:pPr>
        <w:pStyle w:val="ListParagraph"/>
        <w:numPr>
          <w:ilvl w:val="0"/>
          <w:numId w:val="4"/>
        </w:numPr>
      </w:pPr>
      <w:r>
        <w:t>Air/Fuel Temperature is 293K.</w:t>
      </w:r>
    </w:p>
    <w:p w14:paraId="6591D77F" w14:textId="3F46226A" w:rsidR="001C21A1" w:rsidRDefault="001C21A1" w:rsidP="00BF74A5">
      <w:pPr>
        <w:pStyle w:val="ListParagraph"/>
        <w:numPr>
          <w:ilvl w:val="0"/>
          <w:numId w:val="4"/>
        </w:numPr>
      </w:pPr>
      <w:r>
        <w:t>Pressure in cylinder when inlet valve closes of 1 bar.</w:t>
      </w:r>
    </w:p>
    <w:p w14:paraId="5FC4028B" w14:textId="5DFB0EBF" w:rsidR="002762F6" w:rsidRDefault="00042784" w:rsidP="000D2775">
      <w:pPr>
        <w:pStyle w:val="ListParagraph"/>
        <w:numPr>
          <w:ilvl w:val="0"/>
          <w:numId w:val="4"/>
        </w:numPr>
      </w:pPr>
      <w:r>
        <w:t>Mixture is Homogenous</w:t>
      </w:r>
    </w:p>
    <w:p w14:paraId="03719A05" w14:textId="68378DEB" w:rsidR="007064E4" w:rsidRDefault="007064E4" w:rsidP="000D2775">
      <w:pPr>
        <w:pStyle w:val="ListParagraph"/>
        <w:numPr>
          <w:ilvl w:val="0"/>
          <w:numId w:val="4"/>
        </w:numPr>
      </w:pPr>
      <w:r>
        <w:t>Adiabatic Process</w:t>
      </w:r>
    </w:p>
    <w:p w14:paraId="364C6808" w14:textId="46DDC2A5" w:rsidR="007064E4" w:rsidRDefault="007064E4" w:rsidP="000D2775">
      <w:pPr>
        <w:pStyle w:val="ListParagraph"/>
        <w:numPr>
          <w:ilvl w:val="0"/>
          <w:numId w:val="4"/>
        </w:numPr>
      </w:pPr>
      <w:r>
        <w:t>No Oxygen in Stoichiometric</w:t>
      </w:r>
      <w:r w:rsidR="00677F8D">
        <w:t xml:space="preserve"> products.</w:t>
      </w:r>
    </w:p>
    <w:p w14:paraId="15709E94" w14:textId="66AD3FB7" w:rsidR="00677F8D" w:rsidRDefault="00677F8D" w:rsidP="000D2775">
      <w:pPr>
        <w:pStyle w:val="ListParagraph"/>
        <w:numPr>
          <w:ilvl w:val="0"/>
          <w:numId w:val="4"/>
        </w:numPr>
      </w:pPr>
      <w:r>
        <w:t>Temperature is uniform throughout the cylinder.</w:t>
      </w:r>
    </w:p>
    <w:p w14:paraId="7CB02072" w14:textId="65CC0AB7" w:rsidR="00042784" w:rsidRDefault="0077548D" w:rsidP="002762F6">
      <w:pPr>
        <w:pStyle w:val="Heading2"/>
      </w:pPr>
      <w:bookmarkStart w:id="5" w:name="_Toc503445922"/>
      <w:r>
        <w:lastRenderedPageBreak/>
        <w:t>Boundary Conditions</w:t>
      </w:r>
      <w:bookmarkEnd w:id="5"/>
    </w:p>
    <w:p w14:paraId="152C689B" w14:textId="77777777" w:rsidR="002762F6" w:rsidRDefault="00212EC1" w:rsidP="002762F6">
      <w:pPr>
        <w:keepNext/>
        <w:jc w:val="center"/>
      </w:pPr>
      <w:r w:rsidRPr="00212EC1">
        <w:rPr>
          <w:noProof/>
          <w:lang w:eastAsia="en-GB"/>
        </w:rPr>
        <w:drawing>
          <wp:inline distT="0" distB="0" distL="0" distR="0" wp14:anchorId="7A6E34E2" wp14:editId="258ADB7A">
            <wp:extent cx="4320000" cy="2567158"/>
            <wp:effectExtent l="0" t="0" r="4445"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20000" cy="2567158"/>
                    </a:xfrm>
                    <a:prstGeom prst="rect">
                      <a:avLst/>
                    </a:prstGeom>
                    <a:noFill/>
                    <a:ln>
                      <a:noFill/>
                    </a:ln>
                  </pic:spPr>
                </pic:pic>
              </a:graphicData>
            </a:graphic>
          </wp:inline>
        </w:drawing>
      </w:r>
    </w:p>
    <w:p w14:paraId="05EC35BF" w14:textId="564819A9" w:rsidR="00C06824" w:rsidRDefault="002762F6" w:rsidP="002762F6">
      <w:pPr>
        <w:pStyle w:val="Caption"/>
        <w:jc w:val="center"/>
      </w:pPr>
      <w:bookmarkStart w:id="6" w:name="_Toc503445880"/>
      <w:r>
        <w:t xml:space="preserve">Figure </w:t>
      </w:r>
      <w:fldSimple w:instr=" SEQ Figure \* ARABIC ">
        <w:r w:rsidR="004E0ADF">
          <w:rPr>
            <w:noProof/>
          </w:rPr>
          <w:t>1</w:t>
        </w:r>
      </w:fldSimple>
      <w:r>
        <w:t xml:space="preserve">: Boundary Conditions </w:t>
      </w:r>
      <w:sdt>
        <w:sdtPr>
          <w:id w:val="1184635656"/>
          <w:citation/>
        </w:sdtPr>
        <w:sdtContent>
          <w:r>
            <w:fldChar w:fldCharType="begin"/>
          </w:r>
          <w:r>
            <w:instrText xml:space="preserve"> CITATION Joh88 \l 2057 </w:instrText>
          </w:r>
          <w:r>
            <w:fldChar w:fldCharType="separate"/>
          </w:r>
          <w:r>
            <w:rPr>
              <w:noProof/>
            </w:rPr>
            <w:t>(Heywood, 1988)</w:t>
          </w:r>
          <w:r>
            <w:fldChar w:fldCharType="end"/>
          </w:r>
        </w:sdtContent>
      </w:sdt>
      <w:sdt>
        <w:sdtPr>
          <w:id w:val="275838547"/>
          <w:citation/>
        </w:sdtPr>
        <w:sdtContent>
          <w:r>
            <w:fldChar w:fldCharType="begin"/>
          </w:r>
          <w:r>
            <w:instrText xml:space="preserve"> CITATION Ste06 \l 2057 </w:instrText>
          </w:r>
          <w:r>
            <w:fldChar w:fldCharType="separate"/>
          </w:r>
          <w:r>
            <w:rPr>
              <w:noProof/>
            </w:rPr>
            <w:t xml:space="preserve"> (Turns, 2006)</w:t>
          </w:r>
          <w:r>
            <w:fldChar w:fldCharType="end"/>
          </w:r>
        </w:sdtContent>
      </w:sdt>
      <w:bookmarkEnd w:id="6"/>
    </w:p>
    <w:p w14:paraId="5F7F3163" w14:textId="77777777" w:rsidR="00C06824" w:rsidRDefault="00C06824">
      <w:pPr>
        <w:spacing w:line="259" w:lineRule="auto"/>
        <w:rPr>
          <w:i/>
          <w:iCs/>
          <w:color w:val="44546A" w:themeColor="text2"/>
          <w:sz w:val="18"/>
          <w:szCs w:val="18"/>
        </w:rPr>
      </w:pPr>
      <w:r>
        <w:br w:type="page"/>
      </w:r>
    </w:p>
    <w:p w14:paraId="30B440A3" w14:textId="334CA289" w:rsidR="004B79E6" w:rsidRDefault="792EE21C" w:rsidP="00244E6B">
      <w:pPr>
        <w:pStyle w:val="Heading1"/>
      </w:pPr>
      <w:bookmarkStart w:id="7" w:name="_Toc503445923"/>
      <w:r>
        <w:lastRenderedPageBreak/>
        <w:t>Reactant and Product Quantities</w:t>
      </w:r>
      <w:bookmarkEnd w:id="7"/>
    </w:p>
    <w:p w14:paraId="1E04376A" w14:textId="72632AA1" w:rsidR="00016571" w:rsidRPr="00016571" w:rsidRDefault="00016571" w:rsidP="00244E6B">
      <w:pPr>
        <w:pStyle w:val="Heading2"/>
      </w:pPr>
      <w:bookmarkStart w:id="8" w:name="_Toc503445924"/>
      <w:r>
        <w:t>Method</w:t>
      </w:r>
      <w:bookmarkEnd w:id="8"/>
    </w:p>
    <w:p w14:paraId="711BBA4E" w14:textId="77777777" w:rsidR="00391ED5" w:rsidRPr="00DA0A8A" w:rsidRDefault="00391ED5" w:rsidP="00391ED5">
      <w:r>
        <w:t>To find the reactant quantity at varying levels of leanness the following equation was used:</w:t>
      </w:r>
    </w:p>
    <w:p w14:paraId="4FC73965" w14:textId="3EB71681" w:rsidR="00391ED5" w:rsidRPr="00016571" w:rsidRDefault="00391ED5" w:rsidP="00391ED5">
      <w:pPr>
        <w:rPr>
          <w:rFonts w:eastAsiaTheme="minorEastAsia"/>
        </w:rPr>
      </w:pPr>
      <m:oMath>
        <m:r>
          <w:rPr>
            <w:rFonts w:ascii="Cambria Math" w:hAnsi="Cambria Math"/>
          </w:rPr>
          <m:t>Reactant Quantity=Stoichiometric Quantity × Fuel Equivalence Ratio</m:t>
        </m:r>
      </m:oMath>
      <w:r w:rsidR="00BC71A7">
        <w:rPr>
          <w:rFonts w:eastAsiaTheme="minorEastAsia"/>
        </w:rPr>
        <w:t xml:space="preserve"> (</w:t>
      </w:r>
      <w:r w:rsidR="00BC71A7">
        <w:rPr>
          <w:rFonts w:ascii="Calibri" w:eastAsiaTheme="minorEastAsia" w:hAnsi="Calibri" w:cs="Calibri"/>
        </w:rPr>
        <w:t>φ</w:t>
      </w:r>
      <w:r w:rsidR="00BC71A7">
        <w:rPr>
          <w:rFonts w:eastAsiaTheme="minorEastAsia"/>
        </w:rPr>
        <w:t>)</w:t>
      </w:r>
    </w:p>
    <w:p w14:paraId="28D26FA4" w14:textId="77777777" w:rsidR="00016571" w:rsidRPr="00DA0A8A" w:rsidRDefault="00016571" w:rsidP="00016571">
      <w:r>
        <w:t>To find the reactant quantity at varying levels of leanness the following equations were used:</w:t>
      </w:r>
    </w:p>
    <w:p w14:paraId="2C11B5A1" w14:textId="4A18CBC1" w:rsidR="00016571" w:rsidRPr="00391ED5" w:rsidRDefault="00016571" w:rsidP="00016571">
      <w:pPr>
        <w:rPr>
          <w:rFonts w:eastAsiaTheme="minorEastAsia"/>
        </w:rPr>
      </w:pPr>
      <m:oMathPara>
        <m:oMath>
          <m:r>
            <w:rPr>
              <w:rFonts w:ascii="Cambria Math" w:hAnsi="Cambria Math"/>
            </w:rPr>
            <m:t>Product Quantity=Stoichiometric Quantity × Fuel Equivalence Ratio</m:t>
          </m:r>
          <m:r>
            <w:rPr>
              <w:rFonts w:ascii="Cambria Math" w:hAnsi="Cambria Math"/>
            </w:rPr>
            <m:t xml:space="preserve"> </m:t>
          </m:r>
          <m:r>
            <m:rPr>
              <m:sty m:val="p"/>
            </m:rPr>
            <w:rPr>
              <w:rFonts w:ascii="Cambria Math" w:eastAsiaTheme="minorEastAsia" w:hAnsi="Cambria Math"/>
            </w:rPr>
            <m:t>(</m:t>
          </m:r>
          <m:r>
            <m:rPr>
              <m:sty m:val="p"/>
            </m:rPr>
            <w:rPr>
              <w:rFonts w:ascii="Cambria Math" w:eastAsiaTheme="minorEastAsia" w:hAnsi="Cambria Math" w:cs="Calibri"/>
            </w:rPr>
            <m:t>φ</m:t>
          </m:r>
          <m:r>
            <m:rPr>
              <m:sty m:val="p"/>
            </m:rPr>
            <w:rPr>
              <w:rFonts w:ascii="Cambria Math" w:eastAsiaTheme="minorEastAsia" w:hAnsi="Cambria Math"/>
            </w:rPr>
            <m:t>)</m:t>
          </m:r>
        </m:oMath>
      </m:oMathPara>
    </w:p>
    <w:p w14:paraId="3E71AD2B" w14:textId="77777777" w:rsidR="00016571" w:rsidRPr="00C36F08" w:rsidRDefault="00016571" w:rsidP="00016571">
      <w:pPr>
        <w:rPr>
          <w:rFonts w:eastAsiaTheme="minorEastAsia"/>
        </w:rPr>
      </w:pPr>
      <m:oMathPara>
        <m:oMath>
          <m:r>
            <w:rPr>
              <w:rFonts w:ascii="Cambria Math" w:hAnsi="Cambria Math"/>
            </w:rPr>
            <m:t>Overall Quantity Oxygen in Product=(</m:t>
          </m:r>
          <m:d>
            <m:dPr>
              <m:ctrlPr>
                <w:rPr>
                  <w:rFonts w:ascii="Cambria Math" w:hAnsi="Cambria Math"/>
                  <w:i/>
                </w:rPr>
              </m:ctrlPr>
            </m:dPr>
            <m:e>
              <m:sSub>
                <m:sSubPr>
                  <m:ctrlPr>
                    <w:rPr>
                      <w:rFonts w:ascii="Cambria Math" w:hAnsi="Cambria Math"/>
                      <w:i/>
                    </w:rPr>
                  </m:ctrlPr>
                </m:sSubPr>
                <m:e>
                  <m:r>
                    <w:rPr>
                      <w:rFonts w:ascii="Cambria Math" w:hAnsi="Cambria Math"/>
                    </w:rPr>
                    <m:t>Quantity CO</m:t>
                  </m:r>
                </m:e>
                <m:sub>
                  <m:r>
                    <w:rPr>
                      <w:rFonts w:ascii="Cambria Math" w:hAnsi="Cambria Math"/>
                    </w:rPr>
                    <m:t>2</m:t>
                  </m:r>
                </m:sub>
              </m:sSub>
              <m:r>
                <w:rPr>
                  <w:rFonts w:ascii="Cambria Math" w:hAnsi="Cambria Math"/>
                </w:rPr>
                <m:t>×2</m:t>
              </m:r>
            </m:e>
          </m:d>
          <m:r>
            <w:rPr>
              <w:rFonts w:ascii="Cambria Math" w:hAnsi="Cambria Math"/>
            </w:rPr>
            <m:t xml:space="preserve">+Quantity </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m:t>
          </m:r>
        </m:oMath>
      </m:oMathPara>
    </w:p>
    <w:p w14:paraId="2A0D0FA2" w14:textId="77777777" w:rsidR="00016571" w:rsidRPr="00C36F08" w:rsidRDefault="00016571" w:rsidP="00016571">
      <w:pPr>
        <w:rPr>
          <w:rFonts w:eastAsiaTheme="minorEastAsia"/>
        </w:rPr>
      </w:pPr>
      <m:oMathPara>
        <m:oMath>
          <m:r>
            <w:rPr>
              <w:rFonts w:ascii="Cambria Math" w:eastAsiaTheme="minorEastAsia" w:hAnsi="Cambria Math"/>
            </w:rPr>
            <m:t>2</m:t>
          </m:r>
          <m:r>
            <w:rPr>
              <w:rFonts w:ascii="Cambria Math" w:eastAsiaTheme="minorEastAsia" w:hAnsi="Cambria Math" w:cs="Calibri"/>
            </w:rPr>
            <m:t>X</m:t>
          </m:r>
          <m:r>
            <w:rPr>
              <w:rFonts w:ascii="Cambria Math" w:eastAsiaTheme="minorEastAsia" w:hAnsi="Cambria Math"/>
            </w:rPr>
            <m:t xml:space="preserve">=Quantity </m:t>
          </m:r>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r>
            <w:rPr>
              <w:rFonts w:ascii="Cambria Math" w:eastAsiaTheme="minorEastAsia" w:hAnsi="Cambria Math"/>
            </w:rPr>
            <m:t xml:space="preserve"> Reactant-Overall Quantity </m:t>
          </m:r>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r>
            <w:rPr>
              <w:rFonts w:ascii="Cambria Math" w:eastAsiaTheme="minorEastAsia" w:hAnsi="Cambria Math"/>
            </w:rPr>
            <m:t xml:space="preserve"> in Product</m:t>
          </m:r>
        </m:oMath>
      </m:oMathPara>
    </w:p>
    <w:p w14:paraId="521D787E" w14:textId="5B2D4393" w:rsidR="00016571" w:rsidRPr="00244ABB" w:rsidRDefault="00D435E1" w:rsidP="00016571">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r>
            <w:rPr>
              <w:rFonts w:ascii="Cambria Math" w:eastAsiaTheme="minorEastAsia" w:hAnsi="Cambria Math"/>
            </w:rPr>
            <m:t xml:space="preserve"> Quantity in Product=</m:t>
          </m:r>
          <m:f>
            <m:fPr>
              <m:ctrlPr>
                <w:rPr>
                  <w:rFonts w:ascii="Cambria Math" w:eastAsiaTheme="minorEastAsia" w:hAnsi="Cambria Math"/>
                  <w:i/>
                </w:rPr>
              </m:ctrlPr>
            </m:fPr>
            <m:num>
              <m:r>
                <w:rPr>
                  <w:rFonts w:ascii="Cambria Math" w:eastAsiaTheme="minorEastAsia" w:hAnsi="Cambria Math"/>
                </w:rPr>
                <m:t>2X</m:t>
              </m:r>
            </m:num>
            <m:den>
              <m:r>
                <w:rPr>
                  <w:rFonts w:ascii="Cambria Math" w:eastAsiaTheme="minorEastAsia" w:hAnsi="Cambria Math"/>
                </w:rPr>
                <m:t>2</m:t>
              </m:r>
            </m:den>
          </m:f>
        </m:oMath>
      </m:oMathPara>
    </w:p>
    <w:p w14:paraId="72864EA4" w14:textId="2C08276D" w:rsidR="00244ABB" w:rsidRPr="00567B20" w:rsidRDefault="00244ABB" w:rsidP="00244E6B">
      <w:pPr>
        <w:pStyle w:val="Heading2"/>
      </w:pPr>
      <w:bookmarkStart w:id="9" w:name="_Toc503445925"/>
      <w:r>
        <w:t>Results</w:t>
      </w:r>
      <w:bookmarkEnd w:id="9"/>
    </w:p>
    <w:p w14:paraId="34492ED2" w14:textId="77777777" w:rsidR="00775200" w:rsidRDefault="00391ED5" w:rsidP="00775200">
      <w:pPr>
        <w:keepNext/>
        <w:jc w:val="center"/>
      </w:pPr>
      <w:r>
        <w:rPr>
          <w:noProof/>
          <w:lang w:eastAsia="en-GB"/>
        </w:rPr>
        <w:drawing>
          <wp:inline distT="0" distB="0" distL="0" distR="0" wp14:anchorId="6B9C7796" wp14:editId="52DC410E">
            <wp:extent cx="5040000" cy="2204282"/>
            <wp:effectExtent l="0" t="0" r="8255"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661" t="33091" r="49701" b="29092"/>
                    <a:stretch/>
                  </pic:blipFill>
                  <pic:spPr bwMode="auto">
                    <a:xfrm>
                      <a:off x="0" y="0"/>
                      <a:ext cx="5040000" cy="2204282"/>
                    </a:xfrm>
                    <a:prstGeom prst="rect">
                      <a:avLst/>
                    </a:prstGeom>
                    <a:ln>
                      <a:noFill/>
                    </a:ln>
                    <a:extLst>
                      <a:ext uri="{53640926-AAD7-44D8-BBD7-CCE9431645EC}">
                        <a14:shadowObscured xmlns:a14="http://schemas.microsoft.com/office/drawing/2010/main"/>
                      </a:ext>
                    </a:extLst>
                  </pic:spPr>
                </pic:pic>
              </a:graphicData>
            </a:graphic>
          </wp:inline>
        </w:drawing>
      </w:r>
    </w:p>
    <w:p w14:paraId="45FF5B8F" w14:textId="2CDF22CB" w:rsidR="00391ED5" w:rsidRDefault="00775200" w:rsidP="00775200">
      <w:pPr>
        <w:pStyle w:val="Caption"/>
        <w:jc w:val="center"/>
      </w:pPr>
      <w:bookmarkStart w:id="10" w:name="_Toc503445881"/>
      <w:r>
        <w:t xml:space="preserve">Figure </w:t>
      </w:r>
      <w:fldSimple w:instr=" SEQ Figure \* ARABIC ">
        <w:r w:rsidR="004E0ADF">
          <w:rPr>
            <w:noProof/>
          </w:rPr>
          <w:t>2</w:t>
        </w:r>
      </w:fldSimple>
      <w:r>
        <w:t>:Quantities of Reactants</w:t>
      </w:r>
      <w:bookmarkEnd w:id="10"/>
    </w:p>
    <w:p w14:paraId="34172087" w14:textId="77777777" w:rsidR="00311C03" w:rsidRDefault="00391ED5" w:rsidP="00311C03">
      <w:pPr>
        <w:keepNext/>
        <w:jc w:val="center"/>
      </w:pPr>
      <w:r>
        <w:rPr>
          <w:noProof/>
          <w:lang w:eastAsia="en-GB"/>
        </w:rPr>
        <w:drawing>
          <wp:inline distT="0" distB="0" distL="0" distR="0" wp14:anchorId="67D4D7A0" wp14:editId="4E4E5F48">
            <wp:extent cx="5040000" cy="2263830"/>
            <wp:effectExtent l="0" t="0" r="8255"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661" t="33287" r="51475" b="29289"/>
                    <a:stretch/>
                  </pic:blipFill>
                  <pic:spPr bwMode="auto">
                    <a:xfrm>
                      <a:off x="0" y="0"/>
                      <a:ext cx="5040000" cy="2263830"/>
                    </a:xfrm>
                    <a:prstGeom prst="rect">
                      <a:avLst/>
                    </a:prstGeom>
                    <a:ln>
                      <a:noFill/>
                    </a:ln>
                    <a:extLst>
                      <a:ext uri="{53640926-AAD7-44D8-BBD7-CCE9431645EC}">
                        <a14:shadowObscured xmlns:a14="http://schemas.microsoft.com/office/drawing/2010/main"/>
                      </a:ext>
                    </a:extLst>
                  </pic:spPr>
                </pic:pic>
              </a:graphicData>
            </a:graphic>
          </wp:inline>
        </w:drawing>
      </w:r>
    </w:p>
    <w:p w14:paraId="3884FD63" w14:textId="29971191" w:rsidR="00391ED5" w:rsidRPr="00391ED5" w:rsidRDefault="00311C03" w:rsidP="00311C03">
      <w:pPr>
        <w:pStyle w:val="Caption"/>
        <w:jc w:val="center"/>
        <w:rPr>
          <w:rFonts w:eastAsiaTheme="minorEastAsia"/>
        </w:rPr>
      </w:pPr>
      <w:bookmarkStart w:id="11" w:name="_Toc503445882"/>
      <w:r>
        <w:t xml:space="preserve">Figure </w:t>
      </w:r>
      <w:fldSimple w:instr=" SEQ Figure \* ARABIC ">
        <w:r w:rsidR="004E0ADF">
          <w:rPr>
            <w:noProof/>
          </w:rPr>
          <w:t>3</w:t>
        </w:r>
      </w:fldSimple>
      <w:r>
        <w:t>: Quantities of Products</w:t>
      </w:r>
      <w:bookmarkEnd w:id="11"/>
    </w:p>
    <w:p w14:paraId="2C9B9C88" w14:textId="6D9CD256" w:rsidR="00391ED5" w:rsidRDefault="00016571" w:rsidP="00244E6B">
      <w:pPr>
        <w:pStyle w:val="Heading2"/>
      </w:pPr>
      <w:bookmarkStart w:id="12" w:name="_Toc503445926"/>
      <w:r>
        <w:lastRenderedPageBreak/>
        <w:t>Analysis</w:t>
      </w:r>
      <w:bookmarkEnd w:id="12"/>
    </w:p>
    <w:p w14:paraId="343E21AF" w14:textId="6F016A2C" w:rsidR="00016571" w:rsidRDefault="00016571" w:rsidP="004B79E6">
      <w:pPr>
        <w:rPr>
          <w:rFonts w:eastAsiaTheme="minorEastAsia"/>
        </w:rPr>
      </w:pPr>
      <w:r>
        <w:rPr>
          <w:rFonts w:eastAsiaTheme="minorEastAsia"/>
        </w:rPr>
        <w:t>As can be seen from figure 1, the leaner the engine is running</w:t>
      </w:r>
      <w:r w:rsidR="00D435E1">
        <w:rPr>
          <w:rFonts w:eastAsiaTheme="minorEastAsia"/>
        </w:rPr>
        <w:t xml:space="preserve"> the lower the levels of </w:t>
      </w:r>
      <w:r w:rsidR="00663BEB">
        <w:rPr>
          <w:rFonts w:eastAsiaTheme="minorEastAsia"/>
        </w:rPr>
        <w:t>C</w:t>
      </w:r>
      <w:r w:rsidR="00D435E1">
        <w:rPr>
          <w:rFonts w:eastAsiaTheme="minorEastAsia"/>
        </w:rPr>
        <w:t xml:space="preserve">arbon and </w:t>
      </w:r>
      <w:r w:rsidR="00663BEB">
        <w:rPr>
          <w:rFonts w:eastAsiaTheme="minorEastAsia"/>
        </w:rPr>
        <w:t>H</w:t>
      </w:r>
      <w:r w:rsidR="00D435E1">
        <w:rPr>
          <w:rFonts w:eastAsiaTheme="minorEastAsia"/>
        </w:rPr>
        <w:t>ydrogen reactants. Because of this</w:t>
      </w:r>
      <w:r w:rsidR="00D55348">
        <w:rPr>
          <w:rFonts w:eastAsiaTheme="minorEastAsia"/>
        </w:rPr>
        <w:t xml:space="preserve"> there</w:t>
      </w:r>
      <w:r w:rsidR="00D435E1">
        <w:rPr>
          <w:rFonts w:eastAsiaTheme="minorEastAsia"/>
        </w:rPr>
        <w:t xml:space="preserve"> are lower levels of CO</w:t>
      </w:r>
      <w:r w:rsidR="00D435E1" w:rsidRPr="00D435E1">
        <w:rPr>
          <w:rFonts w:eastAsiaTheme="minorEastAsia"/>
          <w:vertAlign w:val="subscript"/>
        </w:rPr>
        <w:t>2</w:t>
      </w:r>
      <w:r w:rsidR="00D435E1">
        <w:rPr>
          <w:rFonts w:eastAsiaTheme="minorEastAsia"/>
        </w:rPr>
        <w:t xml:space="preserve"> and H</w:t>
      </w:r>
      <w:r w:rsidR="00D435E1" w:rsidRPr="00D435E1">
        <w:rPr>
          <w:rFonts w:eastAsiaTheme="minorEastAsia"/>
          <w:vertAlign w:val="subscript"/>
        </w:rPr>
        <w:t>2</w:t>
      </w:r>
      <w:r w:rsidR="006B4611">
        <w:rPr>
          <w:rFonts w:eastAsiaTheme="minorEastAsia"/>
        </w:rPr>
        <w:t>O in the products</w:t>
      </w:r>
      <w:r w:rsidR="00D55348">
        <w:rPr>
          <w:rFonts w:eastAsiaTheme="minorEastAsia"/>
        </w:rPr>
        <w:t>, further to this there are more O</w:t>
      </w:r>
      <w:r w:rsidR="00D55348" w:rsidRPr="00D55348">
        <w:rPr>
          <w:rFonts w:eastAsiaTheme="minorEastAsia"/>
          <w:vertAlign w:val="subscript"/>
        </w:rPr>
        <w:t>2</w:t>
      </w:r>
      <w:r w:rsidR="00D55348">
        <w:rPr>
          <w:rFonts w:eastAsiaTheme="minorEastAsia"/>
        </w:rPr>
        <w:t xml:space="preserve"> molecules available the leaner the engine is run due </w:t>
      </w:r>
      <w:r w:rsidR="00056CE8">
        <w:rPr>
          <w:rFonts w:eastAsiaTheme="minorEastAsia"/>
        </w:rPr>
        <w:t xml:space="preserve">to the lower levels </w:t>
      </w:r>
      <w:r w:rsidR="0020092B">
        <w:rPr>
          <w:rFonts w:eastAsiaTheme="minorEastAsia"/>
        </w:rPr>
        <w:t xml:space="preserve">of </w:t>
      </w:r>
      <w:r w:rsidR="00663BEB">
        <w:rPr>
          <w:rFonts w:eastAsiaTheme="minorEastAsia"/>
        </w:rPr>
        <w:t>H</w:t>
      </w:r>
      <w:r w:rsidR="0020092B">
        <w:rPr>
          <w:rFonts w:eastAsiaTheme="minorEastAsia"/>
        </w:rPr>
        <w:t>ydrogen</w:t>
      </w:r>
      <w:r w:rsidR="00D55348">
        <w:rPr>
          <w:rFonts w:eastAsiaTheme="minorEastAsia"/>
        </w:rPr>
        <w:t xml:space="preserve"> and </w:t>
      </w:r>
      <w:r w:rsidR="00663BEB">
        <w:rPr>
          <w:rFonts w:eastAsiaTheme="minorEastAsia"/>
        </w:rPr>
        <w:t>C</w:t>
      </w:r>
      <w:r w:rsidR="00D55348">
        <w:rPr>
          <w:rFonts w:eastAsiaTheme="minorEastAsia"/>
        </w:rPr>
        <w:t xml:space="preserve">arbon to react and create </w:t>
      </w:r>
      <w:r w:rsidR="00056CE8">
        <w:rPr>
          <w:rFonts w:eastAsiaTheme="minorEastAsia"/>
        </w:rPr>
        <w:t>CO</w:t>
      </w:r>
      <w:r w:rsidR="00056CE8" w:rsidRPr="00D435E1">
        <w:rPr>
          <w:rFonts w:eastAsiaTheme="minorEastAsia"/>
          <w:vertAlign w:val="subscript"/>
        </w:rPr>
        <w:t>2</w:t>
      </w:r>
      <w:r w:rsidR="00056CE8">
        <w:rPr>
          <w:rFonts w:eastAsiaTheme="minorEastAsia"/>
        </w:rPr>
        <w:t xml:space="preserve"> and H</w:t>
      </w:r>
      <w:r w:rsidR="00056CE8" w:rsidRPr="00D435E1">
        <w:rPr>
          <w:rFonts w:eastAsiaTheme="minorEastAsia"/>
          <w:vertAlign w:val="subscript"/>
        </w:rPr>
        <w:t>2</w:t>
      </w:r>
      <w:r w:rsidR="00056CE8">
        <w:rPr>
          <w:rFonts w:eastAsiaTheme="minorEastAsia"/>
        </w:rPr>
        <w:t>O.</w:t>
      </w:r>
    </w:p>
    <w:p w14:paraId="24531B03" w14:textId="05E97C41" w:rsidR="00C06824" w:rsidRDefault="00C06824">
      <w:pPr>
        <w:spacing w:line="259" w:lineRule="auto"/>
        <w:rPr>
          <w:rFonts w:eastAsiaTheme="minorEastAsia"/>
        </w:rPr>
      </w:pPr>
      <w:r>
        <w:rPr>
          <w:rFonts w:eastAsiaTheme="minorEastAsia"/>
        </w:rPr>
        <w:br w:type="page"/>
      </w:r>
    </w:p>
    <w:p w14:paraId="549CF425" w14:textId="220A81A8" w:rsidR="004B79E6" w:rsidRDefault="792EE21C" w:rsidP="00244E6B">
      <w:pPr>
        <w:pStyle w:val="Heading1"/>
      </w:pPr>
      <w:bookmarkStart w:id="13" w:name="_Toc503445927"/>
      <w:r>
        <w:lastRenderedPageBreak/>
        <w:t>Number of Reactant and Product Kmols</w:t>
      </w:r>
      <w:bookmarkEnd w:id="13"/>
      <w:r>
        <w:t xml:space="preserve"> </w:t>
      </w:r>
    </w:p>
    <w:p w14:paraId="081CD03E" w14:textId="5AA3D40B" w:rsidR="00010B6F" w:rsidRPr="00010B6F" w:rsidRDefault="00010B6F" w:rsidP="00244E6B">
      <w:pPr>
        <w:pStyle w:val="Heading2"/>
      </w:pPr>
      <w:bookmarkStart w:id="14" w:name="_Toc503445928"/>
      <w:r>
        <w:t>Method</w:t>
      </w:r>
      <w:bookmarkEnd w:id="14"/>
    </w:p>
    <w:p w14:paraId="7DE70D44" w14:textId="6D91BE64" w:rsidR="00C810B2" w:rsidRPr="004B6720" w:rsidRDefault="00C810B2" w:rsidP="00C810B2">
      <w:pPr>
        <w:rPr>
          <w:rFonts w:eastAsiaTheme="majorEastAsia" w:cstheme="majorBidi"/>
        </w:rPr>
      </w:pPr>
      <m:oMathPara>
        <m:oMath>
          <m:r>
            <w:rPr>
              <w:rFonts w:ascii="Cambria Math" w:hAnsi="Cambria Math"/>
            </w:rPr>
            <m:t>Number of Kmols Reactant=Fuel Equivalence Ratio</m:t>
          </m:r>
          <m:r>
            <w:rPr>
              <w:rFonts w:ascii="Cambria Math" w:hAnsi="Cambria Math"/>
            </w:rPr>
            <m:t xml:space="preserve"> </m:t>
          </m:r>
          <m:r>
            <m:rPr>
              <m:sty m:val="p"/>
            </m:rPr>
            <w:rPr>
              <w:rFonts w:ascii="Cambria Math" w:eastAsiaTheme="minorEastAsia" w:hAnsi="Cambria Math"/>
            </w:rPr>
            <m:t>(</m:t>
          </m:r>
          <m:r>
            <m:rPr>
              <m:sty m:val="p"/>
            </m:rPr>
            <w:rPr>
              <w:rFonts w:ascii="Cambria Math" w:eastAsiaTheme="minorEastAsia" w:hAnsi="Cambria Math" w:cs="Calibri"/>
            </w:rPr>
            <m:t>φ</m:t>
          </m:r>
          <m:r>
            <m:rPr>
              <m:sty m:val="p"/>
            </m:rPr>
            <w:rPr>
              <w:rFonts w:ascii="Cambria Math" w:eastAsiaTheme="minorEastAsia" w:hAnsi="Cambria Math"/>
            </w:rPr>
            <m:t>)</m:t>
          </m:r>
          <m:r>
            <w:rPr>
              <w:rFonts w:ascii="Cambria Math" w:hAnsi="Cambria Math"/>
            </w:rPr>
            <m:t>+</m:t>
          </m:r>
          <m:d>
            <m:dPr>
              <m:ctrlPr>
                <w:rPr>
                  <w:rFonts w:ascii="Cambria Math" w:hAnsi="Cambria Math"/>
                  <w:i/>
                </w:rPr>
              </m:ctrlPr>
            </m:dPr>
            <m:e>
              <m:r>
                <w:rPr>
                  <w:rFonts w:ascii="Cambria Math" w:hAnsi="Cambria Math"/>
                </w:rPr>
                <m:t>12.5</m:t>
              </m:r>
              <m:d>
                <m:dPr>
                  <m:ctrlPr>
                    <w:rPr>
                      <w:rFonts w:ascii="Cambria Math" w:hAnsi="Cambria Math"/>
                      <w:i/>
                    </w:rPr>
                  </m:ctrlPr>
                </m:dPr>
                <m:e>
                  <m:r>
                    <w:rPr>
                      <w:rFonts w:ascii="Cambria Math" w:hAnsi="Cambria Math"/>
                    </w:rPr>
                    <m:t>1+3.76</m:t>
                  </m:r>
                </m:e>
              </m:d>
            </m:e>
          </m:d>
        </m:oMath>
      </m:oMathPara>
    </w:p>
    <w:p w14:paraId="23F4F299" w14:textId="4E88D162" w:rsidR="00C810B2" w:rsidRPr="00244ABB" w:rsidRDefault="00C810B2" w:rsidP="00C810B2">
      <w:pPr>
        <w:rPr>
          <w:rFonts w:eastAsiaTheme="majorEastAsia" w:cstheme="majorBidi"/>
        </w:rPr>
      </w:pPr>
      <m:oMathPara>
        <m:oMath>
          <m:r>
            <w:rPr>
              <w:rFonts w:ascii="Cambria Math" w:eastAsiaTheme="majorEastAsia" w:hAnsi="Cambria Math" w:cstheme="majorBidi"/>
            </w:rPr>
            <m:t>Number of Kmols Product=Sum of Product Quantities</m:t>
          </m:r>
        </m:oMath>
      </m:oMathPara>
    </w:p>
    <w:p w14:paraId="71D58B0B" w14:textId="654F0D16" w:rsidR="00244ABB" w:rsidRPr="004B6720" w:rsidRDefault="00244ABB" w:rsidP="00244E6B">
      <w:pPr>
        <w:pStyle w:val="Heading2"/>
      </w:pPr>
      <w:bookmarkStart w:id="15" w:name="_Toc503445929"/>
      <w:r>
        <w:t>Results</w:t>
      </w:r>
      <w:bookmarkEnd w:id="15"/>
    </w:p>
    <w:p w14:paraId="4E45F23C" w14:textId="77777777" w:rsidR="00C810B2" w:rsidRDefault="006B7C29" w:rsidP="00C810B2">
      <w:pPr>
        <w:keepNext/>
        <w:jc w:val="center"/>
      </w:pPr>
      <w:r>
        <w:rPr>
          <w:noProof/>
        </w:rPr>
        <w:drawing>
          <wp:inline distT="0" distB="0" distL="0" distR="0" wp14:anchorId="2E479592" wp14:editId="0A39F337">
            <wp:extent cx="5555615" cy="2389505"/>
            <wp:effectExtent l="0" t="0" r="6985" b="0"/>
            <wp:docPr id="5" name="Picture 5" descr="C:\Users\Phil\AppData\Local\Microsoft\Windows\INetCache\Content.Word\Screenshot 2018-01-10 22.25.0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hil\AppData\Local\Microsoft\Windows\INetCache\Content.Word\Screenshot 2018-01-10 22.25.04.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55615" cy="2389505"/>
                    </a:xfrm>
                    <a:prstGeom prst="rect">
                      <a:avLst/>
                    </a:prstGeom>
                    <a:noFill/>
                    <a:ln>
                      <a:noFill/>
                    </a:ln>
                  </pic:spPr>
                </pic:pic>
              </a:graphicData>
            </a:graphic>
          </wp:inline>
        </w:drawing>
      </w:r>
    </w:p>
    <w:p w14:paraId="12456B06" w14:textId="22142003" w:rsidR="006B7C29" w:rsidRDefault="00C810B2" w:rsidP="00C810B2">
      <w:pPr>
        <w:pStyle w:val="Caption"/>
        <w:jc w:val="center"/>
      </w:pPr>
      <w:bookmarkStart w:id="16" w:name="_Toc503445883"/>
      <w:r>
        <w:t xml:space="preserve">Figure </w:t>
      </w:r>
      <w:fldSimple w:instr=" SEQ Figure \* ARABIC ">
        <w:r w:rsidR="004E0ADF">
          <w:rPr>
            <w:noProof/>
          </w:rPr>
          <w:t>4</w:t>
        </w:r>
      </w:fldSimple>
      <w:r>
        <w:t>: Number of Kmols in Reactants and Products</w:t>
      </w:r>
      <w:bookmarkEnd w:id="16"/>
    </w:p>
    <w:p w14:paraId="5DA631FA" w14:textId="175C8C43" w:rsidR="00C06824" w:rsidRDefault="00C06824">
      <w:pPr>
        <w:spacing w:line="259" w:lineRule="auto"/>
      </w:pPr>
      <w:r>
        <w:br w:type="page"/>
      </w:r>
    </w:p>
    <w:p w14:paraId="4D1D1CA1" w14:textId="73C4A89C" w:rsidR="004B79E6" w:rsidRDefault="792EE21C" w:rsidP="00244E6B">
      <w:pPr>
        <w:pStyle w:val="Heading1"/>
      </w:pPr>
      <w:bookmarkStart w:id="17" w:name="_Toc503445930"/>
      <w:r>
        <w:lastRenderedPageBreak/>
        <w:t>Enthalpy of Formation</w:t>
      </w:r>
      <w:bookmarkEnd w:id="17"/>
    </w:p>
    <w:p w14:paraId="5A856A5F" w14:textId="614A10B4" w:rsidR="00010B6F" w:rsidRPr="00010B6F" w:rsidRDefault="00010B6F" w:rsidP="00244E6B">
      <w:pPr>
        <w:pStyle w:val="Heading2"/>
      </w:pPr>
      <w:bookmarkStart w:id="18" w:name="_Toc503445931"/>
      <w:r>
        <w:t>Method</w:t>
      </w:r>
      <w:bookmarkEnd w:id="18"/>
    </w:p>
    <w:p w14:paraId="70E0238D" w14:textId="77777777" w:rsidR="004B79E6" w:rsidRDefault="004B79E6" w:rsidP="004B79E6">
      <w:r>
        <w:t xml:space="preserve">To find the enthalpies at varying levels of leanness the following equations were used: </w:t>
      </w:r>
    </w:p>
    <w:p w14:paraId="61C0DAF9" w14:textId="3836B17F" w:rsidR="004B79E6" w:rsidRPr="006D7F5E" w:rsidRDefault="004B79E6" w:rsidP="004B79E6">
      <w:pPr>
        <w:rPr>
          <w:rFonts w:eastAsiaTheme="minorEastAsia"/>
        </w:rPr>
      </w:pPr>
      <m:oMathPara>
        <m:oMath>
          <m:r>
            <w:rPr>
              <w:rFonts w:ascii="Cambria Math" w:eastAsiaTheme="minorEastAsia" w:hAnsi="Cambria Math"/>
            </w:rPr>
            <m:t>Enthalpy Required=</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8</m:t>
              </m:r>
            </m:sub>
          </m:sSub>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 xml:space="preserve">18 </m:t>
              </m:r>
            </m:sub>
          </m:sSub>
          <m:r>
            <w:rPr>
              <w:rFonts w:ascii="Cambria Math" w:eastAsiaTheme="minorEastAsia" w:hAnsi="Cambria Math"/>
            </w:rPr>
            <m:t>Enthalpy Value ×Fuel Equivalence Ratio</m:t>
          </m:r>
          <m:r>
            <w:rPr>
              <w:rFonts w:ascii="Cambria Math" w:eastAsiaTheme="minorEastAsia" w:hAnsi="Cambria Math"/>
            </w:rPr>
            <m:t xml:space="preserve"> </m:t>
          </m:r>
          <m:r>
            <m:rPr>
              <m:sty m:val="p"/>
            </m:rPr>
            <w:rPr>
              <w:rFonts w:ascii="Cambria Math" w:eastAsiaTheme="minorEastAsia" w:hAnsi="Cambria Math"/>
            </w:rPr>
            <m:t>(</m:t>
          </m:r>
          <m:r>
            <m:rPr>
              <m:sty m:val="p"/>
            </m:rPr>
            <w:rPr>
              <w:rFonts w:ascii="Cambria Math" w:eastAsiaTheme="minorEastAsia" w:hAnsi="Cambria Math" w:cs="Calibri"/>
            </w:rPr>
            <m:t>φ</m:t>
          </m:r>
          <m:r>
            <m:rPr>
              <m:sty m:val="p"/>
            </m:rPr>
            <w:rPr>
              <w:rFonts w:ascii="Cambria Math" w:eastAsiaTheme="minorEastAsia" w:hAnsi="Cambria Math"/>
            </w:rPr>
            <m:t>)</m:t>
          </m:r>
          <m:r>
            <w:rPr>
              <w:rFonts w:ascii="Cambria Math" w:eastAsiaTheme="minorEastAsia" w:hAnsi="Cambria Math"/>
            </w:rPr>
            <m:t xml:space="preserve"> </m:t>
          </m:r>
        </m:oMath>
      </m:oMathPara>
    </w:p>
    <w:p w14:paraId="3E9D5AF3" w14:textId="77777777" w:rsidR="004B79E6" w:rsidRPr="00955939" w:rsidRDefault="004B79E6" w:rsidP="004B79E6">
      <w:pPr>
        <w:rPr>
          <w:rFonts w:eastAsiaTheme="minorEastAsia"/>
        </w:rPr>
      </w:pPr>
      <m:oMathPara>
        <m:oMath>
          <m:r>
            <w:rPr>
              <w:rFonts w:ascii="Cambria Math" w:eastAsiaTheme="minorEastAsia" w:hAnsi="Cambria Math"/>
            </w:rPr>
            <m:t>Enthalpy Released=Product Enthalpies × Product Quantity</m:t>
          </m:r>
        </m:oMath>
      </m:oMathPara>
    </w:p>
    <w:p w14:paraId="35B6E39C" w14:textId="30866A15" w:rsidR="004B79E6" w:rsidRPr="00010B6F" w:rsidRDefault="004B79E6" w:rsidP="004B79E6">
      <w:pPr>
        <w:rPr>
          <w:rFonts w:eastAsiaTheme="minorEastAsia"/>
        </w:rPr>
      </w:pPr>
      <m:oMathPara>
        <m:oMath>
          <m:r>
            <w:rPr>
              <w:rFonts w:ascii="Cambria Math" w:eastAsiaTheme="minorEastAsia" w:hAnsi="Cambria Math"/>
            </w:rPr>
            <m:t>Net Enthalpy=Enthalpy Required-Enthalpy Released</m:t>
          </m:r>
        </m:oMath>
      </m:oMathPara>
    </w:p>
    <w:p w14:paraId="2FA082F8" w14:textId="3614136F" w:rsidR="00010B6F" w:rsidRDefault="00010B6F" w:rsidP="00244E6B">
      <w:pPr>
        <w:pStyle w:val="Heading2"/>
      </w:pPr>
      <w:bookmarkStart w:id="19" w:name="_Toc503445932"/>
      <w:r>
        <w:t>Results</w:t>
      </w:r>
      <w:bookmarkEnd w:id="19"/>
    </w:p>
    <w:p w14:paraId="57BC484C" w14:textId="77777777" w:rsidR="00010B6F" w:rsidRDefault="00010B6F" w:rsidP="00010B6F">
      <w:pPr>
        <w:keepNext/>
        <w:jc w:val="center"/>
      </w:pPr>
      <w:r>
        <w:rPr>
          <w:noProof/>
        </w:rPr>
        <w:drawing>
          <wp:inline distT="0" distB="0" distL="0" distR="0" wp14:anchorId="32C18C68" wp14:editId="2580A24E">
            <wp:extent cx="5210175" cy="2398395"/>
            <wp:effectExtent l="0" t="0" r="9525" b="1905"/>
            <wp:docPr id="9" name="Picture 9" descr="C:\Users\Phil\AppData\Local\Microsoft\Windows\INetCache\Content.Word\Screenshot 2018-01-10 23.33.3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Phil\AppData\Local\Microsoft\Windows\INetCache\Content.Word\Screenshot 2018-01-10 23.33.39.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10175" cy="2398395"/>
                    </a:xfrm>
                    <a:prstGeom prst="rect">
                      <a:avLst/>
                    </a:prstGeom>
                    <a:noFill/>
                    <a:ln>
                      <a:noFill/>
                    </a:ln>
                  </pic:spPr>
                </pic:pic>
              </a:graphicData>
            </a:graphic>
          </wp:inline>
        </w:drawing>
      </w:r>
    </w:p>
    <w:p w14:paraId="3B3A4D6F" w14:textId="41118E02" w:rsidR="00010B6F" w:rsidRDefault="00010B6F" w:rsidP="00010B6F">
      <w:pPr>
        <w:pStyle w:val="Caption"/>
        <w:jc w:val="center"/>
      </w:pPr>
      <w:bookmarkStart w:id="20" w:name="_Toc503445884"/>
      <w:r>
        <w:t xml:space="preserve">Figure </w:t>
      </w:r>
      <w:fldSimple w:instr=" SEQ Figure \* ARABIC ">
        <w:r w:rsidR="004E0ADF">
          <w:rPr>
            <w:noProof/>
          </w:rPr>
          <w:t>5</w:t>
        </w:r>
      </w:fldSimple>
      <w:r>
        <w:t>: Enthalpies of Formation</w:t>
      </w:r>
      <w:bookmarkEnd w:id="20"/>
    </w:p>
    <w:p w14:paraId="4BC9CE63" w14:textId="5AB6DCF2" w:rsidR="00685EF8" w:rsidRDefault="00685EF8" w:rsidP="00685EF8"/>
    <w:p w14:paraId="344719A4" w14:textId="39CE733D" w:rsidR="00244E6B" w:rsidRDefault="00244E6B">
      <w:pPr>
        <w:spacing w:line="259" w:lineRule="auto"/>
      </w:pPr>
      <w:r>
        <w:br w:type="page"/>
      </w:r>
    </w:p>
    <w:p w14:paraId="1A571DEF" w14:textId="44085873" w:rsidR="00010B6F" w:rsidRDefault="00010B6F" w:rsidP="00244E6B">
      <w:pPr>
        <w:pStyle w:val="Heading1"/>
      </w:pPr>
      <w:bookmarkStart w:id="21" w:name="_Toc503445933"/>
      <w:r>
        <w:lastRenderedPageBreak/>
        <w:t>NASA Enthalpy</w:t>
      </w:r>
      <w:r w:rsidR="001F7C8F">
        <w:t xml:space="preserve"> Tables and Graphs</w:t>
      </w:r>
      <w:bookmarkEnd w:id="21"/>
    </w:p>
    <w:tbl>
      <w:tblPr>
        <w:tblW w:w="9346" w:type="dxa"/>
        <w:tblInd w:w="118" w:type="dxa"/>
        <w:tblLook w:val="04A0" w:firstRow="1" w:lastRow="0" w:firstColumn="1" w:lastColumn="0" w:noHBand="0" w:noVBand="1"/>
      </w:tblPr>
      <w:tblGrid>
        <w:gridCol w:w="1520"/>
        <w:gridCol w:w="222"/>
        <w:gridCol w:w="1509"/>
        <w:gridCol w:w="2068"/>
        <w:gridCol w:w="236"/>
        <w:gridCol w:w="1806"/>
        <w:gridCol w:w="1985"/>
      </w:tblGrid>
      <w:tr w:rsidR="00685EF8" w:rsidRPr="00685EF8" w14:paraId="37965ACB" w14:textId="77777777" w:rsidTr="00685EF8">
        <w:trPr>
          <w:trHeight w:val="313"/>
        </w:trPr>
        <w:tc>
          <w:tcPr>
            <w:tcW w:w="1520" w:type="dxa"/>
            <w:vMerge w:val="restart"/>
            <w:tcBorders>
              <w:top w:val="single" w:sz="8" w:space="0" w:color="auto"/>
              <w:left w:val="single" w:sz="8" w:space="0" w:color="auto"/>
              <w:bottom w:val="single" w:sz="8" w:space="0" w:color="000000"/>
              <w:right w:val="single" w:sz="8" w:space="0" w:color="auto"/>
            </w:tcBorders>
            <w:shd w:val="clear" w:color="auto" w:fill="auto"/>
            <w:noWrap/>
            <w:vAlign w:val="center"/>
            <w:hideMark/>
          </w:tcPr>
          <w:p w14:paraId="4F9C392F" w14:textId="77777777" w:rsidR="00685EF8" w:rsidRPr="00685EF8" w:rsidRDefault="00685EF8" w:rsidP="00685EF8">
            <w:pPr>
              <w:spacing w:after="0" w:line="240" w:lineRule="auto"/>
              <w:jc w:val="center"/>
              <w:rPr>
                <w:rFonts w:ascii="Arial" w:eastAsia="Times New Roman" w:hAnsi="Arial" w:cs="Arial"/>
                <w:b/>
                <w:bCs/>
                <w:sz w:val="20"/>
                <w:szCs w:val="20"/>
                <w:lang w:eastAsia="en-GB"/>
              </w:rPr>
            </w:pPr>
            <w:r w:rsidRPr="00685EF8">
              <w:rPr>
                <w:rFonts w:ascii="Arial" w:eastAsia="Times New Roman" w:hAnsi="Arial" w:cs="Arial"/>
                <w:b/>
                <w:bCs/>
                <w:sz w:val="20"/>
                <w:szCs w:val="20"/>
                <w:lang w:eastAsia="en-GB"/>
              </w:rPr>
              <w:t>Temperature</w:t>
            </w:r>
          </w:p>
        </w:tc>
        <w:tc>
          <w:tcPr>
            <w:tcW w:w="222" w:type="dxa"/>
            <w:tcBorders>
              <w:top w:val="nil"/>
              <w:left w:val="nil"/>
              <w:bottom w:val="nil"/>
              <w:right w:val="nil"/>
            </w:tcBorders>
            <w:shd w:val="clear" w:color="auto" w:fill="auto"/>
            <w:noWrap/>
            <w:vAlign w:val="bottom"/>
            <w:hideMark/>
          </w:tcPr>
          <w:p w14:paraId="374AAF0B" w14:textId="77777777" w:rsidR="00685EF8" w:rsidRPr="00685EF8" w:rsidRDefault="00685EF8" w:rsidP="00685EF8">
            <w:pPr>
              <w:spacing w:after="0" w:line="240" w:lineRule="auto"/>
              <w:jc w:val="center"/>
              <w:rPr>
                <w:rFonts w:ascii="Arial" w:eastAsia="Times New Roman" w:hAnsi="Arial" w:cs="Arial"/>
                <w:b/>
                <w:bCs/>
                <w:sz w:val="20"/>
                <w:szCs w:val="20"/>
                <w:lang w:eastAsia="en-GB"/>
              </w:rPr>
            </w:pPr>
          </w:p>
        </w:tc>
        <w:tc>
          <w:tcPr>
            <w:tcW w:w="3577" w:type="dxa"/>
            <w:gridSpan w:val="2"/>
            <w:tcBorders>
              <w:top w:val="single" w:sz="8" w:space="0" w:color="auto"/>
              <w:left w:val="single" w:sz="8" w:space="0" w:color="auto"/>
              <w:bottom w:val="nil"/>
              <w:right w:val="single" w:sz="8" w:space="0" w:color="000000"/>
            </w:tcBorders>
            <w:shd w:val="clear" w:color="auto" w:fill="auto"/>
            <w:noWrap/>
            <w:vAlign w:val="center"/>
            <w:hideMark/>
          </w:tcPr>
          <w:p w14:paraId="472A1336" w14:textId="77777777" w:rsidR="00685EF8" w:rsidRPr="00685EF8" w:rsidRDefault="00685EF8" w:rsidP="00685EF8">
            <w:pPr>
              <w:spacing w:after="0" w:line="240" w:lineRule="auto"/>
              <w:jc w:val="center"/>
              <w:rPr>
                <w:rFonts w:ascii="Arial" w:eastAsia="Times New Roman" w:hAnsi="Arial" w:cs="Arial"/>
                <w:b/>
                <w:bCs/>
                <w:sz w:val="20"/>
                <w:szCs w:val="20"/>
                <w:lang w:eastAsia="en-GB"/>
              </w:rPr>
            </w:pPr>
            <w:r w:rsidRPr="00685EF8">
              <w:rPr>
                <w:rFonts w:ascii="Arial" w:eastAsia="Times New Roman" w:hAnsi="Arial" w:cs="Arial"/>
                <w:b/>
                <w:bCs/>
                <w:sz w:val="20"/>
                <w:szCs w:val="20"/>
                <w:lang w:eastAsia="en-GB"/>
              </w:rPr>
              <w:t>H</w:t>
            </w:r>
            <w:r w:rsidRPr="00685EF8">
              <w:rPr>
                <w:rFonts w:ascii="Arial" w:eastAsia="Times New Roman" w:hAnsi="Arial" w:cs="Arial"/>
                <w:b/>
                <w:bCs/>
                <w:sz w:val="20"/>
                <w:szCs w:val="20"/>
                <w:vertAlign w:val="subscript"/>
                <w:lang w:eastAsia="en-GB"/>
              </w:rPr>
              <w:t>2</w:t>
            </w:r>
            <w:r w:rsidRPr="00685EF8">
              <w:rPr>
                <w:rFonts w:ascii="Arial" w:eastAsia="Times New Roman" w:hAnsi="Arial" w:cs="Arial"/>
                <w:b/>
                <w:bCs/>
                <w:sz w:val="20"/>
                <w:szCs w:val="20"/>
                <w:lang w:eastAsia="en-GB"/>
              </w:rPr>
              <w:t>O</w:t>
            </w:r>
          </w:p>
        </w:tc>
        <w:tc>
          <w:tcPr>
            <w:tcW w:w="236" w:type="dxa"/>
            <w:tcBorders>
              <w:top w:val="nil"/>
              <w:left w:val="nil"/>
              <w:bottom w:val="nil"/>
              <w:right w:val="nil"/>
            </w:tcBorders>
            <w:shd w:val="clear" w:color="auto" w:fill="auto"/>
            <w:noWrap/>
            <w:vAlign w:val="bottom"/>
            <w:hideMark/>
          </w:tcPr>
          <w:p w14:paraId="342FCCC5" w14:textId="77777777" w:rsidR="00685EF8" w:rsidRPr="00685EF8" w:rsidRDefault="00685EF8" w:rsidP="00685EF8">
            <w:pPr>
              <w:spacing w:after="0" w:line="240" w:lineRule="auto"/>
              <w:jc w:val="center"/>
              <w:rPr>
                <w:rFonts w:ascii="Arial" w:eastAsia="Times New Roman" w:hAnsi="Arial" w:cs="Arial"/>
                <w:b/>
                <w:bCs/>
                <w:sz w:val="20"/>
                <w:szCs w:val="20"/>
                <w:lang w:eastAsia="en-GB"/>
              </w:rPr>
            </w:pPr>
          </w:p>
        </w:tc>
        <w:tc>
          <w:tcPr>
            <w:tcW w:w="3791" w:type="dxa"/>
            <w:gridSpan w:val="2"/>
            <w:tcBorders>
              <w:top w:val="single" w:sz="8" w:space="0" w:color="auto"/>
              <w:left w:val="single" w:sz="8" w:space="0" w:color="auto"/>
              <w:bottom w:val="single" w:sz="8" w:space="0" w:color="auto"/>
              <w:right w:val="single" w:sz="8" w:space="0" w:color="000000"/>
            </w:tcBorders>
            <w:shd w:val="clear" w:color="auto" w:fill="auto"/>
            <w:noWrap/>
            <w:vAlign w:val="center"/>
            <w:hideMark/>
          </w:tcPr>
          <w:p w14:paraId="28CF665A" w14:textId="77777777" w:rsidR="00685EF8" w:rsidRPr="00685EF8" w:rsidRDefault="00685EF8" w:rsidP="00685EF8">
            <w:pPr>
              <w:spacing w:after="0" w:line="240" w:lineRule="auto"/>
              <w:jc w:val="center"/>
              <w:rPr>
                <w:rFonts w:ascii="Arial" w:eastAsia="Times New Roman" w:hAnsi="Arial" w:cs="Arial"/>
                <w:b/>
                <w:bCs/>
                <w:sz w:val="20"/>
                <w:szCs w:val="20"/>
                <w:lang w:eastAsia="en-GB"/>
              </w:rPr>
            </w:pPr>
            <w:r w:rsidRPr="00685EF8">
              <w:rPr>
                <w:rFonts w:ascii="Arial" w:eastAsia="Times New Roman" w:hAnsi="Arial" w:cs="Arial"/>
                <w:b/>
                <w:bCs/>
                <w:sz w:val="20"/>
                <w:szCs w:val="20"/>
                <w:lang w:eastAsia="en-GB"/>
              </w:rPr>
              <w:t>CO</w:t>
            </w:r>
            <w:r w:rsidRPr="00685EF8">
              <w:rPr>
                <w:rFonts w:ascii="Arial" w:eastAsia="Times New Roman" w:hAnsi="Arial" w:cs="Arial"/>
                <w:b/>
                <w:bCs/>
                <w:sz w:val="20"/>
                <w:szCs w:val="20"/>
                <w:vertAlign w:val="subscript"/>
                <w:lang w:eastAsia="en-GB"/>
              </w:rPr>
              <w:t>2</w:t>
            </w:r>
          </w:p>
        </w:tc>
      </w:tr>
      <w:tr w:rsidR="00685EF8" w:rsidRPr="00685EF8" w14:paraId="73E7E4DD" w14:textId="77777777" w:rsidTr="00685EF8">
        <w:trPr>
          <w:trHeight w:val="299"/>
        </w:trPr>
        <w:tc>
          <w:tcPr>
            <w:tcW w:w="1520" w:type="dxa"/>
            <w:vMerge/>
            <w:tcBorders>
              <w:top w:val="single" w:sz="8" w:space="0" w:color="auto"/>
              <w:left w:val="single" w:sz="8" w:space="0" w:color="auto"/>
              <w:bottom w:val="single" w:sz="8" w:space="0" w:color="000000"/>
              <w:right w:val="single" w:sz="8" w:space="0" w:color="auto"/>
            </w:tcBorders>
            <w:vAlign w:val="center"/>
            <w:hideMark/>
          </w:tcPr>
          <w:p w14:paraId="1E25FE42" w14:textId="77777777" w:rsidR="00685EF8" w:rsidRPr="00685EF8" w:rsidRDefault="00685EF8" w:rsidP="00685EF8">
            <w:pPr>
              <w:spacing w:after="0" w:line="240" w:lineRule="auto"/>
              <w:rPr>
                <w:rFonts w:ascii="Arial" w:eastAsia="Times New Roman" w:hAnsi="Arial" w:cs="Arial"/>
                <w:b/>
                <w:bCs/>
                <w:sz w:val="20"/>
                <w:szCs w:val="20"/>
                <w:lang w:eastAsia="en-GB"/>
              </w:rPr>
            </w:pPr>
          </w:p>
        </w:tc>
        <w:tc>
          <w:tcPr>
            <w:tcW w:w="222" w:type="dxa"/>
            <w:tcBorders>
              <w:top w:val="nil"/>
              <w:left w:val="nil"/>
              <w:bottom w:val="nil"/>
              <w:right w:val="nil"/>
            </w:tcBorders>
            <w:shd w:val="clear" w:color="auto" w:fill="auto"/>
            <w:noWrap/>
            <w:vAlign w:val="bottom"/>
            <w:hideMark/>
          </w:tcPr>
          <w:p w14:paraId="3297DBA8" w14:textId="77777777" w:rsidR="00685EF8" w:rsidRPr="00685EF8" w:rsidRDefault="00685EF8" w:rsidP="00685EF8">
            <w:pPr>
              <w:spacing w:after="0" w:line="240" w:lineRule="auto"/>
              <w:jc w:val="center"/>
              <w:rPr>
                <w:rFonts w:ascii="Arial" w:eastAsia="Times New Roman" w:hAnsi="Arial" w:cs="Arial"/>
                <w:b/>
                <w:bCs/>
                <w:sz w:val="20"/>
                <w:szCs w:val="20"/>
                <w:lang w:eastAsia="en-GB"/>
              </w:rPr>
            </w:pPr>
          </w:p>
        </w:tc>
        <w:tc>
          <w:tcPr>
            <w:tcW w:w="1509" w:type="dxa"/>
            <w:tcBorders>
              <w:top w:val="single" w:sz="8" w:space="0" w:color="auto"/>
              <w:left w:val="single" w:sz="8" w:space="0" w:color="auto"/>
              <w:bottom w:val="single" w:sz="8" w:space="0" w:color="auto"/>
              <w:right w:val="single" w:sz="4" w:space="0" w:color="auto"/>
            </w:tcBorders>
            <w:shd w:val="clear" w:color="auto" w:fill="auto"/>
            <w:noWrap/>
            <w:vAlign w:val="center"/>
            <w:hideMark/>
          </w:tcPr>
          <w:p w14:paraId="06D27FEC" w14:textId="77777777" w:rsidR="00685EF8" w:rsidRPr="00685EF8" w:rsidRDefault="00685EF8" w:rsidP="00685EF8">
            <w:pPr>
              <w:spacing w:after="0" w:line="240" w:lineRule="auto"/>
              <w:jc w:val="center"/>
              <w:rPr>
                <w:rFonts w:ascii="Arial" w:eastAsia="Times New Roman" w:hAnsi="Arial" w:cs="Arial"/>
                <w:b/>
                <w:bCs/>
                <w:sz w:val="20"/>
                <w:szCs w:val="20"/>
                <w:lang w:eastAsia="en-GB"/>
              </w:rPr>
            </w:pPr>
            <w:r w:rsidRPr="00685EF8">
              <w:rPr>
                <w:rFonts w:ascii="Arial" w:eastAsia="Times New Roman" w:hAnsi="Arial" w:cs="Arial"/>
                <w:b/>
                <w:bCs/>
                <w:sz w:val="20"/>
                <w:szCs w:val="20"/>
                <w:lang w:eastAsia="en-GB"/>
              </w:rPr>
              <w:t>Molecular Weight</w:t>
            </w:r>
          </w:p>
        </w:tc>
        <w:tc>
          <w:tcPr>
            <w:tcW w:w="2068" w:type="dxa"/>
            <w:tcBorders>
              <w:top w:val="single" w:sz="8" w:space="0" w:color="auto"/>
              <w:left w:val="nil"/>
              <w:bottom w:val="single" w:sz="8" w:space="0" w:color="auto"/>
              <w:right w:val="single" w:sz="8" w:space="0" w:color="auto"/>
            </w:tcBorders>
            <w:shd w:val="clear" w:color="auto" w:fill="auto"/>
            <w:noWrap/>
            <w:vAlign w:val="center"/>
            <w:hideMark/>
          </w:tcPr>
          <w:p w14:paraId="54822393"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18.016</w:t>
            </w:r>
          </w:p>
        </w:tc>
        <w:tc>
          <w:tcPr>
            <w:tcW w:w="236" w:type="dxa"/>
            <w:tcBorders>
              <w:top w:val="nil"/>
              <w:left w:val="nil"/>
              <w:bottom w:val="nil"/>
              <w:right w:val="nil"/>
            </w:tcBorders>
            <w:shd w:val="clear" w:color="auto" w:fill="auto"/>
            <w:noWrap/>
            <w:vAlign w:val="bottom"/>
            <w:hideMark/>
          </w:tcPr>
          <w:p w14:paraId="1F9BAA00"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8" w:space="0" w:color="auto"/>
              <w:right w:val="single" w:sz="4" w:space="0" w:color="auto"/>
            </w:tcBorders>
            <w:shd w:val="clear" w:color="auto" w:fill="auto"/>
            <w:noWrap/>
            <w:vAlign w:val="center"/>
            <w:hideMark/>
          </w:tcPr>
          <w:p w14:paraId="31D5958C" w14:textId="77777777" w:rsidR="00685EF8" w:rsidRPr="00685EF8" w:rsidRDefault="00685EF8" w:rsidP="00685EF8">
            <w:pPr>
              <w:spacing w:after="0" w:line="240" w:lineRule="auto"/>
              <w:jc w:val="center"/>
              <w:rPr>
                <w:rFonts w:ascii="Arial" w:eastAsia="Times New Roman" w:hAnsi="Arial" w:cs="Arial"/>
                <w:b/>
                <w:bCs/>
                <w:sz w:val="20"/>
                <w:szCs w:val="20"/>
                <w:lang w:eastAsia="en-GB"/>
              </w:rPr>
            </w:pPr>
            <w:r w:rsidRPr="00685EF8">
              <w:rPr>
                <w:rFonts w:ascii="Arial" w:eastAsia="Times New Roman" w:hAnsi="Arial" w:cs="Arial"/>
                <w:b/>
                <w:bCs/>
                <w:sz w:val="20"/>
                <w:szCs w:val="20"/>
                <w:lang w:eastAsia="en-GB"/>
              </w:rPr>
              <w:t>Molecular Weight</w:t>
            </w:r>
          </w:p>
        </w:tc>
        <w:tc>
          <w:tcPr>
            <w:tcW w:w="1985" w:type="dxa"/>
            <w:tcBorders>
              <w:top w:val="nil"/>
              <w:left w:val="nil"/>
              <w:bottom w:val="single" w:sz="8" w:space="0" w:color="auto"/>
              <w:right w:val="single" w:sz="8" w:space="0" w:color="auto"/>
            </w:tcBorders>
            <w:shd w:val="clear" w:color="auto" w:fill="auto"/>
            <w:noWrap/>
            <w:vAlign w:val="center"/>
            <w:hideMark/>
          </w:tcPr>
          <w:p w14:paraId="69D6E3A3"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44.011</w:t>
            </w:r>
          </w:p>
        </w:tc>
      </w:tr>
      <w:tr w:rsidR="00685EF8" w:rsidRPr="00685EF8" w14:paraId="6E2345B9" w14:textId="77777777" w:rsidTr="00685EF8">
        <w:trPr>
          <w:trHeight w:val="557"/>
        </w:trPr>
        <w:tc>
          <w:tcPr>
            <w:tcW w:w="1520" w:type="dxa"/>
            <w:vMerge/>
            <w:tcBorders>
              <w:top w:val="single" w:sz="8" w:space="0" w:color="auto"/>
              <w:left w:val="single" w:sz="8" w:space="0" w:color="auto"/>
              <w:bottom w:val="single" w:sz="8" w:space="0" w:color="000000"/>
              <w:right w:val="single" w:sz="8" w:space="0" w:color="auto"/>
            </w:tcBorders>
            <w:vAlign w:val="center"/>
            <w:hideMark/>
          </w:tcPr>
          <w:p w14:paraId="2243EDC5" w14:textId="77777777" w:rsidR="00685EF8" w:rsidRPr="00685EF8" w:rsidRDefault="00685EF8" w:rsidP="00685EF8">
            <w:pPr>
              <w:spacing w:after="0" w:line="240" w:lineRule="auto"/>
              <w:rPr>
                <w:rFonts w:ascii="Arial" w:eastAsia="Times New Roman" w:hAnsi="Arial" w:cs="Arial"/>
                <w:b/>
                <w:bCs/>
                <w:sz w:val="20"/>
                <w:szCs w:val="20"/>
                <w:lang w:eastAsia="en-GB"/>
              </w:rPr>
            </w:pPr>
          </w:p>
        </w:tc>
        <w:tc>
          <w:tcPr>
            <w:tcW w:w="222" w:type="dxa"/>
            <w:tcBorders>
              <w:top w:val="nil"/>
              <w:left w:val="nil"/>
              <w:bottom w:val="nil"/>
              <w:right w:val="nil"/>
            </w:tcBorders>
            <w:shd w:val="clear" w:color="auto" w:fill="auto"/>
            <w:noWrap/>
            <w:vAlign w:val="bottom"/>
            <w:hideMark/>
          </w:tcPr>
          <w:p w14:paraId="23055F3B"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509" w:type="dxa"/>
            <w:tcBorders>
              <w:top w:val="nil"/>
              <w:left w:val="single" w:sz="8" w:space="0" w:color="auto"/>
              <w:bottom w:val="single" w:sz="8" w:space="0" w:color="auto"/>
              <w:right w:val="single" w:sz="4" w:space="0" w:color="auto"/>
            </w:tcBorders>
            <w:shd w:val="clear" w:color="auto" w:fill="auto"/>
            <w:vAlign w:val="center"/>
            <w:hideMark/>
          </w:tcPr>
          <w:p w14:paraId="20232AE9" w14:textId="77777777" w:rsidR="00685EF8" w:rsidRPr="00685EF8" w:rsidRDefault="00685EF8" w:rsidP="00685EF8">
            <w:pPr>
              <w:spacing w:after="0" w:line="240" w:lineRule="auto"/>
              <w:jc w:val="center"/>
              <w:rPr>
                <w:rFonts w:ascii="Arial" w:eastAsia="Times New Roman" w:hAnsi="Arial" w:cs="Arial"/>
                <w:b/>
                <w:bCs/>
                <w:sz w:val="20"/>
                <w:szCs w:val="20"/>
                <w:lang w:eastAsia="en-GB"/>
              </w:rPr>
            </w:pPr>
            <w:r w:rsidRPr="00685EF8">
              <w:rPr>
                <w:rFonts w:ascii="Arial" w:eastAsia="Times New Roman" w:hAnsi="Arial" w:cs="Arial"/>
                <w:b/>
                <w:bCs/>
                <w:sz w:val="20"/>
                <w:szCs w:val="20"/>
                <w:lang w:eastAsia="en-GB"/>
              </w:rPr>
              <w:t>Enthalpy of Formation (kJ/kmol)</w:t>
            </w:r>
          </w:p>
        </w:tc>
        <w:tc>
          <w:tcPr>
            <w:tcW w:w="2068" w:type="dxa"/>
            <w:tcBorders>
              <w:top w:val="nil"/>
              <w:left w:val="nil"/>
              <w:bottom w:val="single" w:sz="8" w:space="0" w:color="auto"/>
              <w:right w:val="single" w:sz="8" w:space="0" w:color="auto"/>
            </w:tcBorders>
            <w:shd w:val="clear" w:color="auto" w:fill="auto"/>
            <w:noWrap/>
            <w:vAlign w:val="center"/>
            <w:hideMark/>
          </w:tcPr>
          <w:p w14:paraId="0031E345"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-241.845</w:t>
            </w:r>
          </w:p>
        </w:tc>
        <w:tc>
          <w:tcPr>
            <w:tcW w:w="236" w:type="dxa"/>
            <w:tcBorders>
              <w:top w:val="nil"/>
              <w:left w:val="nil"/>
              <w:bottom w:val="nil"/>
              <w:right w:val="nil"/>
            </w:tcBorders>
            <w:shd w:val="clear" w:color="auto" w:fill="auto"/>
            <w:noWrap/>
            <w:vAlign w:val="bottom"/>
            <w:hideMark/>
          </w:tcPr>
          <w:p w14:paraId="14E89181"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8" w:space="0" w:color="auto"/>
              <w:right w:val="single" w:sz="4" w:space="0" w:color="auto"/>
            </w:tcBorders>
            <w:shd w:val="clear" w:color="auto" w:fill="auto"/>
            <w:vAlign w:val="center"/>
            <w:hideMark/>
          </w:tcPr>
          <w:p w14:paraId="3922C7A0" w14:textId="77777777" w:rsidR="00685EF8" w:rsidRPr="00685EF8" w:rsidRDefault="00685EF8" w:rsidP="00685EF8">
            <w:pPr>
              <w:spacing w:after="0" w:line="240" w:lineRule="auto"/>
              <w:jc w:val="center"/>
              <w:rPr>
                <w:rFonts w:ascii="Arial" w:eastAsia="Times New Roman" w:hAnsi="Arial" w:cs="Arial"/>
                <w:b/>
                <w:bCs/>
                <w:sz w:val="20"/>
                <w:szCs w:val="20"/>
                <w:lang w:eastAsia="en-GB"/>
              </w:rPr>
            </w:pPr>
            <w:r w:rsidRPr="00685EF8">
              <w:rPr>
                <w:rFonts w:ascii="Arial" w:eastAsia="Times New Roman" w:hAnsi="Arial" w:cs="Arial"/>
                <w:b/>
                <w:bCs/>
                <w:sz w:val="20"/>
                <w:szCs w:val="20"/>
                <w:lang w:eastAsia="en-GB"/>
              </w:rPr>
              <w:t>Enthalpy of Formation (kJ/kmol)</w:t>
            </w:r>
          </w:p>
        </w:tc>
        <w:tc>
          <w:tcPr>
            <w:tcW w:w="1985" w:type="dxa"/>
            <w:tcBorders>
              <w:top w:val="nil"/>
              <w:left w:val="nil"/>
              <w:bottom w:val="single" w:sz="8" w:space="0" w:color="auto"/>
              <w:right w:val="single" w:sz="8" w:space="0" w:color="auto"/>
            </w:tcBorders>
            <w:shd w:val="clear" w:color="auto" w:fill="auto"/>
            <w:noWrap/>
            <w:vAlign w:val="center"/>
            <w:hideMark/>
          </w:tcPr>
          <w:p w14:paraId="06510B18"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-393.546</w:t>
            </w:r>
          </w:p>
        </w:tc>
      </w:tr>
      <w:tr w:rsidR="00685EF8" w:rsidRPr="00685EF8" w14:paraId="1F7A38C1" w14:textId="77777777" w:rsidTr="00685EF8">
        <w:trPr>
          <w:trHeight w:val="286"/>
        </w:trPr>
        <w:tc>
          <w:tcPr>
            <w:tcW w:w="152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5A36B847" w14:textId="77777777" w:rsidR="00685EF8" w:rsidRPr="00685EF8" w:rsidRDefault="00685EF8" w:rsidP="00685EF8">
            <w:pPr>
              <w:spacing w:after="0" w:line="240" w:lineRule="auto"/>
              <w:jc w:val="center"/>
              <w:rPr>
                <w:rFonts w:ascii="Arial" w:eastAsia="Times New Roman" w:hAnsi="Arial" w:cs="Arial"/>
                <w:b/>
                <w:bCs/>
                <w:sz w:val="20"/>
                <w:szCs w:val="20"/>
                <w:lang w:eastAsia="en-GB"/>
              </w:rPr>
            </w:pPr>
            <w:r w:rsidRPr="00685EF8">
              <w:rPr>
                <w:rFonts w:ascii="Arial" w:eastAsia="Times New Roman" w:hAnsi="Arial" w:cs="Arial"/>
                <w:b/>
                <w:bCs/>
                <w:sz w:val="20"/>
                <w:szCs w:val="20"/>
                <w:lang w:eastAsia="en-GB"/>
              </w:rPr>
              <w:t>Kelvin</w:t>
            </w:r>
          </w:p>
        </w:tc>
        <w:tc>
          <w:tcPr>
            <w:tcW w:w="222" w:type="dxa"/>
            <w:tcBorders>
              <w:top w:val="nil"/>
              <w:left w:val="nil"/>
              <w:bottom w:val="nil"/>
              <w:right w:val="nil"/>
            </w:tcBorders>
            <w:shd w:val="clear" w:color="auto" w:fill="auto"/>
            <w:noWrap/>
            <w:vAlign w:val="bottom"/>
            <w:hideMark/>
          </w:tcPr>
          <w:p w14:paraId="00484F31" w14:textId="77777777" w:rsidR="00685EF8" w:rsidRPr="00685EF8" w:rsidRDefault="00685EF8" w:rsidP="00685EF8">
            <w:pPr>
              <w:spacing w:after="0" w:line="240" w:lineRule="auto"/>
              <w:jc w:val="center"/>
              <w:rPr>
                <w:rFonts w:ascii="Arial" w:eastAsia="Times New Roman" w:hAnsi="Arial" w:cs="Arial"/>
                <w:b/>
                <w:bCs/>
                <w:sz w:val="20"/>
                <w:szCs w:val="20"/>
                <w:lang w:eastAsia="en-GB"/>
              </w:rPr>
            </w:pPr>
          </w:p>
        </w:tc>
        <w:tc>
          <w:tcPr>
            <w:tcW w:w="1509" w:type="dxa"/>
            <w:tcBorders>
              <w:top w:val="nil"/>
              <w:left w:val="single" w:sz="8" w:space="0" w:color="auto"/>
              <w:bottom w:val="single" w:sz="4" w:space="0" w:color="auto"/>
              <w:right w:val="single" w:sz="4" w:space="0" w:color="auto"/>
            </w:tcBorders>
            <w:shd w:val="clear" w:color="auto" w:fill="auto"/>
            <w:vAlign w:val="center"/>
            <w:hideMark/>
          </w:tcPr>
          <w:p w14:paraId="7112C4A5" w14:textId="77777777" w:rsidR="00685EF8" w:rsidRPr="00685EF8" w:rsidRDefault="00685EF8" w:rsidP="00685EF8">
            <w:pPr>
              <w:spacing w:after="0" w:line="240" w:lineRule="auto"/>
              <w:jc w:val="center"/>
              <w:rPr>
                <w:rFonts w:ascii="Arial" w:eastAsia="Times New Roman" w:hAnsi="Arial" w:cs="Arial"/>
                <w:b/>
                <w:bCs/>
                <w:sz w:val="20"/>
                <w:szCs w:val="20"/>
                <w:lang w:eastAsia="en-GB"/>
              </w:rPr>
            </w:pPr>
            <w:r w:rsidRPr="00685EF8">
              <w:rPr>
                <w:rFonts w:ascii="Arial" w:eastAsia="Times New Roman" w:hAnsi="Arial" w:cs="Arial"/>
                <w:b/>
                <w:bCs/>
                <w:sz w:val="20"/>
                <w:szCs w:val="20"/>
                <w:lang w:eastAsia="en-GB"/>
              </w:rPr>
              <w:t>Cp</w:t>
            </w:r>
          </w:p>
        </w:tc>
        <w:tc>
          <w:tcPr>
            <w:tcW w:w="2068" w:type="dxa"/>
            <w:tcBorders>
              <w:top w:val="nil"/>
              <w:left w:val="nil"/>
              <w:bottom w:val="single" w:sz="4" w:space="0" w:color="auto"/>
              <w:right w:val="single" w:sz="8" w:space="0" w:color="auto"/>
            </w:tcBorders>
            <w:shd w:val="clear" w:color="auto" w:fill="auto"/>
            <w:noWrap/>
            <w:vAlign w:val="center"/>
            <w:hideMark/>
          </w:tcPr>
          <w:p w14:paraId="780ED078" w14:textId="77777777" w:rsidR="00685EF8" w:rsidRPr="00685EF8" w:rsidRDefault="00685EF8" w:rsidP="00685EF8">
            <w:pPr>
              <w:spacing w:after="0" w:line="240" w:lineRule="auto"/>
              <w:jc w:val="center"/>
              <w:rPr>
                <w:rFonts w:ascii="Arial" w:eastAsia="Times New Roman" w:hAnsi="Arial" w:cs="Arial"/>
                <w:b/>
                <w:bCs/>
                <w:sz w:val="20"/>
                <w:szCs w:val="20"/>
                <w:lang w:eastAsia="en-GB"/>
              </w:rPr>
            </w:pPr>
            <w:r w:rsidRPr="00685EF8">
              <w:rPr>
                <w:rFonts w:ascii="Arial" w:eastAsia="Times New Roman" w:hAnsi="Arial" w:cs="Arial"/>
                <w:b/>
                <w:bCs/>
                <w:sz w:val="20"/>
                <w:szCs w:val="20"/>
                <w:lang w:eastAsia="en-GB"/>
              </w:rPr>
              <w:t>H(T)-H(298)</w:t>
            </w:r>
          </w:p>
        </w:tc>
        <w:tc>
          <w:tcPr>
            <w:tcW w:w="236" w:type="dxa"/>
            <w:tcBorders>
              <w:top w:val="nil"/>
              <w:left w:val="nil"/>
              <w:bottom w:val="nil"/>
              <w:right w:val="nil"/>
            </w:tcBorders>
            <w:shd w:val="clear" w:color="auto" w:fill="auto"/>
            <w:noWrap/>
            <w:vAlign w:val="bottom"/>
            <w:hideMark/>
          </w:tcPr>
          <w:p w14:paraId="6B6094C9" w14:textId="77777777" w:rsidR="00685EF8" w:rsidRPr="00685EF8" w:rsidRDefault="00685EF8" w:rsidP="00685EF8">
            <w:pPr>
              <w:spacing w:after="0" w:line="240" w:lineRule="auto"/>
              <w:jc w:val="center"/>
              <w:rPr>
                <w:rFonts w:ascii="Arial" w:eastAsia="Times New Roman" w:hAnsi="Arial" w:cs="Arial"/>
                <w:b/>
                <w:bCs/>
                <w:sz w:val="20"/>
                <w:szCs w:val="20"/>
                <w:lang w:eastAsia="en-GB"/>
              </w:rPr>
            </w:pPr>
          </w:p>
        </w:tc>
        <w:tc>
          <w:tcPr>
            <w:tcW w:w="1806" w:type="dxa"/>
            <w:tcBorders>
              <w:top w:val="nil"/>
              <w:left w:val="single" w:sz="8" w:space="0" w:color="auto"/>
              <w:bottom w:val="single" w:sz="4" w:space="0" w:color="auto"/>
              <w:right w:val="single" w:sz="4" w:space="0" w:color="auto"/>
            </w:tcBorders>
            <w:shd w:val="clear" w:color="auto" w:fill="auto"/>
            <w:vAlign w:val="center"/>
            <w:hideMark/>
          </w:tcPr>
          <w:p w14:paraId="7338D356" w14:textId="77777777" w:rsidR="00685EF8" w:rsidRPr="00685EF8" w:rsidRDefault="00685EF8" w:rsidP="00685EF8">
            <w:pPr>
              <w:spacing w:after="0" w:line="240" w:lineRule="auto"/>
              <w:jc w:val="center"/>
              <w:rPr>
                <w:rFonts w:ascii="Arial" w:eastAsia="Times New Roman" w:hAnsi="Arial" w:cs="Arial"/>
                <w:b/>
                <w:bCs/>
                <w:sz w:val="20"/>
                <w:szCs w:val="20"/>
                <w:lang w:eastAsia="en-GB"/>
              </w:rPr>
            </w:pPr>
            <w:r w:rsidRPr="00685EF8">
              <w:rPr>
                <w:rFonts w:ascii="Arial" w:eastAsia="Times New Roman" w:hAnsi="Arial" w:cs="Arial"/>
                <w:b/>
                <w:bCs/>
                <w:sz w:val="20"/>
                <w:szCs w:val="20"/>
                <w:lang w:eastAsia="en-GB"/>
              </w:rPr>
              <w:t>Cp</w:t>
            </w:r>
          </w:p>
        </w:tc>
        <w:tc>
          <w:tcPr>
            <w:tcW w:w="1985" w:type="dxa"/>
            <w:tcBorders>
              <w:top w:val="nil"/>
              <w:left w:val="nil"/>
              <w:bottom w:val="single" w:sz="4" w:space="0" w:color="auto"/>
              <w:right w:val="single" w:sz="8" w:space="0" w:color="auto"/>
            </w:tcBorders>
            <w:shd w:val="clear" w:color="auto" w:fill="auto"/>
            <w:noWrap/>
            <w:vAlign w:val="center"/>
            <w:hideMark/>
          </w:tcPr>
          <w:p w14:paraId="66106EDE" w14:textId="77777777" w:rsidR="00685EF8" w:rsidRPr="00685EF8" w:rsidRDefault="00685EF8" w:rsidP="00685EF8">
            <w:pPr>
              <w:spacing w:after="0" w:line="240" w:lineRule="auto"/>
              <w:jc w:val="center"/>
              <w:rPr>
                <w:rFonts w:ascii="Arial" w:eastAsia="Times New Roman" w:hAnsi="Arial" w:cs="Arial"/>
                <w:b/>
                <w:bCs/>
                <w:sz w:val="20"/>
                <w:szCs w:val="20"/>
                <w:lang w:eastAsia="en-GB"/>
              </w:rPr>
            </w:pPr>
            <w:r w:rsidRPr="00685EF8">
              <w:rPr>
                <w:rFonts w:ascii="Arial" w:eastAsia="Times New Roman" w:hAnsi="Arial" w:cs="Arial"/>
                <w:b/>
                <w:bCs/>
                <w:sz w:val="20"/>
                <w:szCs w:val="20"/>
                <w:lang w:eastAsia="en-GB"/>
              </w:rPr>
              <w:t>H(T)-H(298)</w:t>
            </w:r>
          </w:p>
        </w:tc>
      </w:tr>
      <w:tr w:rsidR="00685EF8" w:rsidRPr="00685EF8" w14:paraId="69BF68F7" w14:textId="77777777" w:rsidTr="00685EF8">
        <w:trPr>
          <w:trHeight w:val="299"/>
        </w:trPr>
        <w:tc>
          <w:tcPr>
            <w:tcW w:w="1520" w:type="dxa"/>
            <w:vMerge/>
            <w:tcBorders>
              <w:top w:val="nil"/>
              <w:left w:val="single" w:sz="8" w:space="0" w:color="auto"/>
              <w:bottom w:val="single" w:sz="8" w:space="0" w:color="000000"/>
              <w:right w:val="single" w:sz="8" w:space="0" w:color="auto"/>
            </w:tcBorders>
            <w:vAlign w:val="center"/>
            <w:hideMark/>
          </w:tcPr>
          <w:p w14:paraId="2EE0127D" w14:textId="77777777" w:rsidR="00685EF8" w:rsidRPr="00685EF8" w:rsidRDefault="00685EF8" w:rsidP="00685EF8">
            <w:pPr>
              <w:spacing w:after="0" w:line="240" w:lineRule="auto"/>
              <w:rPr>
                <w:rFonts w:ascii="Arial" w:eastAsia="Times New Roman" w:hAnsi="Arial" w:cs="Arial"/>
                <w:b/>
                <w:bCs/>
                <w:sz w:val="20"/>
                <w:szCs w:val="20"/>
                <w:lang w:eastAsia="en-GB"/>
              </w:rPr>
            </w:pPr>
          </w:p>
        </w:tc>
        <w:tc>
          <w:tcPr>
            <w:tcW w:w="222" w:type="dxa"/>
            <w:tcBorders>
              <w:top w:val="nil"/>
              <w:left w:val="nil"/>
              <w:bottom w:val="nil"/>
              <w:right w:val="nil"/>
            </w:tcBorders>
            <w:shd w:val="clear" w:color="auto" w:fill="auto"/>
            <w:noWrap/>
            <w:vAlign w:val="bottom"/>
            <w:hideMark/>
          </w:tcPr>
          <w:p w14:paraId="65321F19" w14:textId="77777777" w:rsidR="00685EF8" w:rsidRPr="00685EF8" w:rsidRDefault="00685EF8" w:rsidP="00685EF8">
            <w:pPr>
              <w:spacing w:after="0" w:line="240" w:lineRule="auto"/>
              <w:jc w:val="center"/>
              <w:rPr>
                <w:rFonts w:ascii="Arial" w:eastAsia="Times New Roman" w:hAnsi="Arial" w:cs="Arial"/>
                <w:b/>
                <w:bCs/>
                <w:sz w:val="20"/>
                <w:szCs w:val="20"/>
                <w:lang w:eastAsia="en-GB"/>
              </w:rPr>
            </w:pPr>
          </w:p>
        </w:tc>
        <w:tc>
          <w:tcPr>
            <w:tcW w:w="1509" w:type="dxa"/>
            <w:tcBorders>
              <w:top w:val="nil"/>
              <w:left w:val="single" w:sz="8" w:space="0" w:color="auto"/>
              <w:bottom w:val="single" w:sz="8" w:space="0" w:color="auto"/>
              <w:right w:val="single" w:sz="4" w:space="0" w:color="auto"/>
            </w:tcBorders>
            <w:shd w:val="clear" w:color="auto" w:fill="auto"/>
            <w:noWrap/>
            <w:vAlign w:val="center"/>
            <w:hideMark/>
          </w:tcPr>
          <w:p w14:paraId="4EDFEC2E" w14:textId="77777777" w:rsidR="00685EF8" w:rsidRPr="00685EF8" w:rsidRDefault="00685EF8" w:rsidP="00685EF8">
            <w:pPr>
              <w:spacing w:after="0" w:line="240" w:lineRule="auto"/>
              <w:jc w:val="center"/>
              <w:rPr>
                <w:rFonts w:ascii="Arial" w:eastAsia="Times New Roman" w:hAnsi="Arial" w:cs="Arial"/>
                <w:b/>
                <w:bCs/>
                <w:sz w:val="20"/>
                <w:szCs w:val="20"/>
                <w:lang w:eastAsia="en-GB"/>
              </w:rPr>
            </w:pPr>
            <w:r w:rsidRPr="00685EF8">
              <w:rPr>
                <w:rFonts w:ascii="Arial" w:eastAsia="Times New Roman" w:hAnsi="Arial" w:cs="Arial"/>
                <w:b/>
                <w:bCs/>
                <w:sz w:val="20"/>
                <w:szCs w:val="20"/>
                <w:lang w:eastAsia="en-GB"/>
              </w:rPr>
              <w:t>kJ/kmol.K</w:t>
            </w:r>
          </w:p>
        </w:tc>
        <w:tc>
          <w:tcPr>
            <w:tcW w:w="2068" w:type="dxa"/>
            <w:tcBorders>
              <w:top w:val="nil"/>
              <w:left w:val="nil"/>
              <w:bottom w:val="single" w:sz="8" w:space="0" w:color="auto"/>
              <w:right w:val="single" w:sz="8" w:space="0" w:color="auto"/>
            </w:tcBorders>
            <w:shd w:val="clear" w:color="auto" w:fill="auto"/>
            <w:noWrap/>
            <w:vAlign w:val="center"/>
            <w:hideMark/>
          </w:tcPr>
          <w:p w14:paraId="7F748257" w14:textId="77777777" w:rsidR="00685EF8" w:rsidRPr="00685EF8" w:rsidRDefault="00685EF8" w:rsidP="00685EF8">
            <w:pPr>
              <w:spacing w:after="0" w:line="240" w:lineRule="auto"/>
              <w:jc w:val="center"/>
              <w:rPr>
                <w:rFonts w:ascii="Arial" w:eastAsia="Times New Roman" w:hAnsi="Arial" w:cs="Arial"/>
                <w:b/>
                <w:bCs/>
                <w:sz w:val="20"/>
                <w:szCs w:val="20"/>
                <w:lang w:eastAsia="en-GB"/>
              </w:rPr>
            </w:pPr>
            <w:r w:rsidRPr="00685EF8">
              <w:rPr>
                <w:rFonts w:ascii="Arial" w:eastAsia="Times New Roman" w:hAnsi="Arial" w:cs="Arial"/>
                <w:b/>
                <w:bCs/>
                <w:sz w:val="20"/>
                <w:szCs w:val="20"/>
                <w:lang w:eastAsia="en-GB"/>
              </w:rPr>
              <w:t>MJ/kmol</w:t>
            </w:r>
          </w:p>
        </w:tc>
        <w:tc>
          <w:tcPr>
            <w:tcW w:w="236" w:type="dxa"/>
            <w:tcBorders>
              <w:top w:val="nil"/>
              <w:left w:val="nil"/>
              <w:bottom w:val="nil"/>
              <w:right w:val="nil"/>
            </w:tcBorders>
            <w:shd w:val="clear" w:color="auto" w:fill="auto"/>
            <w:noWrap/>
            <w:vAlign w:val="bottom"/>
            <w:hideMark/>
          </w:tcPr>
          <w:p w14:paraId="33B93772" w14:textId="77777777" w:rsidR="00685EF8" w:rsidRPr="00685EF8" w:rsidRDefault="00685EF8" w:rsidP="00685EF8">
            <w:pPr>
              <w:spacing w:after="0" w:line="240" w:lineRule="auto"/>
              <w:jc w:val="center"/>
              <w:rPr>
                <w:rFonts w:ascii="Arial" w:eastAsia="Times New Roman" w:hAnsi="Arial" w:cs="Arial"/>
                <w:b/>
                <w:bCs/>
                <w:sz w:val="20"/>
                <w:szCs w:val="20"/>
                <w:lang w:eastAsia="en-GB"/>
              </w:rPr>
            </w:pPr>
          </w:p>
        </w:tc>
        <w:tc>
          <w:tcPr>
            <w:tcW w:w="1806" w:type="dxa"/>
            <w:tcBorders>
              <w:top w:val="nil"/>
              <w:left w:val="single" w:sz="8" w:space="0" w:color="auto"/>
              <w:bottom w:val="single" w:sz="8" w:space="0" w:color="auto"/>
              <w:right w:val="single" w:sz="4" w:space="0" w:color="auto"/>
            </w:tcBorders>
            <w:shd w:val="clear" w:color="auto" w:fill="auto"/>
            <w:noWrap/>
            <w:vAlign w:val="center"/>
            <w:hideMark/>
          </w:tcPr>
          <w:p w14:paraId="6390E35C" w14:textId="77777777" w:rsidR="00685EF8" w:rsidRPr="00685EF8" w:rsidRDefault="00685EF8" w:rsidP="00685EF8">
            <w:pPr>
              <w:spacing w:after="0" w:line="240" w:lineRule="auto"/>
              <w:jc w:val="center"/>
              <w:rPr>
                <w:rFonts w:ascii="Arial" w:eastAsia="Times New Roman" w:hAnsi="Arial" w:cs="Arial"/>
                <w:b/>
                <w:bCs/>
                <w:sz w:val="20"/>
                <w:szCs w:val="20"/>
                <w:lang w:eastAsia="en-GB"/>
              </w:rPr>
            </w:pPr>
            <w:r w:rsidRPr="00685EF8">
              <w:rPr>
                <w:rFonts w:ascii="Arial" w:eastAsia="Times New Roman" w:hAnsi="Arial" w:cs="Arial"/>
                <w:b/>
                <w:bCs/>
                <w:sz w:val="20"/>
                <w:szCs w:val="20"/>
                <w:lang w:eastAsia="en-GB"/>
              </w:rPr>
              <w:t>kJ/kmol.K</w:t>
            </w:r>
          </w:p>
        </w:tc>
        <w:tc>
          <w:tcPr>
            <w:tcW w:w="1985" w:type="dxa"/>
            <w:tcBorders>
              <w:top w:val="nil"/>
              <w:left w:val="nil"/>
              <w:bottom w:val="single" w:sz="8" w:space="0" w:color="auto"/>
              <w:right w:val="single" w:sz="8" w:space="0" w:color="auto"/>
            </w:tcBorders>
            <w:shd w:val="clear" w:color="auto" w:fill="auto"/>
            <w:noWrap/>
            <w:vAlign w:val="center"/>
            <w:hideMark/>
          </w:tcPr>
          <w:p w14:paraId="486F1D2F" w14:textId="77777777" w:rsidR="00685EF8" w:rsidRPr="00685EF8" w:rsidRDefault="00685EF8" w:rsidP="00685EF8">
            <w:pPr>
              <w:spacing w:after="0" w:line="240" w:lineRule="auto"/>
              <w:jc w:val="center"/>
              <w:rPr>
                <w:rFonts w:ascii="Arial" w:eastAsia="Times New Roman" w:hAnsi="Arial" w:cs="Arial"/>
                <w:b/>
                <w:bCs/>
                <w:sz w:val="20"/>
                <w:szCs w:val="20"/>
                <w:lang w:eastAsia="en-GB"/>
              </w:rPr>
            </w:pPr>
            <w:r w:rsidRPr="00685EF8">
              <w:rPr>
                <w:rFonts w:ascii="Arial" w:eastAsia="Times New Roman" w:hAnsi="Arial" w:cs="Arial"/>
                <w:b/>
                <w:bCs/>
                <w:sz w:val="20"/>
                <w:szCs w:val="20"/>
                <w:lang w:eastAsia="en-GB"/>
              </w:rPr>
              <w:t>MJ/kmol</w:t>
            </w:r>
          </w:p>
        </w:tc>
      </w:tr>
      <w:tr w:rsidR="00685EF8" w:rsidRPr="00685EF8" w14:paraId="00F958D8" w14:textId="77777777" w:rsidTr="00685EF8">
        <w:trPr>
          <w:trHeight w:val="286"/>
        </w:trPr>
        <w:tc>
          <w:tcPr>
            <w:tcW w:w="1520" w:type="dxa"/>
            <w:tcBorders>
              <w:top w:val="nil"/>
              <w:left w:val="single" w:sz="8" w:space="0" w:color="auto"/>
              <w:bottom w:val="single" w:sz="4" w:space="0" w:color="auto"/>
              <w:right w:val="single" w:sz="8" w:space="0" w:color="auto"/>
            </w:tcBorders>
            <w:shd w:val="clear" w:color="auto" w:fill="auto"/>
            <w:noWrap/>
            <w:vAlign w:val="center"/>
            <w:hideMark/>
          </w:tcPr>
          <w:p w14:paraId="6F2AC436"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200</w:t>
            </w:r>
          </w:p>
        </w:tc>
        <w:tc>
          <w:tcPr>
            <w:tcW w:w="222" w:type="dxa"/>
            <w:tcBorders>
              <w:top w:val="nil"/>
              <w:left w:val="nil"/>
              <w:bottom w:val="nil"/>
              <w:right w:val="nil"/>
            </w:tcBorders>
            <w:shd w:val="clear" w:color="auto" w:fill="auto"/>
            <w:noWrap/>
            <w:vAlign w:val="bottom"/>
            <w:hideMark/>
          </w:tcPr>
          <w:p w14:paraId="56B64ED1"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509" w:type="dxa"/>
            <w:tcBorders>
              <w:top w:val="nil"/>
              <w:left w:val="single" w:sz="8" w:space="0" w:color="auto"/>
              <w:bottom w:val="single" w:sz="4" w:space="0" w:color="auto"/>
              <w:right w:val="single" w:sz="4" w:space="0" w:color="auto"/>
            </w:tcBorders>
            <w:shd w:val="clear" w:color="auto" w:fill="auto"/>
            <w:noWrap/>
            <w:vAlign w:val="center"/>
            <w:hideMark/>
          </w:tcPr>
          <w:p w14:paraId="2AFA83DD"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32.255</w:t>
            </w:r>
          </w:p>
        </w:tc>
        <w:tc>
          <w:tcPr>
            <w:tcW w:w="2068" w:type="dxa"/>
            <w:tcBorders>
              <w:top w:val="nil"/>
              <w:left w:val="nil"/>
              <w:bottom w:val="single" w:sz="4" w:space="0" w:color="auto"/>
              <w:right w:val="single" w:sz="8" w:space="0" w:color="auto"/>
            </w:tcBorders>
            <w:shd w:val="clear" w:color="auto" w:fill="auto"/>
            <w:noWrap/>
            <w:vAlign w:val="center"/>
            <w:hideMark/>
          </w:tcPr>
          <w:p w14:paraId="67A18A40"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-3.227</w:t>
            </w:r>
          </w:p>
        </w:tc>
        <w:tc>
          <w:tcPr>
            <w:tcW w:w="236" w:type="dxa"/>
            <w:tcBorders>
              <w:top w:val="nil"/>
              <w:left w:val="nil"/>
              <w:bottom w:val="nil"/>
              <w:right w:val="nil"/>
            </w:tcBorders>
            <w:shd w:val="clear" w:color="auto" w:fill="auto"/>
            <w:noWrap/>
            <w:vAlign w:val="bottom"/>
            <w:hideMark/>
          </w:tcPr>
          <w:p w14:paraId="3B41B8B4"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4" w:space="0" w:color="auto"/>
              <w:right w:val="single" w:sz="4" w:space="0" w:color="auto"/>
            </w:tcBorders>
            <w:shd w:val="clear" w:color="auto" w:fill="auto"/>
            <w:noWrap/>
            <w:vAlign w:val="center"/>
            <w:hideMark/>
          </w:tcPr>
          <w:p w14:paraId="6357AA1B"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32.387</w:t>
            </w:r>
          </w:p>
        </w:tc>
        <w:tc>
          <w:tcPr>
            <w:tcW w:w="1985" w:type="dxa"/>
            <w:tcBorders>
              <w:top w:val="nil"/>
              <w:left w:val="nil"/>
              <w:bottom w:val="single" w:sz="4" w:space="0" w:color="auto"/>
              <w:right w:val="single" w:sz="8" w:space="0" w:color="auto"/>
            </w:tcBorders>
            <w:shd w:val="clear" w:color="auto" w:fill="auto"/>
            <w:noWrap/>
            <w:vAlign w:val="center"/>
            <w:hideMark/>
          </w:tcPr>
          <w:p w14:paraId="3525AA0C"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-3.423</w:t>
            </w:r>
          </w:p>
        </w:tc>
      </w:tr>
      <w:tr w:rsidR="00685EF8" w:rsidRPr="00685EF8" w14:paraId="6CAB8F88" w14:textId="77777777" w:rsidTr="00685EF8">
        <w:trPr>
          <w:trHeight w:val="286"/>
        </w:trPr>
        <w:tc>
          <w:tcPr>
            <w:tcW w:w="1520" w:type="dxa"/>
            <w:tcBorders>
              <w:top w:val="nil"/>
              <w:left w:val="single" w:sz="8" w:space="0" w:color="auto"/>
              <w:bottom w:val="single" w:sz="4" w:space="0" w:color="auto"/>
              <w:right w:val="single" w:sz="8" w:space="0" w:color="auto"/>
            </w:tcBorders>
            <w:shd w:val="clear" w:color="auto" w:fill="auto"/>
            <w:noWrap/>
            <w:vAlign w:val="center"/>
            <w:hideMark/>
          </w:tcPr>
          <w:p w14:paraId="78D1F8B5"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298</w:t>
            </w:r>
          </w:p>
        </w:tc>
        <w:tc>
          <w:tcPr>
            <w:tcW w:w="222" w:type="dxa"/>
            <w:tcBorders>
              <w:top w:val="nil"/>
              <w:left w:val="nil"/>
              <w:bottom w:val="nil"/>
              <w:right w:val="nil"/>
            </w:tcBorders>
            <w:shd w:val="clear" w:color="auto" w:fill="auto"/>
            <w:noWrap/>
            <w:vAlign w:val="bottom"/>
            <w:hideMark/>
          </w:tcPr>
          <w:p w14:paraId="2A3F3855"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509" w:type="dxa"/>
            <w:tcBorders>
              <w:top w:val="nil"/>
              <w:left w:val="single" w:sz="8" w:space="0" w:color="auto"/>
              <w:bottom w:val="single" w:sz="4" w:space="0" w:color="auto"/>
              <w:right w:val="single" w:sz="4" w:space="0" w:color="auto"/>
            </w:tcBorders>
            <w:shd w:val="clear" w:color="auto" w:fill="auto"/>
            <w:noWrap/>
            <w:vAlign w:val="center"/>
            <w:hideMark/>
          </w:tcPr>
          <w:p w14:paraId="5660EE91"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33.448</w:t>
            </w:r>
          </w:p>
        </w:tc>
        <w:tc>
          <w:tcPr>
            <w:tcW w:w="2068" w:type="dxa"/>
            <w:tcBorders>
              <w:top w:val="nil"/>
              <w:left w:val="nil"/>
              <w:bottom w:val="single" w:sz="4" w:space="0" w:color="auto"/>
              <w:right w:val="single" w:sz="8" w:space="0" w:color="auto"/>
            </w:tcBorders>
            <w:shd w:val="clear" w:color="auto" w:fill="auto"/>
            <w:noWrap/>
            <w:vAlign w:val="center"/>
            <w:hideMark/>
          </w:tcPr>
          <w:p w14:paraId="5FAD1AC6"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0</w:t>
            </w:r>
          </w:p>
        </w:tc>
        <w:tc>
          <w:tcPr>
            <w:tcW w:w="236" w:type="dxa"/>
            <w:tcBorders>
              <w:top w:val="nil"/>
              <w:left w:val="nil"/>
              <w:bottom w:val="nil"/>
              <w:right w:val="nil"/>
            </w:tcBorders>
            <w:shd w:val="clear" w:color="auto" w:fill="auto"/>
            <w:noWrap/>
            <w:vAlign w:val="bottom"/>
            <w:hideMark/>
          </w:tcPr>
          <w:p w14:paraId="0EE8FF91"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4" w:space="0" w:color="auto"/>
              <w:right w:val="single" w:sz="4" w:space="0" w:color="auto"/>
            </w:tcBorders>
            <w:shd w:val="clear" w:color="auto" w:fill="auto"/>
            <w:noWrap/>
            <w:vAlign w:val="center"/>
            <w:hideMark/>
          </w:tcPr>
          <w:p w14:paraId="1BA104CA"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37.198</w:t>
            </w:r>
          </w:p>
        </w:tc>
        <w:tc>
          <w:tcPr>
            <w:tcW w:w="1985" w:type="dxa"/>
            <w:tcBorders>
              <w:top w:val="nil"/>
              <w:left w:val="nil"/>
              <w:bottom w:val="single" w:sz="4" w:space="0" w:color="auto"/>
              <w:right w:val="single" w:sz="8" w:space="0" w:color="auto"/>
            </w:tcBorders>
            <w:shd w:val="clear" w:color="auto" w:fill="auto"/>
            <w:noWrap/>
            <w:vAlign w:val="center"/>
            <w:hideMark/>
          </w:tcPr>
          <w:p w14:paraId="0B418C2F"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0</w:t>
            </w:r>
          </w:p>
        </w:tc>
      </w:tr>
      <w:tr w:rsidR="00685EF8" w:rsidRPr="00685EF8" w14:paraId="5C1FBAF9" w14:textId="77777777" w:rsidTr="00685EF8">
        <w:trPr>
          <w:trHeight w:val="286"/>
        </w:trPr>
        <w:tc>
          <w:tcPr>
            <w:tcW w:w="1520" w:type="dxa"/>
            <w:tcBorders>
              <w:top w:val="nil"/>
              <w:left w:val="single" w:sz="8" w:space="0" w:color="auto"/>
              <w:bottom w:val="single" w:sz="4" w:space="0" w:color="auto"/>
              <w:right w:val="single" w:sz="8" w:space="0" w:color="auto"/>
            </w:tcBorders>
            <w:shd w:val="clear" w:color="auto" w:fill="auto"/>
            <w:noWrap/>
            <w:vAlign w:val="center"/>
            <w:hideMark/>
          </w:tcPr>
          <w:p w14:paraId="0CAE57E9"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300</w:t>
            </w:r>
          </w:p>
        </w:tc>
        <w:tc>
          <w:tcPr>
            <w:tcW w:w="222" w:type="dxa"/>
            <w:tcBorders>
              <w:top w:val="nil"/>
              <w:left w:val="nil"/>
              <w:bottom w:val="nil"/>
              <w:right w:val="nil"/>
            </w:tcBorders>
            <w:shd w:val="clear" w:color="auto" w:fill="auto"/>
            <w:noWrap/>
            <w:vAlign w:val="bottom"/>
            <w:hideMark/>
          </w:tcPr>
          <w:p w14:paraId="176F30BB"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509" w:type="dxa"/>
            <w:tcBorders>
              <w:top w:val="nil"/>
              <w:left w:val="single" w:sz="8" w:space="0" w:color="auto"/>
              <w:bottom w:val="single" w:sz="4" w:space="0" w:color="auto"/>
              <w:right w:val="single" w:sz="4" w:space="0" w:color="auto"/>
            </w:tcBorders>
            <w:shd w:val="clear" w:color="auto" w:fill="auto"/>
            <w:noWrap/>
            <w:vAlign w:val="center"/>
            <w:hideMark/>
          </w:tcPr>
          <w:p w14:paraId="1FAD3A6C"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33.468</w:t>
            </w:r>
          </w:p>
        </w:tc>
        <w:tc>
          <w:tcPr>
            <w:tcW w:w="2068" w:type="dxa"/>
            <w:tcBorders>
              <w:top w:val="nil"/>
              <w:left w:val="nil"/>
              <w:bottom w:val="single" w:sz="4" w:space="0" w:color="auto"/>
              <w:right w:val="single" w:sz="8" w:space="0" w:color="auto"/>
            </w:tcBorders>
            <w:shd w:val="clear" w:color="auto" w:fill="auto"/>
            <w:noWrap/>
            <w:vAlign w:val="center"/>
            <w:hideMark/>
          </w:tcPr>
          <w:p w14:paraId="53A6F575"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0.062</w:t>
            </w:r>
          </w:p>
        </w:tc>
        <w:tc>
          <w:tcPr>
            <w:tcW w:w="236" w:type="dxa"/>
            <w:tcBorders>
              <w:top w:val="nil"/>
              <w:left w:val="nil"/>
              <w:bottom w:val="nil"/>
              <w:right w:val="nil"/>
            </w:tcBorders>
            <w:shd w:val="clear" w:color="auto" w:fill="auto"/>
            <w:noWrap/>
            <w:vAlign w:val="bottom"/>
            <w:hideMark/>
          </w:tcPr>
          <w:p w14:paraId="47237A7F"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4" w:space="0" w:color="auto"/>
              <w:right w:val="single" w:sz="4" w:space="0" w:color="auto"/>
            </w:tcBorders>
            <w:shd w:val="clear" w:color="auto" w:fill="auto"/>
            <w:noWrap/>
            <w:vAlign w:val="center"/>
            <w:hideMark/>
          </w:tcPr>
          <w:p w14:paraId="371F30AE"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37.28</w:t>
            </w:r>
          </w:p>
        </w:tc>
        <w:tc>
          <w:tcPr>
            <w:tcW w:w="1985" w:type="dxa"/>
            <w:tcBorders>
              <w:top w:val="nil"/>
              <w:left w:val="nil"/>
              <w:bottom w:val="single" w:sz="4" w:space="0" w:color="auto"/>
              <w:right w:val="single" w:sz="8" w:space="0" w:color="auto"/>
            </w:tcBorders>
            <w:shd w:val="clear" w:color="auto" w:fill="auto"/>
            <w:noWrap/>
            <w:vAlign w:val="center"/>
            <w:hideMark/>
          </w:tcPr>
          <w:p w14:paraId="429B552F"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0.069</w:t>
            </w:r>
          </w:p>
        </w:tc>
      </w:tr>
      <w:tr w:rsidR="00685EF8" w:rsidRPr="00685EF8" w14:paraId="563120C6" w14:textId="77777777" w:rsidTr="00685EF8">
        <w:trPr>
          <w:trHeight w:val="286"/>
        </w:trPr>
        <w:tc>
          <w:tcPr>
            <w:tcW w:w="1520" w:type="dxa"/>
            <w:tcBorders>
              <w:top w:val="nil"/>
              <w:left w:val="single" w:sz="8" w:space="0" w:color="auto"/>
              <w:bottom w:val="single" w:sz="4" w:space="0" w:color="auto"/>
              <w:right w:val="single" w:sz="8" w:space="0" w:color="auto"/>
            </w:tcBorders>
            <w:shd w:val="clear" w:color="auto" w:fill="auto"/>
            <w:noWrap/>
            <w:vAlign w:val="center"/>
            <w:hideMark/>
          </w:tcPr>
          <w:p w14:paraId="4854C690"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400</w:t>
            </w:r>
          </w:p>
        </w:tc>
        <w:tc>
          <w:tcPr>
            <w:tcW w:w="222" w:type="dxa"/>
            <w:tcBorders>
              <w:top w:val="nil"/>
              <w:left w:val="nil"/>
              <w:bottom w:val="nil"/>
              <w:right w:val="nil"/>
            </w:tcBorders>
            <w:shd w:val="clear" w:color="auto" w:fill="auto"/>
            <w:noWrap/>
            <w:vAlign w:val="bottom"/>
            <w:hideMark/>
          </w:tcPr>
          <w:p w14:paraId="77524F8F"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509" w:type="dxa"/>
            <w:tcBorders>
              <w:top w:val="nil"/>
              <w:left w:val="single" w:sz="8" w:space="0" w:color="auto"/>
              <w:bottom w:val="single" w:sz="4" w:space="0" w:color="auto"/>
              <w:right w:val="single" w:sz="4" w:space="0" w:color="auto"/>
            </w:tcBorders>
            <w:shd w:val="clear" w:color="auto" w:fill="auto"/>
            <w:noWrap/>
            <w:vAlign w:val="center"/>
            <w:hideMark/>
          </w:tcPr>
          <w:p w14:paraId="2BC32B91"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34.437</w:t>
            </w:r>
          </w:p>
        </w:tc>
        <w:tc>
          <w:tcPr>
            <w:tcW w:w="2068" w:type="dxa"/>
            <w:tcBorders>
              <w:top w:val="nil"/>
              <w:left w:val="nil"/>
              <w:bottom w:val="single" w:sz="4" w:space="0" w:color="auto"/>
              <w:right w:val="single" w:sz="8" w:space="0" w:color="auto"/>
            </w:tcBorders>
            <w:shd w:val="clear" w:color="auto" w:fill="auto"/>
            <w:noWrap/>
            <w:vAlign w:val="center"/>
            <w:hideMark/>
          </w:tcPr>
          <w:p w14:paraId="796B3503"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3.458</w:t>
            </w:r>
          </w:p>
        </w:tc>
        <w:tc>
          <w:tcPr>
            <w:tcW w:w="236" w:type="dxa"/>
            <w:tcBorders>
              <w:top w:val="nil"/>
              <w:left w:val="nil"/>
              <w:bottom w:val="nil"/>
              <w:right w:val="nil"/>
            </w:tcBorders>
            <w:shd w:val="clear" w:color="auto" w:fill="auto"/>
            <w:noWrap/>
            <w:vAlign w:val="bottom"/>
            <w:hideMark/>
          </w:tcPr>
          <w:p w14:paraId="20DD9E0A"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4" w:space="0" w:color="auto"/>
              <w:right w:val="single" w:sz="4" w:space="0" w:color="auto"/>
            </w:tcBorders>
            <w:shd w:val="clear" w:color="auto" w:fill="auto"/>
            <w:noWrap/>
            <w:vAlign w:val="center"/>
            <w:hideMark/>
          </w:tcPr>
          <w:p w14:paraId="7104B97A"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41.276</w:t>
            </w:r>
          </w:p>
        </w:tc>
        <w:tc>
          <w:tcPr>
            <w:tcW w:w="1985" w:type="dxa"/>
            <w:tcBorders>
              <w:top w:val="nil"/>
              <w:left w:val="nil"/>
              <w:bottom w:val="single" w:sz="4" w:space="0" w:color="auto"/>
              <w:right w:val="single" w:sz="8" w:space="0" w:color="auto"/>
            </w:tcBorders>
            <w:shd w:val="clear" w:color="auto" w:fill="auto"/>
            <w:noWrap/>
            <w:vAlign w:val="center"/>
            <w:hideMark/>
          </w:tcPr>
          <w:p w14:paraId="5D4C60F9"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4.003</w:t>
            </w:r>
          </w:p>
        </w:tc>
      </w:tr>
      <w:tr w:rsidR="00685EF8" w:rsidRPr="00685EF8" w14:paraId="58DBA992" w14:textId="77777777" w:rsidTr="00685EF8">
        <w:trPr>
          <w:trHeight w:val="286"/>
        </w:trPr>
        <w:tc>
          <w:tcPr>
            <w:tcW w:w="1520" w:type="dxa"/>
            <w:tcBorders>
              <w:top w:val="nil"/>
              <w:left w:val="single" w:sz="8" w:space="0" w:color="auto"/>
              <w:bottom w:val="single" w:sz="4" w:space="0" w:color="auto"/>
              <w:right w:val="single" w:sz="8" w:space="0" w:color="auto"/>
            </w:tcBorders>
            <w:shd w:val="clear" w:color="auto" w:fill="auto"/>
            <w:noWrap/>
            <w:vAlign w:val="center"/>
            <w:hideMark/>
          </w:tcPr>
          <w:p w14:paraId="35C3307C"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500</w:t>
            </w:r>
          </w:p>
        </w:tc>
        <w:tc>
          <w:tcPr>
            <w:tcW w:w="222" w:type="dxa"/>
            <w:tcBorders>
              <w:top w:val="nil"/>
              <w:left w:val="nil"/>
              <w:bottom w:val="nil"/>
              <w:right w:val="nil"/>
            </w:tcBorders>
            <w:shd w:val="clear" w:color="auto" w:fill="auto"/>
            <w:noWrap/>
            <w:vAlign w:val="bottom"/>
            <w:hideMark/>
          </w:tcPr>
          <w:p w14:paraId="1C27D5BF"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509" w:type="dxa"/>
            <w:tcBorders>
              <w:top w:val="nil"/>
              <w:left w:val="single" w:sz="8" w:space="0" w:color="auto"/>
              <w:bottom w:val="single" w:sz="4" w:space="0" w:color="auto"/>
              <w:right w:val="single" w:sz="4" w:space="0" w:color="auto"/>
            </w:tcBorders>
            <w:shd w:val="clear" w:color="auto" w:fill="auto"/>
            <w:noWrap/>
            <w:vAlign w:val="center"/>
            <w:hideMark/>
          </w:tcPr>
          <w:p w14:paraId="3F3FCBEA"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35.337</w:t>
            </w:r>
          </w:p>
        </w:tc>
        <w:tc>
          <w:tcPr>
            <w:tcW w:w="2068" w:type="dxa"/>
            <w:tcBorders>
              <w:top w:val="nil"/>
              <w:left w:val="nil"/>
              <w:bottom w:val="single" w:sz="4" w:space="0" w:color="auto"/>
              <w:right w:val="single" w:sz="8" w:space="0" w:color="auto"/>
            </w:tcBorders>
            <w:shd w:val="clear" w:color="auto" w:fill="auto"/>
            <w:noWrap/>
            <w:vAlign w:val="center"/>
            <w:hideMark/>
          </w:tcPr>
          <w:p w14:paraId="0D7EAD72"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6.947</w:t>
            </w:r>
          </w:p>
        </w:tc>
        <w:tc>
          <w:tcPr>
            <w:tcW w:w="236" w:type="dxa"/>
            <w:tcBorders>
              <w:top w:val="nil"/>
              <w:left w:val="nil"/>
              <w:bottom w:val="nil"/>
              <w:right w:val="nil"/>
            </w:tcBorders>
            <w:shd w:val="clear" w:color="auto" w:fill="auto"/>
            <w:noWrap/>
            <w:vAlign w:val="bottom"/>
            <w:hideMark/>
          </w:tcPr>
          <w:p w14:paraId="4FD0B54C"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4" w:space="0" w:color="auto"/>
              <w:right w:val="single" w:sz="4" w:space="0" w:color="auto"/>
            </w:tcBorders>
            <w:shd w:val="clear" w:color="auto" w:fill="auto"/>
            <w:noWrap/>
            <w:vAlign w:val="center"/>
            <w:hideMark/>
          </w:tcPr>
          <w:p w14:paraId="14C7F802"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44.569</w:t>
            </w:r>
          </w:p>
        </w:tc>
        <w:tc>
          <w:tcPr>
            <w:tcW w:w="1985" w:type="dxa"/>
            <w:tcBorders>
              <w:top w:val="nil"/>
              <w:left w:val="nil"/>
              <w:bottom w:val="single" w:sz="4" w:space="0" w:color="auto"/>
              <w:right w:val="single" w:sz="8" w:space="0" w:color="auto"/>
            </w:tcBorders>
            <w:shd w:val="clear" w:color="auto" w:fill="auto"/>
            <w:noWrap/>
            <w:vAlign w:val="center"/>
            <w:hideMark/>
          </w:tcPr>
          <w:p w14:paraId="56821E92"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8.301</w:t>
            </w:r>
          </w:p>
        </w:tc>
      </w:tr>
      <w:tr w:rsidR="00685EF8" w:rsidRPr="00685EF8" w14:paraId="1FA02D76" w14:textId="77777777" w:rsidTr="00685EF8">
        <w:trPr>
          <w:trHeight w:val="286"/>
        </w:trPr>
        <w:tc>
          <w:tcPr>
            <w:tcW w:w="1520" w:type="dxa"/>
            <w:tcBorders>
              <w:top w:val="nil"/>
              <w:left w:val="single" w:sz="8" w:space="0" w:color="auto"/>
              <w:bottom w:val="single" w:sz="4" w:space="0" w:color="auto"/>
              <w:right w:val="single" w:sz="8" w:space="0" w:color="auto"/>
            </w:tcBorders>
            <w:shd w:val="clear" w:color="auto" w:fill="auto"/>
            <w:noWrap/>
            <w:vAlign w:val="center"/>
            <w:hideMark/>
          </w:tcPr>
          <w:p w14:paraId="7E051A68"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600</w:t>
            </w:r>
          </w:p>
        </w:tc>
        <w:tc>
          <w:tcPr>
            <w:tcW w:w="222" w:type="dxa"/>
            <w:tcBorders>
              <w:top w:val="nil"/>
              <w:left w:val="nil"/>
              <w:bottom w:val="nil"/>
              <w:right w:val="nil"/>
            </w:tcBorders>
            <w:shd w:val="clear" w:color="auto" w:fill="auto"/>
            <w:noWrap/>
            <w:vAlign w:val="bottom"/>
            <w:hideMark/>
          </w:tcPr>
          <w:p w14:paraId="24D2F5DA"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509" w:type="dxa"/>
            <w:tcBorders>
              <w:top w:val="nil"/>
              <w:left w:val="single" w:sz="8" w:space="0" w:color="auto"/>
              <w:bottom w:val="single" w:sz="4" w:space="0" w:color="auto"/>
              <w:right w:val="single" w:sz="4" w:space="0" w:color="auto"/>
            </w:tcBorders>
            <w:shd w:val="clear" w:color="auto" w:fill="auto"/>
            <w:noWrap/>
            <w:vAlign w:val="center"/>
            <w:hideMark/>
          </w:tcPr>
          <w:p w14:paraId="4C2E7F97"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36.288</w:t>
            </w:r>
          </w:p>
        </w:tc>
        <w:tc>
          <w:tcPr>
            <w:tcW w:w="2068" w:type="dxa"/>
            <w:tcBorders>
              <w:top w:val="nil"/>
              <w:left w:val="nil"/>
              <w:bottom w:val="single" w:sz="4" w:space="0" w:color="auto"/>
              <w:right w:val="single" w:sz="8" w:space="0" w:color="auto"/>
            </w:tcBorders>
            <w:shd w:val="clear" w:color="auto" w:fill="auto"/>
            <w:noWrap/>
            <w:vAlign w:val="center"/>
            <w:hideMark/>
          </w:tcPr>
          <w:p w14:paraId="2EE1A411"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10.528</w:t>
            </w:r>
          </w:p>
        </w:tc>
        <w:tc>
          <w:tcPr>
            <w:tcW w:w="236" w:type="dxa"/>
            <w:tcBorders>
              <w:top w:val="nil"/>
              <w:left w:val="nil"/>
              <w:bottom w:val="nil"/>
              <w:right w:val="nil"/>
            </w:tcBorders>
            <w:shd w:val="clear" w:color="auto" w:fill="auto"/>
            <w:noWrap/>
            <w:vAlign w:val="bottom"/>
            <w:hideMark/>
          </w:tcPr>
          <w:p w14:paraId="215FDC58"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4" w:space="0" w:color="auto"/>
              <w:right w:val="single" w:sz="4" w:space="0" w:color="auto"/>
            </w:tcBorders>
            <w:shd w:val="clear" w:color="auto" w:fill="auto"/>
            <w:noWrap/>
            <w:vAlign w:val="center"/>
            <w:hideMark/>
          </w:tcPr>
          <w:p w14:paraId="7594F056"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47.313</w:t>
            </w:r>
          </w:p>
        </w:tc>
        <w:tc>
          <w:tcPr>
            <w:tcW w:w="1985" w:type="dxa"/>
            <w:tcBorders>
              <w:top w:val="nil"/>
              <w:left w:val="nil"/>
              <w:bottom w:val="single" w:sz="4" w:space="0" w:color="auto"/>
              <w:right w:val="single" w:sz="8" w:space="0" w:color="auto"/>
            </w:tcBorders>
            <w:shd w:val="clear" w:color="auto" w:fill="auto"/>
            <w:noWrap/>
            <w:vAlign w:val="center"/>
            <w:hideMark/>
          </w:tcPr>
          <w:p w14:paraId="6DD5014F"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12.899</w:t>
            </w:r>
          </w:p>
        </w:tc>
      </w:tr>
      <w:tr w:rsidR="00685EF8" w:rsidRPr="00685EF8" w14:paraId="1DBFCB04" w14:textId="77777777" w:rsidTr="00685EF8">
        <w:trPr>
          <w:trHeight w:val="286"/>
        </w:trPr>
        <w:tc>
          <w:tcPr>
            <w:tcW w:w="1520" w:type="dxa"/>
            <w:tcBorders>
              <w:top w:val="nil"/>
              <w:left w:val="single" w:sz="8" w:space="0" w:color="auto"/>
              <w:bottom w:val="single" w:sz="4" w:space="0" w:color="auto"/>
              <w:right w:val="single" w:sz="8" w:space="0" w:color="auto"/>
            </w:tcBorders>
            <w:shd w:val="clear" w:color="auto" w:fill="auto"/>
            <w:noWrap/>
            <w:vAlign w:val="center"/>
            <w:hideMark/>
          </w:tcPr>
          <w:p w14:paraId="5EFCC1C9"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700</w:t>
            </w:r>
          </w:p>
        </w:tc>
        <w:tc>
          <w:tcPr>
            <w:tcW w:w="222" w:type="dxa"/>
            <w:tcBorders>
              <w:top w:val="nil"/>
              <w:left w:val="nil"/>
              <w:bottom w:val="nil"/>
              <w:right w:val="nil"/>
            </w:tcBorders>
            <w:shd w:val="clear" w:color="auto" w:fill="auto"/>
            <w:noWrap/>
            <w:vAlign w:val="bottom"/>
            <w:hideMark/>
          </w:tcPr>
          <w:p w14:paraId="21A32585"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509" w:type="dxa"/>
            <w:tcBorders>
              <w:top w:val="nil"/>
              <w:left w:val="single" w:sz="8" w:space="0" w:color="auto"/>
              <w:bottom w:val="single" w:sz="4" w:space="0" w:color="auto"/>
              <w:right w:val="single" w:sz="4" w:space="0" w:color="auto"/>
            </w:tcBorders>
            <w:shd w:val="clear" w:color="auto" w:fill="auto"/>
            <w:noWrap/>
            <w:vAlign w:val="center"/>
            <w:hideMark/>
          </w:tcPr>
          <w:p w14:paraId="0AE32F91"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37.364</w:t>
            </w:r>
          </w:p>
        </w:tc>
        <w:tc>
          <w:tcPr>
            <w:tcW w:w="2068" w:type="dxa"/>
            <w:tcBorders>
              <w:top w:val="nil"/>
              <w:left w:val="nil"/>
              <w:bottom w:val="single" w:sz="4" w:space="0" w:color="auto"/>
              <w:right w:val="single" w:sz="8" w:space="0" w:color="auto"/>
            </w:tcBorders>
            <w:shd w:val="clear" w:color="auto" w:fill="auto"/>
            <w:noWrap/>
            <w:vAlign w:val="center"/>
            <w:hideMark/>
          </w:tcPr>
          <w:p w14:paraId="48A495C2"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14.209</w:t>
            </w:r>
          </w:p>
        </w:tc>
        <w:tc>
          <w:tcPr>
            <w:tcW w:w="236" w:type="dxa"/>
            <w:tcBorders>
              <w:top w:val="nil"/>
              <w:left w:val="nil"/>
              <w:bottom w:val="nil"/>
              <w:right w:val="nil"/>
            </w:tcBorders>
            <w:shd w:val="clear" w:color="auto" w:fill="auto"/>
            <w:noWrap/>
            <w:vAlign w:val="bottom"/>
            <w:hideMark/>
          </w:tcPr>
          <w:p w14:paraId="6D120346"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4" w:space="0" w:color="auto"/>
              <w:right w:val="single" w:sz="4" w:space="0" w:color="auto"/>
            </w:tcBorders>
            <w:shd w:val="clear" w:color="auto" w:fill="auto"/>
            <w:noWrap/>
            <w:vAlign w:val="center"/>
            <w:hideMark/>
          </w:tcPr>
          <w:p w14:paraId="67147F6D"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49.617</w:t>
            </w:r>
          </w:p>
        </w:tc>
        <w:tc>
          <w:tcPr>
            <w:tcW w:w="1985" w:type="dxa"/>
            <w:tcBorders>
              <w:top w:val="nil"/>
              <w:left w:val="nil"/>
              <w:bottom w:val="single" w:sz="4" w:space="0" w:color="auto"/>
              <w:right w:val="single" w:sz="8" w:space="0" w:color="auto"/>
            </w:tcBorders>
            <w:shd w:val="clear" w:color="auto" w:fill="auto"/>
            <w:noWrap/>
            <w:vAlign w:val="center"/>
            <w:hideMark/>
          </w:tcPr>
          <w:p w14:paraId="18696120"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17.749</w:t>
            </w:r>
          </w:p>
        </w:tc>
      </w:tr>
      <w:tr w:rsidR="00685EF8" w:rsidRPr="00685EF8" w14:paraId="6596A29E" w14:textId="77777777" w:rsidTr="00685EF8">
        <w:trPr>
          <w:trHeight w:val="286"/>
        </w:trPr>
        <w:tc>
          <w:tcPr>
            <w:tcW w:w="1520" w:type="dxa"/>
            <w:tcBorders>
              <w:top w:val="nil"/>
              <w:left w:val="single" w:sz="8" w:space="0" w:color="auto"/>
              <w:bottom w:val="single" w:sz="4" w:space="0" w:color="auto"/>
              <w:right w:val="single" w:sz="8" w:space="0" w:color="auto"/>
            </w:tcBorders>
            <w:shd w:val="clear" w:color="auto" w:fill="auto"/>
            <w:noWrap/>
            <w:vAlign w:val="center"/>
            <w:hideMark/>
          </w:tcPr>
          <w:p w14:paraId="61DC0961"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800</w:t>
            </w:r>
          </w:p>
        </w:tc>
        <w:tc>
          <w:tcPr>
            <w:tcW w:w="222" w:type="dxa"/>
            <w:tcBorders>
              <w:top w:val="nil"/>
              <w:left w:val="nil"/>
              <w:bottom w:val="nil"/>
              <w:right w:val="nil"/>
            </w:tcBorders>
            <w:shd w:val="clear" w:color="auto" w:fill="auto"/>
            <w:noWrap/>
            <w:vAlign w:val="bottom"/>
            <w:hideMark/>
          </w:tcPr>
          <w:p w14:paraId="5160BF87"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509" w:type="dxa"/>
            <w:tcBorders>
              <w:top w:val="nil"/>
              <w:left w:val="single" w:sz="8" w:space="0" w:color="auto"/>
              <w:bottom w:val="single" w:sz="4" w:space="0" w:color="auto"/>
              <w:right w:val="single" w:sz="4" w:space="0" w:color="auto"/>
            </w:tcBorders>
            <w:shd w:val="clear" w:color="auto" w:fill="auto"/>
            <w:noWrap/>
            <w:vAlign w:val="center"/>
            <w:hideMark/>
          </w:tcPr>
          <w:p w14:paraId="07A09076"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38.587</w:t>
            </w:r>
          </w:p>
        </w:tc>
        <w:tc>
          <w:tcPr>
            <w:tcW w:w="2068" w:type="dxa"/>
            <w:tcBorders>
              <w:top w:val="nil"/>
              <w:left w:val="nil"/>
              <w:bottom w:val="single" w:sz="4" w:space="0" w:color="auto"/>
              <w:right w:val="single" w:sz="8" w:space="0" w:color="auto"/>
            </w:tcBorders>
            <w:shd w:val="clear" w:color="auto" w:fill="auto"/>
            <w:noWrap/>
            <w:vAlign w:val="center"/>
            <w:hideMark/>
          </w:tcPr>
          <w:p w14:paraId="35D2C05B"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18.005</w:t>
            </w:r>
          </w:p>
        </w:tc>
        <w:tc>
          <w:tcPr>
            <w:tcW w:w="236" w:type="dxa"/>
            <w:tcBorders>
              <w:top w:val="nil"/>
              <w:left w:val="nil"/>
              <w:bottom w:val="nil"/>
              <w:right w:val="nil"/>
            </w:tcBorders>
            <w:shd w:val="clear" w:color="auto" w:fill="auto"/>
            <w:noWrap/>
            <w:vAlign w:val="bottom"/>
            <w:hideMark/>
          </w:tcPr>
          <w:p w14:paraId="712A3374"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4" w:space="0" w:color="auto"/>
              <w:right w:val="single" w:sz="4" w:space="0" w:color="auto"/>
            </w:tcBorders>
            <w:shd w:val="clear" w:color="auto" w:fill="auto"/>
            <w:noWrap/>
            <w:vAlign w:val="center"/>
            <w:hideMark/>
          </w:tcPr>
          <w:p w14:paraId="7B04E585"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51.55</w:t>
            </w:r>
          </w:p>
        </w:tc>
        <w:tc>
          <w:tcPr>
            <w:tcW w:w="1985" w:type="dxa"/>
            <w:tcBorders>
              <w:top w:val="nil"/>
              <w:left w:val="nil"/>
              <w:bottom w:val="single" w:sz="4" w:space="0" w:color="auto"/>
              <w:right w:val="single" w:sz="8" w:space="0" w:color="auto"/>
            </w:tcBorders>
            <w:shd w:val="clear" w:color="auto" w:fill="auto"/>
            <w:noWrap/>
            <w:vAlign w:val="center"/>
            <w:hideMark/>
          </w:tcPr>
          <w:p w14:paraId="05E60D3D"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22.81</w:t>
            </w:r>
          </w:p>
        </w:tc>
      </w:tr>
      <w:tr w:rsidR="00685EF8" w:rsidRPr="00685EF8" w14:paraId="3887B26A" w14:textId="77777777" w:rsidTr="00685EF8">
        <w:trPr>
          <w:trHeight w:val="286"/>
        </w:trPr>
        <w:tc>
          <w:tcPr>
            <w:tcW w:w="1520" w:type="dxa"/>
            <w:tcBorders>
              <w:top w:val="nil"/>
              <w:left w:val="single" w:sz="8" w:space="0" w:color="auto"/>
              <w:bottom w:val="single" w:sz="4" w:space="0" w:color="auto"/>
              <w:right w:val="single" w:sz="8" w:space="0" w:color="auto"/>
            </w:tcBorders>
            <w:shd w:val="clear" w:color="auto" w:fill="auto"/>
            <w:noWrap/>
            <w:vAlign w:val="center"/>
            <w:hideMark/>
          </w:tcPr>
          <w:p w14:paraId="5EE96FD9"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900</w:t>
            </w:r>
          </w:p>
        </w:tc>
        <w:tc>
          <w:tcPr>
            <w:tcW w:w="222" w:type="dxa"/>
            <w:tcBorders>
              <w:top w:val="nil"/>
              <w:left w:val="nil"/>
              <w:bottom w:val="nil"/>
              <w:right w:val="nil"/>
            </w:tcBorders>
            <w:shd w:val="clear" w:color="auto" w:fill="auto"/>
            <w:noWrap/>
            <w:vAlign w:val="bottom"/>
            <w:hideMark/>
          </w:tcPr>
          <w:p w14:paraId="3C74B99D"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509" w:type="dxa"/>
            <w:tcBorders>
              <w:top w:val="nil"/>
              <w:left w:val="single" w:sz="8" w:space="0" w:color="auto"/>
              <w:bottom w:val="single" w:sz="4" w:space="0" w:color="auto"/>
              <w:right w:val="single" w:sz="4" w:space="0" w:color="auto"/>
            </w:tcBorders>
            <w:shd w:val="clear" w:color="auto" w:fill="auto"/>
            <w:noWrap/>
            <w:vAlign w:val="center"/>
            <w:hideMark/>
          </w:tcPr>
          <w:p w14:paraId="65019772"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39.93</w:t>
            </w:r>
          </w:p>
        </w:tc>
        <w:tc>
          <w:tcPr>
            <w:tcW w:w="2068" w:type="dxa"/>
            <w:tcBorders>
              <w:top w:val="nil"/>
              <w:left w:val="nil"/>
              <w:bottom w:val="single" w:sz="4" w:space="0" w:color="auto"/>
              <w:right w:val="single" w:sz="8" w:space="0" w:color="auto"/>
            </w:tcBorders>
            <w:shd w:val="clear" w:color="auto" w:fill="auto"/>
            <w:noWrap/>
            <w:vAlign w:val="center"/>
            <w:hideMark/>
          </w:tcPr>
          <w:p w14:paraId="091BE156"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21.93</w:t>
            </w:r>
          </w:p>
        </w:tc>
        <w:tc>
          <w:tcPr>
            <w:tcW w:w="236" w:type="dxa"/>
            <w:tcBorders>
              <w:top w:val="nil"/>
              <w:left w:val="nil"/>
              <w:bottom w:val="nil"/>
              <w:right w:val="nil"/>
            </w:tcBorders>
            <w:shd w:val="clear" w:color="auto" w:fill="auto"/>
            <w:noWrap/>
            <w:vAlign w:val="bottom"/>
            <w:hideMark/>
          </w:tcPr>
          <w:p w14:paraId="0DA04975"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4" w:space="0" w:color="auto"/>
              <w:right w:val="single" w:sz="4" w:space="0" w:color="auto"/>
            </w:tcBorders>
            <w:shd w:val="clear" w:color="auto" w:fill="auto"/>
            <w:noWrap/>
            <w:vAlign w:val="center"/>
            <w:hideMark/>
          </w:tcPr>
          <w:p w14:paraId="592EBD3B"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53.136</w:t>
            </w:r>
          </w:p>
        </w:tc>
        <w:tc>
          <w:tcPr>
            <w:tcW w:w="1985" w:type="dxa"/>
            <w:tcBorders>
              <w:top w:val="nil"/>
              <w:left w:val="nil"/>
              <w:bottom w:val="single" w:sz="4" w:space="0" w:color="auto"/>
              <w:right w:val="single" w:sz="8" w:space="0" w:color="auto"/>
            </w:tcBorders>
            <w:shd w:val="clear" w:color="auto" w:fill="auto"/>
            <w:noWrap/>
            <w:vAlign w:val="center"/>
            <w:hideMark/>
          </w:tcPr>
          <w:p w14:paraId="711E7552"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28.047</w:t>
            </w:r>
          </w:p>
        </w:tc>
      </w:tr>
      <w:tr w:rsidR="00685EF8" w:rsidRPr="00685EF8" w14:paraId="770EFD79" w14:textId="77777777" w:rsidTr="00685EF8">
        <w:trPr>
          <w:trHeight w:val="286"/>
        </w:trPr>
        <w:tc>
          <w:tcPr>
            <w:tcW w:w="1520" w:type="dxa"/>
            <w:tcBorders>
              <w:top w:val="nil"/>
              <w:left w:val="single" w:sz="8" w:space="0" w:color="auto"/>
              <w:bottom w:val="single" w:sz="4" w:space="0" w:color="auto"/>
              <w:right w:val="single" w:sz="8" w:space="0" w:color="auto"/>
            </w:tcBorders>
            <w:shd w:val="clear" w:color="auto" w:fill="auto"/>
            <w:noWrap/>
            <w:vAlign w:val="center"/>
            <w:hideMark/>
          </w:tcPr>
          <w:p w14:paraId="48D46E70"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1000</w:t>
            </w:r>
          </w:p>
        </w:tc>
        <w:tc>
          <w:tcPr>
            <w:tcW w:w="222" w:type="dxa"/>
            <w:tcBorders>
              <w:top w:val="nil"/>
              <w:left w:val="nil"/>
              <w:bottom w:val="nil"/>
              <w:right w:val="nil"/>
            </w:tcBorders>
            <w:shd w:val="clear" w:color="auto" w:fill="auto"/>
            <w:noWrap/>
            <w:vAlign w:val="bottom"/>
            <w:hideMark/>
          </w:tcPr>
          <w:p w14:paraId="189DA80A"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509" w:type="dxa"/>
            <w:tcBorders>
              <w:top w:val="nil"/>
              <w:left w:val="single" w:sz="8" w:space="0" w:color="auto"/>
              <w:bottom w:val="single" w:sz="4" w:space="0" w:color="auto"/>
              <w:right w:val="single" w:sz="4" w:space="0" w:color="auto"/>
            </w:tcBorders>
            <w:shd w:val="clear" w:color="auto" w:fill="auto"/>
            <w:noWrap/>
            <w:vAlign w:val="center"/>
            <w:hideMark/>
          </w:tcPr>
          <w:p w14:paraId="734449F1"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41.315</w:t>
            </w:r>
          </w:p>
        </w:tc>
        <w:tc>
          <w:tcPr>
            <w:tcW w:w="2068" w:type="dxa"/>
            <w:tcBorders>
              <w:top w:val="nil"/>
              <w:left w:val="nil"/>
              <w:bottom w:val="single" w:sz="4" w:space="0" w:color="auto"/>
              <w:right w:val="single" w:sz="8" w:space="0" w:color="auto"/>
            </w:tcBorders>
            <w:shd w:val="clear" w:color="auto" w:fill="auto"/>
            <w:noWrap/>
            <w:vAlign w:val="center"/>
            <w:hideMark/>
          </w:tcPr>
          <w:p w14:paraId="1DD5993D"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25.993</w:t>
            </w:r>
          </w:p>
        </w:tc>
        <w:tc>
          <w:tcPr>
            <w:tcW w:w="236" w:type="dxa"/>
            <w:tcBorders>
              <w:top w:val="nil"/>
              <w:left w:val="nil"/>
              <w:bottom w:val="nil"/>
              <w:right w:val="nil"/>
            </w:tcBorders>
            <w:shd w:val="clear" w:color="auto" w:fill="auto"/>
            <w:noWrap/>
            <w:vAlign w:val="bottom"/>
            <w:hideMark/>
          </w:tcPr>
          <w:p w14:paraId="26648836"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4" w:space="0" w:color="auto"/>
              <w:right w:val="single" w:sz="4" w:space="0" w:color="auto"/>
            </w:tcBorders>
            <w:shd w:val="clear" w:color="auto" w:fill="auto"/>
            <w:noWrap/>
            <w:vAlign w:val="center"/>
            <w:hideMark/>
          </w:tcPr>
          <w:p w14:paraId="79CA4B4B"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54.36</w:t>
            </w:r>
          </w:p>
        </w:tc>
        <w:tc>
          <w:tcPr>
            <w:tcW w:w="1985" w:type="dxa"/>
            <w:tcBorders>
              <w:top w:val="nil"/>
              <w:left w:val="nil"/>
              <w:bottom w:val="single" w:sz="4" w:space="0" w:color="auto"/>
              <w:right w:val="single" w:sz="8" w:space="0" w:color="auto"/>
            </w:tcBorders>
            <w:shd w:val="clear" w:color="auto" w:fill="auto"/>
            <w:noWrap/>
            <w:vAlign w:val="center"/>
            <w:hideMark/>
          </w:tcPr>
          <w:p w14:paraId="60B7679E"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33.425</w:t>
            </w:r>
          </w:p>
        </w:tc>
      </w:tr>
      <w:tr w:rsidR="00685EF8" w:rsidRPr="00685EF8" w14:paraId="4B783A76" w14:textId="77777777" w:rsidTr="00685EF8">
        <w:trPr>
          <w:trHeight w:val="286"/>
        </w:trPr>
        <w:tc>
          <w:tcPr>
            <w:tcW w:w="1520" w:type="dxa"/>
            <w:tcBorders>
              <w:top w:val="nil"/>
              <w:left w:val="single" w:sz="8" w:space="0" w:color="auto"/>
              <w:bottom w:val="single" w:sz="4" w:space="0" w:color="auto"/>
              <w:right w:val="single" w:sz="8" w:space="0" w:color="auto"/>
            </w:tcBorders>
            <w:shd w:val="clear" w:color="auto" w:fill="auto"/>
            <w:noWrap/>
            <w:vAlign w:val="center"/>
            <w:hideMark/>
          </w:tcPr>
          <w:p w14:paraId="151F0C70"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1100</w:t>
            </w:r>
          </w:p>
        </w:tc>
        <w:tc>
          <w:tcPr>
            <w:tcW w:w="222" w:type="dxa"/>
            <w:tcBorders>
              <w:top w:val="nil"/>
              <w:left w:val="nil"/>
              <w:bottom w:val="nil"/>
              <w:right w:val="nil"/>
            </w:tcBorders>
            <w:shd w:val="clear" w:color="auto" w:fill="auto"/>
            <w:noWrap/>
            <w:vAlign w:val="bottom"/>
            <w:hideMark/>
          </w:tcPr>
          <w:p w14:paraId="632CD35E"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509" w:type="dxa"/>
            <w:tcBorders>
              <w:top w:val="nil"/>
              <w:left w:val="single" w:sz="8" w:space="0" w:color="auto"/>
              <w:bottom w:val="single" w:sz="4" w:space="0" w:color="auto"/>
              <w:right w:val="single" w:sz="4" w:space="0" w:color="auto"/>
            </w:tcBorders>
            <w:shd w:val="clear" w:color="auto" w:fill="auto"/>
            <w:noWrap/>
            <w:vAlign w:val="center"/>
            <w:hideMark/>
          </w:tcPr>
          <w:p w14:paraId="49B59D35"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42.638</w:t>
            </w:r>
          </w:p>
        </w:tc>
        <w:tc>
          <w:tcPr>
            <w:tcW w:w="2068" w:type="dxa"/>
            <w:tcBorders>
              <w:top w:val="nil"/>
              <w:left w:val="nil"/>
              <w:bottom w:val="single" w:sz="4" w:space="0" w:color="auto"/>
              <w:right w:val="single" w:sz="8" w:space="0" w:color="auto"/>
            </w:tcBorders>
            <w:shd w:val="clear" w:color="auto" w:fill="auto"/>
            <w:noWrap/>
            <w:vAlign w:val="center"/>
            <w:hideMark/>
          </w:tcPr>
          <w:p w14:paraId="575CCED9"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30.1911</w:t>
            </w:r>
          </w:p>
        </w:tc>
        <w:tc>
          <w:tcPr>
            <w:tcW w:w="236" w:type="dxa"/>
            <w:tcBorders>
              <w:top w:val="nil"/>
              <w:left w:val="nil"/>
              <w:bottom w:val="nil"/>
              <w:right w:val="nil"/>
            </w:tcBorders>
            <w:shd w:val="clear" w:color="auto" w:fill="auto"/>
            <w:noWrap/>
            <w:vAlign w:val="bottom"/>
            <w:hideMark/>
          </w:tcPr>
          <w:p w14:paraId="1E783772"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4" w:space="0" w:color="auto"/>
              <w:right w:val="single" w:sz="4" w:space="0" w:color="auto"/>
            </w:tcBorders>
            <w:shd w:val="clear" w:color="auto" w:fill="auto"/>
            <w:noWrap/>
            <w:vAlign w:val="center"/>
            <w:hideMark/>
          </w:tcPr>
          <w:p w14:paraId="04F3D760"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55.333</w:t>
            </w:r>
          </w:p>
        </w:tc>
        <w:tc>
          <w:tcPr>
            <w:tcW w:w="1985" w:type="dxa"/>
            <w:tcBorders>
              <w:top w:val="nil"/>
              <w:left w:val="nil"/>
              <w:bottom w:val="single" w:sz="4" w:space="0" w:color="auto"/>
              <w:right w:val="single" w:sz="8" w:space="0" w:color="auto"/>
            </w:tcBorders>
            <w:shd w:val="clear" w:color="auto" w:fill="auto"/>
            <w:noWrap/>
            <w:vAlign w:val="center"/>
            <w:hideMark/>
          </w:tcPr>
          <w:p w14:paraId="199A31E1"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38.911</w:t>
            </w:r>
          </w:p>
        </w:tc>
      </w:tr>
      <w:tr w:rsidR="00685EF8" w:rsidRPr="00685EF8" w14:paraId="631674F2" w14:textId="77777777" w:rsidTr="00685EF8">
        <w:trPr>
          <w:trHeight w:val="286"/>
        </w:trPr>
        <w:tc>
          <w:tcPr>
            <w:tcW w:w="1520" w:type="dxa"/>
            <w:tcBorders>
              <w:top w:val="nil"/>
              <w:left w:val="single" w:sz="8" w:space="0" w:color="auto"/>
              <w:bottom w:val="single" w:sz="4" w:space="0" w:color="auto"/>
              <w:right w:val="single" w:sz="8" w:space="0" w:color="auto"/>
            </w:tcBorders>
            <w:shd w:val="clear" w:color="auto" w:fill="auto"/>
            <w:noWrap/>
            <w:vAlign w:val="center"/>
            <w:hideMark/>
          </w:tcPr>
          <w:p w14:paraId="5E67A3C5"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1200</w:t>
            </w:r>
          </w:p>
        </w:tc>
        <w:tc>
          <w:tcPr>
            <w:tcW w:w="222" w:type="dxa"/>
            <w:tcBorders>
              <w:top w:val="nil"/>
              <w:left w:val="nil"/>
              <w:bottom w:val="nil"/>
              <w:right w:val="nil"/>
            </w:tcBorders>
            <w:shd w:val="clear" w:color="auto" w:fill="auto"/>
            <w:noWrap/>
            <w:vAlign w:val="bottom"/>
            <w:hideMark/>
          </w:tcPr>
          <w:p w14:paraId="4902B3C7"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509" w:type="dxa"/>
            <w:tcBorders>
              <w:top w:val="nil"/>
              <w:left w:val="single" w:sz="8" w:space="0" w:color="auto"/>
              <w:bottom w:val="single" w:sz="4" w:space="0" w:color="auto"/>
              <w:right w:val="single" w:sz="4" w:space="0" w:color="auto"/>
            </w:tcBorders>
            <w:shd w:val="clear" w:color="auto" w:fill="auto"/>
            <w:noWrap/>
            <w:vAlign w:val="center"/>
            <w:hideMark/>
          </w:tcPr>
          <w:p w14:paraId="07B7B2C3"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43.874</w:t>
            </w:r>
          </w:p>
        </w:tc>
        <w:tc>
          <w:tcPr>
            <w:tcW w:w="2068" w:type="dxa"/>
            <w:tcBorders>
              <w:top w:val="nil"/>
              <w:left w:val="nil"/>
              <w:bottom w:val="single" w:sz="4" w:space="0" w:color="auto"/>
              <w:right w:val="single" w:sz="8" w:space="0" w:color="auto"/>
            </w:tcBorders>
            <w:shd w:val="clear" w:color="auto" w:fill="auto"/>
            <w:noWrap/>
            <w:vAlign w:val="center"/>
            <w:hideMark/>
          </w:tcPr>
          <w:p w14:paraId="2D5191AC"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34.518</w:t>
            </w:r>
          </w:p>
        </w:tc>
        <w:tc>
          <w:tcPr>
            <w:tcW w:w="236" w:type="dxa"/>
            <w:tcBorders>
              <w:top w:val="nil"/>
              <w:left w:val="nil"/>
              <w:bottom w:val="nil"/>
              <w:right w:val="nil"/>
            </w:tcBorders>
            <w:shd w:val="clear" w:color="auto" w:fill="auto"/>
            <w:noWrap/>
            <w:vAlign w:val="bottom"/>
            <w:hideMark/>
          </w:tcPr>
          <w:p w14:paraId="2D4E3B1E"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4" w:space="0" w:color="auto"/>
              <w:right w:val="single" w:sz="4" w:space="0" w:color="auto"/>
            </w:tcBorders>
            <w:shd w:val="clear" w:color="auto" w:fill="auto"/>
            <w:noWrap/>
            <w:vAlign w:val="center"/>
            <w:hideMark/>
          </w:tcPr>
          <w:p w14:paraId="2D3EBA40"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56.205</w:t>
            </w:r>
          </w:p>
        </w:tc>
        <w:tc>
          <w:tcPr>
            <w:tcW w:w="1985" w:type="dxa"/>
            <w:tcBorders>
              <w:top w:val="nil"/>
              <w:left w:val="nil"/>
              <w:bottom w:val="single" w:sz="4" w:space="0" w:color="auto"/>
              <w:right w:val="single" w:sz="8" w:space="0" w:color="auto"/>
            </w:tcBorders>
            <w:shd w:val="clear" w:color="auto" w:fill="auto"/>
            <w:noWrap/>
            <w:vAlign w:val="center"/>
            <w:hideMark/>
          </w:tcPr>
          <w:p w14:paraId="5A7C069C"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44.488</w:t>
            </w:r>
          </w:p>
        </w:tc>
      </w:tr>
      <w:tr w:rsidR="00685EF8" w:rsidRPr="00685EF8" w14:paraId="5CC5B60C" w14:textId="77777777" w:rsidTr="00685EF8">
        <w:trPr>
          <w:trHeight w:val="286"/>
        </w:trPr>
        <w:tc>
          <w:tcPr>
            <w:tcW w:w="1520" w:type="dxa"/>
            <w:tcBorders>
              <w:top w:val="nil"/>
              <w:left w:val="single" w:sz="8" w:space="0" w:color="auto"/>
              <w:bottom w:val="single" w:sz="4" w:space="0" w:color="auto"/>
              <w:right w:val="single" w:sz="8" w:space="0" w:color="auto"/>
            </w:tcBorders>
            <w:shd w:val="clear" w:color="auto" w:fill="auto"/>
            <w:noWrap/>
            <w:vAlign w:val="center"/>
            <w:hideMark/>
          </w:tcPr>
          <w:p w14:paraId="6F9165CA"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1300</w:t>
            </w:r>
          </w:p>
        </w:tc>
        <w:tc>
          <w:tcPr>
            <w:tcW w:w="222" w:type="dxa"/>
            <w:tcBorders>
              <w:top w:val="nil"/>
              <w:left w:val="nil"/>
              <w:bottom w:val="nil"/>
              <w:right w:val="nil"/>
            </w:tcBorders>
            <w:shd w:val="clear" w:color="auto" w:fill="auto"/>
            <w:noWrap/>
            <w:vAlign w:val="bottom"/>
            <w:hideMark/>
          </w:tcPr>
          <w:p w14:paraId="37FAFC95"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509" w:type="dxa"/>
            <w:tcBorders>
              <w:top w:val="nil"/>
              <w:left w:val="single" w:sz="8" w:space="0" w:color="auto"/>
              <w:bottom w:val="single" w:sz="4" w:space="0" w:color="auto"/>
              <w:right w:val="single" w:sz="4" w:space="0" w:color="auto"/>
            </w:tcBorders>
            <w:shd w:val="clear" w:color="auto" w:fill="auto"/>
            <w:noWrap/>
            <w:vAlign w:val="center"/>
            <w:hideMark/>
          </w:tcPr>
          <w:p w14:paraId="32B89FE5"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45.027</w:t>
            </w:r>
          </w:p>
        </w:tc>
        <w:tc>
          <w:tcPr>
            <w:tcW w:w="2068" w:type="dxa"/>
            <w:tcBorders>
              <w:top w:val="nil"/>
              <w:left w:val="nil"/>
              <w:bottom w:val="single" w:sz="4" w:space="0" w:color="auto"/>
              <w:right w:val="single" w:sz="8" w:space="0" w:color="auto"/>
            </w:tcBorders>
            <w:shd w:val="clear" w:color="auto" w:fill="auto"/>
            <w:noWrap/>
            <w:vAlign w:val="center"/>
            <w:hideMark/>
          </w:tcPr>
          <w:p w14:paraId="6FDADDC5"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38.963</w:t>
            </w:r>
          </w:p>
        </w:tc>
        <w:tc>
          <w:tcPr>
            <w:tcW w:w="236" w:type="dxa"/>
            <w:tcBorders>
              <w:top w:val="nil"/>
              <w:left w:val="nil"/>
              <w:bottom w:val="nil"/>
              <w:right w:val="nil"/>
            </w:tcBorders>
            <w:shd w:val="clear" w:color="auto" w:fill="auto"/>
            <w:noWrap/>
            <w:vAlign w:val="bottom"/>
            <w:hideMark/>
          </w:tcPr>
          <w:p w14:paraId="3A7AB6A4"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4" w:space="0" w:color="auto"/>
              <w:right w:val="single" w:sz="4" w:space="0" w:color="auto"/>
            </w:tcBorders>
            <w:shd w:val="clear" w:color="auto" w:fill="auto"/>
            <w:noWrap/>
            <w:vAlign w:val="center"/>
            <w:hideMark/>
          </w:tcPr>
          <w:p w14:paraId="10BD96F6"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56.984</w:t>
            </w:r>
          </w:p>
        </w:tc>
        <w:tc>
          <w:tcPr>
            <w:tcW w:w="1985" w:type="dxa"/>
            <w:tcBorders>
              <w:top w:val="nil"/>
              <w:left w:val="nil"/>
              <w:bottom w:val="single" w:sz="4" w:space="0" w:color="auto"/>
              <w:right w:val="single" w:sz="8" w:space="0" w:color="auto"/>
            </w:tcBorders>
            <w:shd w:val="clear" w:color="auto" w:fill="auto"/>
            <w:noWrap/>
            <w:vAlign w:val="center"/>
            <w:hideMark/>
          </w:tcPr>
          <w:p w14:paraId="545505A0"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50.149</w:t>
            </w:r>
          </w:p>
        </w:tc>
      </w:tr>
      <w:tr w:rsidR="00685EF8" w:rsidRPr="00685EF8" w14:paraId="7F2395AA" w14:textId="77777777" w:rsidTr="00685EF8">
        <w:trPr>
          <w:trHeight w:val="286"/>
        </w:trPr>
        <w:tc>
          <w:tcPr>
            <w:tcW w:w="1520" w:type="dxa"/>
            <w:tcBorders>
              <w:top w:val="nil"/>
              <w:left w:val="single" w:sz="8" w:space="0" w:color="auto"/>
              <w:bottom w:val="single" w:sz="4" w:space="0" w:color="auto"/>
              <w:right w:val="single" w:sz="8" w:space="0" w:color="auto"/>
            </w:tcBorders>
            <w:shd w:val="clear" w:color="auto" w:fill="auto"/>
            <w:noWrap/>
            <w:vAlign w:val="center"/>
            <w:hideMark/>
          </w:tcPr>
          <w:p w14:paraId="27E5CBEB"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1400</w:t>
            </w:r>
          </w:p>
        </w:tc>
        <w:tc>
          <w:tcPr>
            <w:tcW w:w="222" w:type="dxa"/>
            <w:tcBorders>
              <w:top w:val="nil"/>
              <w:left w:val="nil"/>
              <w:bottom w:val="nil"/>
              <w:right w:val="nil"/>
            </w:tcBorders>
            <w:shd w:val="clear" w:color="auto" w:fill="auto"/>
            <w:noWrap/>
            <w:vAlign w:val="bottom"/>
            <w:hideMark/>
          </w:tcPr>
          <w:p w14:paraId="35CCBCE1"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509" w:type="dxa"/>
            <w:tcBorders>
              <w:top w:val="nil"/>
              <w:left w:val="single" w:sz="8" w:space="0" w:color="auto"/>
              <w:bottom w:val="single" w:sz="4" w:space="0" w:color="auto"/>
              <w:right w:val="single" w:sz="4" w:space="0" w:color="auto"/>
            </w:tcBorders>
            <w:shd w:val="clear" w:color="auto" w:fill="auto"/>
            <w:noWrap/>
            <w:vAlign w:val="center"/>
            <w:hideMark/>
          </w:tcPr>
          <w:p w14:paraId="0A76DAA9"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46.102</w:t>
            </w:r>
          </w:p>
        </w:tc>
        <w:tc>
          <w:tcPr>
            <w:tcW w:w="2068" w:type="dxa"/>
            <w:tcBorders>
              <w:top w:val="nil"/>
              <w:left w:val="nil"/>
              <w:bottom w:val="single" w:sz="4" w:space="0" w:color="auto"/>
              <w:right w:val="single" w:sz="8" w:space="0" w:color="auto"/>
            </w:tcBorders>
            <w:shd w:val="clear" w:color="auto" w:fill="auto"/>
            <w:noWrap/>
            <w:vAlign w:val="center"/>
            <w:hideMark/>
          </w:tcPr>
          <w:p w14:paraId="0CAF2D7C"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43.52</w:t>
            </w:r>
          </w:p>
        </w:tc>
        <w:tc>
          <w:tcPr>
            <w:tcW w:w="236" w:type="dxa"/>
            <w:tcBorders>
              <w:top w:val="nil"/>
              <w:left w:val="nil"/>
              <w:bottom w:val="nil"/>
              <w:right w:val="nil"/>
            </w:tcBorders>
            <w:shd w:val="clear" w:color="auto" w:fill="auto"/>
            <w:noWrap/>
            <w:vAlign w:val="bottom"/>
            <w:hideMark/>
          </w:tcPr>
          <w:p w14:paraId="3770A858"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4" w:space="0" w:color="auto"/>
              <w:right w:val="single" w:sz="4" w:space="0" w:color="auto"/>
            </w:tcBorders>
            <w:shd w:val="clear" w:color="auto" w:fill="auto"/>
            <w:noWrap/>
            <w:vAlign w:val="center"/>
            <w:hideMark/>
          </w:tcPr>
          <w:p w14:paraId="77F6F794"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57.677</w:t>
            </w:r>
          </w:p>
        </w:tc>
        <w:tc>
          <w:tcPr>
            <w:tcW w:w="1985" w:type="dxa"/>
            <w:tcBorders>
              <w:top w:val="nil"/>
              <w:left w:val="nil"/>
              <w:bottom w:val="single" w:sz="4" w:space="0" w:color="auto"/>
              <w:right w:val="single" w:sz="8" w:space="0" w:color="auto"/>
            </w:tcBorders>
            <w:shd w:val="clear" w:color="auto" w:fill="auto"/>
            <w:noWrap/>
            <w:vAlign w:val="center"/>
            <w:hideMark/>
          </w:tcPr>
          <w:p w14:paraId="5884F122"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55.882</w:t>
            </w:r>
          </w:p>
        </w:tc>
      </w:tr>
      <w:tr w:rsidR="00685EF8" w:rsidRPr="00685EF8" w14:paraId="6A8D686A" w14:textId="77777777" w:rsidTr="00685EF8">
        <w:trPr>
          <w:trHeight w:val="286"/>
        </w:trPr>
        <w:tc>
          <w:tcPr>
            <w:tcW w:w="1520" w:type="dxa"/>
            <w:tcBorders>
              <w:top w:val="nil"/>
              <w:left w:val="single" w:sz="8" w:space="0" w:color="auto"/>
              <w:bottom w:val="single" w:sz="4" w:space="0" w:color="auto"/>
              <w:right w:val="single" w:sz="8" w:space="0" w:color="auto"/>
            </w:tcBorders>
            <w:shd w:val="clear" w:color="auto" w:fill="auto"/>
            <w:noWrap/>
            <w:vAlign w:val="center"/>
            <w:hideMark/>
          </w:tcPr>
          <w:p w14:paraId="1331A5AE"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1500</w:t>
            </w:r>
          </w:p>
        </w:tc>
        <w:tc>
          <w:tcPr>
            <w:tcW w:w="222" w:type="dxa"/>
            <w:tcBorders>
              <w:top w:val="nil"/>
              <w:left w:val="nil"/>
              <w:bottom w:val="nil"/>
              <w:right w:val="nil"/>
            </w:tcBorders>
            <w:shd w:val="clear" w:color="auto" w:fill="auto"/>
            <w:noWrap/>
            <w:vAlign w:val="bottom"/>
            <w:hideMark/>
          </w:tcPr>
          <w:p w14:paraId="72ADAEB1"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509" w:type="dxa"/>
            <w:tcBorders>
              <w:top w:val="nil"/>
              <w:left w:val="single" w:sz="8" w:space="0" w:color="auto"/>
              <w:bottom w:val="single" w:sz="4" w:space="0" w:color="auto"/>
              <w:right w:val="single" w:sz="4" w:space="0" w:color="auto"/>
            </w:tcBorders>
            <w:shd w:val="clear" w:color="auto" w:fill="auto"/>
            <w:noWrap/>
            <w:vAlign w:val="center"/>
            <w:hideMark/>
          </w:tcPr>
          <w:p w14:paraId="0C13BC22"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47.103</w:t>
            </w:r>
          </w:p>
        </w:tc>
        <w:tc>
          <w:tcPr>
            <w:tcW w:w="2068" w:type="dxa"/>
            <w:tcBorders>
              <w:top w:val="nil"/>
              <w:left w:val="nil"/>
              <w:bottom w:val="single" w:sz="4" w:space="0" w:color="auto"/>
              <w:right w:val="single" w:sz="8" w:space="0" w:color="auto"/>
            </w:tcBorders>
            <w:shd w:val="clear" w:color="auto" w:fill="auto"/>
            <w:noWrap/>
            <w:vAlign w:val="center"/>
            <w:hideMark/>
          </w:tcPr>
          <w:p w14:paraId="6C251354"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48.181</w:t>
            </w:r>
          </w:p>
        </w:tc>
        <w:tc>
          <w:tcPr>
            <w:tcW w:w="236" w:type="dxa"/>
            <w:tcBorders>
              <w:top w:val="nil"/>
              <w:left w:val="nil"/>
              <w:bottom w:val="nil"/>
              <w:right w:val="nil"/>
            </w:tcBorders>
            <w:shd w:val="clear" w:color="auto" w:fill="auto"/>
            <w:noWrap/>
            <w:vAlign w:val="bottom"/>
            <w:hideMark/>
          </w:tcPr>
          <w:p w14:paraId="65637972"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4" w:space="0" w:color="auto"/>
              <w:right w:val="single" w:sz="4" w:space="0" w:color="auto"/>
            </w:tcBorders>
            <w:shd w:val="clear" w:color="auto" w:fill="auto"/>
            <w:noWrap/>
            <w:vAlign w:val="center"/>
            <w:hideMark/>
          </w:tcPr>
          <w:p w14:paraId="3436F50A"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58.292</w:t>
            </w:r>
          </w:p>
        </w:tc>
        <w:tc>
          <w:tcPr>
            <w:tcW w:w="1985" w:type="dxa"/>
            <w:tcBorders>
              <w:top w:val="nil"/>
              <w:left w:val="nil"/>
              <w:bottom w:val="single" w:sz="4" w:space="0" w:color="auto"/>
              <w:right w:val="single" w:sz="8" w:space="0" w:color="auto"/>
            </w:tcBorders>
            <w:shd w:val="clear" w:color="auto" w:fill="auto"/>
            <w:noWrap/>
            <w:vAlign w:val="center"/>
            <w:hideMark/>
          </w:tcPr>
          <w:p w14:paraId="3B634651"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61.681</w:t>
            </w:r>
          </w:p>
        </w:tc>
      </w:tr>
      <w:tr w:rsidR="00685EF8" w:rsidRPr="00685EF8" w14:paraId="590DE432" w14:textId="77777777" w:rsidTr="00685EF8">
        <w:trPr>
          <w:trHeight w:val="286"/>
        </w:trPr>
        <w:tc>
          <w:tcPr>
            <w:tcW w:w="1520" w:type="dxa"/>
            <w:tcBorders>
              <w:top w:val="nil"/>
              <w:left w:val="single" w:sz="8" w:space="0" w:color="auto"/>
              <w:bottom w:val="single" w:sz="4" w:space="0" w:color="auto"/>
              <w:right w:val="single" w:sz="8" w:space="0" w:color="auto"/>
            </w:tcBorders>
            <w:shd w:val="clear" w:color="auto" w:fill="auto"/>
            <w:noWrap/>
            <w:vAlign w:val="center"/>
            <w:hideMark/>
          </w:tcPr>
          <w:p w14:paraId="4DEBA64A"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1600</w:t>
            </w:r>
          </w:p>
        </w:tc>
        <w:tc>
          <w:tcPr>
            <w:tcW w:w="222" w:type="dxa"/>
            <w:tcBorders>
              <w:top w:val="nil"/>
              <w:left w:val="nil"/>
              <w:bottom w:val="nil"/>
              <w:right w:val="nil"/>
            </w:tcBorders>
            <w:shd w:val="clear" w:color="auto" w:fill="auto"/>
            <w:noWrap/>
            <w:vAlign w:val="bottom"/>
            <w:hideMark/>
          </w:tcPr>
          <w:p w14:paraId="6457416B"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509" w:type="dxa"/>
            <w:tcBorders>
              <w:top w:val="nil"/>
              <w:left w:val="single" w:sz="8" w:space="0" w:color="auto"/>
              <w:bottom w:val="single" w:sz="4" w:space="0" w:color="auto"/>
              <w:right w:val="single" w:sz="4" w:space="0" w:color="auto"/>
            </w:tcBorders>
            <w:shd w:val="clear" w:color="auto" w:fill="auto"/>
            <w:noWrap/>
            <w:vAlign w:val="center"/>
            <w:hideMark/>
          </w:tcPr>
          <w:p w14:paraId="02758C3A"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48.035</w:t>
            </w:r>
          </w:p>
        </w:tc>
        <w:tc>
          <w:tcPr>
            <w:tcW w:w="2068" w:type="dxa"/>
            <w:tcBorders>
              <w:top w:val="nil"/>
              <w:left w:val="nil"/>
              <w:bottom w:val="single" w:sz="4" w:space="0" w:color="auto"/>
              <w:right w:val="single" w:sz="8" w:space="0" w:color="auto"/>
            </w:tcBorders>
            <w:shd w:val="clear" w:color="auto" w:fill="auto"/>
            <w:noWrap/>
            <w:vAlign w:val="center"/>
            <w:hideMark/>
          </w:tcPr>
          <w:p w14:paraId="72914530"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52.939</w:t>
            </w:r>
          </w:p>
        </w:tc>
        <w:tc>
          <w:tcPr>
            <w:tcW w:w="236" w:type="dxa"/>
            <w:tcBorders>
              <w:top w:val="nil"/>
              <w:left w:val="nil"/>
              <w:bottom w:val="nil"/>
              <w:right w:val="nil"/>
            </w:tcBorders>
            <w:shd w:val="clear" w:color="auto" w:fill="auto"/>
            <w:noWrap/>
            <w:vAlign w:val="bottom"/>
            <w:hideMark/>
          </w:tcPr>
          <w:p w14:paraId="4A184484"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4" w:space="0" w:color="auto"/>
              <w:right w:val="single" w:sz="4" w:space="0" w:color="auto"/>
            </w:tcBorders>
            <w:shd w:val="clear" w:color="auto" w:fill="auto"/>
            <w:noWrap/>
            <w:vAlign w:val="center"/>
            <w:hideMark/>
          </w:tcPr>
          <w:p w14:paraId="20095319"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58.836</w:t>
            </w:r>
          </w:p>
        </w:tc>
        <w:tc>
          <w:tcPr>
            <w:tcW w:w="1985" w:type="dxa"/>
            <w:tcBorders>
              <w:top w:val="nil"/>
              <w:left w:val="nil"/>
              <w:bottom w:val="single" w:sz="4" w:space="0" w:color="auto"/>
              <w:right w:val="single" w:sz="8" w:space="0" w:color="auto"/>
            </w:tcBorders>
            <w:shd w:val="clear" w:color="auto" w:fill="auto"/>
            <w:noWrap/>
            <w:vAlign w:val="center"/>
            <w:hideMark/>
          </w:tcPr>
          <w:p w14:paraId="20C5A313"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67.538</w:t>
            </w:r>
          </w:p>
        </w:tc>
      </w:tr>
      <w:tr w:rsidR="00685EF8" w:rsidRPr="00685EF8" w14:paraId="6736A806" w14:textId="77777777" w:rsidTr="00685EF8">
        <w:trPr>
          <w:trHeight w:val="286"/>
        </w:trPr>
        <w:tc>
          <w:tcPr>
            <w:tcW w:w="1520" w:type="dxa"/>
            <w:tcBorders>
              <w:top w:val="nil"/>
              <w:left w:val="single" w:sz="8" w:space="0" w:color="auto"/>
              <w:bottom w:val="single" w:sz="4" w:space="0" w:color="auto"/>
              <w:right w:val="single" w:sz="8" w:space="0" w:color="auto"/>
            </w:tcBorders>
            <w:shd w:val="clear" w:color="auto" w:fill="auto"/>
            <w:noWrap/>
            <w:vAlign w:val="center"/>
            <w:hideMark/>
          </w:tcPr>
          <w:p w14:paraId="04F83945"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1700</w:t>
            </w:r>
          </w:p>
        </w:tc>
        <w:tc>
          <w:tcPr>
            <w:tcW w:w="222" w:type="dxa"/>
            <w:tcBorders>
              <w:top w:val="nil"/>
              <w:left w:val="nil"/>
              <w:bottom w:val="nil"/>
              <w:right w:val="nil"/>
            </w:tcBorders>
            <w:shd w:val="clear" w:color="auto" w:fill="auto"/>
            <w:noWrap/>
            <w:vAlign w:val="bottom"/>
            <w:hideMark/>
          </w:tcPr>
          <w:p w14:paraId="41B9BD25"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509" w:type="dxa"/>
            <w:tcBorders>
              <w:top w:val="nil"/>
              <w:left w:val="single" w:sz="8" w:space="0" w:color="auto"/>
              <w:bottom w:val="single" w:sz="4" w:space="0" w:color="auto"/>
              <w:right w:val="single" w:sz="4" w:space="0" w:color="auto"/>
            </w:tcBorders>
            <w:shd w:val="clear" w:color="auto" w:fill="auto"/>
            <w:noWrap/>
            <w:vAlign w:val="center"/>
            <w:hideMark/>
          </w:tcPr>
          <w:p w14:paraId="0D9A0D4F"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48.901</w:t>
            </w:r>
          </w:p>
        </w:tc>
        <w:tc>
          <w:tcPr>
            <w:tcW w:w="2068" w:type="dxa"/>
            <w:tcBorders>
              <w:top w:val="nil"/>
              <w:left w:val="nil"/>
              <w:bottom w:val="single" w:sz="4" w:space="0" w:color="auto"/>
              <w:right w:val="single" w:sz="8" w:space="0" w:color="auto"/>
            </w:tcBorders>
            <w:shd w:val="clear" w:color="auto" w:fill="auto"/>
            <w:noWrap/>
            <w:vAlign w:val="center"/>
            <w:hideMark/>
          </w:tcPr>
          <w:p w14:paraId="69FD5382"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57.786</w:t>
            </w:r>
          </w:p>
        </w:tc>
        <w:tc>
          <w:tcPr>
            <w:tcW w:w="236" w:type="dxa"/>
            <w:tcBorders>
              <w:top w:val="nil"/>
              <w:left w:val="nil"/>
              <w:bottom w:val="nil"/>
              <w:right w:val="nil"/>
            </w:tcBorders>
            <w:shd w:val="clear" w:color="auto" w:fill="auto"/>
            <w:noWrap/>
            <w:vAlign w:val="bottom"/>
            <w:hideMark/>
          </w:tcPr>
          <w:p w14:paraId="36798AD4"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4" w:space="0" w:color="auto"/>
              <w:right w:val="single" w:sz="4" w:space="0" w:color="auto"/>
            </w:tcBorders>
            <w:shd w:val="clear" w:color="auto" w:fill="auto"/>
            <w:noWrap/>
            <w:vAlign w:val="center"/>
            <w:hideMark/>
          </w:tcPr>
          <w:p w14:paraId="6FCFB05E"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59.316</w:t>
            </w:r>
          </w:p>
        </w:tc>
        <w:tc>
          <w:tcPr>
            <w:tcW w:w="1985" w:type="dxa"/>
            <w:tcBorders>
              <w:top w:val="nil"/>
              <w:left w:val="nil"/>
              <w:bottom w:val="single" w:sz="4" w:space="0" w:color="auto"/>
              <w:right w:val="single" w:sz="8" w:space="0" w:color="auto"/>
            </w:tcBorders>
            <w:shd w:val="clear" w:color="auto" w:fill="auto"/>
            <w:noWrap/>
            <w:vAlign w:val="center"/>
            <w:hideMark/>
          </w:tcPr>
          <w:p w14:paraId="0DADFFAF"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73.446</w:t>
            </w:r>
          </w:p>
        </w:tc>
      </w:tr>
      <w:tr w:rsidR="00685EF8" w:rsidRPr="00685EF8" w14:paraId="7FD6E41B" w14:textId="77777777" w:rsidTr="00685EF8">
        <w:trPr>
          <w:trHeight w:val="286"/>
        </w:trPr>
        <w:tc>
          <w:tcPr>
            <w:tcW w:w="1520" w:type="dxa"/>
            <w:tcBorders>
              <w:top w:val="nil"/>
              <w:left w:val="single" w:sz="8" w:space="0" w:color="auto"/>
              <w:bottom w:val="single" w:sz="4" w:space="0" w:color="auto"/>
              <w:right w:val="single" w:sz="8" w:space="0" w:color="auto"/>
            </w:tcBorders>
            <w:shd w:val="clear" w:color="auto" w:fill="auto"/>
            <w:noWrap/>
            <w:vAlign w:val="center"/>
            <w:hideMark/>
          </w:tcPr>
          <w:p w14:paraId="36D8EB03"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1800</w:t>
            </w:r>
          </w:p>
        </w:tc>
        <w:tc>
          <w:tcPr>
            <w:tcW w:w="222" w:type="dxa"/>
            <w:tcBorders>
              <w:top w:val="nil"/>
              <w:left w:val="nil"/>
              <w:bottom w:val="nil"/>
              <w:right w:val="nil"/>
            </w:tcBorders>
            <w:shd w:val="clear" w:color="auto" w:fill="auto"/>
            <w:noWrap/>
            <w:vAlign w:val="bottom"/>
            <w:hideMark/>
          </w:tcPr>
          <w:p w14:paraId="3ABC9D18"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509" w:type="dxa"/>
            <w:tcBorders>
              <w:top w:val="nil"/>
              <w:left w:val="single" w:sz="8" w:space="0" w:color="auto"/>
              <w:bottom w:val="single" w:sz="4" w:space="0" w:color="auto"/>
              <w:right w:val="single" w:sz="4" w:space="0" w:color="auto"/>
            </w:tcBorders>
            <w:shd w:val="clear" w:color="auto" w:fill="auto"/>
            <w:noWrap/>
            <w:vAlign w:val="center"/>
            <w:hideMark/>
          </w:tcPr>
          <w:p w14:paraId="70E374BD"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49.705</w:t>
            </w:r>
          </w:p>
        </w:tc>
        <w:tc>
          <w:tcPr>
            <w:tcW w:w="2068" w:type="dxa"/>
            <w:tcBorders>
              <w:top w:val="nil"/>
              <w:left w:val="nil"/>
              <w:bottom w:val="single" w:sz="4" w:space="0" w:color="auto"/>
              <w:right w:val="single" w:sz="8" w:space="0" w:color="auto"/>
            </w:tcBorders>
            <w:shd w:val="clear" w:color="auto" w:fill="auto"/>
            <w:noWrap/>
            <w:vAlign w:val="center"/>
            <w:hideMark/>
          </w:tcPr>
          <w:p w14:paraId="61025A63"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62.717</w:t>
            </w:r>
          </w:p>
        </w:tc>
        <w:tc>
          <w:tcPr>
            <w:tcW w:w="236" w:type="dxa"/>
            <w:tcBorders>
              <w:top w:val="nil"/>
              <w:left w:val="nil"/>
              <w:bottom w:val="nil"/>
              <w:right w:val="nil"/>
            </w:tcBorders>
            <w:shd w:val="clear" w:color="auto" w:fill="auto"/>
            <w:noWrap/>
            <w:vAlign w:val="bottom"/>
            <w:hideMark/>
          </w:tcPr>
          <w:p w14:paraId="32527F2D"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4" w:space="0" w:color="auto"/>
              <w:right w:val="single" w:sz="4" w:space="0" w:color="auto"/>
            </w:tcBorders>
            <w:shd w:val="clear" w:color="auto" w:fill="auto"/>
            <w:noWrap/>
            <w:vAlign w:val="center"/>
            <w:hideMark/>
          </w:tcPr>
          <w:p w14:paraId="21E5BAD0"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59.738</w:t>
            </w:r>
          </w:p>
        </w:tc>
        <w:tc>
          <w:tcPr>
            <w:tcW w:w="1985" w:type="dxa"/>
            <w:tcBorders>
              <w:top w:val="nil"/>
              <w:left w:val="nil"/>
              <w:bottom w:val="single" w:sz="4" w:space="0" w:color="auto"/>
              <w:right w:val="single" w:sz="8" w:space="0" w:color="auto"/>
            </w:tcBorders>
            <w:shd w:val="clear" w:color="auto" w:fill="auto"/>
            <w:noWrap/>
            <w:vAlign w:val="center"/>
            <w:hideMark/>
          </w:tcPr>
          <w:p w14:paraId="053C92C3"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79.399</w:t>
            </w:r>
          </w:p>
        </w:tc>
      </w:tr>
      <w:tr w:rsidR="00685EF8" w:rsidRPr="00685EF8" w14:paraId="4F1E87F6" w14:textId="77777777" w:rsidTr="00685EF8">
        <w:trPr>
          <w:trHeight w:val="286"/>
        </w:trPr>
        <w:tc>
          <w:tcPr>
            <w:tcW w:w="1520" w:type="dxa"/>
            <w:tcBorders>
              <w:top w:val="nil"/>
              <w:left w:val="single" w:sz="8" w:space="0" w:color="auto"/>
              <w:bottom w:val="single" w:sz="4" w:space="0" w:color="auto"/>
              <w:right w:val="single" w:sz="8" w:space="0" w:color="auto"/>
            </w:tcBorders>
            <w:shd w:val="clear" w:color="auto" w:fill="auto"/>
            <w:noWrap/>
            <w:vAlign w:val="center"/>
            <w:hideMark/>
          </w:tcPr>
          <w:p w14:paraId="71F9D285"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1900</w:t>
            </w:r>
          </w:p>
        </w:tc>
        <w:tc>
          <w:tcPr>
            <w:tcW w:w="222" w:type="dxa"/>
            <w:tcBorders>
              <w:top w:val="nil"/>
              <w:left w:val="nil"/>
              <w:bottom w:val="nil"/>
              <w:right w:val="nil"/>
            </w:tcBorders>
            <w:shd w:val="clear" w:color="auto" w:fill="auto"/>
            <w:noWrap/>
            <w:vAlign w:val="bottom"/>
            <w:hideMark/>
          </w:tcPr>
          <w:p w14:paraId="180E3C1E"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509" w:type="dxa"/>
            <w:tcBorders>
              <w:top w:val="nil"/>
              <w:left w:val="single" w:sz="8" w:space="0" w:color="auto"/>
              <w:bottom w:val="single" w:sz="4" w:space="0" w:color="auto"/>
              <w:right w:val="single" w:sz="4" w:space="0" w:color="auto"/>
            </w:tcBorders>
            <w:shd w:val="clear" w:color="auto" w:fill="auto"/>
            <w:noWrap/>
            <w:vAlign w:val="center"/>
            <w:hideMark/>
          </w:tcPr>
          <w:p w14:paraId="752511DA"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50.451</w:t>
            </w:r>
          </w:p>
        </w:tc>
        <w:tc>
          <w:tcPr>
            <w:tcW w:w="2068" w:type="dxa"/>
            <w:tcBorders>
              <w:top w:val="nil"/>
              <w:left w:val="nil"/>
              <w:bottom w:val="single" w:sz="4" w:space="0" w:color="auto"/>
              <w:right w:val="single" w:sz="8" w:space="0" w:color="auto"/>
            </w:tcBorders>
            <w:shd w:val="clear" w:color="auto" w:fill="auto"/>
            <w:noWrap/>
            <w:vAlign w:val="center"/>
            <w:hideMark/>
          </w:tcPr>
          <w:p w14:paraId="2A2AD8EC"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67.725</w:t>
            </w:r>
          </w:p>
        </w:tc>
        <w:tc>
          <w:tcPr>
            <w:tcW w:w="236" w:type="dxa"/>
            <w:tcBorders>
              <w:top w:val="nil"/>
              <w:left w:val="nil"/>
              <w:bottom w:val="nil"/>
              <w:right w:val="nil"/>
            </w:tcBorders>
            <w:shd w:val="clear" w:color="auto" w:fill="auto"/>
            <w:noWrap/>
            <w:vAlign w:val="bottom"/>
            <w:hideMark/>
          </w:tcPr>
          <w:p w14:paraId="48D0B1F9"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4" w:space="0" w:color="auto"/>
              <w:right w:val="single" w:sz="4" w:space="0" w:color="auto"/>
            </w:tcBorders>
            <w:shd w:val="clear" w:color="auto" w:fill="auto"/>
            <w:noWrap/>
            <w:vAlign w:val="center"/>
            <w:hideMark/>
          </w:tcPr>
          <w:p w14:paraId="094867F0"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60.108</w:t>
            </w:r>
          </w:p>
        </w:tc>
        <w:tc>
          <w:tcPr>
            <w:tcW w:w="1985" w:type="dxa"/>
            <w:tcBorders>
              <w:top w:val="nil"/>
              <w:left w:val="nil"/>
              <w:bottom w:val="single" w:sz="4" w:space="0" w:color="auto"/>
              <w:right w:val="single" w:sz="8" w:space="0" w:color="auto"/>
            </w:tcBorders>
            <w:shd w:val="clear" w:color="auto" w:fill="auto"/>
            <w:noWrap/>
            <w:vAlign w:val="center"/>
            <w:hideMark/>
          </w:tcPr>
          <w:p w14:paraId="39C82ACB"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85.392</w:t>
            </w:r>
          </w:p>
        </w:tc>
      </w:tr>
      <w:tr w:rsidR="00685EF8" w:rsidRPr="00685EF8" w14:paraId="27E180A4" w14:textId="77777777" w:rsidTr="00685EF8">
        <w:trPr>
          <w:trHeight w:val="286"/>
        </w:trPr>
        <w:tc>
          <w:tcPr>
            <w:tcW w:w="1520" w:type="dxa"/>
            <w:tcBorders>
              <w:top w:val="nil"/>
              <w:left w:val="single" w:sz="8" w:space="0" w:color="auto"/>
              <w:bottom w:val="single" w:sz="4" w:space="0" w:color="auto"/>
              <w:right w:val="single" w:sz="8" w:space="0" w:color="auto"/>
            </w:tcBorders>
            <w:shd w:val="clear" w:color="auto" w:fill="auto"/>
            <w:noWrap/>
            <w:vAlign w:val="center"/>
            <w:hideMark/>
          </w:tcPr>
          <w:p w14:paraId="6152B684"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2000</w:t>
            </w:r>
          </w:p>
        </w:tc>
        <w:tc>
          <w:tcPr>
            <w:tcW w:w="222" w:type="dxa"/>
            <w:tcBorders>
              <w:top w:val="nil"/>
              <w:left w:val="nil"/>
              <w:bottom w:val="nil"/>
              <w:right w:val="nil"/>
            </w:tcBorders>
            <w:shd w:val="clear" w:color="auto" w:fill="auto"/>
            <w:noWrap/>
            <w:vAlign w:val="bottom"/>
            <w:hideMark/>
          </w:tcPr>
          <w:p w14:paraId="3D30D11A"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509" w:type="dxa"/>
            <w:tcBorders>
              <w:top w:val="nil"/>
              <w:left w:val="single" w:sz="8" w:space="0" w:color="auto"/>
              <w:bottom w:val="single" w:sz="4" w:space="0" w:color="auto"/>
              <w:right w:val="single" w:sz="4" w:space="0" w:color="auto"/>
            </w:tcBorders>
            <w:shd w:val="clear" w:color="auto" w:fill="auto"/>
            <w:noWrap/>
            <w:vAlign w:val="center"/>
            <w:hideMark/>
          </w:tcPr>
          <w:p w14:paraId="14D2A28C"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51.143</w:t>
            </w:r>
          </w:p>
        </w:tc>
        <w:tc>
          <w:tcPr>
            <w:tcW w:w="2068" w:type="dxa"/>
            <w:tcBorders>
              <w:top w:val="nil"/>
              <w:left w:val="nil"/>
              <w:bottom w:val="single" w:sz="4" w:space="0" w:color="auto"/>
              <w:right w:val="single" w:sz="8" w:space="0" w:color="auto"/>
            </w:tcBorders>
            <w:shd w:val="clear" w:color="auto" w:fill="auto"/>
            <w:noWrap/>
            <w:vAlign w:val="center"/>
            <w:hideMark/>
          </w:tcPr>
          <w:p w14:paraId="6FB28F00"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72.805</w:t>
            </w:r>
          </w:p>
        </w:tc>
        <w:tc>
          <w:tcPr>
            <w:tcW w:w="236" w:type="dxa"/>
            <w:tcBorders>
              <w:top w:val="nil"/>
              <w:left w:val="nil"/>
              <w:bottom w:val="nil"/>
              <w:right w:val="nil"/>
            </w:tcBorders>
            <w:shd w:val="clear" w:color="auto" w:fill="auto"/>
            <w:noWrap/>
            <w:vAlign w:val="bottom"/>
            <w:hideMark/>
          </w:tcPr>
          <w:p w14:paraId="3024F168"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4" w:space="0" w:color="auto"/>
              <w:right w:val="single" w:sz="4" w:space="0" w:color="auto"/>
            </w:tcBorders>
            <w:shd w:val="clear" w:color="auto" w:fill="auto"/>
            <w:noWrap/>
            <w:vAlign w:val="center"/>
            <w:hideMark/>
          </w:tcPr>
          <w:p w14:paraId="144DE6BF"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60.433</w:t>
            </w:r>
          </w:p>
        </w:tc>
        <w:tc>
          <w:tcPr>
            <w:tcW w:w="1985" w:type="dxa"/>
            <w:tcBorders>
              <w:top w:val="nil"/>
              <w:left w:val="nil"/>
              <w:bottom w:val="single" w:sz="4" w:space="0" w:color="auto"/>
              <w:right w:val="single" w:sz="8" w:space="0" w:color="auto"/>
            </w:tcBorders>
            <w:shd w:val="clear" w:color="auto" w:fill="auto"/>
            <w:noWrap/>
            <w:vAlign w:val="center"/>
            <w:hideMark/>
          </w:tcPr>
          <w:p w14:paraId="0B99D733"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91.42</w:t>
            </w:r>
          </w:p>
        </w:tc>
      </w:tr>
      <w:tr w:rsidR="00685EF8" w:rsidRPr="00685EF8" w14:paraId="2B8D9F76" w14:textId="77777777" w:rsidTr="00685EF8">
        <w:trPr>
          <w:trHeight w:val="286"/>
        </w:trPr>
        <w:tc>
          <w:tcPr>
            <w:tcW w:w="1520" w:type="dxa"/>
            <w:tcBorders>
              <w:top w:val="nil"/>
              <w:left w:val="single" w:sz="8" w:space="0" w:color="auto"/>
              <w:bottom w:val="single" w:sz="4" w:space="0" w:color="auto"/>
              <w:right w:val="single" w:sz="8" w:space="0" w:color="auto"/>
            </w:tcBorders>
            <w:shd w:val="clear" w:color="auto" w:fill="auto"/>
            <w:noWrap/>
            <w:vAlign w:val="center"/>
            <w:hideMark/>
          </w:tcPr>
          <w:p w14:paraId="1110E780"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2100</w:t>
            </w:r>
          </w:p>
        </w:tc>
        <w:tc>
          <w:tcPr>
            <w:tcW w:w="222" w:type="dxa"/>
            <w:tcBorders>
              <w:top w:val="nil"/>
              <w:left w:val="nil"/>
              <w:bottom w:val="nil"/>
              <w:right w:val="nil"/>
            </w:tcBorders>
            <w:shd w:val="clear" w:color="auto" w:fill="auto"/>
            <w:noWrap/>
            <w:vAlign w:val="bottom"/>
            <w:hideMark/>
          </w:tcPr>
          <w:p w14:paraId="508DDDC2"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509" w:type="dxa"/>
            <w:tcBorders>
              <w:top w:val="nil"/>
              <w:left w:val="single" w:sz="8" w:space="0" w:color="auto"/>
              <w:bottom w:val="single" w:sz="4" w:space="0" w:color="auto"/>
              <w:right w:val="single" w:sz="4" w:space="0" w:color="auto"/>
            </w:tcBorders>
            <w:shd w:val="clear" w:color="auto" w:fill="auto"/>
            <w:noWrap/>
            <w:vAlign w:val="center"/>
            <w:hideMark/>
          </w:tcPr>
          <w:p w14:paraId="6D814785"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51.784</w:t>
            </w:r>
          </w:p>
        </w:tc>
        <w:tc>
          <w:tcPr>
            <w:tcW w:w="2068" w:type="dxa"/>
            <w:tcBorders>
              <w:top w:val="nil"/>
              <w:left w:val="nil"/>
              <w:bottom w:val="single" w:sz="4" w:space="0" w:color="auto"/>
              <w:right w:val="single" w:sz="8" w:space="0" w:color="auto"/>
            </w:tcBorders>
            <w:shd w:val="clear" w:color="auto" w:fill="auto"/>
            <w:noWrap/>
            <w:vAlign w:val="center"/>
            <w:hideMark/>
          </w:tcPr>
          <w:p w14:paraId="13A1B6AD"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77.952</w:t>
            </w:r>
          </w:p>
        </w:tc>
        <w:tc>
          <w:tcPr>
            <w:tcW w:w="236" w:type="dxa"/>
            <w:tcBorders>
              <w:top w:val="nil"/>
              <w:left w:val="nil"/>
              <w:bottom w:val="nil"/>
              <w:right w:val="nil"/>
            </w:tcBorders>
            <w:shd w:val="clear" w:color="auto" w:fill="auto"/>
            <w:noWrap/>
            <w:vAlign w:val="bottom"/>
            <w:hideMark/>
          </w:tcPr>
          <w:p w14:paraId="3DE9B9FA"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4" w:space="0" w:color="auto"/>
              <w:right w:val="single" w:sz="4" w:space="0" w:color="auto"/>
            </w:tcBorders>
            <w:shd w:val="clear" w:color="auto" w:fill="auto"/>
            <w:noWrap/>
            <w:vAlign w:val="center"/>
            <w:hideMark/>
          </w:tcPr>
          <w:p w14:paraId="4A908F53"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60.717</w:t>
            </w:r>
          </w:p>
        </w:tc>
        <w:tc>
          <w:tcPr>
            <w:tcW w:w="1985" w:type="dxa"/>
            <w:tcBorders>
              <w:top w:val="nil"/>
              <w:left w:val="nil"/>
              <w:bottom w:val="single" w:sz="4" w:space="0" w:color="auto"/>
              <w:right w:val="single" w:sz="8" w:space="0" w:color="auto"/>
            </w:tcBorders>
            <w:shd w:val="clear" w:color="auto" w:fill="auto"/>
            <w:noWrap/>
            <w:vAlign w:val="center"/>
            <w:hideMark/>
          </w:tcPr>
          <w:p w14:paraId="26D74563"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97.477</w:t>
            </w:r>
          </w:p>
        </w:tc>
      </w:tr>
      <w:tr w:rsidR="00685EF8" w:rsidRPr="00685EF8" w14:paraId="1073DA65" w14:textId="77777777" w:rsidTr="00685EF8">
        <w:trPr>
          <w:trHeight w:val="286"/>
        </w:trPr>
        <w:tc>
          <w:tcPr>
            <w:tcW w:w="1520" w:type="dxa"/>
            <w:tcBorders>
              <w:top w:val="nil"/>
              <w:left w:val="single" w:sz="8" w:space="0" w:color="auto"/>
              <w:bottom w:val="single" w:sz="4" w:space="0" w:color="auto"/>
              <w:right w:val="single" w:sz="8" w:space="0" w:color="auto"/>
            </w:tcBorders>
            <w:shd w:val="clear" w:color="auto" w:fill="auto"/>
            <w:noWrap/>
            <w:vAlign w:val="center"/>
            <w:hideMark/>
          </w:tcPr>
          <w:p w14:paraId="732B4A0E"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2200</w:t>
            </w:r>
          </w:p>
        </w:tc>
        <w:tc>
          <w:tcPr>
            <w:tcW w:w="222" w:type="dxa"/>
            <w:tcBorders>
              <w:top w:val="nil"/>
              <w:left w:val="nil"/>
              <w:bottom w:val="nil"/>
              <w:right w:val="nil"/>
            </w:tcBorders>
            <w:shd w:val="clear" w:color="auto" w:fill="auto"/>
            <w:noWrap/>
            <w:vAlign w:val="bottom"/>
            <w:hideMark/>
          </w:tcPr>
          <w:p w14:paraId="5EC4F345"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509" w:type="dxa"/>
            <w:tcBorders>
              <w:top w:val="nil"/>
              <w:left w:val="single" w:sz="8" w:space="0" w:color="auto"/>
              <w:bottom w:val="single" w:sz="4" w:space="0" w:color="auto"/>
              <w:right w:val="single" w:sz="4" w:space="0" w:color="auto"/>
            </w:tcBorders>
            <w:shd w:val="clear" w:color="auto" w:fill="auto"/>
            <w:noWrap/>
            <w:vAlign w:val="center"/>
            <w:hideMark/>
          </w:tcPr>
          <w:p w14:paraId="44B58564"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52.378</w:t>
            </w:r>
          </w:p>
        </w:tc>
        <w:tc>
          <w:tcPr>
            <w:tcW w:w="2068" w:type="dxa"/>
            <w:tcBorders>
              <w:top w:val="nil"/>
              <w:left w:val="nil"/>
              <w:bottom w:val="single" w:sz="4" w:space="0" w:color="auto"/>
              <w:right w:val="single" w:sz="8" w:space="0" w:color="auto"/>
            </w:tcBorders>
            <w:shd w:val="clear" w:color="auto" w:fill="auto"/>
            <w:noWrap/>
            <w:vAlign w:val="center"/>
            <w:hideMark/>
          </w:tcPr>
          <w:p w14:paraId="02CB39AE"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83.16</w:t>
            </w:r>
          </w:p>
        </w:tc>
        <w:tc>
          <w:tcPr>
            <w:tcW w:w="236" w:type="dxa"/>
            <w:tcBorders>
              <w:top w:val="nil"/>
              <w:left w:val="nil"/>
              <w:bottom w:val="nil"/>
              <w:right w:val="nil"/>
            </w:tcBorders>
            <w:shd w:val="clear" w:color="auto" w:fill="auto"/>
            <w:noWrap/>
            <w:vAlign w:val="bottom"/>
            <w:hideMark/>
          </w:tcPr>
          <w:p w14:paraId="49706E59"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4" w:space="0" w:color="auto"/>
              <w:right w:val="single" w:sz="4" w:space="0" w:color="auto"/>
            </w:tcBorders>
            <w:shd w:val="clear" w:color="auto" w:fill="auto"/>
            <w:noWrap/>
            <w:vAlign w:val="center"/>
            <w:hideMark/>
          </w:tcPr>
          <w:p w14:paraId="794637A1"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60.966</w:t>
            </w:r>
          </w:p>
        </w:tc>
        <w:tc>
          <w:tcPr>
            <w:tcW w:w="1985" w:type="dxa"/>
            <w:tcBorders>
              <w:top w:val="nil"/>
              <w:left w:val="nil"/>
              <w:bottom w:val="single" w:sz="4" w:space="0" w:color="auto"/>
              <w:right w:val="single" w:sz="8" w:space="0" w:color="auto"/>
            </w:tcBorders>
            <w:shd w:val="clear" w:color="auto" w:fill="auto"/>
            <w:noWrap/>
            <w:vAlign w:val="center"/>
            <w:hideMark/>
          </w:tcPr>
          <w:p w14:paraId="15D11087"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103.562</w:t>
            </w:r>
          </w:p>
        </w:tc>
      </w:tr>
      <w:tr w:rsidR="00685EF8" w:rsidRPr="00685EF8" w14:paraId="2DD0BADD" w14:textId="77777777" w:rsidTr="00685EF8">
        <w:trPr>
          <w:trHeight w:val="286"/>
        </w:trPr>
        <w:tc>
          <w:tcPr>
            <w:tcW w:w="1520" w:type="dxa"/>
            <w:tcBorders>
              <w:top w:val="nil"/>
              <w:left w:val="single" w:sz="8" w:space="0" w:color="auto"/>
              <w:bottom w:val="single" w:sz="4" w:space="0" w:color="auto"/>
              <w:right w:val="single" w:sz="8" w:space="0" w:color="auto"/>
            </w:tcBorders>
            <w:shd w:val="clear" w:color="auto" w:fill="auto"/>
            <w:noWrap/>
            <w:vAlign w:val="center"/>
            <w:hideMark/>
          </w:tcPr>
          <w:p w14:paraId="478E15E1"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2300</w:t>
            </w:r>
          </w:p>
        </w:tc>
        <w:tc>
          <w:tcPr>
            <w:tcW w:w="222" w:type="dxa"/>
            <w:tcBorders>
              <w:top w:val="nil"/>
              <w:left w:val="nil"/>
              <w:bottom w:val="nil"/>
              <w:right w:val="nil"/>
            </w:tcBorders>
            <w:shd w:val="clear" w:color="auto" w:fill="auto"/>
            <w:noWrap/>
            <w:vAlign w:val="bottom"/>
            <w:hideMark/>
          </w:tcPr>
          <w:p w14:paraId="30EA33A1"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509" w:type="dxa"/>
            <w:tcBorders>
              <w:top w:val="nil"/>
              <w:left w:val="single" w:sz="8" w:space="0" w:color="auto"/>
              <w:bottom w:val="single" w:sz="4" w:space="0" w:color="auto"/>
              <w:right w:val="single" w:sz="4" w:space="0" w:color="auto"/>
            </w:tcBorders>
            <w:shd w:val="clear" w:color="auto" w:fill="auto"/>
            <w:noWrap/>
            <w:vAlign w:val="center"/>
            <w:hideMark/>
          </w:tcPr>
          <w:p w14:paraId="23CB67A1"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52.927</w:t>
            </w:r>
          </w:p>
        </w:tc>
        <w:tc>
          <w:tcPr>
            <w:tcW w:w="2068" w:type="dxa"/>
            <w:tcBorders>
              <w:top w:val="nil"/>
              <w:left w:val="nil"/>
              <w:bottom w:val="single" w:sz="4" w:space="0" w:color="auto"/>
              <w:right w:val="single" w:sz="8" w:space="0" w:color="auto"/>
            </w:tcBorders>
            <w:shd w:val="clear" w:color="auto" w:fill="auto"/>
            <w:noWrap/>
            <w:vAlign w:val="center"/>
            <w:hideMark/>
          </w:tcPr>
          <w:p w14:paraId="4D53518C"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88.426</w:t>
            </w:r>
          </w:p>
        </w:tc>
        <w:tc>
          <w:tcPr>
            <w:tcW w:w="236" w:type="dxa"/>
            <w:tcBorders>
              <w:top w:val="nil"/>
              <w:left w:val="nil"/>
              <w:bottom w:val="nil"/>
              <w:right w:val="nil"/>
            </w:tcBorders>
            <w:shd w:val="clear" w:color="auto" w:fill="auto"/>
            <w:noWrap/>
            <w:vAlign w:val="bottom"/>
            <w:hideMark/>
          </w:tcPr>
          <w:p w14:paraId="106C3B55"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4" w:space="0" w:color="auto"/>
              <w:right w:val="single" w:sz="4" w:space="0" w:color="auto"/>
            </w:tcBorders>
            <w:shd w:val="clear" w:color="auto" w:fill="auto"/>
            <w:noWrap/>
            <w:vAlign w:val="center"/>
            <w:hideMark/>
          </w:tcPr>
          <w:p w14:paraId="232CECB2"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61.185</w:t>
            </w:r>
          </w:p>
        </w:tc>
        <w:tc>
          <w:tcPr>
            <w:tcW w:w="1985" w:type="dxa"/>
            <w:tcBorders>
              <w:top w:val="nil"/>
              <w:left w:val="nil"/>
              <w:bottom w:val="single" w:sz="4" w:space="0" w:color="auto"/>
              <w:right w:val="single" w:sz="8" w:space="0" w:color="auto"/>
            </w:tcBorders>
            <w:shd w:val="clear" w:color="auto" w:fill="auto"/>
            <w:noWrap/>
            <w:vAlign w:val="center"/>
            <w:hideMark/>
          </w:tcPr>
          <w:p w14:paraId="0D8120B7"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109.67</w:t>
            </w:r>
          </w:p>
        </w:tc>
      </w:tr>
      <w:tr w:rsidR="00685EF8" w:rsidRPr="00685EF8" w14:paraId="4ECA2B41" w14:textId="77777777" w:rsidTr="00685EF8">
        <w:trPr>
          <w:trHeight w:val="286"/>
        </w:trPr>
        <w:tc>
          <w:tcPr>
            <w:tcW w:w="1520" w:type="dxa"/>
            <w:tcBorders>
              <w:top w:val="nil"/>
              <w:left w:val="single" w:sz="8" w:space="0" w:color="auto"/>
              <w:bottom w:val="single" w:sz="4" w:space="0" w:color="auto"/>
              <w:right w:val="single" w:sz="8" w:space="0" w:color="auto"/>
            </w:tcBorders>
            <w:shd w:val="clear" w:color="auto" w:fill="auto"/>
            <w:noWrap/>
            <w:vAlign w:val="center"/>
            <w:hideMark/>
          </w:tcPr>
          <w:p w14:paraId="3B9D7478"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2400</w:t>
            </w:r>
          </w:p>
        </w:tc>
        <w:tc>
          <w:tcPr>
            <w:tcW w:w="222" w:type="dxa"/>
            <w:tcBorders>
              <w:top w:val="nil"/>
              <w:left w:val="nil"/>
              <w:bottom w:val="nil"/>
              <w:right w:val="nil"/>
            </w:tcBorders>
            <w:shd w:val="clear" w:color="auto" w:fill="auto"/>
            <w:noWrap/>
            <w:vAlign w:val="bottom"/>
            <w:hideMark/>
          </w:tcPr>
          <w:p w14:paraId="228A04AD"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509" w:type="dxa"/>
            <w:tcBorders>
              <w:top w:val="nil"/>
              <w:left w:val="single" w:sz="8" w:space="0" w:color="auto"/>
              <w:bottom w:val="single" w:sz="4" w:space="0" w:color="auto"/>
              <w:right w:val="single" w:sz="4" w:space="0" w:color="auto"/>
            </w:tcBorders>
            <w:shd w:val="clear" w:color="auto" w:fill="auto"/>
            <w:noWrap/>
            <w:vAlign w:val="center"/>
            <w:hideMark/>
          </w:tcPr>
          <w:p w14:paraId="23E21599"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53.435</w:t>
            </w:r>
          </w:p>
        </w:tc>
        <w:tc>
          <w:tcPr>
            <w:tcW w:w="2068" w:type="dxa"/>
            <w:tcBorders>
              <w:top w:val="nil"/>
              <w:left w:val="nil"/>
              <w:bottom w:val="single" w:sz="4" w:space="0" w:color="auto"/>
              <w:right w:val="single" w:sz="8" w:space="0" w:color="auto"/>
            </w:tcBorders>
            <w:shd w:val="clear" w:color="auto" w:fill="auto"/>
            <w:noWrap/>
            <w:vAlign w:val="center"/>
            <w:hideMark/>
          </w:tcPr>
          <w:p w14:paraId="336363A0"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93.744</w:t>
            </w:r>
          </w:p>
        </w:tc>
        <w:tc>
          <w:tcPr>
            <w:tcW w:w="236" w:type="dxa"/>
            <w:tcBorders>
              <w:top w:val="nil"/>
              <w:left w:val="nil"/>
              <w:bottom w:val="nil"/>
              <w:right w:val="nil"/>
            </w:tcBorders>
            <w:shd w:val="clear" w:color="auto" w:fill="auto"/>
            <w:noWrap/>
            <w:vAlign w:val="bottom"/>
            <w:hideMark/>
          </w:tcPr>
          <w:p w14:paraId="06F1D130"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4" w:space="0" w:color="auto"/>
              <w:right w:val="single" w:sz="4" w:space="0" w:color="auto"/>
            </w:tcBorders>
            <w:shd w:val="clear" w:color="auto" w:fill="auto"/>
            <w:noWrap/>
            <w:vAlign w:val="center"/>
            <w:hideMark/>
          </w:tcPr>
          <w:p w14:paraId="05F2CCAC"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61.378</w:t>
            </w:r>
          </w:p>
        </w:tc>
        <w:tc>
          <w:tcPr>
            <w:tcW w:w="1985" w:type="dxa"/>
            <w:tcBorders>
              <w:top w:val="nil"/>
              <w:left w:val="nil"/>
              <w:bottom w:val="single" w:sz="4" w:space="0" w:color="auto"/>
              <w:right w:val="single" w:sz="8" w:space="0" w:color="auto"/>
            </w:tcBorders>
            <w:shd w:val="clear" w:color="auto" w:fill="auto"/>
            <w:noWrap/>
            <w:vAlign w:val="center"/>
            <w:hideMark/>
          </w:tcPr>
          <w:p w14:paraId="4EA298BB"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115.798</w:t>
            </w:r>
          </w:p>
        </w:tc>
      </w:tr>
      <w:tr w:rsidR="00685EF8" w:rsidRPr="00685EF8" w14:paraId="77EAA284" w14:textId="77777777" w:rsidTr="00685EF8">
        <w:trPr>
          <w:trHeight w:val="286"/>
        </w:trPr>
        <w:tc>
          <w:tcPr>
            <w:tcW w:w="1520" w:type="dxa"/>
            <w:tcBorders>
              <w:top w:val="nil"/>
              <w:left w:val="single" w:sz="8" w:space="0" w:color="auto"/>
              <w:bottom w:val="single" w:sz="4" w:space="0" w:color="auto"/>
              <w:right w:val="single" w:sz="8" w:space="0" w:color="auto"/>
            </w:tcBorders>
            <w:shd w:val="clear" w:color="auto" w:fill="auto"/>
            <w:noWrap/>
            <w:vAlign w:val="center"/>
            <w:hideMark/>
          </w:tcPr>
          <w:p w14:paraId="3CEA36FA"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2500</w:t>
            </w:r>
          </w:p>
        </w:tc>
        <w:tc>
          <w:tcPr>
            <w:tcW w:w="222" w:type="dxa"/>
            <w:tcBorders>
              <w:top w:val="nil"/>
              <w:left w:val="nil"/>
              <w:bottom w:val="nil"/>
              <w:right w:val="nil"/>
            </w:tcBorders>
            <w:shd w:val="clear" w:color="auto" w:fill="auto"/>
            <w:noWrap/>
            <w:vAlign w:val="bottom"/>
            <w:hideMark/>
          </w:tcPr>
          <w:p w14:paraId="004BF0E9"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509" w:type="dxa"/>
            <w:tcBorders>
              <w:top w:val="nil"/>
              <w:left w:val="single" w:sz="8" w:space="0" w:color="auto"/>
              <w:bottom w:val="single" w:sz="4" w:space="0" w:color="auto"/>
              <w:right w:val="single" w:sz="4" w:space="0" w:color="auto"/>
            </w:tcBorders>
            <w:shd w:val="clear" w:color="auto" w:fill="auto"/>
            <w:noWrap/>
            <w:vAlign w:val="center"/>
            <w:hideMark/>
          </w:tcPr>
          <w:p w14:paraId="7C65D72F"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53.905</w:t>
            </w:r>
          </w:p>
        </w:tc>
        <w:tc>
          <w:tcPr>
            <w:tcW w:w="2068" w:type="dxa"/>
            <w:tcBorders>
              <w:top w:val="nil"/>
              <w:left w:val="nil"/>
              <w:bottom w:val="single" w:sz="4" w:space="0" w:color="auto"/>
              <w:right w:val="single" w:sz="8" w:space="0" w:color="auto"/>
            </w:tcBorders>
            <w:shd w:val="clear" w:color="auto" w:fill="auto"/>
            <w:noWrap/>
            <w:vAlign w:val="center"/>
            <w:hideMark/>
          </w:tcPr>
          <w:p w14:paraId="69FD1D49"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99.112</w:t>
            </w:r>
          </w:p>
        </w:tc>
        <w:tc>
          <w:tcPr>
            <w:tcW w:w="236" w:type="dxa"/>
            <w:tcBorders>
              <w:top w:val="nil"/>
              <w:left w:val="nil"/>
              <w:bottom w:val="nil"/>
              <w:right w:val="nil"/>
            </w:tcBorders>
            <w:shd w:val="clear" w:color="auto" w:fill="auto"/>
            <w:noWrap/>
            <w:vAlign w:val="bottom"/>
            <w:hideMark/>
          </w:tcPr>
          <w:p w14:paraId="2E596172"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4" w:space="0" w:color="auto"/>
              <w:right w:val="single" w:sz="4" w:space="0" w:color="auto"/>
            </w:tcBorders>
            <w:shd w:val="clear" w:color="auto" w:fill="auto"/>
            <w:noWrap/>
            <w:vAlign w:val="center"/>
            <w:hideMark/>
          </w:tcPr>
          <w:p w14:paraId="35FC29C8"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61.548</w:t>
            </w:r>
          </w:p>
        </w:tc>
        <w:tc>
          <w:tcPr>
            <w:tcW w:w="1985" w:type="dxa"/>
            <w:tcBorders>
              <w:top w:val="nil"/>
              <w:left w:val="nil"/>
              <w:bottom w:val="single" w:sz="4" w:space="0" w:color="auto"/>
              <w:right w:val="single" w:sz="8" w:space="0" w:color="auto"/>
            </w:tcBorders>
            <w:shd w:val="clear" w:color="auto" w:fill="auto"/>
            <w:noWrap/>
            <w:vAlign w:val="center"/>
            <w:hideMark/>
          </w:tcPr>
          <w:p w14:paraId="25DBAF8E"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121.944</w:t>
            </w:r>
          </w:p>
        </w:tc>
      </w:tr>
      <w:tr w:rsidR="00685EF8" w:rsidRPr="00685EF8" w14:paraId="5287AE5B" w14:textId="77777777" w:rsidTr="00685EF8">
        <w:trPr>
          <w:trHeight w:val="286"/>
        </w:trPr>
        <w:tc>
          <w:tcPr>
            <w:tcW w:w="1520" w:type="dxa"/>
            <w:tcBorders>
              <w:top w:val="nil"/>
              <w:left w:val="single" w:sz="8" w:space="0" w:color="auto"/>
              <w:bottom w:val="single" w:sz="4" w:space="0" w:color="auto"/>
              <w:right w:val="single" w:sz="8" w:space="0" w:color="auto"/>
            </w:tcBorders>
            <w:shd w:val="clear" w:color="auto" w:fill="auto"/>
            <w:noWrap/>
            <w:vAlign w:val="center"/>
            <w:hideMark/>
          </w:tcPr>
          <w:p w14:paraId="7F698A2D"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2600</w:t>
            </w:r>
          </w:p>
        </w:tc>
        <w:tc>
          <w:tcPr>
            <w:tcW w:w="222" w:type="dxa"/>
            <w:tcBorders>
              <w:top w:val="nil"/>
              <w:left w:val="nil"/>
              <w:bottom w:val="nil"/>
              <w:right w:val="nil"/>
            </w:tcBorders>
            <w:shd w:val="clear" w:color="auto" w:fill="auto"/>
            <w:noWrap/>
            <w:vAlign w:val="bottom"/>
            <w:hideMark/>
          </w:tcPr>
          <w:p w14:paraId="0EE6D3AA"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509" w:type="dxa"/>
            <w:tcBorders>
              <w:top w:val="nil"/>
              <w:left w:val="single" w:sz="8" w:space="0" w:color="auto"/>
              <w:bottom w:val="single" w:sz="4" w:space="0" w:color="auto"/>
              <w:right w:val="single" w:sz="4" w:space="0" w:color="auto"/>
            </w:tcBorders>
            <w:shd w:val="clear" w:color="auto" w:fill="auto"/>
            <w:noWrap/>
            <w:vAlign w:val="center"/>
            <w:hideMark/>
          </w:tcPr>
          <w:p w14:paraId="4852E937"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54.34</w:t>
            </w:r>
          </w:p>
        </w:tc>
        <w:tc>
          <w:tcPr>
            <w:tcW w:w="2068" w:type="dxa"/>
            <w:tcBorders>
              <w:top w:val="nil"/>
              <w:left w:val="nil"/>
              <w:bottom w:val="single" w:sz="4" w:space="0" w:color="auto"/>
              <w:right w:val="single" w:sz="8" w:space="0" w:color="auto"/>
            </w:tcBorders>
            <w:shd w:val="clear" w:color="auto" w:fill="auto"/>
            <w:noWrap/>
            <w:vAlign w:val="center"/>
            <w:hideMark/>
          </w:tcPr>
          <w:p w14:paraId="2FC9AF42"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104.524</w:t>
            </w:r>
          </w:p>
        </w:tc>
        <w:tc>
          <w:tcPr>
            <w:tcW w:w="236" w:type="dxa"/>
            <w:tcBorders>
              <w:top w:val="nil"/>
              <w:left w:val="nil"/>
              <w:bottom w:val="nil"/>
              <w:right w:val="nil"/>
            </w:tcBorders>
            <w:shd w:val="clear" w:color="auto" w:fill="auto"/>
            <w:noWrap/>
            <w:vAlign w:val="bottom"/>
            <w:hideMark/>
          </w:tcPr>
          <w:p w14:paraId="67554D5E"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4" w:space="0" w:color="auto"/>
              <w:right w:val="single" w:sz="4" w:space="0" w:color="auto"/>
            </w:tcBorders>
            <w:shd w:val="clear" w:color="auto" w:fill="auto"/>
            <w:noWrap/>
            <w:vAlign w:val="center"/>
            <w:hideMark/>
          </w:tcPr>
          <w:p w14:paraId="4E85F98C"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61.701</w:t>
            </w:r>
          </w:p>
        </w:tc>
        <w:tc>
          <w:tcPr>
            <w:tcW w:w="1985" w:type="dxa"/>
            <w:tcBorders>
              <w:top w:val="nil"/>
              <w:left w:val="nil"/>
              <w:bottom w:val="single" w:sz="4" w:space="0" w:color="auto"/>
              <w:right w:val="single" w:sz="8" w:space="0" w:color="auto"/>
            </w:tcBorders>
            <w:shd w:val="clear" w:color="auto" w:fill="auto"/>
            <w:noWrap/>
            <w:vAlign w:val="center"/>
            <w:hideMark/>
          </w:tcPr>
          <w:p w14:paraId="04C34701"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128.107</w:t>
            </w:r>
          </w:p>
        </w:tc>
      </w:tr>
      <w:tr w:rsidR="00685EF8" w:rsidRPr="00685EF8" w14:paraId="3CE23830" w14:textId="77777777" w:rsidTr="00685EF8">
        <w:trPr>
          <w:trHeight w:val="286"/>
        </w:trPr>
        <w:tc>
          <w:tcPr>
            <w:tcW w:w="1520" w:type="dxa"/>
            <w:tcBorders>
              <w:top w:val="nil"/>
              <w:left w:val="single" w:sz="8" w:space="0" w:color="auto"/>
              <w:bottom w:val="single" w:sz="4" w:space="0" w:color="auto"/>
              <w:right w:val="single" w:sz="8" w:space="0" w:color="auto"/>
            </w:tcBorders>
            <w:shd w:val="clear" w:color="auto" w:fill="auto"/>
            <w:noWrap/>
            <w:vAlign w:val="center"/>
            <w:hideMark/>
          </w:tcPr>
          <w:p w14:paraId="3A38AD5B"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2700</w:t>
            </w:r>
          </w:p>
        </w:tc>
        <w:tc>
          <w:tcPr>
            <w:tcW w:w="222" w:type="dxa"/>
            <w:tcBorders>
              <w:top w:val="nil"/>
              <w:left w:val="nil"/>
              <w:bottom w:val="nil"/>
              <w:right w:val="nil"/>
            </w:tcBorders>
            <w:shd w:val="clear" w:color="auto" w:fill="auto"/>
            <w:noWrap/>
            <w:vAlign w:val="bottom"/>
            <w:hideMark/>
          </w:tcPr>
          <w:p w14:paraId="2B5F3CCC"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509" w:type="dxa"/>
            <w:tcBorders>
              <w:top w:val="nil"/>
              <w:left w:val="single" w:sz="8" w:space="0" w:color="auto"/>
              <w:bottom w:val="single" w:sz="4" w:space="0" w:color="auto"/>
              <w:right w:val="single" w:sz="4" w:space="0" w:color="auto"/>
            </w:tcBorders>
            <w:shd w:val="clear" w:color="auto" w:fill="auto"/>
            <w:noWrap/>
            <w:vAlign w:val="center"/>
            <w:hideMark/>
          </w:tcPr>
          <w:p w14:paraId="7FAC358C"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54.742</w:t>
            </w:r>
          </w:p>
        </w:tc>
        <w:tc>
          <w:tcPr>
            <w:tcW w:w="2068" w:type="dxa"/>
            <w:tcBorders>
              <w:top w:val="nil"/>
              <w:left w:val="nil"/>
              <w:bottom w:val="single" w:sz="4" w:space="0" w:color="auto"/>
              <w:right w:val="single" w:sz="8" w:space="0" w:color="auto"/>
            </w:tcBorders>
            <w:shd w:val="clear" w:color="auto" w:fill="auto"/>
            <w:noWrap/>
            <w:vAlign w:val="center"/>
            <w:hideMark/>
          </w:tcPr>
          <w:p w14:paraId="0C8F3B17"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109.979</w:t>
            </w:r>
          </w:p>
        </w:tc>
        <w:tc>
          <w:tcPr>
            <w:tcW w:w="236" w:type="dxa"/>
            <w:tcBorders>
              <w:top w:val="nil"/>
              <w:left w:val="nil"/>
              <w:bottom w:val="nil"/>
              <w:right w:val="nil"/>
            </w:tcBorders>
            <w:shd w:val="clear" w:color="auto" w:fill="auto"/>
            <w:noWrap/>
            <w:vAlign w:val="bottom"/>
            <w:hideMark/>
          </w:tcPr>
          <w:p w14:paraId="6DDAA550"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4" w:space="0" w:color="auto"/>
              <w:right w:val="single" w:sz="4" w:space="0" w:color="auto"/>
            </w:tcBorders>
            <w:shd w:val="clear" w:color="auto" w:fill="auto"/>
            <w:noWrap/>
            <w:vAlign w:val="center"/>
            <w:hideMark/>
          </w:tcPr>
          <w:p w14:paraId="7804E499"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61.839</w:t>
            </w:r>
          </w:p>
        </w:tc>
        <w:tc>
          <w:tcPr>
            <w:tcW w:w="1985" w:type="dxa"/>
            <w:tcBorders>
              <w:top w:val="nil"/>
              <w:left w:val="nil"/>
              <w:bottom w:val="single" w:sz="4" w:space="0" w:color="auto"/>
              <w:right w:val="single" w:sz="8" w:space="0" w:color="auto"/>
            </w:tcBorders>
            <w:shd w:val="clear" w:color="auto" w:fill="auto"/>
            <w:noWrap/>
            <w:vAlign w:val="center"/>
            <w:hideMark/>
          </w:tcPr>
          <w:p w14:paraId="6EC2A935"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134.284</w:t>
            </w:r>
          </w:p>
        </w:tc>
      </w:tr>
      <w:tr w:rsidR="00685EF8" w:rsidRPr="00685EF8" w14:paraId="3C13D1A1" w14:textId="77777777" w:rsidTr="00685EF8">
        <w:trPr>
          <w:trHeight w:val="286"/>
        </w:trPr>
        <w:tc>
          <w:tcPr>
            <w:tcW w:w="1520" w:type="dxa"/>
            <w:tcBorders>
              <w:top w:val="nil"/>
              <w:left w:val="single" w:sz="8" w:space="0" w:color="auto"/>
              <w:bottom w:val="single" w:sz="4" w:space="0" w:color="auto"/>
              <w:right w:val="single" w:sz="8" w:space="0" w:color="auto"/>
            </w:tcBorders>
            <w:shd w:val="clear" w:color="auto" w:fill="auto"/>
            <w:noWrap/>
            <w:vAlign w:val="center"/>
            <w:hideMark/>
          </w:tcPr>
          <w:p w14:paraId="4D924C7F"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2800</w:t>
            </w:r>
          </w:p>
        </w:tc>
        <w:tc>
          <w:tcPr>
            <w:tcW w:w="222" w:type="dxa"/>
            <w:tcBorders>
              <w:top w:val="nil"/>
              <w:left w:val="nil"/>
              <w:bottom w:val="nil"/>
              <w:right w:val="nil"/>
            </w:tcBorders>
            <w:shd w:val="clear" w:color="auto" w:fill="auto"/>
            <w:noWrap/>
            <w:vAlign w:val="bottom"/>
            <w:hideMark/>
          </w:tcPr>
          <w:p w14:paraId="008D93C9"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509" w:type="dxa"/>
            <w:tcBorders>
              <w:top w:val="nil"/>
              <w:left w:val="single" w:sz="8" w:space="0" w:color="auto"/>
              <w:bottom w:val="single" w:sz="4" w:space="0" w:color="auto"/>
              <w:right w:val="single" w:sz="4" w:space="0" w:color="auto"/>
            </w:tcBorders>
            <w:shd w:val="clear" w:color="auto" w:fill="auto"/>
            <w:noWrap/>
            <w:vAlign w:val="center"/>
            <w:hideMark/>
          </w:tcPr>
          <w:p w14:paraId="526B2BDC"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55.115</w:t>
            </w:r>
          </w:p>
        </w:tc>
        <w:tc>
          <w:tcPr>
            <w:tcW w:w="2068" w:type="dxa"/>
            <w:tcBorders>
              <w:top w:val="nil"/>
              <w:left w:val="nil"/>
              <w:bottom w:val="single" w:sz="4" w:space="0" w:color="auto"/>
              <w:right w:val="single" w:sz="8" w:space="0" w:color="auto"/>
            </w:tcBorders>
            <w:shd w:val="clear" w:color="auto" w:fill="auto"/>
            <w:noWrap/>
            <w:vAlign w:val="center"/>
            <w:hideMark/>
          </w:tcPr>
          <w:p w14:paraId="747E6658"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115.472</w:t>
            </w:r>
          </w:p>
        </w:tc>
        <w:tc>
          <w:tcPr>
            <w:tcW w:w="236" w:type="dxa"/>
            <w:tcBorders>
              <w:top w:val="nil"/>
              <w:left w:val="nil"/>
              <w:bottom w:val="nil"/>
              <w:right w:val="nil"/>
            </w:tcBorders>
            <w:shd w:val="clear" w:color="auto" w:fill="auto"/>
            <w:noWrap/>
            <w:vAlign w:val="bottom"/>
            <w:hideMark/>
          </w:tcPr>
          <w:p w14:paraId="302937F4"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4" w:space="0" w:color="auto"/>
              <w:right w:val="single" w:sz="4" w:space="0" w:color="auto"/>
            </w:tcBorders>
            <w:shd w:val="clear" w:color="auto" w:fill="auto"/>
            <w:noWrap/>
            <w:vAlign w:val="center"/>
            <w:hideMark/>
          </w:tcPr>
          <w:p w14:paraId="38545A64"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61.965</w:t>
            </w:r>
          </w:p>
        </w:tc>
        <w:tc>
          <w:tcPr>
            <w:tcW w:w="1985" w:type="dxa"/>
            <w:tcBorders>
              <w:top w:val="nil"/>
              <w:left w:val="nil"/>
              <w:bottom w:val="single" w:sz="4" w:space="0" w:color="auto"/>
              <w:right w:val="single" w:sz="8" w:space="0" w:color="auto"/>
            </w:tcBorders>
            <w:shd w:val="clear" w:color="auto" w:fill="auto"/>
            <w:noWrap/>
            <w:vAlign w:val="center"/>
            <w:hideMark/>
          </w:tcPr>
          <w:p w14:paraId="171C8480"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140.474</w:t>
            </w:r>
          </w:p>
        </w:tc>
      </w:tr>
      <w:tr w:rsidR="00685EF8" w:rsidRPr="00685EF8" w14:paraId="17ED3661" w14:textId="77777777" w:rsidTr="00685EF8">
        <w:trPr>
          <w:trHeight w:val="286"/>
        </w:trPr>
        <w:tc>
          <w:tcPr>
            <w:tcW w:w="1520" w:type="dxa"/>
            <w:tcBorders>
              <w:top w:val="nil"/>
              <w:left w:val="single" w:sz="8" w:space="0" w:color="auto"/>
              <w:bottom w:val="single" w:sz="4" w:space="0" w:color="auto"/>
              <w:right w:val="single" w:sz="8" w:space="0" w:color="auto"/>
            </w:tcBorders>
            <w:shd w:val="clear" w:color="auto" w:fill="auto"/>
            <w:noWrap/>
            <w:vAlign w:val="center"/>
            <w:hideMark/>
          </w:tcPr>
          <w:p w14:paraId="5F5DF0FE"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2900</w:t>
            </w:r>
          </w:p>
        </w:tc>
        <w:tc>
          <w:tcPr>
            <w:tcW w:w="222" w:type="dxa"/>
            <w:tcBorders>
              <w:top w:val="nil"/>
              <w:left w:val="nil"/>
              <w:bottom w:val="nil"/>
              <w:right w:val="nil"/>
            </w:tcBorders>
            <w:shd w:val="clear" w:color="auto" w:fill="auto"/>
            <w:noWrap/>
            <w:vAlign w:val="bottom"/>
            <w:hideMark/>
          </w:tcPr>
          <w:p w14:paraId="31F32281"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509" w:type="dxa"/>
            <w:tcBorders>
              <w:top w:val="nil"/>
              <w:left w:val="single" w:sz="8" w:space="0" w:color="auto"/>
              <w:bottom w:val="single" w:sz="4" w:space="0" w:color="auto"/>
              <w:right w:val="single" w:sz="4" w:space="0" w:color="auto"/>
            </w:tcBorders>
            <w:shd w:val="clear" w:color="auto" w:fill="auto"/>
            <w:noWrap/>
            <w:vAlign w:val="center"/>
            <w:hideMark/>
          </w:tcPr>
          <w:p w14:paraId="577F8DB9"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55.459</w:t>
            </w:r>
          </w:p>
        </w:tc>
        <w:tc>
          <w:tcPr>
            <w:tcW w:w="2068" w:type="dxa"/>
            <w:tcBorders>
              <w:top w:val="nil"/>
              <w:left w:val="nil"/>
              <w:bottom w:val="single" w:sz="4" w:space="0" w:color="auto"/>
              <w:right w:val="single" w:sz="8" w:space="0" w:color="auto"/>
            </w:tcBorders>
            <w:shd w:val="clear" w:color="auto" w:fill="auto"/>
            <w:noWrap/>
            <w:vAlign w:val="center"/>
            <w:hideMark/>
          </w:tcPr>
          <w:p w14:paraId="536CCA66"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121.001</w:t>
            </w:r>
          </w:p>
        </w:tc>
        <w:tc>
          <w:tcPr>
            <w:tcW w:w="236" w:type="dxa"/>
            <w:tcBorders>
              <w:top w:val="nil"/>
              <w:left w:val="nil"/>
              <w:bottom w:val="nil"/>
              <w:right w:val="nil"/>
            </w:tcBorders>
            <w:shd w:val="clear" w:color="auto" w:fill="auto"/>
            <w:noWrap/>
            <w:vAlign w:val="bottom"/>
            <w:hideMark/>
          </w:tcPr>
          <w:p w14:paraId="0F9D7CE1"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4" w:space="0" w:color="auto"/>
              <w:right w:val="single" w:sz="4" w:space="0" w:color="auto"/>
            </w:tcBorders>
            <w:shd w:val="clear" w:color="auto" w:fill="auto"/>
            <w:noWrap/>
            <w:vAlign w:val="center"/>
            <w:hideMark/>
          </w:tcPr>
          <w:p w14:paraId="27CC84B4"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62.083</w:t>
            </w:r>
          </w:p>
        </w:tc>
        <w:tc>
          <w:tcPr>
            <w:tcW w:w="1985" w:type="dxa"/>
            <w:tcBorders>
              <w:top w:val="nil"/>
              <w:left w:val="nil"/>
              <w:bottom w:val="single" w:sz="4" w:space="0" w:color="auto"/>
              <w:right w:val="single" w:sz="8" w:space="0" w:color="auto"/>
            </w:tcBorders>
            <w:shd w:val="clear" w:color="auto" w:fill="auto"/>
            <w:noWrap/>
            <w:vAlign w:val="center"/>
            <w:hideMark/>
          </w:tcPr>
          <w:p w14:paraId="6C0BB35F"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146.677</w:t>
            </w:r>
          </w:p>
        </w:tc>
      </w:tr>
      <w:tr w:rsidR="00685EF8" w:rsidRPr="00685EF8" w14:paraId="2E1B79A9" w14:textId="77777777" w:rsidTr="00685EF8">
        <w:trPr>
          <w:trHeight w:val="286"/>
        </w:trPr>
        <w:tc>
          <w:tcPr>
            <w:tcW w:w="1520" w:type="dxa"/>
            <w:tcBorders>
              <w:top w:val="nil"/>
              <w:left w:val="single" w:sz="8" w:space="0" w:color="auto"/>
              <w:bottom w:val="single" w:sz="4" w:space="0" w:color="auto"/>
              <w:right w:val="single" w:sz="8" w:space="0" w:color="auto"/>
            </w:tcBorders>
            <w:shd w:val="clear" w:color="auto" w:fill="auto"/>
            <w:noWrap/>
            <w:vAlign w:val="center"/>
            <w:hideMark/>
          </w:tcPr>
          <w:p w14:paraId="024BEC40"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3000</w:t>
            </w:r>
          </w:p>
        </w:tc>
        <w:tc>
          <w:tcPr>
            <w:tcW w:w="222" w:type="dxa"/>
            <w:tcBorders>
              <w:top w:val="nil"/>
              <w:left w:val="nil"/>
              <w:bottom w:val="nil"/>
              <w:right w:val="nil"/>
            </w:tcBorders>
            <w:shd w:val="clear" w:color="auto" w:fill="auto"/>
            <w:noWrap/>
            <w:vAlign w:val="bottom"/>
            <w:hideMark/>
          </w:tcPr>
          <w:p w14:paraId="35B311E4"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509" w:type="dxa"/>
            <w:tcBorders>
              <w:top w:val="nil"/>
              <w:left w:val="single" w:sz="8" w:space="0" w:color="auto"/>
              <w:bottom w:val="single" w:sz="4" w:space="0" w:color="auto"/>
              <w:right w:val="single" w:sz="4" w:space="0" w:color="auto"/>
            </w:tcBorders>
            <w:shd w:val="clear" w:color="auto" w:fill="auto"/>
            <w:noWrap/>
            <w:vAlign w:val="center"/>
            <w:hideMark/>
          </w:tcPr>
          <w:p w14:paraId="31C22BFA"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55.779</w:t>
            </w:r>
          </w:p>
        </w:tc>
        <w:tc>
          <w:tcPr>
            <w:tcW w:w="2068" w:type="dxa"/>
            <w:tcBorders>
              <w:top w:val="nil"/>
              <w:left w:val="nil"/>
              <w:bottom w:val="single" w:sz="4" w:space="0" w:color="auto"/>
              <w:right w:val="single" w:sz="8" w:space="0" w:color="auto"/>
            </w:tcBorders>
            <w:shd w:val="clear" w:color="auto" w:fill="auto"/>
            <w:noWrap/>
            <w:vAlign w:val="center"/>
            <w:hideMark/>
          </w:tcPr>
          <w:p w14:paraId="011DDFA1"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126.563</w:t>
            </w:r>
          </w:p>
        </w:tc>
        <w:tc>
          <w:tcPr>
            <w:tcW w:w="236" w:type="dxa"/>
            <w:tcBorders>
              <w:top w:val="nil"/>
              <w:left w:val="nil"/>
              <w:bottom w:val="nil"/>
              <w:right w:val="nil"/>
            </w:tcBorders>
            <w:shd w:val="clear" w:color="auto" w:fill="auto"/>
            <w:noWrap/>
            <w:vAlign w:val="bottom"/>
            <w:hideMark/>
          </w:tcPr>
          <w:p w14:paraId="7218D3BD"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4" w:space="0" w:color="auto"/>
              <w:right w:val="single" w:sz="4" w:space="0" w:color="auto"/>
            </w:tcBorders>
            <w:shd w:val="clear" w:color="auto" w:fill="auto"/>
            <w:noWrap/>
            <w:vAlign w:val="center"/>
            <w:hideMark/>
          </w:tcPr>
          <w:p w14:paraId="3D7FF8F7"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62.194</w:t>
            </w:r>
          </w:p>
        </w:tc>
        <w:tc>
          <w:tcPr>
            <w:tcW w:w="1985" w:type="dxa"/>
            <w:tcBorders>
              <w:top w:val="nil"/>
              <w:left w:val="nil"/>
              <w:bottom w:val="single" w:sz="4" w:space="0" w:color="auto"/>
              <w:right w:val="single" w:sz="8" w:space="0" w:color="auto"/>
            </w:tcBorders>
            <w:shd w:val="clear" w:color="auto" w:fill="auto"/>
            <w:noWrap/>
            <w:vAlign w:val="center"/>
            <w:hideMark/>
          </w:tcPr>
          <w:p w14:paraId="717EF21F"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152.891</w:t>
            </w:r>
          </w:p>
        </w:tc>
      </w:tr>
      <w:tr w:rsidR="00685EF8" w:rsidRPr="00685EF8" w14:paraId="56FEB4E8" w14:textId="77777777" w:rsidTr="00685EF8">
        <w:trPr>
          <w:trHeight w:val="286"/>
        </w:trPr>
        <w:tc>
          <w:tcPr>
            <w:tcW w:w="1520" w:type="dxa"/>
            <w:tcBorders>
              <w:top w:val="nil"/>
              <w:left w:val="single" w:sz="8" w:space="0" w:color="auto"/>
              <w:bottom w:val="single" w:sz="4" w:space="0" w:color="auto"/>
              <w:right w:val="single" w:sz="8" w:space="0" w:color="auto"/>
            </w:tcBorders>
            <w:shd w:val="clear" w:color="auto" w:fill="auto"/>
            <w:noWrap/>
            <w:vAlign w:val="center"/>
            <w:hideMark/>
          </w:tcPr>
          <w:p w14:paraId="6F171F89"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3100</w:t>
            </w:r>
          </w:p>
        </w:tc>
        <w:tc>
          <w:tcPr>
            <w:tcW w:w="222" w:type="dxa"/>
            <w:tcBorders>
              <w:top w:val="nil"/>
              <w:left w:val="nil"/>
              <w:bottom w:val="nil"/>
              <w:right w:val="nil"/>
            </w:tcBorders>
            <w:shd w:val="clear" w:color="auto" w:fill="auto"/>
            <w:noWrap/>
            <w:vAlign w:val="bottom"/>
            <w:hideMark/>
          </w:tcPr>
          <w:p w14:paraId="6521AE1F"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509" w:type="dxa"/>
            <w:tcBorders>
              <w:top w:val="nil"/>
              <w:left w:val="single" w:sz="8" w:space="0" w:color="auto"/>
              <w:bottom w:val="single" w:sz="4" w:space="0" w:color="auto"/>
              <w:right w:val="single" w:sz="4" w:space="0" w:color="auto"/>
            </w:tcBorders>
            <w:shd w:val="clear" w:color="auto" w:fill="auto"/>
            <w:noWrap/>
            <w:vAlign w:val="center"/>
            <w:hideMark/>
          </w:tcPr>
          <w:p w14:paraId="5821D611"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56.076</w:t>
            </w:r>
          </w:p>
        </w:tc>
        <w:tc>
          <w:tcPr>
            <w:tcW w:w="2068" w:type="dxa"/>
            <w:tcBorders>
              <w:top w:val="nil"/>
              <w:left w:val="nil"/>
              <w:bottom w:val="single" w:sz="4" w:space="0" w:color="auto"/>
              <w:right w:val="single" w:sz="8" w:space="0" w:color="auto"/>
            </w:tcBorders>
            <w:shd w:val="clear" w:color="auto" w:fill="auto"/>
            <w:noWrap/>
            <w:vAlign w:val="center"/>
            <w:hideMark/>
          </w:tcPr>
          <w:p w14:paraId="251E3F37"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132.156</w:t>
            </w:r>
          </w:p>
        </w:tc>
        <w:tc>
          <w:tcPr>
            <w:tcW w:w="236" w:type="dxa"/>
            <w:tcBorders>
              <w:top w:val="nil"/>
              <w:left w:val="nil"/>
              <w:bottom w:val="nil"/>
              <w:right w:val="nil"/>
            </w:tcBorders>
            <w:shd w:val="clear" w:color="auto" w:fill="auto"/>
            <w:noWrap/>
            <w:vAlign w:val="bottom"/>
            <w:hideMark/>
          </w:tcPr>
          <w:p w14:paraId="146BF02F"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4" w:space="0" w:color="auto"/>
              <w:right w:val="single" w:sz="4" w:space="0" w:color="auto"/>
            </w:tcBorders>
            <w:shd w:val="clear" w:color="auto" w:fill="auto"/>
            <w:noWrap/>
            <w:vAlign w:val="center"/>
            <w:hideMark/>
          </w:tcPr>
          <w:p w14:paraId="0BE9EE54"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62.301</w:t>
            </w:r>
          </w:p>
        </w:tc>
        <w:tc>
          <w:tcPr>
            <w:tcW w:w="1985" w:type="dxa"/>
            <w:tcBorders>
              <w:top w:val="nil"/>
              <w:left w:val="nil"/>
              <w:bottom w:val="single" w:sz="4" w:space="0" w:color="auto"/>
              <w:right w:val="single" w:sz="8" w:space="0" w:color="auto"/>
            </w:tcBorders>
            <w:shd w:val="clear" w:color="auto" w:fill="auto"/>
            <w:noWrap/>
            <w:vAlign w:val="center"/>
            <w:hideMark/>
          </w:tcPr>
          <w:p w14:paraId="2868C949"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159.116</w:t>
            </w:r>
          </w:p>
        </w:tc>
      </w:tr>
      <w:tr w:rsidR="00685EF8" w:rsidRPr="00685EF8" w14:paraId="4623EEA6" w14:textId="77777777" w:rsidTr="00685EF8">
        <w:trPr>
          <w:trHeight w:val="286"/>
        </w:trPr>
        <w:tc>
          <w:tcPr>
            <w:tcW w:w="1520" w:type="dxa"/>
            <w:tcBorders>
              <w:top w:val="nil"/>
              <w:left w:val="single" w:sz="8" w:space="0" w:color="auto"/>
              <w:bottom w:val="single" w:sz="4" w:space="0" w:color="auto"/>
              <w:right w:val="single" w:sz="8" w:space="0" w:color="auto"/>
            </w:tcBorders>
            <w:shd w:val="clear" w:color="auto" w:fill="auto"/>
            <w:noWrap/>
            <w:vAlign w:val="center"/>
            <w:hideMark/>
          </w:tcPr>
          <w:p w14:paraId="046F1BC0"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3200</w:t>
            </w:r>
          </w:p>
        </w:tc>
        <w:tc>
          <w:tcPr>
            <w:tcW w:w="222" w:type="dxa"/>
            <w:tcBorders>
              <w:top w:val="nil"/>
              <w:left w:val="nil"/>
              <w:bottom w:val="nil"/>
              <w:right w:val="nil"/>
            </w:tcBorders>
            <w:shd w:val="clear" w:color="auto" w:fill="auto"/>
            <w:noWrap/>
            <w:vAlign w:val="bottom"/>
            <w:hideMark/>
          </w:tcPr>
          <w:p w14:paraId="358844B4"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509" w:type="dxa"/>
            <w:tcBorders>
              <w:top w:val="nil"/>
              <w:left w:val="single" w:sz="8" w:space="0" w:color="auto"/>
              <w:bottom w:val="single" w:sz="4" w:space="0" w:color="auto"/>
              <w:right w:val="single" w:sz="4" w:space="0" w:color="auto"/>
            </w:tcBorders>
            <w:shd w:val="clear" w:color="auto" w:fill="auto"/>
            <w:noWrap/>
            <w:vAlign w:val="center"/>
            <w:hideMark/>
          </w:tcPr>
          <w:p w14:paraId="47C090D2"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56.353</w:t>
            </w:r>
          </w:p>
        </w:tc>
        <w:tc>
          <w:tcPr>
            <w:tcW w:w="2068" w:type="dxa"/>
            <w:tcBorders>
              <w:top w:val="nil"/>
              <w:left w:val="nil"/>
              <w:bottom w:val="single" w:sz="4" w:space="0" w:color="auto"/>
              <w:right w:val="single" w:sz="8" w:space="0" w:color="auto"/>
            </w:tcBorders>
            <w:shd w:val="clear" w:color="auto" w:fill="auto"/>
            <w:noWrap/>
            <w:vAlign w:val="center"/>
            <w:hideMark/>
          </w:tcPr>
          <w:p w14:paraId="4180A38D"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137.777</w:t>
            </w:r>
          </w:p>
        </w:tc>
        <w:tc>
          <w:tcPr>
            <w:tcW w:w="236" w:type="dxa"/>
            <w:tcBorders>
              <w:top w:val="nil"/>
              <w:left w:val="nil"/>
              <w:bottom w:val="nil"/>
              <w:right w:val="nil"/>
            </w:tcBorders>
            <w:shd w:val="clear" w:color="auto" w:fill="auto"/>
            <w:noWrap/>
            <w:vAlign w:val="bottom"/>
            <w:hideMark/>
          </w:tcPr>
          <w:p w14:paraId="7F0F3B33"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4" w:space="0" w:color="auto"/>
              <w:right w:val="single" w:sz="4" w:space="0" w:color="auto"/>
            </w:tcBorders>
            <w:shd w:val="clear" w:color="auto" w:fill="auto"/>
            <w:noWrap/>
            <w:vAlign w:val="center"/>
            <w:hideMark/>
          </w:tcPr>
          <w:p w14:paraId="065F11B6"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62.406</w:t>
            </w:r>
          </w:p>
        </w:tc>
        <w:tc>
          <w:tcPr>
            <w:tcW w:w="1985" w:type="dxa"/>
            <w:tcBorders>
              <w:top w:val="nil"/>
              <w:left w:val="nil"/>
              <w:bottom w:val="single" w:sz="4" w:space="0" w:color="auto"/>
              <w:right w:val="single" w:sz="8" w:space="0" w:color="auto"/>
            </w:tcBorders>
            <w:shd w:val="clear" w:color="auto" w:fill="auto"/>
            <w:noWrap/>
            <w:vAlign w:val="center"/>
            <w:hideMark/>
          </w:tcPr>
          <w:p w14:paraId="0837221A"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165.351</w:t>
            </w:r>
          </w:p>
        </w:tc>
      </w:tr>
      <w:tr w:rsidR="00685EF8" w:rsidRPr="00685EF8" w14:paraId="7AFA805E" w14:textId="77777777" w:rsidTr="00685EF8">
        <w:trPr>
          <w:trHeight w:val="286"/>
        </w:trPr>
        <w:tc>
          <w:tcPr>
            <w:tcW w:w="1520" w:type="dxa"/>
            <w:tcBorders>
              <w:top w:val="nil"/>
              <w:left w:val="single" w:sz="8" w:space="0" w:color="auto"/>
              <w:bottom w:val="single" w:sz="4" w:space="0" w:color="auto"/>
              <w:right w:val="single" w:sz="8" w:space="0" w:color="auto"/>
            </w:tcBorders>
            <w:shd w:val="clear" w:color="auto" w:fill="auto"/>
            <w:noWrap/>
            <w:vAlign w:val="center"/>
            <w:hideMark/>
          </w:tcPr>
          <w:p w14:paraId="6B8740C7"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3300</w:t>
            </w:r>
          </w:p>
        </w:tc>
        <w:tc>
          <w:tcPr>
            <w:tcW w:w="222" w:type="dxa"/>
            <w:tcBorders>
              <w:top w:val="nil"/>
              <w:left w:val="nil"/>
              <w:bottom w:val="nil"/>
              <w:right w:val="nil"/>
            </w:tcBorders>
            <w:shd w:val="clear" w:color="auto" w:fill="auto"/>
            <w:noWrap/>
            <w:vAlign w:val="bottom"/>
            <w:hideMark/>
          </w:tcPr>
          <w:p w14:paraId="3ECCF067"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509" w:type="dxa"/>
            <w:tcBorders>
              <w:top w:val="nil"/>
              <w:left w:val="single" w:sz="8" w:space="0" w:color="auto"/>
              <w:bottom w:val="single" w:sz="4" w:space="0" w:color="auto"/>
              <w:right w:val="single" w:sz="4" w:space="0" w:color="auto"/>
            </w:tcBorders>
            <w:shd w:val="clear" w:color="auto" w:fill="auto"/>
            <w:noWrap/>
            <w:vAlign w:val="center"/>
            <w:hideMark/>
          </w:tcPr>
          <w:p w14:paraId="572F7EA7"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56.61</w:t>
            </w:r>
          </w:p>
        </w:tc>
        <w:tc>
          <w:tcPr>
            <w:tcW w:w="2068" w:type="dxa"/>
            <w:tcBorders>
              <w:top w:val="nil"/>
              <w:left w:val="nil"/>
              <w:bottom w:val="single" w:sz="4" w:space="0" w:color="auto"/>
              <w:right w:val="single" w:sz="8" w:space="0" w:color="auto"/>
            </w:tcBorders>
            <w:shd w:val="clear" w:color="auto" w:fill="auto"/>
            <w:noWrap/>
            <w:vAlign w:val="center"/>
            <w:hideMark/>
          </w:tcPr>
          <w:p w14:paraId="541AA156"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143.426</w:t>
            </w:r>
          </w:p>
        </w:tc>
        <w:tc>
          <w:tcPr>
            <w:tcW w:w="236" w:type="dxa"/>
            <w:tcBorders>
              <w:top w:val="nil"/>
              <w:left w:val="nil"/>
              <w:bottom w:val="nil"/>
              <w:right w:val="nil"/>
            </w:tcBorders>
            <w:shd w:val="clear" w:color="auto" w:fill="auto"/>
            <w:noWrap/>
            <w:vAlign w:val="bottom"/>
            <w:hideMark/>
          </w:tcPr>
          <w:p w14:paraId="1CAC43D3"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4" w:space="0" w:color="auto"/>
              <w:right w:val="single" w:sz="4" w:space="0" w:color="auto"/>
            </w:tcBorders>
            <w:shd w:val="clear" w:color="auto" w:fill="auto"/>
            <w:noWrap/>
            <w:vAlign w:val="center"/>
            <w:hideMark/>
          </w:tcPr>
          <w:p w14:paraId="17B2B87E"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62.51</w:t>
            </w:r>
          </w:p>
        </w:tc>
        <w:tc>
          <w:tcPr>
            <w:tcW w:w="1985" w:type="dxa"/>
            <w:tcBorders>
              <w:top w:val="nil"/>
              <w:left w:val="nil"/>
              <w:bottom w:val="single" w:sz="4" w:space="0" w:color="auto"/>
              <w:right w:val="single" w:sz="8" w:space="0" w:color="auto"/>
            </w:tcBorders>
            <w:shd w:val="clear" w:color="auto" w:fill="auto"/>
            <w:noWrap/>
            <w:vAlign w:val="center"/>
            <w:hideMark/>
          </w:tcPr>
          <w:p w14:paraId="3E5C6E26"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171.597</w:t>
            </w:r>
          </w:p>
        </w:tc>
      </w:tr>
      <w:tr w:rsidR="00685EF8" w:rsidRPr="00685EF8" w14:paraId="5C471D0F" w14:textId="77777777" w:rsidTr="00685EF8">
        <w:trPr>
          <w:trHeight w:val="286"/>
        </w:trPr>
        <w:tc>
          <w:tcPr>
            <w:tcW w:w="1520" w:type="dxa"/>
            <w:tcBorders>
              <w:top w:val="nil"/>
              <w:left w:val="single" w:sz="8" w:space="0" w:color="auto"/>
              <w:bottom w:val="single" w:sz="4" w:space="0" w:color="auto"/>
              <w:right w:val="single" w:sz="8" w:space="0" w:color="auto"/>
            </w:tcBorders>
            <w:shd w:val="clear" w:color="auto" w:fill="auto"/>
            <w:noWrap/>
            <w:vAlign w:val="center"/>
            <w:hideMark/>
          </w:tcPr>
          <w:p w14:paraId="771B8ACF"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3400</w:t>
            </w:r>
          </w:p>
        </w:tc>
        <w:tc>
          <w:tcPr>
            <w:tcW w:w="222" w:type="dxa"/>
            <w:tcBorders>
              <w:top w:val="nil"/>
              <w:left w:val="nil"/>
              <w:bottom w:val="nil"/>
              <w:right w:val="nil"/>
            </w:tcBorders>
            <w:shd w:val="clear" w:color="auto" w:fill="auto"/>
            <w:noWrap/>
            <w:vAlign w:val="bottom"/>
            <w:hideMark/>
          </w:tcPr>
          <w:p w14:paraId="76A9205B"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509" w:type="dxa"/>
            <w:tcBorders>
              <w:top w:val="nil"/>
              <w:left w:val="single" w:sz="8" w:space="0" w:color="auto"/>
              <w:bottom w:val="single" w:sz="4" w:space="0" w:color="auto"/>
              <w:right w:val="single" w:sz="4" w:space="0" w:color="auto"/>
            </w:tcBorders>
            <w:shd w:val="clear" w:color="auto" w:fill="auto"/>
            <w:noWrap/>
            <w:vAlign w:val="center"/>
            <w:hideMark/>
          </w:tcPr>
          <w:p w14:paraId="514B3852"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56.851</w:t>
            </w:r>
          </w:p>
        </w:tc>
        <w:tc>
          <w:tcPr>
            <w:tcW w:w="2068" w:type="dxa"/>
            <w:tcBorders>
              <w:top w:val="nil"/>
              <w:left w:val="nil"/>
              <w:bottom w:val="single" w:sz="4" w:space="0" w:color="auto"/>
              <w:right w:val="single" w:sz="8" w:space="0" w:color="auto"/>
            </w:tcBorders>
            <w:shd w:val="clear" w:color="auto" w:fill="auto"/>
            <w:noWrap/>
            <w:vAlign w:val="center"/>
            <w:hideMark/>
          </w:tcPr>
          <w:p w14:paraId="4DBC85F8"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149.099</w:t>
            </w:r>
          </w:p>
        </w:tc>
        <w:tc>
          <w:tcPr>
            <w:tcW w:w="236" w:type="dxa"/>
            <w:tcBorders>
              <w:top w:val="nil"/>
              <w:left w:val="nil"/>
              <w:bottom w:val="nil"/>
              <w:right w:val="nil"/>
            </w:tcBorders>
            <w:shd w:val="clear" w:color="auto" w:fill="auto"/>
            <w:noWrap/>
            <w:vAlign w:val="bottom"/>
            <w:hideMark/>
          </w:tcPr>
          <w:p w14:paraId="546C4F50"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4" w:space="0" w:color="auto"/>
              <w:right w:val="single" w:sz="4" w:space="0" w:color="auto"/>
            </w:tcBorders>
            <w:shd w:val="clear" w:color="auto" w:fill="auto"/>
            <w:noWrap/>
            <w:vAlign w:val="center"/>
            <w:hideMark/>
          </w:tcPr>
          <w:p w14:paraId="5A2B9032"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62.614</w:t>
            </w:r>
          </w:p>
        </w:tc>
        <w:tc>
          <w:tcPr>
            <w:tcW w:w="1985" w:type="dxa"/>
            <w:tcBorders>
              <w:top w:val="nil"/>
              <w:left w:val="nil"/>
              <w:bottom w:val="single" w:sz="4" w:space="0" w:color="auto"/>
              <w:right w:val="single" w:sz="8" w:space="0" w:color="auto"/>
            </w:tcBorders>
            <w:shd w:val="clear" w:color="auto" w:fill="auto"/>
            <w:noWrap/>
            <w:vAlign w:val="center"/>
            <w:hideMark/>
          </w:tcPr>
          <w:p w14:paraId="5447A9BA"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177.853</w:t>
            </w:r>
          </w:p>
        </w:tc>
      </w:tr>
      <w:tr w:rsidR="00685EF8" w:rsidRPr="00685EF8" w14:paraId="7CF90E30" w14:textId="77777777" w:rsidTr="00685EF8">
        <w:trPr>
          <w:trHeight w:val="286"/>
        </w:trPr>
        <w:tc>
          <w:tcPr>
            <w:tcW w:w="1520" w:type="dxa"/>
            <w:tcBorders>
              <w:top w:val="nil"/>
              <w:left w:val="single" w:sz="8" w:space="0" w:color="auto"/>
              <w:bottom w:val="single" w:sz="4" w:space="0" w:color="auto"/>
              <w:right w:val="single" w:sz="8" w:space="0" w:color="auto"/>
            </w:tcBorders>
            <w:shd w:val="clear" w:color="auto" w:fill="auto"/>
            <w:noWrap/>
            <w:vAlign w:val="center"/>
            <w:hideMark/>
          </w:tcPr>
          <w:p w14:paraId="2F32B625"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3500</w:t>
            </w:r>
          </w:p>
        </w:tc>
        <w:tc>
          <w:tcPr>
            <w:tcW w:w="222" w:type="dxa"/>
            <w:tcBorders>
              <w:top w:val="nil"/>
              <w:left w:val="nil"/>
              <w:bottom w:val="nil"/>
              <w:right w:val="nil"/>
            </w:tcBorders>
            <w:shd w:val="clear" w:color="auto" w:fill="auto"/>
            <w:noWrap/>
            <w:vAlign w:val="bottom"/>
            <w:hideMark/>
          </w:tcPr>
          <w:p w14:paraId="47828048"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509" w:type="dxa"/>
            <w:tcBorders>
              <w:top w:val="nil"/>
              <w:left w:val="single" w:sz="8" w:space="0" w:color="auto"/>
              <w:bottom w:val="single" w:sz="4" w:space="0" w:color="auto"/>
              <w:right w:val="single" w:sz="4" w:space="0" w:color="auto"/>
            </w:tcBorders>
            <w:shd w:val="clear" w:color="auto" w:fill="auto"/>
            <w:noWrap/>
            <w:vAlign w:val="center"/>
            <w:hideMark/>
          </w:tcPr>
          <w:p w14:paraId="74803800"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57.076</w:t>
            </w:r>
          </w:p>
        </w:tc>
        <w:tc>
          <w:tcPr>
            <w:tcW w:w="2068" w:type="dxa"/>
            <w:tcBorders>
              <w:top w:val="nil"/>
              <w:left w:val="nil"/>
              <w:bottom w:val="single" w:sz="4" w:space="0" w:color="auto"/>
              <w:right w:val="single" w:sz="8" w:space="0" w:color="auto"/>
            </w:tcBorders>
            <w:shd w:val="clear" w:color="auto" w:fill="auto"/>
            <w:noWrap/>
            <w:vAlign w:val="center"/>
            <w:hideMark/>
          </w:tcPr>
          <w:p w14:paraId="75F13CC7"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154.795</w:t>
            </w:r>
          </w:p>
        </w:tc>
        <w:tc>
          <w:tcPr>
            <w:tcW w:w="236" w:type="dxa"/>
            <w:tcBorders>
              <w:top w:val="nil"/>
              <w:left w:val="nil"/>
              <w:bottom w:val="nil"/>
              <w:right w:val="nil"/>
            </w:tcBorders>
            <w:shd w:val="clear" w:color="auto" w:fill="auto"/>
            <w:noWrap/>
            <w:vAlign w:val="bottom"/>
            <w:hideMark/>
          </w:tcPr>
          <w:p w14:paraId="42B583F9"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4" w:space="0" w:color="auto"/>
              <w:right w:val="single" w:sz="4" w:space="0" w:color="auto"/>
            </w:tcBorders>
            <w:shd w:val="clear" w:color="auto" w:fill="auto"/>
            <w:noWrap/>
            <w:vAlign w:val="center"/>
            <w:hideMark/>
          </w:tcPr>
          <w:p w14:paraId="4894ADAA"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62.718</w:t>
            </w:r>
          </w:p>
        </w:tc>
        <w:tc>
          <w:tcPr>
            <w:tcW w:w="1985" w:type="dxa"/>
            <w:tcBorders>
              <w:top w:val="nil"/>
              <w:left w:val="nil"/>
              <w:bottom w:val="single" w:sz="4" w:space="0" w:color="auto"/>
              <w:right w:val="single" w:sz="8" w:space="0" w:color="auto"/>
            </w:tcBorders>
            <w:shd w:val="clear" w:color="auto" w:fill="auto"/>
            <w:noWrap/>
            <w:vAlign w:val="center"/>
            <w:hideMark/>
          </w:tcPr>
          <w:p w14:paraId="0AD7342B"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184.12</w:t>
            </w:r>
          </w:p>
        </w:tc>
      </w:tr>
      <w:tr w:rsidR="00685EF8" w:rsidRPr="00685EF8" w14:paraId="0FFD9EC4" w14:textId="77777777" w:rsidTr="00685EF8">
        <w:trPr>
          <w:trHeight w:val="286"/>
        </w:trPr>
        <w:tc>
          <w:tcPr>
            <w:tcW w:w="1520" w:type="dxa"/>
            <w:tcBorders>
              <w:top w:val="nil"/>
              <w:left w:val="single" w:sz="8" w:space="0" w:color="auto"/>
              <w:bottom w:val="single" w:sz="4" w:space="0" w:color="auto"/>
              <w:right w:val="single" w:sz="8" w:space="0" w:color="auto"/>
            </w:tcBorders>
            <w:shd w:val="clear" w:color="auto" w:fill="auto"/>
            <w:noWrap/>
            <w:vAlign w:val="center"/>
            <w:hideMark/>
          </w:tcPr>
          <w:p w14:paraId="79A24CF5"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3600</w:t>
            </w:r>
          </w:p>
        </w:tc>
        <w:tc>
          <w:tcPr>
            <w:tcW w:w="222" w:type="dxa"/>
            <w:tcBorders>
              <w:top w:val="nil"/>
              <w:left w:val="nil"/>
              <w:bottom w:val="nil"/>
              <w:right w:val="nil"/>
            </w:tcBorders>
            <w:shd w:val="clear" w:color="auto" w:fill="auto"/>
            <w:noWrap/>
            <w:vAlign w:val="bottom"/>
            <w:hideMark/>
          </w:tcPr>
          <w:p w14:paraId="626F4737"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509" w:type="dxa"/>
            <w:tcBorders>
              <w:top w:val="nil"/>
              <w:left w:val="single" w:sz="8" w:space="0" w:color="auto"/>
              <w:bottom w:val="single" w:sz="4" w:space="0" w:color="auto"/>
              <w:right w:val="single" w:sz="4" w:space="0" w:color="auto"/>
            </w:tcBorders>
            <w:shd w:val="clear" w:color="auto" w:fill="auto"/>
            <w:noWrap/>
            <w:vAlign w:val="center"/>
            <w:hideMark/>
          </w:tcPr>
          <w:p w14:paraId="620BFEB1"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57.288</w:t>
            </w:r>
          </w:p>
        </w:tc>
        <w:tc>
          <w:tcPr>
            <w:tcW w:w="2068" w:type="dxa"/>
            <w:tcBorders>
              <w:top w:val="nil"/>
              <w:left w:val="nil"/>
              <w:bottom w:val="single" w:sz="4" w:space="0" w:color="auto"/>
              <w:right w:val="single" w:sz="8" w:space="0" w:color="auto"/>
            </w:tcBorders>
            <w:shd w:val="clear" w:color="auto" w:fill="auto"/>
            <w:noWrap/>
            <w:vAlign w:val="center"/>
            <w:hideMark/>
          </w:tcPr>
          <w:p w14:paraId="0136B3DB"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160.514</w:t>
            </w:r>
          </w:p>
        </w:tc>
        <w:tc>
          <w:tcPr>
            <w:tcW w:w="236" w:type="dxa"/>
            <w:tcBorders>
              <w:top w:val="nil"/>
              <w:left w:val="nil"/>
              <w:bottom w:val="nil"/>
              <w:right w:val="nil"/>
            </w:tcBorders>
            <w:shd w:val="clear" w:color="auto" w:fill="auto"/>
            <w:noWrap/>
            <w:vAlign w:val="bottom"/>
            <w:hideMark/>
          </w:tcPr>
          <w:p w14:paraId="2A9E8D16"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4" w:space="0" w:color="auto"/>
              <w:right w:val="single" w:sz="4" w:space="0" w:color="auto"/>
            </w:tcBorders>
            <w:shd w:val="clear" w:color="auto" w:fill="auto"/>
            <w:noWrap/>
            <w:vAlign w:val="center"/>
            <w:hideMark/>
          </w:tcPr>
          <w:p w14:paraId="1F974522"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62.825</w:t>
            </w:r>
          </w:p>
        </w:tc>
        <w:tc>
          <w:tcPr>
            <w:tcW w:w="1985" w:type="dxa"/>
            <w:tcBorders>
              <w:top w:val="nil"/>
              <w:left w:val="nil"/>
              <w:bottom w:val="single" w:sz="4" w:space="0" w:color="auto"/>
              <w:right w:val="single" w:sz="8" w:space="0" w:color="auto"/>
            </w:tcBorders>
            <w:shd w:val="clear" w:color="auto" w:fill="auto"/>
            <w:noWrap/>
            <w:vAlign w:val="center"/>
            <w:hideMark/>
          </w:tcPr>
          <w:p w14:paraId="0943FAEA"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190.397</w:t>
            </w:r>
          </w:p>
        </w:tc>
      </w:tr>
      <w:tr w:rsidR="00685EF8" w:rsidRPr="00685EF8" w14:paraId="5004A4C1" w14:textId="77777777" w:rsidTr="00685EF8">
        <w:trPr>
          <w:trHeight w:val="286"/>
        </w:trPr>
        <w:tc>
          <w:tcPr>
            <w:tcW w:w="1520" w:type="dxa"/>
            <w:tcBorders>
              <w:top w:val="nil"/>
              <w:left w:val="single" w:sz="8" w:space="0" w:color="auto"/>
              <w:bottom w:val="single" w:sz="4" w:space="0" w:color="auto"/>
              <w:right w:val="single" w:sz="8" w:space="0" w:color="auto"/>
            </w:tcBorders>
            <w:shd w:val="clear" w:color="auto" w:fill="auto"/>
            <w:noWrap/>
            <w:vAlign w:val="center"/>
            <w:hideMark/>
          </w:tcPr>
          <w:p w14:paraId="0FC0866E"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3700</w:t>
            </w:r>
          </w:p>
        </w:tc>
        <w:tc>
          <w:tcPr>
            <w:tcW w:w="222" w:type="dxa"/>
            <w:tcBorders>
              <w:top w:val="nil"/>
              <w:left w:val="nil"/>
              <w:bottom w:val="nil"/>
              <w:right w:val="nil"/>
            </w:tcBorders>
            <w:shd w:val="clear" w:color="auto" w:fill="auto"/>
            <w:noWrap/>
            <w:vAlign w:val="bottom"/>
            <w:hideMark/>
          </w:tcPr>
          <w:p w14:paraId="67F1F526"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509" w:type="dxa"/>
            <w:tcBorders>
              <w:top w:val="nil"/>
              <w:left w:val="single" w:sz="8" w:space="0" w:color="auto"/>
              <w:bottom w:val="single" w:sz="4" w:space="0" w:color="auto"/>
              <w:right w:val="single" w:sz="4" w:space="0" w:color="auto"/>
            </w:tcBorders>
            <w:shd w:val="clear" w:color="auto" w:fill="auto"/>
            <w:noWrap/>
            <w:vAlign w:val="center"/>
            <w:hideMark/>
          </w:tcPr>
          <w:p w14:paraId="4856AA6D"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57.488</w:t>
            </w:r>
          </w:p>
        </w:tc>
        <w:tc>
          <w:tcPr>
            <w:tcW w:w="2068" w:type="dxa"/>
            <w:tcBorders>
              <w:top w:val="nil"/>
              <w:left w:val="nil"/>
              <w:bottom w:val="single" w:sz="4" w:space="0" w:color="auto"/>
              <w:right w:val="single" w:sz="8" w:space="0" w:color="auto"/>
            </w:tcBorders>
            <w:shd w:val="clear" w:color="auto" w:fill="auto"/>
            <w:noWrap/>
            <w:vAlign w:val="center"/>
            <w:hideMark/>
          </w:tcPr>
          <w:p w14:paraId="3FD5043E"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166.252</w:t>
            </w:r>
          </w:p>
        </w:tc>
        <w:tc>
          <w:tcPr>
            <w:tcW w:w="236" w:type="dxa"/>
            <w:tcBorders>
              <w:top w:val="nil"/>
              <w:left w:val="nil"/>
              <w:bottom w:val="nil"/>
              <w:right w:val="nil"/>
            </w:tcBorders>
            <w:shd w:val="clear" w:color="auto" w:fill="auto"/>
            <w:noWrap/>
            <w:vAlign w:val="bottom"/>
            <w:hideMark/>
          </w:tcPr>
          <w:p w14:paraId="6A10A6E5"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4" w:space="0" w:color="auto"/>
              <w:right w:val="single" w:sz="4" w:space="0" w:color="auto"/>
            </w:tcBorders>
            <w:shd w:val="clear" w:color="auto" w:fill="auto"/>
            <w:noWrap/>
            <w:vAlign w:val="center"/>
            <w:hideMark/>
          </w:tcPr>
          <w:p w14:paraId="1BDFA05F"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62.932</w:t>
            </w:r>
          </w:p>
        </w:tc>
        <w:tc>
          <w:tcPr>
            <w:tcW w:w="1985" w:type="dxa"/>
            <w:tcBorders>
              <w:top w:val="nil"/>
              <w:left w:val="nil"/>
              <w:bottom w:val="single" w:sz="4" w:space="0" w:color="auto"/>
              <w:right w:val="single" w:sz="8" w:space="0" w:color="auto"/>
            </w:tcBorders>
            <w:shd w:val="clear" w:color="auto" w:fill="auto"/>
            <w:noWrap/>
            <w:vAlign w:val="center"/>
            <w:hideMark/>
          </w:tcPr>
          <w:p w14:paraId="6D1815AE"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196.685</w:t>
            </w:r>
          </w:p>
        </w:tc>
      </w:tr>
      <w:tr w:rsidR="00685EF8" w:rsidRPr="00685EF8" w14:paraId="7A5B692F" w14:textId="77777777" w:rsidTr="00685EF8">
        <w:trPr>
          <w:trHeight w:val="286"/>
        </w:trPr>
        <w:tc>
          <w:tcPr>
            <w:tcW w:w="1520" w:type="dxa"/>
            <w:tcBorders>
              <w:top w:val="nil"/>
              <w:left w:val="single" w:sz="8" w:space="0" w:color="auto"/>
              <w:bottom w:val="single" w:sz="4" w:space="0" w:color="auto"/>
              <w:right w:val="single" w:sz="8" w:space="0" w:color="auto"/>
            </w:tcBorders>
            <w:shd w:val="clear" w:color="auto" w:fill="auto"/>
            <w:noWrap/>
            <w:vAlign w:val="center"/>
            <w:hideMark/>
          </w:tcPr>
          <w:p w14:paraId="5D31535B"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lastRenderedPageBreak/>
              <w:t>3800</w:t>
            </w:r>
          </w:p>
        </w:tc>
        <w:tc>
          <w:tcPr>
            <w:tcW w:w="222" w:type="dxa"/>
            <w:tcBorders>
              <w:top w:val="nil"/>
              <w:left w:val="nil"/>
              <w:bottom w:val="nil"/>
              <w:right w:val="nil"/>
            </w:tcBorders>
            <w:shd w:val="clear" w:color="auto" w:fill="auto"/>
            <w:noWrap/>
            <w:vAlign w:val="bottom"/>
            <w:hideMark/>
          </w:tcPr>
          <w:p w14:paraId="4857C2B1"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509" w:type="dxa"/>
            <w:tcBorders>
              <w:top w:val="nil"/>
              <w:left w:val="single" w:sz="8" w:space="0" w:color="auto"/>
              <w:bottom w:val="single" w:sz="4" w:space="0" w:color="auto"/>
              <w:right w:val="single" w:sz="4" w:space="0" w:color="auto"/>
            </w:tcBorders>
            <w:shd w:val="clear" w:color="auto" w:fill="auto"/>
            <w:noWrap/>
            <w:vAlign w:val="center"/>
            <w:hideMark/>
          </w:tcPr>
          <w:p w14:paraId="69D4EB12"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57.676</w:t>
            </w:r>
          </w:p>
        </w:tc>
        <w:tc>
          <w:tcPr>
            <w:tcW w:w="2068" w:type="dxa"/>
            <w:tcBorders>
              <w:top w:val="nil"/>
              <w:left w:val="nil"/>
              <w:bottom w:val="single" w:sz="4" w:space="0" w:color="auto"/>
              <w:right w:val="single" w:sz="8" w:space="0" w:color="auto"/>
            </w:tcBorders>
            <w:shd w:val="clear" w:color="auto" w:fill="auto"/>
            <w:noWrap/>
            <w:vAlign w:val="center"/>
            <w:hideMark/>
          </w:tcPr>
          <w:p w14:paraId="284B0B86"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172.011</w:t>
            </w:r>
          </w:p>
        </w:tc>
        <w:tc>
          <w:tcPr>
            <w:tcW w:w="236" w:type="dxa"/>
            <w:tcBorders>
              <w:top w:val="nil"/>
              <w:left w:val="nil"/>
              <w:bottom w:val="nil"/>
              <w:right w:val="nil"/>
            </w:tcBorders>
            <w:shd w:val="clear" w:color="auto" w:fill="auto"/>
            <w:noWrap/>
            <w:vAlign w:val="bottom"/>
            <w:hideMark/>
          </w:tcPr>
          <w:p w14:paraId="6205E26D"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4" w:space="0" w:color="auto"/>
              <w:right w:val="single" w:sz="4" w:space="0" w:color="auto"/>
            </w:tcBorders>
            <w:shd w:val="clear" w:color="auto" w:fill="auto"/>
            <w:noWrap/>
            <w:vAlign w:val="center"/>
            <w:hideMark/>
          </w:tcPr>
          <w:p w14:paraId="16CC6C22"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63.041</w:t>
            </w:r>
          </w:p>
        </w:tc>
        <w:tc>
          <w:tcPr>
            <w:tcW w:w="1985" w:type="dxa"/>
            <w:tcBorders>
              <w:top w:val="nil"/>
              <w:left w:val="nil"/>
              <w:bottom w:val="single" w:sz="4" w:space="0" w:color="auto"/>
              <w:right w:val="single" w:sz="8" w:space="0" w:color="auto"/>
            </w:tcBorders>
            <w:shd w:val="clear" w:color="auto" w:fill="auto"/>
            <w:noWrap/>
            <w:vAlign w:val="center"/>
            <w:hideMark/>
          </w:tcPr>
          <w:p w14:paraId="3B5D037B"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202.983</w:t>
            </w:r>
          </w:p>
        </w:tc>
      </w:tr>
      <w:tr w:rsidR="00685EF8" w:rsidRPr="00685EF8" w14:paraId="2B9573C6" w14:textId="77777777" w:rsidTr="00685EF8">
        <w:trPr>
          <w:trHeight w:val="286"/>
        </w:trPr>
        <w:tc>
          <w:tcPr>
            <w:tcW w:w="1520" w:type="dxa"/>
            <w:tcBorders>
              <w:top w:val="nil"/>
              <w:left w:val="single" w:sz="8" w:space="0" w:color="auto"/>
              <w:bottom w:val="single" w:sz="4" w:space="0" w:color="auto"/>
              <w:right w:val="single" w:sz="8" w:space="0" w:color="auto"/>
            </w:tcBorders>
            <w:shd w:val="clear" w:color="auto" w:fill="auto"/>
            <w:noWrap/>
            <w:vAlign w:val="center"/>
            <w:hideMark/>
          </w:tcPr>
          <w:p w14:paraId="1FDF38AC"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3900</w:t>
            </w:r>
          </w:p>
        </w:tc>
        <w:tc>
          <w:tcPr>
            <w:tcW w:w="222" w:type="dxa"/>
            <w:tcBorders>
              <w:top w:val="nil"/>
              <w:left w:val="nil"/>
              <w:bottom w:val="nil"/>
              <w:right w:val="nil"/>
            </w:tcBorders>
            <w:shd w:val="clear" w:color="auto" w:fill="auto"/>
            <w:noWrap/>
            <w:vAlign w:val="bottom"/>
            <w:hideMark/>
          </w:tcPr>
          <w:p w14:paraId="518DD70E"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509" w:type="dxa"/>
            <w:tcBorders>
              <w:top w:val="nil"/>
              <w:left w:val="single" w:sz="8" w:space="0" w:color="auto"/>
              <w:bottom w:val="single" w:sz="4" w:space="0" w:color="auto"/>
              <w:right w:val="single" w:sz="4" w:space="0" w:color="auto"/>
            </w:tcBorders>
            <w:shd w:val="clear" w:color="auto" w:fill="auto"/>
            <w:noWrap/>
            <w:vAlign w:val="center"/>
            <w:hideMark/>
          </w:tcPr>
          <w:p w14:paraId="4980133F"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57.856</w:t>
            </w:r>
          </w:p>
        </w:tc>
        <w:tc>
          <w:tcPr>
            <w:tcW w:w="2068" w:type="dxa"/>
            <w:tcBorders>
              <w:top w:val="nil"/>
              <w:left w:val="nil"/>
              <w:bottom w:val="single" w:sz="4" w:space="0" w:color="auto"/>
              <w:right w:val="single" w:sz="8" w:space="0" w:color="auto"/>
            </w:tcBorders>
            <w:shd w:val="clear" w:color="auto" w:fill="auto"/>
            <w:noWrap/>
            <w:vAlign w:val="center"/>
            <w:hideMark/>
          </w:tcPr>
          <w:p w14:paraId="516F2596"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177.787</w:t>
            </w:r>
          </w:p>
        </w:tc>
        <w:tc>
          <w:tcPr>
            <w:tcW w:w="236" w:type="dxa"/>
            <w:tcBorders>
              <w:top w:val="nil"/>
              <w:left w:val="nil"/>
              <w:bottom w:val="nil"/>
              <w:right w:val="nil"/>
            </w:tcBorders>
            <w:shd w:val="clear" w:color="auto" w:fill="auto"/>
            <w:noWrap/>
            <w:vAlign w:val="bottom"/>
            <w:hideMark/>
          </w:tcPr>
          <w:p w14:paraId="3001D332"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4" w:space="0" w:color="auto"/>
              <w:right w:val="single" w:sz="4" w:space="0" w:color="auto"/>
            </w:tcBorders>
            <w:shd w:val="clear" w:color="auto" w:fill="auto"/>
            <w:noWrap/>
            <w:vAlign w:val="center"/>
            <w:hideMark/>
          </w:tcPr>
          <w:p w14:paraId="510FE7A0"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63.151</w:t>
            </w:r>
          </w:p>
        </w:tc>
        <w:tc>
          <w:tcPr>
            <w:tcW w:w="1985" w:type="dxa"/>
            <w:tcBorders>
              <w:top w:val="nil"/>
              <w:left w:val="nil"/>
              <w:bottom w:val="single" w:sz="4" w:space="0" w:color="auto"/>
              <w:right w:val="single" w:sz="8" w:space="0" w:color="auto"/>
            </w:tcBorders>
            <w:shd w:val="clear" w:color="auto" w:fill="auto"/>
            <w:noWrap/>
            <w:vAlign w:val="center"/>
            <w:hideMark/>
          </w:tcPr>
          <w:p w14:paraId="6A35C362"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209.293</w:t>
            </w:r>
          </w:p>
        </w:tc>
      </w:tr>
      <w:tr w:rsidR="00685EF8" w:rsidRPr="00685EF8" w14:paraId="2790AB9C" w14:textId="77777777" w:rsidTr="00685EF8">
        <w:trPr>
          <w:trHeight w:val="286"/>
        </w:trPr>
        <w:tc>
          <w:tcPr>
            <w:tcW w:w="1520" w:type="dxa"/>
            <w:tcBorders>
              <w:top w:val="nil"/>
              <w:left w:val="single" w:sz="8" w:space="0" w:color="auto"/>
              <w:bottom w:val="single" w:sz="4" w:space="0" w:color="auto"/>
              <w:right w:val="single" w:sz="8" w:space="0" w:color="auto"/>
            </w:tcBorders>
            <w:shd w:val="clear" w:color="auto" w:fill="auto"/>
            <w:noWrap/>
            <w:vAlign w:val="center"/>
            <w:hideMark/>
          </w:tcPr>
          <w:p w14:paraId="1F873F5C"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4000</w:t>
            </w:r>
          </w:p>
        </w:tc>
        <w:tc>
          <w:tcPr>
            <w:tcW w:w="222" w:type="dxa"/>
            <w:tcBorders>
              <w:top w:val="nil"/>
              <w:left w:val="nil"/>
              <w:bottom w:val="nil"/>
              <w:right w:val="nil"/>
            </w:tcBorders>
            <w:shd w:val="clear" w:color="auto" w:fill="auto"/>
            <w:noWrap/>
            <w:vAlign w:val="bottom"/>
            <w:hideMark/>
          </w:tcPr>
          <w:p w14:paraId="22966A64"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509" w:type="dxa"/>
            <w:tcBorders>
              <w:top w:val="nil"/>
              <w:left w:val="single" w:sz="8" w:space="0" w:color="auto"/>
              <w:bottom w:val="single" w:sz="4" w:space="0" w:color="auto"/>
              <w:right w:val="single" w:sz="4" w:space="0" w:color="auto"/>
            </w:tcBorders>
            <w:shd w:val="clear" w:color="auto" w:fill="auto"/>
            <w:noWrap/>
            <w:vAlign w:val="center"/>
            <w:hideMark/>
          </w:tcPr>
          <w:p w14:paraId="7F7C3A1E"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58.026</w:t>
            </w:r>
          </w:p>
        </w:tc>
        <w:tc>
          <w:tcPr>
            <w:tcW w:w="2068" w:type="dxa"/>
            <w:tcBorders>
              <w:top w:val="nil"/>
              <w:left w:val="nil"/>
              <w:bottom w:val="single" w:sz="4" w:space="0" w:color="auto"/>
              <w:right w:val="single" w:sz="8" w:space="0" w:color="auto"/>
            </w:tcBorders>
            <w:shd w:val="clear" w:color="auto" w:fill="auto"/>
            <w:noWrap/>
            <w:vAlign w:val="center"/>
            <w:hideMark/>
          </w:tcPr>
          <w:p w14:paraId="5BCE8F27"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183.582</w:t>
            </w:r>
          </w:p>
        </w:tc>
        <w:tc>
          <w:tcPr>
            <w:tcW w:w="236" w:type="dxa"/>
            <w:tcBorders>
              <w:top w:val="nil"/>
              <w:left w:val="nil"/>
              <w:bottom w:val="nil"/>
              <w:right w:val="nil"/>
            </w:tcBorders>
            <w:shd w:val="clear" w:color="auto" w:fill="auto"/>
            <w:noWrap/>
            <w:vAlign w:val="bottom"/>
            <w:hideMark/>
          </w:tcPr>
          <w:p w14:paraId="1E56A78F"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4" w:space="0" w:color="auto"/>
              <w:right w:val="single" w:sz="4" w:space="0" w:color="auto"/>
            </w:tcBorders>
            <w:shd w:val="clear" w:color="auto" w:fill="auto"/>
            <w:noWrap/>
            <w:vAlign w:val="center"/>
            <w:hideMark/>
          </w:tcPr>
          <w:p w14:paraId="7D66CAFF"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63.261</w:t>
            </w:r>
          </w:p>
        </w:tc>
        <w:tc>
          <w:tcPr>
            <w:tcW w:w="1985" w:type="dxa"/>
            <w:tcBorders>
              <w:top w:val="nil"/>
              <w:left w:val="nil"/>
              <w:bottom w:val="single" w:sz="4" w:space="0" w:color="auto"/>
              <w:right w:val="single" w:sz="8" w:space="0" w:color="auto"/>
            </w:tcBorders>
            <w:shd w:val="clear" w:color="auto" w:fill="auto"/>
            <w:noWrap/>
            <w:vAlign w:val="center"/>
            <w:hideMark/>
          </w:tcPr>
          <w:p w14:paraId="6B86A5B9"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215.613</w:t>
            </w:r>
          </w:p>
        </w:tc>
      </w:tr>
      <w:tr w:rsidR="00685EF8" w:rsidRPr="00685EF8" w14:paraId="36FA17F6" w14:textId="77777777" w:rsidTr="00685EF8">
        <w:trPr>
          <w:trHeight w:val="286"/>
        </w:trPr>
        <w:tc>
          <w:tcPr>
            <w:tcW w:w="1520" w:type="dxa"/>
            <w:tcBorders>
              <w:top w:val="nil"/>
              <w:left w:val="single" w:sz="8" w:space="0" w:color="auto"/>
              <w:bottom w:val="single" w:sz="4" w:space="0" w:color="auto"/>
              <w:right w:val="single" w:sz="8" w:space="0" w:color="auto"/>
            </w:tcBorders>
            <w:shd w:val="clear" w:color="auto" w:fill="auto"/>
            <w:noWrap/>
            <w:vAlign w:val="center"/>
            <w:hideMark/>
          </w:tcPr>
          <w:p w14:paraId="74144DD2"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4100</w:t>
            </w:r>
          </w:p>
        </w:tc>
        <w:tc>
          <w:tcPr>
            <w:tcW w:w="222" w:type="dxa"/>
            <w:tcBorders>
              <w:top w:val="nil"/>
              <w:left w:val="nil"/>
              <w:bottom w:val="nil"/>
              <w:right w:val="nil"/>
            </w:tcBorders>
            <w:shd w:val="clear" w:color="auto" w:fill="auto"/>
            <w:noWrap/>
            <w:vAlign w:val="bottom"/>
            <w:hideMark/>
          </w:tcPr>
          <w:p w14:paraId="49FA5C70"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509" w:type="dxa"/>
            <w:tcBorders>
              <w:top w:val="nil"/>
              <w:left w:val="single" w:sz="8" w:space="0" w:color="auto"/>
              <w:bottom w:val="single" w:sz="4" w:space="0" w:color="auto"/>
              <w:right w:val="single" w:sz="4" w:space="0" w:color="auto"/>
            </w:tcBorders>
            <w:shd w:val="clear" w:color="auto" w:fill="auto"/>
            <w:noWrap/>
            <w:vAlign w:val="center"/>
            <w:hideMark/>
          </w:tcPr>
          <w:p w14:paraId="24B904F0"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58.19</w:t>
            </w:r>
          </w:p>
        </w:tc>
        <w:tc>
          <w:tcPr>
            <w:tcW w:w="2068" w:type="dxa"/>
            <w:tcBorders>
              <w:top w:val="nil"/>
              <w:left w:val="nil"/>
              <w:bottom w:val="single" w:sz="4" w:space="0" w:color="auto"/>
              <w:right w:val="single" w:sz="8" w:space="0" w:color="auto"/>
            </w:tcBorders>
            <w:shd w:val="clear" w:color="auto" w:fill="auto"/>
            <w:noWrap/>
            <w:vAlign w:val="center"/>
            <w:hideMark/>
          </w:tcPr>
          <w:p w14:paraId="68FF3344"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189.392</w:t>
            </w:r>
          </w:p>
        </w:tc>
        <w:tc>
          <w:tcPr>
            <w:tcW w:w="236" w:type="dxa"/>
            <w:tcBorders>
              <w:top w:val="nil"/>
              <w:left w:val="nil"/>
              <w:bottom w:val="nil"/>
              <w:right w:val="nil"/>
            </w:tcBorders>
            <w:shd w:val="clear" w:color="auto" w:fill="auto"/>
            <w:noWrap/>
            <w:vAlign w:val="bottom"/>
            <w:hideMark/>
          </w:tcPr>
          <w:p w14:paraId="215EADDE"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4" w:space="0" w:color="auto"/>
              <w:right w:val="single" w:sz="4" w:space="0" w:color="auto"/>
            </w:tcBorders>
            <w:shd w:val="clear" w:color="auto" w:fill="auto"/>
            <w:noWrap/>
            <w:vAlign w:val="center"/>
            <w:hideMark/>
          </w:tcPr>
          <w:p w14:paraId="4840E248"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63.369</w:t>
            </w:r>
          </w:p>
        </w:tc>
        <w:tc>
          <w:tcPr>
            <w:tcW w:w="1985" w:type="dxa"/>
            <w:tcBorders>
              <w:top w:val="nil"/>
              <w:left w:val="nil"/>
              <w:bottom w:val="single" w:sz="4" w:space="0" w:color="auto"/>
              <w:right w:val="single" w:sz="8" w:space="0" w:color="auto"/>
            </w:tcBorders>
            <w:shd w:val="clear" w:color="auto" w:fill="auto"/>
            <w:noWrap/>
            <w:vAlign w:val="center"/>
            <w:hideMark/>
          </w:tcPr>
          <w:p w14:paraId="7C35CCAE"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221.945</w:t>
            </w:r>
          </w:p>
        </w:tc>
      </w:tr>
      <w:tr w:rsidR="00685EF8" w:rsidRPr="00685EF8" w14:paraId="37C8694A" w14:textId="77777777" w:rsidTr="00685EF8">
        <w:trPr>
          <w:trHeight w:val="286"/>
        </w:trPr>
        <w:tc>
          <w:tcPr>
            <w:tcW w:w="1520" w:type="dxa"/>
            <w:tcBorders>
              <w:top w:val="nil"/>
              <w:left w:val="single" w:sz="8" w:space="0" w:color="auto"/>
              <w:bottom w:val="single" w:sz="4" w:space="0" w:color="auto"/>
              <w:right w:val="single" w:sz="8" w:space="0" w:color="auto"/>
            </w:tcBorders>
            <w:shd w:val="clear" w:color="auto" w:fill="auto"/>
            <w:noWrap/>
            <w:vAlign w:val="center"/>
            <w:hideMark/>
          </w:tcPr>
          <w:p w14:paraId="33760FCF"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4200</w:t>
            </w:r>
          </w:p>
        </w:tc>
        <w:tc>
          <w:tcPr>
            <w:tcW w:w="222" w:type="dxa"/>
            <w:tcBorders>
              <w:top w:val="nil"/>
              <w:left w:val="nil"/>
              <w:bottom w:val="nil"/>
              <w:right w:val="nil"/>
            </w:tcBorders>
            <w:shd w:val="clear" w:color="auto" w:fill="auto"/>
            <w:noWrap/>
            <w:vAlign w:val="bottom"/>
            <w:hideMark/>
          </w:tcPr>
          <w:p w14:paraId="53495110"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509" w:type="dxa"/>
            <w:tcBorders>
              <w:top w:val="nil"/>
              <w:left w:val="single" w:sz="8" w:space="0" w:color="auto"/>
              <w:bottom w:val="single" w:sz="4" w:space="0" w:color="auto"/>
              <w:right w:val="single" w:sz="4" w:space="0" w:color="auto"/>
            </w:tcBorders>
            <w:shd w:val="clear" w:color="auto" w:fill="auto"/>
            <w:noWrap/>
            <w:vAlign w:val="center"/>
            <w:hideMark/>
          </w:tcPr>
          <w:p w14:paraId="3EB7BCFC"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58.346</w:t>
            </w:r>
          </w:p>
        </w:tc>
        <w:tc>
          <w:tcPr>
            <w:tcW w:w="2068" w:type="dxa"/>
            <w:tcBorders>
              <w:top w:val="nil"/>
              <w:left w:val="nil"/>
              <w:bottom w:val="single" w:sz="4" w:space="0" w:color="auto"/>
              <w:right w:val="single" w:sz="8" w:space="0" w:color="auto"/>
            </w:tcBorders>
            <w:shd w:val="clear" w:color="auto" w:fill="auto"/>
            <w:noWrap/>
            <w:vAlign w:val="center"/>
            <w:hideMark/>
          </w:tcPr>
          <w:p w14:paraId="29D9F826"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195.219</w:t>
            </w:r>
          </w:p>
        </w:tc>
        <w:tc>
          <w:tcPr>
            <w:tcW w:w="236" w:type="dxa"/>
            <w:tcBorders>
              <w:top w:val="nil"/>
              <w:left w:val="nil"/>
              <w:bottom w:val="nil"/>
              <w:right w:val="nil"/>
            </w:tcBorders>
            <w:shd w:val="clear" w:color="auto" w:fill="auto"/>
            <w:noWrap/>
            <w:vAlign w:val="bottom"/>
            <w:hideMark/>
          </w:tcPr>
          <w:p w14:paraId="2A119329"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4" w:space="0" w:color="auto"/>
              <w:right w:val="single" w:sz="4" w:space="0" w:color="auto"/>
            </w:tcBorders>
            <w:shd w:val="clear" w:color="auto" w:fill="auto"/>
            <w:noWrap/>
            <w:vAlign w:val="center"/>
            <w:hideMark/>
          </w:tcPr>
          <w:p w14:paraId="7F475F10"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63.474</w:t>
            </w:r>
          </w:p>
        </w:tc>
        <w:tc>
          <w:tcPr>
            <w:tcW w:w="1985" w:type="dxa"/>
            <w:tcBorders>
              <w:top w:val="nil"/>
              <w:left w:val="nil"/>
              <w:bottom w:val="single" w:sz="4" w:space="0" w:color="auto"/>
              <w:right w:val="single" w:sz="8" w:space="0" w:color="auto"/>
            </w:tcBorders>
            <w:shd w:val="clear" w:color="auto" w:fill="auto"/>
            <w:noWrap/>
            <w:vAlign w:val="center"/>
            <w:hideMark/>
          </w:tcPr>
          <w:p w14:paraId="7016DA7A"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228.287</w:t>
            </w:r>
          </w:p>
        </w:tc>
      </w:tr>
      <w:tr w:rsidR="00685EF8" w:rsidRPr="00685EF8" w14:paraId="64B01A1E" w14:textId="77777777" w:rsidTr="00685EF8">
        <w:trPr>
          <w:trHeight w:val="286"/>
        </w:trPr>
        <w:tc>
          <w:tcPr>
            <w:tcW w:w="1520" w:type="dxa"/>
            <w:tcBorders>
              <w:top w:val="nil"/>
              <w:left w:val="single" w:sz="8" w:space="0" w:color="auto"/>
              <w:bottom w:val="single" w:sz="4" w:space="0" w:color="auto"/>
              <w:right w:val="single" w:sz="8" w:space="0" w:color="auto"/>
            </w:tcBorders>
            <w:shd w:val="clear" w:color="auto" w:fill="auto"/>
            <w:noWrap/>
            <w:vAlign w:val="center"/>
            <w:hideMark/>
          </w:tcPr>
          <w:p w14:paraId="1E7C162C"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4300</w:t>
            </w:r>
          </w:p>
        </w:tc>
        <w:tc>
          <w:tcPr>
            <w:tcW w:w="222" w:type="dxa"/>
            <w:tcBorders>
              <w:top w:val="nil"/>
              <w:left w:val="nil"/>
              <w:bottom w:val="nil"/>
              <w:right w:val="nil"/>
            </w:tcBorders>
            <w:shd w:val="clear" w:color="auto" w:fill="auto"/>
            <w:noWrap/>
            <w:vAlign w:val="bottom"/>
            <w:hideMark/>
          </w:tcPr>
          <w:p w14:paraId="196B6B1B"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509" w:type="dxa"/>
            <w:tcBorders>
              <w:top w:val="nil"/>
              <w:left w:val="single" w:sz="8" w:space="0" w:color="auto"/>
              <w:bottom w:val="single" w:sz="4" w:space="0" w:color="auto"/>
              <w:right w:val="single" w:sz="4" w:space="0" w:color="auto"/>
            </w:tcBorders>
            <w:shd w:val="clear" w:color="auto" w:fill="auto"/>
            <w:noWrap/>
            <w:vAlign w:val="center"/>
            <w:hideMark/>
          </w:tcPr>
          <w:p w14:paraId="48F8AB79"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58.496</w:t>
            </w:r>
          </w:p>
        </w:tc>
        <w:tc>
          <w:tcPr>
            <w:tcW w:w="2068" w:type="dxa"/>
            <w:tcBorders>
              <w:top w:val="nil"/>
              <w:left w:val="nil"/>
              <w:bottom w:val="single" w:sz="4" w:space="0" w:color="auto"/>
              <w:right w:val="single" w:sz="8" w:space="0" w:color="auto"/>
            </w:tcBorders>
            <w:shd w:val="clear" w:color="auto" w:fill="auto"/>
            <w:noWrap/>
            <w:vAlign w:val="center"/>
            <w:hideMark/>
          </w:tcPr>
          <w:p w14:paraId="06D7116F"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201.061</w:t>
            </w:r>
          </w:p>
        </w:tc>
        <w:tc>
          <w:tcPr>
            <w:tcW w:w="236" w:type="dxa"/>
            <w:tcBorders>
              <w:top w:val="nil"/>
              <w:left w:val="nil"/>
              <w:bottom w:val="nil"/>
              <w:right w:val="nil"/>
            </w:tcBorders>
            <w:shd w:val="clear" w:color="auto" w:fill="auto"/>
            <w:noWrap/>
            <w:vAlign w:val="bottom"/>
            <w:hideMark/>
          </w:tcPr>
          <w:p w14:paraId="03C485F3"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4" w:space="0" w:color="auto"/>
              <w:right w:val="single" w:sz="4" w:space="0" w:color="auto"/>
            </w:tcBorders>
            <w:shd w:val="clear" w:color="auto" w:fill="auto"/>
            <w:noWrap/>
            <w:vAlign w:val="center"/>
            <w:hideMark/>
          </w:tcPr>
          <w:p w14:paraId="25537EB7"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63.575</w:t>
            </w:r>
          </w:p>
        </w:tc>
        <w:tc>
          <w:tcPr>
            <w:tcW w:w="1985" w:type="dxa"/>
            <w:tcBorders>
              <w:top w:val="nil"/>
              <w:left w:val="nil"/>
              <w:bottom w:val="single" w:sz="4" w:space="0" w:color="auto"/>
              <w:right w:val="single" w:sz="8" w:space="0" w:color="auto"/>
            </w:tcBorders>
            <w:shd w:val="clear" w:color="auto" w:fill="auto"/>
            <w:noWrap/>
            <w:vAlign w:val="center"/>
            <w:hideMark/>
          </w:tcPr>
          <w:p w14:paraId="0F30F83E"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234.64</w:t>
            </w:r>
          </w:p>
        </w:tc>
      </w:tr>
      <w:tr w:rsidR="00685EF8" w:rsidRPr="00685EF8" w14:paraId="3BEED0AD" w14:textId="77777777" w:rsidTr="00685EF8">
        <w:trPr>
          <w:trHeight w:val="286"/>
        </w:trPr>
        <w:tc>
          <w:tcPr>
            <w:tcW w:w="1520" w:type="dxa"/>
            <w:tcBorders>
              <w:top w:val="nil"/>
              <w:left w:val="single" w:sz="8" w:space="0" w:color="auto"/>
              <w:bottom w:val="single" w:sz="4" w:space="0" w:color="auto"/>
              <w:right w:val="single" w:sz="8" w:space="0" w:color="auto"/>
            </w:tcBorders>
            <w:shd w:val="clear" w:color="auto" w:fill="auto"/>
            <w:noWrap/>
            <w:vAlign w:val="center"/>
            <w:hideMark/>
          </w:tcPr>
          <w:p w14:paraId="52E6E88F"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4400</w:t>
            </w:r>
          </w:p>
        </w:tc>
        <w:tc>
          <w:tcPr>
            <w:tcW w:w="222" w:type="dxa"/>
            <w:tcBorders>
              <w:top w:val="nil"/>
              <w:left w:val="nil"/>
              <w:bottom w:val="nil"/>
              <w:right w:val="nil"/>
            </w:tcBorders>
            <w:shd w:val="clear" w:color="auto" w:fill="auto"/>
            <w:noWrap/>
            <w:vAlign w:val="bottom"/>
            <w:hideMark/>
          </w:tcPr>
          <w:p w14:paraId="7F7492DB"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509" w:type="dxa"/>
            <w:tcBorders>
              <w:top w:val="nil"/>
              <w:left w:val="single" w:sz="8" w:space="0" w:color="auto"/>
              <w:bottom w:val="single" w:sz="4" w:space="0" w:color="auto"/>
              <w:right w:val="single" w:sz="4" w:space="0" w:color="auto"/>
            </w:tcBorders>
            <w:shd w:val="clear" w:color="auto" w:fill="auto"/>
            <w:noWrap/>
            <w:vAlign w:val="center"/>
            <w:hideMark/>
          </w:tcPr>
          <w:p w14:paraId="3632E4C1"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58.641</w:t>
            </w:r>
          </w:p>
        </w:tc>
        <w:tc>
          <w:tcPr>
            <w:tcW w:w="2068" w:type="dxa"/>
            <w:tcBorders>
              <w:top w:val="nil"/>
              <w:left w:val="nil"/>
              <w:bottom w:val="single" w:sz="4" w:space="0" w:color="auto"/>
              <w:right w:val="single" w:sz="8" w:space="0" w:color="auto"/>
            </w:tcBorders>
            <w:shd w:val="clear" w:color="auto" w:fill="auto"/>
            <w:noWrap/>
            <w:vAlign w:val="center"/>
            <w:hideMark/>
          </w:tcPr>
          <w:p w14:paraId="597E8A11"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206.918</w:t>
            </w:r>
          </w:p>
        </w:tc>
        <w:tc>
          <w:tcPr>
            <w:tcW w:w="236" w:type="dxa"/>
            <w:tcBorders>
              <w:top w:val="nil"/>
              <w:left w:val="nil"/>
              <w:bottom w:val="nil"/>
              <w:right w:val="nil"/>
            </w:tcBorders>
            <w:shd w:val="clear" w:color="auto" w:fill="auto"/>
            <w:noWrap/>
            <w:vAlign w:val="bottom"/>
            <w:hideMark/>
          </w:tcPr>
          <w:p w14:paraId="668392BA"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4" w:space="0" w:color="auto"/>
              <w:right w:val="single" w:sz="4" w:space="0" w:color="auto"/>
            </w:tcBorders>
            <w:shd w:val="clear" w:color="auto" w:fill="auto"/>
            <w:noWrap/>
            <w:vAlign w:val="center"/>
            <w:hideMark/>
          </w:tcPr>
          <w:p w14:paraId="60A0E0A1"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63.669</w:t>
            </w:r>
          </w:p>
        </w:tc>
        <w:tc>
          <w:tcPr>
            <w:tcW w:w="1985" w:type="dxa"/>
            <w:tcBorders>
              <w:top w:val="nil"/>
              <w:left w:val="nil"/>
              <w:bottom w:val="single" w:sz="4" w:space="0" w:color="auto"/>
              <w:right w:val="single" w:sz="8" w:space="0" w:color="auto"/>
            </w:tcBorders>
            <w:shd w:val="clear" w:color="auto" w:fill="auto"/>
            <w:noWrap/>
            <w:vAlign w:val="center"/>
            <w:hideMark/>
          </w:tcPr>
          <w:p w14:paraId="16D67262"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241.002</w:t>
            </w:r>
          </w:p>
        </w:tc>
      </w:tr>
      <w:tr w:rsidR="00685EF8" w:rsidRPr="00685EF8" w14:paraId="422E8814" w14:textId="77777777" w:rsidTr="00685EF8">
        <w:trPr>
          <w:trHeight w:val="286"/>
        </w:trPr>
        <w:tc>
          <w:tcPr>
            <w:tcW w:w="1520" w:type="dxa"/>
            <w:tcBorders>
              <w:top w:val="nil"/>
              <w:left w:val="single" w:sz="8" w:space="0" w:color="auto"/>
              <w:bottom w:val="single" w:sz="4" w:space="0" w:color="auto"/>
              <w:right w:val="single" w:sz="8" w:space="0" w:color="auto"/>
            </w:tcBorders>
            <w:shd w:val="clear" w:color="auto" w:fill="auto"/>
            <w:noWrap/>
            <w:vAlign w:val="center"/>
            <w:hideMark/>
          </w:tcPr>
          <w:p w14:paraId="53C843BB"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4500</w:t>
            </w:r>
          </w:p>
        </w:tc>
        <w:tc>
          <w:tcPr>
            <w:tcW w:w="222" w:type="dxa"/>
            <w:tcBorders>
              <w:top w:val="nil"/>
              <w:left w:val="nil"/>
              <w:bottom w:val="nil"/>
              <w:right w:val="nil"/>
            </w:tcBorders>
            <w:shd w:val="clear" w:color="auto" w:fill="auto"/>
            <w:noWrap/>
            <w:vAlign w:val="bottom"/>
            <w:hideMark/>
          </w:tcPr>
          <w:p w14:paraId="44DB3054"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509" w:type="dxa"/>
            <w:tcBorders>
              <w:top w:val="nil"/>
              <w:left w:val="single" w:sz="8" w:space="0" w:color="auto"/>
              <w:bottom w:val="single" w:sz="4" w:space="0" w:color="auto"/>
              <w:right w:val="single" w:sz="4" w:space="0" w:color="auto"/>
            </w:tcBorders>
            <w:shd w:val="clear" w:color="auto" w:fill="auto"/>
            <w:noWrap/>
            <w:vAlign w:val="center"/>
            <w:hideMark/>
          </w:tcPr>
          <w:p w14:paraId="27D9E6BA"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58.781</w:t>
            </w:r>
          </w:p>
        </w:tc>
        <w:tc>
          <w:tcPr>
            <w:tcW w:w="2068" w:type="dxa"/>
            <w:tcBorders>
              <w:top w:val="nil"/>
              <w:left w:val="nil"/>
              <w:bottom w:val="single" w:sz="4" w:space="0" w:color="auto"/>
              <w:right w:val="single" w:sz="8" w:space="0" w:color="auto"/>
            </w:tcBorders>
            <w:shd w:val="clear" w:color="auto" w:fill="auto"/>
            <w:noWrap/>
            <w:vAlign w:val="center"/>
            <w:hideMark/>
          </w:tcPr>
          <w:p w14:paraId="6D7529BC"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212.79</w:t>
            </w:r>
          </w:p>
        </w:tc>
        <w:tc>
          <w:tcPr>
            <w:tcW w:w="236" w:type="dxa"/>
            <w:tcBorders>
              <w:top w:val="nil"/>
              <w:left w:val="nil"/>
              <w:bottom w:val="nil"/>
              <w:right w:val="nil"/>
            </w:tcBorders>
            <w:shd w:val="clear" w:color="auto" w:fill="auto"/>
            <w:noWrap/>
            <w:vAlign w:val="bottom"/>
            <w:hideMark/>
          </w:tcPr>
          <w:p w14:paraId="42CF0C08"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4" w:space="0" w:color="auto"/>
              <w:right w:val="single" w:sz="4" w:space="0" w:color="auto"/>
            </w:tcBorders>
            <w:shd w:val="clear" w:color="auto" w:fill="auto"/>
            <w:noWrap/>
            <w:vAlign w:val="center"/>
            <w:hideMark/>
          </w:tcPr>
          <w:p w14:paraId="1C0D56C4"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63.753</w:t>
            </w:r>
          </w:p>
        </w:tc>
        <w:tc>
          <w:tcPr>
            <w:tcW w:w="1985" w:type="dxa"/>
            <w:tcBorders>
              <w:top w:val="nil"/>
              <w:left w:val="nil"/>
              <w:bottom w:val="single" w:sz="4" w:space="0" w:color="auto"/>
              <w:right w:val="single" w:sz="8" w:space="0" w:color="auto"/>
            </w:tcBorders>
            <w:shd w:val="clear" w:color="auto" w:fill="auto"/>
            <w:noWrap/>
            <w:vAlign w:val="center"/>
            <w:hideMark/>
          </w:tcPr>
          <w:p w14:paraId="46C65819"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247.373</w:t>
            </w:r>
          </w:p>
        </w:tc>
      </w:tr>
      <w:tr w:rsidR="00685EF8" w:rsidRPr="00685EF8" w14:paraId="16216CE8" w14:textId="77777777" w:rsidTr="00685EF8">
        <w:trPr>
          <w:trHeight w:val="286"/>
        </w:trPr>
        <w:tc>
          <w:tcPr>
            <w:tcW w:w="1520" w:type="dxa"/>
            <w:tcBorders>
              <w:top w:val="nil"/>
              <w:left w:val="single" w:sz="8" w:space="0" w:color="auto"/>
              <w:bottom w:val="single" w:sz="4" w:space="0" w:color="auto"/>
              <w:right w:val="single" w:sz="8" w:space="0" w:color="auto"/>
            </w:tcBorders>
            <w:shd w:val="clear" w:color="auto" w:fill="auto"/>
            <w:noWrap/>
            <w:vAlign w:val="center"/>
            <w:hideMark/>
          </w:tcPr>
          <w:p w14:paraId="0E274EAC"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4600</w:t>
            </w:r>
          </w:p>
        </w:tc>
        <w:tc>
          <w:tcPr>
            <w:tcW w:w="222" w:type="dxa"/>
            <w:tcBorders>
              <w:top w:val="nil"/>
              <w:left w:val="nil"/>
              <w:bottom w:val="nil"/>
              <w:right w:val="nil"/>
            </w:tcBorders>
            <w:shd w:val="clear" w:color="auto" w:fill="auto"/>
            <w:noWrap/>
            <w:vAlign w:val="bottom"/>
            <w:hideMark/>
          </w:tcPr>
          <w:p w14:paraId="1501C313"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509" w:type="dxa"/>
            <w:tcBorders>
              <w:top w:val="nil"/>
              <w:left w:val="single" w:sz="8" w:space="0" w:color="auto"/>
              <w:bottom w:val="single" w:sz="4" w:space="0" w:color="auto"/>
              <w:right w:val="single" w:sz="4" w:space="0" w:color="auto"/>
            </w:tcBorders>
            <w:shd w:val="clear" w:color="auto" w:fill="auto"/>
            <w:noWrap/>
            <w:vAlign w:val="center"/>
            <w:hideMark/>
          </w:tcPr>
          <w:p w14:paraId="7FA57848"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58.916</w:t>
            </w:r>
          </w:p>
        </w:tc>
        <w:tc>
          <w:tcPr>
            <w:tcW w:w="2068" w:type="dxa"/>
            <w:tcBorders>
              <w:top w:val="nil"/>
              <w:left w:val="nil"/>
              <w:bottom w:val="single" w:sz="4" w:space="0" w:color="auto"/>
              <w:right w:val="single" w:sz="8" w:space="0" w:color="auto"/>
            </w:tcBorders>
            <w:shd w:val="clear" w:color="auto" w:fill="auto"/>
            <w:noWrap/>
            <w:vAlign w:val="center"/>
            <w:hideMark/>
          </w:tcPr>
          <w:p w14:paraId="0A044DD5"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218.674</w:t>
            </w:r>
          </w:p>
        </w:tc>
        <w:tc>
          <w:tcPr>
            <w:tcW w:w="236" w:type="dxa"/>
            <w:tcBorders>
              <w:top w:val="nil"/>
              <w:left w:val="nil"/>
              <w:bottom w:val="nil"/>
              <w:right w:val="nil"/>
            </w:tcBorders>
            <w:shd w:val="clear" w:color="auto" w:fill="auto"/>
            <w:noWrap/>
            <w:vAlign w:val="bottom"/>
            <w:hideMark/>
          </w:tcPr>
          <w:p w14:paraId="622A989A"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4" w:space="0" w:color="auto"/>
              <w:right w:val="single" w:sz="4" w:space="0" w:color="auto"/>
            </w:tcBorders>
            <w:shd w:val="clear" w:color="auto" w:fill="auto"/>
            <w:noWrap/>
            <w:vAlign w:val="center"/>
            <w:hideMark/>
          </w:tcPr>
          <w:p w14:paraId="172D3CF1"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63.825</w:t>
            </w:r>
          </w:p>
        </w:tc>
        <w:tc>
          <w:tcPr>
            <w:tcW w:w="1985" w:type="dxa"/>
            <w:tcBorders>
              <w:top w:val="nil"/>
              <w:left w:val="nil"/>
              <w:bottom w:val="single" w:sz="4" w:space="0" w:color="auto"/>
              <w:right w:val="single" w:sz="8" w:space="0" w:color="auto"/>
            </w:tcBorders>
            <w:shd w:val="clear" w:color="auto" w:fill="auto"/>
            <w:noWrap/>
            <w:vAlign w:val="center"/>
            <w:hideMark/>
          </w:tcPr>
          <w:p w14:paraId="3D8799BB"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253.752</w:t>
            </w:r>
          </w:p>
        </w:tc>
      </w:tr>
      <w:tr w:rsidR="00685EF8" w:rsidRPr="00685EF8" w14:paraId="169E6E12" w14:textId="77777777" w:rsidTr="00685EF8">
        <w:trPr>
          <w:trHeight w:val="286"/>
        </w:trPr>
        <w:tc>
          <w:tcPr>
            <w:tcW w:w="1520" w:type="dxa"/>
            <w:tcBorders>
              <w:top w:val="nil"/>
              <w:left w:val="single" w:sz="8" w:space="0" w:color="auto"/>
              <w:bottom w:val="single" w:sz="4" w:space="0" w:color="auto"/>
              <w:right w:val="single" w:sz="8" w:space="0" w:color="auto"/>
            </w:tcBorders>
            <w:shd w:val="clear" w:color="auto" w:fill="auto"/>
            <w:noWrap/>
            <w:vAlign w:val="center"/>
            <w:hideMark/>
          </w:tcPr>
          <w:p w14:paraId="1B5BCF2F"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4700</w:t>
            </w:r>
          </w:p>
        </w:tc>
        <w:tc>
          <w:tcPr>
            <w:tcW w:w="222" w:type="dxa"/>
            <w:tcBorders>
              <w:top w:val="nil"/>
              <w:left w:val="nil"/>
              <w:bottom w:val="nil"/>
              <w:right w:val="nil"/>
            </w:tcBorders>
            <w:shd w:val="clear" w:color="auto" w:fill="auto"/>
            <w:noWrap/>
            <w:vAlign w:val="bottom"/>
            <w:hideMark/>
          </w:tcPr>
          <w:p w14:paraId="2C27FBD1"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509" w:type="dxa"/>
            <w:tcBorders>
              <w:top w:val="nil"/>
              <w:left w:val="single" w:sz="8" w:space="0" w:color="auto"/>
              <w:bottom w:val="single" w:sz="4" w:space="0" w:color="auto"/>
              <w:right w:val="single" w:sz="4" w:space="0" w:color="auto"/>
            </w:tcBorders>
            <w:shd w:val="clear" w:color="auto" w:fill="auto"/>
            <w:noWrap/>
            <w:vAlign w:val="center"/>
            <w:hideMark/>
          </w:tcPr>
          <w:p w14:paraId="14F44E2E"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59.047</w:t>
            </w:r>
          </w:p>
        </w:tc>
        <w:tc>
          <w:tcPr>
            <w:tcW w:w="2068" w:type="dxa"/>
            <w:tcBorders>
              <w:top w:val="nil"/>
              <w:left w:val="nil"/>
              <w:bottom w:val="single" w:sz="4" w:space="0" w:color="auto"/>
              <w:right w:val="single" w:sz="8" w:space="0" w:color="auto"/>
            </w:tcBorders>
            <w:shd w:val="clear" w:color="auto" w:fill="auto"/>
            <w:noWrap/>
            <w:vAlign w:val="center"/>
            <w:hideMark/>
          </w:tcPr>
          <w:p w14:paraId="7B67F899"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224.573</w:t>
            </w:r>
          </w:p>
        </w:tc>
        <w:tc>
          <w:tcPr>
            <w:tcW w:w="236" w:type="dxa"/>
            <w:tcBorders>
              <w:top w:val="nil"/>
              <w:left w:val="nil"/>
              <w:bottom w:val="nil"/>
              <w:right w:val="nil"/>
            </w:tcBorders>
            <w:shd w:val="clear" w:color="auto" w:fill="auto"/>
            <w:noWrap/>
            <w:vAlign w:val="bottom"/>
            <w:hideMark/>
          </w:tcPr>
          <w:p w14:paraId="5EB90722"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4" w:space="0" w:color="auto"/>
              <w:right w:val="single" w:sz="4" w:space="0" w:color="auto"/>
            </w:tcBorders>
            <w:shd w:val="clear" w:color="auto" w:fill="auto"/>
            <w:noWrap/>
            <w:vAlign w:val="center"/>
            <w:hideMark/>
          </w:tcPr>
          <w:p w14:paraId="7B537F6F"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63.881</w:t>
            </w:r>
          </w:p>
        </w:tc>
        <w:tc>
          <w:tcPr>
            <w:tcW w:w="1985" w:type="dxa"/>
            <w:tcBorders>
              <w:top w:val="nil"/>
              <w:left w:val="nil"/>
              <w:bottom w:val="single" w:sz="4" w:space="0" w:color="auto"/>
              <w:right w:val="single" w:sz="8" w:space="0" w:color="auto"/>
            </w:tcBorders>
            <w:shd w:val="clear" w:color="auto" w:fill="auto"/>
            <w:noWrap/>
            <w:vAlign w:val="center"/>
            <w:hideMark/>
          </w:tcPr>
          <w:p w14:paraId="4D4CCE98"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260.138</w:t>
            </w:r>
          </w:p>
        </w:tc>
      </w:tr>
      <w:tr w:rsidR="00685EF8" w:rsidRPr="00685EF8" w14:paraId="25D674FE" w14:textId="77777777" w:rsidTr="00685EF8">
        <w:trPr>
          <w:trHeight w:val="286"/>
        </w:trPr>
        <w:tc>
          <w:tcPr>
            <w:tcW w:w="1520" w:type="dxa"/>
            <w:tcBorders>
              <w:top w:val="nil"/>
              <w:left w:val="single" w:sz="8" w:space="0" w:color="auto"/>
              <w:bottom w:val="single" w:sz="4" w:space="0" w:color="auto"/>
              <w:right w:val="single" w:sz="8" w:space="0" w:color="auto"/>
            </w:tcBorders>
            <w:shd w:val="clear" w:color="auto" w:fill="auto"/>
            <w:noWrap/>
            <w:vAlign w:val="center"/>
            <w:hideMark/>
          </w:tcPr>
          <w:p w14:paraId="56F15BA4"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4800</w:t>
            </w:r>
          </w:p>
        </w:tc>
        <w:tc>
          <w:tcPr>
            <w:tcW w:w="222" w:type="dxa"/>
            <w:tcBorders>
              <w:top w:val="nil"/>
              <w:left w:val="nil"/>
              <w:bottom w:val="nil"/>
              <w:right w:val="nil"/>
            </w:tcBorders>
            <w:shd w:val="clear" w:color="auto" w:fill="auto"/>
            <w:noWrap/>
            <w:vAlign w:val="bottom"/>
            <w:hideMark/>
          </w:tcPr>
          <w:p w14:paraId="045577C7"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509" w:type="dxa"/>
            <w:tcBorders>
              <w:top w:val="nil"/>
              <w:left w:val="single" w:sz="8" w:space="0" w:color="auto"/>
              <w:bottom w:val="single" w:sz="4" w:space="0" w:color="auto"/>
              <w:right w:val="single" w:sz="4" w:space="0" w:color="auto"/>
            </w:tcBorders>
            <w:shd w:val="clear" w:color="auto" w:fill="auto"/>
            <w:noWrap/>
            <w:vAlign w:val="center"/>
            <w:hideMark/>
          </w:tcPr>
          <w:p w14:paraId="5DE0AE8F"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59.173</w:t>
            </w:r>
          </w:p>
        </w:tc>
        <w:tc>
          <w:tcPr>
            <w:tcW w:w="2068" w:type="dxa"/>
            <w:tcBorders>
              <w:top w:val="nil"/>
              <w:left w:val="nil"/>
              <w:bottom w:val="single" w:sz="4" w:space="0" w:color="auto"/>
              <w:right w:val="single" w:sz="8" w:space="0" w:color="auto"/>
            </w:tcBorders>
            <w:shd w:val="clear" w:color="auto" w:fill="auto"/>
            <w:noWrap/>
            <w:vAlign w:val="center"/>
            <w:hideMark/>
          </w:tcPr>
          <w:p w14:paraId="0F9596AB"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230.484</w:t>
            </w:r>
          </w:p>
        </w:tc>
        <w:tc>
          <w:tcPr>
            <w:tcW w:w="236" w:type="dxa"/>
            <w:tcBorders>
              <w:top w:val="nil"/>
              <w:left w:val="nil"/>
              <w:bottom w:val="nil"/>
              <w:right w:val="nil"/>
            </w:tcBorders>
            <w:shd w:val="clear" w:color="auto" w:fill="auto"/>
            <w:noWrap/>
            <w:vAlign w:val="bottom"/>
            <w:hideMark/>
          </w:tcPr>
          <w:p w14:paraId="78C1D51E"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4" w:space="0" w:color="auto"/>
              <w:right w:val="single" w:sz="4" w:space="0" w:color="auto"/>
            </w:tcBorders>
            <w:shd w:val="clear" w:color="auto" w:fill="auto"/>
            <w:noWrap/>
            <w:vAlign w:val="center"/>
            <w:hideMark/>
          </w:tcPr>
          <w:p w14:paraId="3F19C62D"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63.918</w:t>
            </w:r>
          </w:p>
        </w:tc>
        <w:tc>
          <w:tcPr>
            <w:tcW w:w="1985" w:type="dxa"/>
            <w:tcBorders>
              <w:top w:val="nil"/>
              <w:left w:val="nil"/>
              <w:bottom w:val="single" w:sz="4" w:space="0" w:color="auto"/>
              <w:right w:val="single" w:sz="8" w:space="0" w:color="auto"/>
            </w:tcBorders>
            <w:shd w:val="clear" w:color="auto" w:fill="auto"/>
            <w:noWrap/>
            <w:vAlign w:val="center"/>
            <w:hideMark/>
          </w:tcPr>
          <w:p w14:paraId="5AD483F0"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266.528</w:t>
            </w:r>
          </w:p>
        </w:tc>
      </w:tr>
      <w:tr w:rsidR="00685EF8" w:rsidRPr="00685EF8" w14:paraId="0A24CDBF" w14:textId="77777777" w:rsidTr="00685EF8">
        <w:trPr>
          <w:trHeight w:val="286"/>
        </w:trPr>
        <w:tc>
          <w:tcPr>
            <w:tcW w:w="1520" w:type="dxa"/>
            <w:tcBorders>
              <w:top w:val="nil"/>
              <w:left w:val="single" w:sz="8" w:space="0" w:color="auto"/>
              <w:bottom w:val="single" w:sz="4" w:space="0" w:color="auto"/>
              <w:right w:val="single" w:sz="8" w:space="0" w:color="auto"/>
            </w:tcBorders>
            <w:shd w:val="clear" w:color="auto" w:fill="auto"/>
            <w:noWrap/>
            <w:vAlign w:val="center"/>
            <w:hideMark/>
          </w:tcPr>
          <w:p w14:paraId="2F52EFD8"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4900</w:t>
            </w:r>
          </w:p>
        </w:tc>
        <w:tc>
          <w:tcPr>
            <w:tcW w:w="222" w:type="dxa"/>
            <w:tcBorders>
              <w:top w:val="nil"/>
              <w:left w:val="nil"/>
              <w:bottom w:val="nil"/>
              <w:right w:val="nil"/>
            </w:tcBorders>
            <w:shd w:val="clear" w:color="auto" w:fill="auto"/>
            <w:noWrap/>
            <w:vAlign w:val="bottom"/>
            <w:hideMark/>
          </w:tcPr>
          <w:p w14:paraId="1BC7F475"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509" w:type="dxa"/>
            <w:tcBorders>
              <w:top w:val="nil"/>
              <w:left w:val="single" w:sz="8" w:space="0" w:color="auto"/>
              <w:bottom w:val="single" w:sz="4" w:space="0" w:color="auto"/>
              <w:right w:val="single" w:sz="4" w:space="0" w:color="auto"/>
            </w:tcBorders>
            <w:shd w:val="clear" w:color="auto" w:fill="auto"/>
            <w:noWrap/>
            <w:vAlign w:val="center"/>
            <w:hideMark/>
          </w:tcPr>
          <w:p w14:paraId="60F9EED0"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59.295</w:t>
            </w:r>
          </w:p>
        </w:tc>
        <w:tc>
          <w:tcPr>
            <w:tcW w:w="2068" w:type="dxa"/>
            <w:tcBorders>
              <w:top w:val="nil"/>
              <w:left w:val="nil"/>
              <w:bottom w:val="single" w:sz="4" w:space="0" w:color="auto"/>
              <w:right w:val="single" w:sz="8" w:space="0" w:color="auto"/>
            </w:tcBorders>
            <w:shd w:val="clear" w:color="auto" w:fill="auto"/>
            <w:noWrap/>
            <w:vAlign w:val="center"/>
            <w:hideMark/>
          </w:tcPr>
          <w:p w14:paraId="6F4B983F"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236.407</w:t>
            </w:r>
          </w:p>
        </w:tc>
        <w:tc>
          <w:tcPr>
            <w:tcW w:w="236" w:type="dxa"/>
            <w:tcBorders>
              <w:top w:val="nil"/>
              <w:left w:val="nil"/>
              <w:bottom w:val="nil"/>
              <w:right w:val="nil"/>
            </w:tcBorders>
            <w:shd w:val="clear" w:color="auto" w:fill="auto"/>
            <w:noWrap/>
            <w:vAlign w:val="bottom"/>
            <w:hideMark/>
          </w:tcPr>
          <w:p w14:paraId="421C9E4D"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4" w:space="0" w:color="auto"/>
              <w:right w:val="single" w:sz="4" w:space="0" w:color="auto"/>
            </w:tcBorders>
            <w:shd w:val="clear" w:color="auto" w:fill="auto"/>
            <w:noWrap/>
            <w:vAlign w:val="center"/>
            <w:hideMark/>
          </w:tcPr>
          <w:p w14:paraId="5EF1BBB9"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63.932</w:t>
            </w:r>
          </w:p>
        </w:tc>
        <w:tc>
          <w:tcPr>
            <w:tcW w:w="1985" w:type="dxa"/>
            <w:tcBorders>
              <w:top w:val="nil"/>
              <w:left w:val="nil"/>
              <w:bottom w:val="single" w:sz="4" w:space="0" w:color="auto"/>
              <w:right w:val="single" w:sz="8" w:space="0" w:color="auto"/>
            </w:tcBorders>
            <w:shd w:val="clear" w:color="auto" w:fill="auto"/>
            <w:noWrap/>
            <w:vAlign w:val="center"/>
            <w:hideMark/>
          </w:tcPr>
          <w:p w14:paraId="7ABB9A8B"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272.92</w:t>
            </w:r>
          </w:p>
        </w:tc>
      </w:tr>
      <w:tr w:rsidR="00685EF8" w:rsidRPr="00685EF8" w14:paraId="5539D0EB" w14:textId="77777777" w:rsidTr="00685EF8">
        <w:trPr>
          <w:trHeight w:val="299"/>
        </w:trPr>
        <w:tc>
          <w:tcPr>
            <w:tcW w:w="1520" w:type="dxa"/>
            <w:tcBorders>
              <w:top w:val="nil"/>
              <w:left w:val="single" w:sz="8" w:space="0" w:color="auto"/>
              <w:bottom w:val="single" w:sz="8" w:space="0" w:color="auto"/>
              <w:right w:val="single" w:sz="8" w:space="0" w:color="auto"/>
            </w:tcBorders>
            <w:shd w:val="clear" w:color="auto" w:fill="auto"/>
            <w:noWrap/>
            <w:vAlign w:val="center"/>
            <w:hideMark/>
          </w:tcPr>
          <w:p w14:paraId="40F5C69E"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5000</w:t>
            </w:r>
          </w:p>
        </w:tc>
        <w:tc>
          <w:tcPr>
            <w:tcW w:w="222" w:type="dxa"/>
            <w:tcBorders>
              <w:top w:val="nil"/>
              <w:left w:val="nil"/>
              <w:bottom w:val="nil"/>
              <w:right w:val="nil"/>
            </w:tcBorders>
            <w:shd w:val="clear" w:color="auto" w:fill="auto"/>
            <w:noWrap/>
            <w:vAlign w:val="bottom"/>
            <w:hideMark/>
          </w:tcPr>
          <w:p w14:paraId="2FD17803"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509" w:type="dxa"/>
            <w:tcBorders>
              <w:top w:val="nil"/>
              <w:left w:val="single" w:sz="8" w:space="0" w:color="auto"/>
              <w:bottom w:val="single" w:sz="8" w:space="0" w:color="auto"/>
              <w:right w:val="single" w:sz="4" w:space="0" w:color="auto"/>
            </w:tcBorders>
            <w:shd w:val="clear" w:color="auto" w:fill="auto"/>
            <w:noWrap/>
            <w:vAlign w:val="center"/>
            <w:hideMark/>
          </w:tcPr>
          <w:p w14:paraId="11F5D20D"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59.412</w:t>
            </w:r>
          </w:p>
        </w:tc>
        <w:tc>
          <w:tcPr>
            <w:tcW w:w="2068" w:type="dxa"/>
            <w:tcBorders>
              <w:top w:val="nil"/>
              <w:left w:val="nil"/>
              <w:bottom w:val="single" w:sz="8" w:space="0" w:color="auto"/>
              <w:right w:val="single" w:sz="8" w:space="0" w:color="auto"/>
            </w:tcBorders>
            <w:shd w:val="clear" w:color="auto" w:fill="auto"/>
            <w:noWrap/>
            <w:vAlign w:val="center"/>
            <w:hideMark/>
          </w:tcPr>
          <w:p w14:paraId="1E87F0BA"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242.343</w:t>
            </w:r>
          </w:p>
        </w:tc>
        <w:tc>
          <w:tcPr>
            <w:tcW w:w="236" w:type="dxa"/>
            <w:tcBorders>
              <w:top w:val="nil"/>
              <w:left w:val="nil"/>
              <w:bottom w:val="nil"/>
              <w:right w:val="nil"/>
            </w:tcBorders>
            <w:shd w:val="clear" w:color="auto" w:fill="auto"/>
            <w:noWrap/>
            <w:vAlign w:val="bottom"/>
            <w:hideMark/>
          </w:tcPr>
          <w:p w14:paraId="602AC54B"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06" w:type="dxa"/>
            <w:tcBorders>
              <w:top w:val="nil"/>
              <w:left w:val="single" w:sz="8" w:space="0" w:color="auto"/>
              <w:bottom w:val="single" w:sz="8" w:space="0" w:color="auto"/>
              <w:right w:val="single" w:sz="4" w:space="0" w:color="auto"/>
            </w:tcBorders>
            <w:shd w:val="clear" w:color="auto" w:fill="auto"/>
            <w:noWrap/>
            <w:vAlign w:val="center"/>
            <w:hideMark/>
          </w:tcPr>
          <w:p w14:paraId="63DFB126"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63.919</w:t>
            </w:r>
          </w:p>
        </w:tc>
        <w:tc>
          <w:tcPr>
            <w:tcW w:w="1985" w:type="dxa"/>
            <w:tcBorders>
              <w:top w:val="nil"/>
              <w:left w:val="nil"/>
              <w:bottom w:val="single" w:sz="8" w:space="0" w:color="auto"/>
              <w:right w:val="single" w:sz="8" w:space="0" w:color="auto"/>
            </w:tcBorders>
            <w:shd w:val="clear" w:color="auto" w:fill="auto"/>
            <w:noWrap/>
            <w:vAlign w:val="center"/>
            <w:hideMark/>
          </w:tcPr>
          <w:p w14:paraId="179BF605"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279.313</w:t>
            </w:r>
          </w:p>
        </w:tc>
      </w:tr>
    </w:tbl>
    <w:p w14:paraId="093531B2" w14:textId="2775F344" w:rsidR="00010B6F" w:rsidRDefault="00010B6F" w:rsidP="00010B6F"/>
    <w:tbl>
      <w:tblPr>
        <w:tblW w:w="9346" w:type="dxa"/>
        <w:tblInd w:w="118" w:type="dxa"/>
        <w:tblLook w:val="04A0" w:firstRow="1" w:lastRow="0" w:firstColumn="1" w:lastColumn="0" w:noHBand="0" w:noVBand="1"/>
      </w:tblPr>
      <w:tblGrid>
        <w:gridCol w:w="1460"/>
        <w:gridCol w:w="380"/>
        <w:gridCol w:w="1411"/>
        <w:gridCol w:w="1984"/>
        <w:gridCol w:w="284"/>
        <w:gridCol w:w="1842"/>
        <w:gridCol w:w="1985"/>
      </w:tblGrid>
      <w:tr w:rsidR="00685EF8" w:rsidRPr="00685EF8" w14:paraId="06B32D64" w14:textId="77777777" w:rsidTr="00685EF8">
        <w:trPr>
          <w:trHeight w:val="313"/>
        </w:trPr>
        <w:tc>
          <w:tcPr>
            <w:tcW w:w="1460" w:type="dxa"/>
            <w:vMerge w:val="restart"/>
            <w:tcBorders>
              <w:top w:val="single" w:sz="8" w:space="0" w:color="auto"/>
              <w:left w:val="single" w:sz="8" w:space="0" w:color="auto"/>
              <w:bottom w:val="single" w:sz="8" w:space="0" w:color="000000"/>
              <w:right w:val="single" w:sz="8" w:space="0" w:color="auto"/>
            </w:tcBorders>
            <w:shd w:val="clear" w:color="auto" w:fill="auto"/>
            <w:noWrap/>
            <w:vAlign w:val="center"/>
            <w:hideMark/>
          </w:tcPr>
          <w:p w14:paraId="27D7F3FE" w14:textId="77777777" w:rsidR="00685EF8" w:rsidRPr="00685EF8" w:rsidRDefault="00685EF8" w:rsidP="00685EF8">
            <w:pPr>
              <w:spacing w:after="0" w:line="240" w:lineRule="auto"/>
              <w:jc w:val="center"/>
              <w:rPr>
                <w:rFonts w:ascii="Arial" w:eastAsia="Times New Roman" w:hAnsi="Arial" w:cs="Arial"/>
                <w:b/>
                <w:bCs/>
                <w:sz w:val="20"/>
                <w:szCs w:val="20"/>
                <w:lang w:eastAsia="en-GB"/>
              </w:rPr>
            </w:pPr>
            <w:r w:rsidRPr="00685EF8">
              <w:rPr>
                <w:rFonts w:ascii="Arial" w:eastAsia="Times New Roman" w:hAnsi="Arial" w:cs="Arial"/>
                <w:b/>
                <w:bCs/>
                <w:sz w:val="20"/>
                <w:szCs w:val="20"/>
                <w:lang w:eastAsia="en-GB"/>
              </w:rPr>
              <w:t>Temperature</w:t>
            </w:r>
          </w:p>
        </w:tc>
        <w:tc>
          <w:tcPr>
            <w:tcW w:w="380" w:type="dxa"/>
            <w:tcBorders>
              <w:top w:val="nil"/>
              <w:left w:val="nil"/>
              <w:bottom w:val="nil"/>
              <w:right w:val="nil"/>
            </w:tcBorders>
            <w:shd w:val="clear" w:color="auto" w:fill="auto"/>
            <w:noWrap/>
            <w:vAlign w:val="bottom"/>
            <w:hideMark/>
          </w:tcPr>
          <w:p w14:paraId="22B81444" w14:textId="77777777" w:rsidR="00685EF8" w:rsidRPr="00685EF8" w:rsidRDefault="00685EF8" w:rsidP="00685EF8">
            <w:pPr>
              <w:spacing w:after="0" w:line="240" w:lineRule="auto"/>
              <w:jc w:val="center"/>
              <w:rPr>
                <w:rFonts w:ascii="Arial" w:eastAsia="Times New Roman" w:hAnsi="Arial" w:cs="Arial"/>
                <w:b/>
                <w:bCs/>
                <w:sz w:val="20"/>
                <w:szCs w:val="20"/>
                <w:lang w:eastAsia="en-GB"/>
              </w:rPr>
            </w:pPr>
          </w:p>
        </w:tc>
        <w:tc>
          <w:tcPr>
            <w:tcW w:w="3395" w:type="dxa"/>
            <w:gridSpan w:val="2"/>
            <w:tcBorders>
              <w:top w:val="single" w:sz="8" w:space="0" w:color="auto"/>
              <w:left w:val="single" w:sz="8" w:space="0" w:color="auto"/>
              <w:bottom w:val="single" w:sz="8" w:space="0" w:color="auto"/>
              <w:right w:val="single" w:sz="8" w:space="0" w:color="000000"/>
            </w:tcBorders>
            <w:shd w:val="clear" w:color="auto" w:fill="auto"/>
            <w:noWrap/>
            <w:vAlign w:val="center"/>
            <w:hideMark/>
          </w:tcPr>
          <w:p w14:paraId="0AEE4900" w14:textId="77777777" w:rsidR="00685EF8" w:rsidRPr="00685EF8" w:rsidRDefault="00685EF8" w:rsidP="00685EF8">
            <w:pPr>
              <w:spacing w:after="0" w:line="240" w:lineRule="auto"/>
              <w:jc w:val="center"/>
              <w:rPr>
                <w:rFonts w:ascii="Arial" w:eastAsia="Times New Roman" w:hAnsi="Arial" w:cs="Arial"/>
                <w:b/>
                <w:bCs/>
                <w:sz w:val="20"/>
                <w:szCs w:val="20"/>
                <w:lang w:eastAsia="en-GB"/>
              </w:rPr>
            </w:pPr>
            <w:r w:rsidRPr="00685EF8">
              <w:rPr>
                <w:rFonts w:ascii="Arial" w:eastAsia="Times New Roman" w:hAnsi="Arial" w:cs="Arial"/>
                <w:b/>
                <w:bCs/>
                <w:sz w:val="20"/>
                <w:szCs w:val="20"/>
                <w:lang w:eastAsia="en-GB"/>
              </w:rPr>
              <w:t>O</w:t>
            </w:r>
            <w:r w:rsidRPr="00685EF8">
              <w:rPr>
                <w:rFonts w:ascii="Arial" w:eastAsia="Times New Roman" w:hAnsi="Arial" w:cs="Arial"/>
                <w:b/>
                <w:bCs/>
                <w:sz w:val="20"/>
                <w:szCs w:val="20"/>
                <w:vertAlign w:val="subscript"/>
                <w:lang w:eastAsia="en-GB"/>
              </w:rPr>
              <w:t>2</w:t>
            </w:r>
          </w:p>
        </w:tc>
        <w:tc>
          <w:tcPr>
            <w:tcW w:w="284" w:type="dxa"/>
            <w:tcBorders>
              <w:top w:val="nil"/>
              <w:left w:val="nil"/>
              <w:bottom w:val="nil"/>
              <w:right w:val="nil"/>
            </w:tcBorders>
            <w:shd w:val="clear" w:color="auto" w:fill="auto"/>
            <w:noWrap/>
            <w:vAlign w:val="bottom"/>
            <w:hideMark/>
          </w:tcPr>
          <w:p w14:paraId="727345BC" w14:textId="77777777" w:rsidR="00685EF8" w:rsidRPr="00685EF8" w:rsidRDefault="00685EF8" w:rsidP="00685EF8">
            <w:pPr>
              <w:spacing w:after="0" w:line="240" w:lineRule="auto"/>
              <w:jc w:val="center"/>
              <w:rPr>
                <w:rFonts w:ascii="Arial" w:eastAsia="Times New Roman" w:hAnsi="Arial" w:cs="Arial"/>
                <w:b/>
                <w:bCs/>
                <w:sz w:val="20"/>
                <w:szCs w:val="20"/>
                <w:lang w:eastAsia="en-GB"/>
              </w:rPr>
            </w:pPr>
          </w:p>
        </w:tc>
        <w:tc>
          <w:tcPr>
            <w:tcW w:w="3827" w:type="dxa"/>
            <w:gridSpan w:val="2"/>
            <w:tcBorders>
              <w:top w:val="single" w:sz="8" w:space="0" w:color="auto"/>
              <w:left w:val="single" w:sz="8" w:space="0" w:color="auto"/>
              <w:bottom w:val="single" w:sz="8" w:space="0" w:color="auto"/>
              <w:right w:val="single" w:sz="8" w:space="0" w:color="000000"/>
            </w:tcBorders>
            <w:shd w:val="clear" w:color="auto" w:fill="auto"/>
            <w:noWrap/>
            <w:vAlign w:val="center"/>
            <w:hideMark/>
          </w:tcPr>
          <w:p w14:paraId="4B473B1A" w14:textId="77777777" w:rsidR="00685EF8" w:rsidRPr="00685EF8" w:rsidRDefault="00685EF8" w:rsidP="00685EF8">
            <w:pPr>
              <w:spacing w:after="0" w:line="240" w:lineRule="auto"/>
              <w:jc w:val="center"/>
              <w:rPr>
                <w:rFonts w:ascii="Arial" w:eastAsia="Times New Roman" w:hAnsi="Arial" w:cs="Arial"/>
                <w:b/>
                <w:bCs/>
                <w:sz w:val="20"/>
                <w:szCs w:val="20"/>
                <w:lang w:eastAsia="en-GB"/>
              </w:rPr>
            </w:pPr>
            <w:r w:rsidRPr="00685EF8">
              <w:rPr>
                <w:rFonts w:ascii="Arial" w:eastAsia="Times New Roman" w:hAnsi="Arial" w:cs="Arial"/>
                <w:b/>
                <w:bCs/>
                <w:sz w:val="20"/>
                <w:szCs w:val="20"/>
                <w:lang w:eastAsia="en-GB"/>
              </w:rPr>
              <w:t>N</w:t>
            </w:r>
            <w:r w:rsidRPr="00685EF8">
              <w:rPr>
                <w:rFonts w:ascii="Arial" w:eastAsia="Times New Roman" w:hAnsi="Arial" w:cs="Arial"/>
                <w:b/>
                <w:bCs/>
                <w:sz w:val="20"/>
                <w:szCs w:val="20"/>
                <w:vertAlign w:val="subscript"/>
                <w:lang w:eastAsia="en-GB"/>
              </w:rPr>
              <w:t>2</w:t>
            </w:r>
          </w:p>
        </w:tc>
      </w:tr>
      <w:tr w:rsidR="00685EF8" w:rsidRPr="00685EF8" w14:paraId="1DCEB2C3" w14:textId="77777777" w:rsidTr="00685EF8">
        <w:trPr>
          <w:trHeight w:val="299"/>
        </w:trPr>
        <w:tc>
          <w:tcPr>
            <w:tcW w:w="1460" w:type="dxa"/>
            <w:vMerge/>
            <w:tcBorders>
              <w:top w:val="single" w:sz="8" w:space="0" w:color="auto"/>
              <w:left w:val="single" w:sz="8" w:space="0" w:color="auto"/>
              <w:bottom w:val="single" w:sz="8" w:space="0" w:color="000000"/>
              <w:right w:val="single" w:sz="8" w:space="0" w:color="auto"/>
            </w:tcBorders>
            <w:vAlign w:val="center"/>
            <w:hideMark/>
          </w:tcPr>
          <w:p w14:paraId="22E0F9BF" w14:textId="77777777" w:rsidR="00685EF8" w:rsidRPr="00685EF8" w:rsidRDefault="00685EF8" w:rsidP="00685EF8">
            <w:pPr>
              <w:spacing w:after="0" w:line="240" w:lineRule="auto"/>
              <w:rPr>
                <w:rFonts w:ascii="Arial" w:eastAsia="Times New Roman" w:hAnsi="Arial" w:cs="Arial"/>
                <w:b/>
                <w:bCs/>
                <w:sz w:val="20"/>
                <w:szCs w:val="20"/>
                <w:lang w:eastAsia="en-GB"/>
              </w:rPr>
            </w:pPr>
          </w:p>
        </w:tc>
        <w:tc>
          <w:tcPr>
            <w:tcW w:w="380" w:type="dxa"/>
            <w:tcBorders>
              <w:top w:val="nil"/>
              <w:left w:val="nil"/>
              <w:bottom w:val="nil"/>
              <w:right w:val="nil"/>
            </w:tcBorders>
            <w:shd w:val="clear" w:color="auto" w:fill="auto"/>
            <w:noWrap/>
            <w:vAlign w:val="bottom"/>
            <w:hideMark/>
          </w:tcPr>
          <w:p w14:paraId="2BD9D281" w14:textId="77777777" w:rsidR="00685EF8" w:rsidRPr="00685EF8" w:rsidRDefault="00685EF8" w:rsidP="00685EF8">
            <w:pPr>
              <w:spacing w:after="0" w:line="240" w:lineRule="auto"/>
              <w:jc w:val="center"/>
              <w:rPr>
                <w:rFonts w:ascii="Arial" w:eastAsia="Times New Roman" w:hAnsi="Arial" w:cs="Arial"/>
                <w:b/>
                <w:bCs/>
                <w:sz w:val="20"/>
                <w:szCs w:val="20"/>
                <w:lang w:eastAsia="en-GB"/>
              </w:rPr>
            </w:pPr>
          </w:p>
        </w:tc>
        <w:tc>
          <w:tcPr>
            <w:tcW w:w="1411" w:type="dxa"/>
            <w:tcBorders>
              <w:top w:val="nil"/>
              <w:left w:val="single" w:sz="8" w:space="0" w:color="auto"/>
              <w:bottom w:val="single" w:sz="8" w:space="0" w:color="auto"/>
              <w:right w:val="single" w:sz="4" w:space="0" w:color="auto"/>
            </w:tcBorders>
            <w:shd w:val="clear" w:color="auto" w:fill="auto"/>
            <w:noWrap/>
            <w:vAlign w:val="center"/>
            <w:hideMark/>
          </w:tcPr>
          <w:p w14:paraId="5E6D6897" w14:textId="77777777" w:rsidR="00685EF8" w:rsidRPr="00685EF8" w:rsidRDefault="00685EF8" w:rsidP="00685EF8">
            <w:pPr>
              <w:spacing w:after="0" w:line="240" w:lineRule="auto"/>
              <w:jc w:val="center"/>
              <w:rPr>
                <w:rFonts w:ascii="Arial" w:eastAsia="Times New Roman" w:hAnsi="Arial" w:cs="Arial"/>
                <w:b/>
                <w:bCs/>
                <w:sz w:val="20"/>
                <w:szCs w:val="20"/>
                <w:lang w:eastAsia="en-GB"/>
              </w:rPr>
            </w:pPr>
            <w:r w:rsidRPr="00685EF8">
              <w:rPr>
                <w:rFonts w:ascii="Arial" w:eastAsia="Times New Roman" w:hAnsi="Arial" w:cs="Arial"/>
                <w:b/>
                <w:bCs/>
                <w:sz w:val="20"/>
                <w:szCs w:val="20"/>
                <w:lang w:eastAsia="en-GB"/>
              </w:rPr>
              <w:t>Molecular Weight</w:t>
            </w:r>
          </w:p>
        </w:tc>
        <w:tc>
          <w:tcPr>
            <w:tcW w:w="1984" w:type="dxa"/>
            <w:tcBorders>
              <w:top w:val="nil"/>
              <w:left w:val="nil"/>
              <w:bottom w:val="single" w:sz="8" w:space="0" w:color="auto"/>
              <w:right w:val="single" w:sz="8" w:space="0" w:color="auto"/>
            </w:tcBorders>
            <w:shd w:val="clear" w:color="auto" w:fill="auto"/>
            <w:noWrap/>
            <w:vAlign w:val="center"/>
            <w:hideMark/>
          </w:tcPr>
          <w:p w14:paraId="26525EDF"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31.999</w:t>
            </w:r>
          </w:p>
        </w:tc>
        <w:tc>
          <w:tcPr>
            <w:tcW w:w="284" w:type="dxa"/>
            <w:tcBorders>
              <w:top w:val="nil"/>
              <w:left w:val="nil"/>
              <w:bottom w:val="nil"/>
              <w:right w:val="nil"/>
            </w:tcBorders>
            <w:shd w:val="clear" w:color="auto" w:fill="auto"/>
            <w:noWrap/>
            <w:vAlign w:val="bottom"/>
            <w:hideMark/>
          </w:tcPr>
          <w:p w14:paraId="410E47B6"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8" w:space="0" w:color="auto"/>
              <w:right w:val="single" w:sz="4" w:space="0" w:color="auto"/>
            </w:tcBorders>
            <w:shd w:val="clear" w:color="auto" w:fill="auto"/>
            <w:noWrap/>
            <w:vAlign w:val="center"/>
            <w:hideMark/>
          </w:tcPr>
          <w:p w14:paraId="5BE1DB85" w14:textId="77777777" w:rsidR="00685EF8" w:rsidRPr="00685EF8" w:rsidRDefault="00685EF8" w:rsidP="00685EF8">
            <w:pPr>
              <w:spacing w:after="0" w:line="240" w:lineRule="auto"/>
              <w:jc w:val="center"/>
              <w:rPr>
                <w:rFonts w:ascii="Arial" w:eastAsia="Times New Roman" w:hAnsi="Arial" w:cs="Arial"/>
                <w:b/>
                <w:bCs/>
                <w:sz w:val="20"/>
                <w:szCs w:val="20"/>
                <w:lang w:eastAsia="en-GB"/>
              </w:rPr>
            </w:pPr>
            <w:r w:rsidRPr="00685EF8">
              <w:rPr>
                <w:rFonts w:ascii="Arial" w:eastAsia="Times New Roman" w:hAnsi="Arial" w:cs="Arial"/>
                <w:b/>
                <w:bCs/>
                <w:sz w:val="20"/>
                <w:szCs w:val="20"/>
                <w:lang w:eastAsia="en-GB"/>
              </w:rPr>
              <w:t>Molecular Weight</w:t>
            </w:r>
          </w:p>
        </w:tc>
        <w:tc>
          <w:tcPr>
            <w:tcW w:w="1985" w:type="dxa"/>
            <w:tcBorders>
              <w:top w:val="nil"/>
              <w:left w:val="nil"/>
              <w:bottom w:val="single" w:sz="8" w:space="0" w:color="auto"/>
              <w:right w:val="single" w:sz="8" w:space="0" w:color="auto"/>
            </w:tcBorders>
            <w:shd w:val="clear" w:color="auto" w:fill="auto"/>
            <w:noWrap/>
            <w:vAlign w:val="center"/>
            <w:hideMark/>
          </w:tcPr>
          <w:p w14:paraId="02AF6552"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28.013</w:t>
            </w:r>
          </w:p>
        </w:tc>
      </w:tr>
      <w:tr w:rsidR="00685EF8" w:rsidRPr="00685EF8" w14:paraId="37F4A8E2" w14:textId="77777777" w:rsidTr="00685EF8">
        <w:trPr>
          <w:trHeight w:val="557"/>
        </w:trPr>
        <w:tc>
          <w:tcPr>
            <w:tcW w:w="1460" w:type="dxa"/>
            <w:vMerge/>
            <w:tcBorders>
              <w:top w:val="single" w:sz="8" w:space="0" w:color="auto"/>
              <w:left w:val="single" w:sz="8" w:space="0" w:color="auto"/>
              <w:bottom w:val="single" w:sz="8" w:space="0" w:color="000000"/>
              <w:right w:val="single" w:sz="8" w:space="0" w:color="auto"/>
            </w:tcBorders>
            <w:vAlign w:val="center"/>
            <w:hideMark/>
          </w:tcPr>
          <w:p w14:paraId="1DACB09F" w14:textId="77777777" w:rsidR="00685EF8" w:rsidRPr="00685EF8" w:rsidRDefault="00685EF8" w:rsidP="00685EF8">
            <w:pPr>
              <w:spacing w:after="0" w:line="240" w:lineRule="auto"/>
              <w:rPr>
                <w:rFonts w:ascii="Arial" w:eastAsia="Times New Roman" w:hAnsi="Arial" w:cs="Arial"/>
                <w:b/>
                <w:bCs/>
                <w:sz w:val="20"/>
                <w:szCs w:val="20"/>
                <w:lang w:eastAsia="en-GB"/>
              </w:rPr>
            </w:pPr>
          </w:p>
        </w:tc>
        <w:tc>
          <w:tcPr>
            <w:tcW w:w="380" w:type="dxa"/>
            <w:tcBorders>
              <w:top w:val="nil"/>
              <w:left w:val="nil"/>
              <w:bottom w:val="nil"/>
              <w:right w:val="nil"/>
            </w:tcBorders>
            <w:shd w:val="clear" w:color="auto" w:fill="auto"/>
            <w:noWrap/>
            <w:vAlign w:val="bottom"/>
            <w:hideMark/>
          </w:tcPr>
          <w:p w14:paraId="05007CB6"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411" w:type="dxa"/>
            <w:tcBorders>
              <w:top w:val="nil"/>
              <w:left w:val="single" w:sz="8" w:space="0" w:color="auto"/>
              <w:bottom w:val="single" w:sz="8" w:space="0" w:color="auto"/>
              <w:right w:val="single" w:sz="4" w:space="0" w:color="auto"/>
            </w:tcBorders>
            <w:shd w:val="clear" w:color="auto" w:fill="auto"/>
            <w:vAlign w:val="center"/>
            <w:hideMark/>
          </w:tcPr>
          <w:p w14:paraId="7EBD0763" w14:textId="77777777" w:rsidR="00685EF8" w:rsidRPr="00685EF8" w:rsidRDefault="00685EF8" w:rsidP="00685EF8">
            <w:pPr>
              <w:spacing w:after="0" w:line="240" w:lineRule="auto"/>
              <w:jc w:val="center"/>
              <w:rPr>
                <w:rFonts w:ascii="Arial" w:eastAsia="Times New Roman" w:hAnsi="Arial" w:cs="Arial"/>
                <w:b/>
                <w:bCs/>
                <w:sz w:val="20"/>
                <w:szCs w:val="20"/>
                <w:lang w:eastAsia="en-GB"/>
              </w:rPr>
            </w:pPr>
            <w:r w:rsidRPr="00685EF8">
              <w:rPr>
                <w:rFonts w:ascii="Arial" w:eastAsia="Times New Roman" w:hAnsi="Arial" w:cs="Arial"/>
                <w:b/>
                <w:bCs/>
                <w:sz w:val="20"/>
                <w:szCs w:val="20"/>
                <w:lang w:eastAsia="en-GB"/>
              </w:rPr>
              <w:t>Enthalpy of Formation (kJ/kmol)</w:t>
            </w:r>
          </w:p>
        </w:tc>
        <w:tc>
          <w:tcPr>
            <w:tcW w:w="1984" w:type="dxa"/>
            <w:tcBorders>
              <w:top w:val="nil"/>
              <w:left w:val="nil"/>
              <w:bottom w:val="single" w:sz="8" w:space="0" w:color="auto"/>
              <w:right w:val="single" w:sz="8" w:space="0" w:color="auto"/>
            </w:tcBorders>
            <w:shd w:val="clear" w:color="auto" w:fill="auto"/>
            <w:noWrap/>
            <w:vAlign w:val="center"/>
            <w:hideMark/>
          </w:tcPr>
          <w:p w14:paraId="34D166CA"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0</w:t>
            </w:r>
          </w:p>
        </w:tc>
        <w:tc>
          <w:tcPr>
            <w:tcW w:w="284" w:type="dxa"/>
            <w:tcBorders>
              <w:top w:val="nil"/>
              <w:left w:val="nil"/>
              <w:bottom w:val="nil"/>
              <w:right w:val="nil"/>
            </w:tcBorders>
            <w:shd w:val="clear" w:color="auto" w:fill="auto"/>
            <w:noWrap/>
            <w:vAlign w:val="bottom"/>
            <w:hideMark/>
          </w:tcPr>
          <w:p w14:paraId="606116BE"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8" w:space="0" w:color="auto"/>
              <w:right w:val="single" w:sz="4" w:space="0" w:color="auto"/>
            </w:tcBorders>
            <w:shd w:val="clear" w:color="auto" w:fill="auto"/>
            <w:vAlign w:val="center"/>
            <w:hideMark/>
          </w:tcPr>
          <w:p w14:paraId="07B25C2E" w14:textId="77777777" w:rsidR="00685EF8" w:rsidRPr="00685EF8" w:rsidRDefault="00685EF8" w:rsidP="00685EF8">
            <w:pPr>
              <w:spacing w:after="0" w:line="240" w:lineRule="auto"/>
              <w:jc w:val="center"/>
              <w:rPr>
                <w:rFonts w:ascii="Arial" w:eastAsia="Times New Roman" w:hAnsi="Arial" w:cs="Arial"/>
                <w:b/>
                <w:bCs/>
                <w:sz w:val="20"/>
                <w:szCs w:val="20"/>
                <w:lang w:eastAsia="en-GB"/>
              </w:rPr>
            </w:pPr>
            <w:r w:rsidRPr="00685EF8">
              <w:rPr>
                <w:rFonts w:ascii="Arial" w:eastAsia="Times New Roman" w:hAnsi="Arial" w:cs="Arial"/>
                <w:b/>
                <w:bCs/>
                <w:sz w:val="20"/>
                <w:szCs w:val="20"/>
                <w:lang w:eastAsia="en-GB"/>
              </w:rPr>
              <w:t>Enthalpy of Formation (kJ/kmol)</w:t>
            </w:r>
          </w:p>
        </w:tc>
        <w:tc>
          <w:tcPr>
            <w:tcW w:w="1985" w:type="dxa"/>
            <w:tcBorders>
              <w:top w:val="nil"/>
              <w:left w:val="nil"/>
              <w:bottom w:val="single" w:sz="8" w:space="0" w:color="auto"/>
              <w:right w:val="single" w:sz="8" w:space="0" w:color="auto"/>
            </w:tcBorders>
            <w:shd w:val="clear" w:color="auto" w:fill="auto"/>
            <w:noWrap/>
            <w:vAlign w:val="center"/>
            <w:hideMark/>
          </w:tcPr>
          <w:p w14:paraId="60870C6D"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0</w:t>
            </w:r>
          </w:p>
        </w:tc>
      </w:tr>
      <w:tr w:rsidR="00685EF8" w:rsidRPr="00685EF8" w14:paraId="6509BC7B" w14:textId="77777777" w:rsidTr="00685EF8">
        <w:trPr>
          <w:trHeight w:val="286"/>
        </w:trPr>
        <w:tc>
          <w:tcPr>
            <w:tcW w:w="14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3FFFC689" w14:textId="77777777" w:rsidR="00685EF8" w:rsidRPr="00685EF8" w:rsidRDefault="00685EF8" w:rsidP="00685EF8">
            <w:pPr>
              <w:spacing w:after="0" w:line="240" w:lineRule="auto"/>
              <w:jc w:val="center"/>
              <w:rPr>
                <w:rFonts w:ascii="Arial" w:eastAsia="Times New Roman" w:hAnsi="Arial" w:cs="Arial"/>
                <w:b/>
                <w:bCs/>
                <w:sz w:val="20"/>
                <w:szCs w:val="20"/>
                <w:lang w:eastAsia="en-GB"/>
              </w:rPr>
            </w:pPr>
            <w:r w:rsidRPr="00685EF8">
              <w:rPr>
                <w:rFonts w:ascii="Arial" w:eastAsia="Times New Roman" w:hAnsi="Arial" w:cs="Arial"/>
                <w:b/>
                <w:bCs/>
                <w:sz w:val="20"/>
                <w:szCs w:val="20"/>
                <w:lang w:eastAsia="en-GB"/>
              </w:rPr>
              <w:t>Kelvin</w:t>
            </w:r>
          </w:p>
        </w:tc>
        <w:tc>
          <w:tcPr>
            <w:tcW w:w="380" w:type="dxa"/>
            <w:tcBorders>
              <w:top w:val="nil"/>
              <w:left w:val="nil"/>
              <w:bottom w:val="nil"/>
              <w:right w:val="nil"/>
            </w:tcBorders>
            <w:shd w:val="clear" w:color="auto" w:fill="auto"/>
            <w:noWrap/>
            <w:vAlign w:val="bottom"/>
            <w:hideMark/>
          </w:tcPr>
          <w:p w14:paraId="527046D7" w14:textId="77777777" w:rsidR="00685EF8" w:rsidRPr="00685EF8" w:rsidRDefault="00685EF8" w:rsidP="00685EF8">
            <w:pPr>
              <w:spacing w:after="0" w:line="240" w:lineRule="auto"/>
              <w:jc w:val="center"/>
              <w:rPr>
                <w:rFonts w:ascii="Arial" w:eastAsia="Times New Roman" w:hAnsi="Arial" w:cs="Arial"/>
                <w:b/>
                <w:bCs/>
                <w:sz w:val="20"/>
                <w:szCs w:val="20"/>
                <w:lang w:eastAsia="en-GB"/>
              </w:rPr>
            </w:pPr>
          </w:p>
        </w:tc>
        <w:tc>
          <w:tcPr>
            <w:tcW w:w="1411" w:type="dxa"/>
            <w:tcBorders>
              <w:top w:val="nil"/>
              <w:left w:val="single" w:sz="8" w:space="0" w:color="auto"/>
              <w:bottom w:val="single" w:sz="4" w:space="0" w:color="auto"/>
              <w:right w:val="single" w:sz="4" w:space="0" w:color="auto"/>
            </w:tcBorders>
            <w:shd w:val="clear" w:color="auto" w:fill="auto"/>
            <w:vAlign w:val="center"/>
            <w:hideMark/>
          </w:tcPr>
          <w:p w14:paraId="385A947A" w14:textId="77777777" w:rsidR="00685EF8" w:rsidRPr="00685EF8" w:rsidRDefault="00685EF8" w:rsidP="00685EF8">
            <w:pPr>
              <w:spacing w:after="0" w:line="240" w:lineRule="auto"/>
              <w:jc w:val="center"/>
              <w:rPr>
                <w:rFonts w:ascii="Arial" w:eastAsia="Times New Roman" w:hAnsi="Arial" w:cs="Arial"/>
                <w:b/>
                <w:bCs/>
                <w:sz w:val="20"/>
                <w:szCs w:val="20"/>
                <w:lang w:eastAsia="en-GB"/>
              </w:rPr>
            </w:pPr>
            <w:r w:rsidRPr="00685EF8">
              <w:rPr>
                <w:rFonts w:ascii="Arial" w:eastAsia="Times New Roman" w:hAnsi="Arial" w:cs="Arial"/>
                <w:b/>
                <w:bCs/>
                <w:sz w:val="20"/>
                <w:szCs w:val="20"/>
                <w:lang w:eastAsia="en-GB"/>
              </w:rPr>
              <w:t>Cp</w:t>
            </w:r>
          </w:p>
        </w:tc>
        <w:tc>
          <w:tcPr>
            <w:tcW w:w="1984" w:type="dxa"/>
            <w:tcBorders>
              <w:top w:val="nil"/>
              <w:left w:val="nil"/>
              <w:bottom w:val="single" w:sz="4" w:space="0" w:color="auto"/>
              <w:right w:val="single" w:sz="8" w:space="0" w:color="auto"/>
            </w:tcBorders>
            <w:shd w:val="clear" w:color="auto" w:fill="auto"/>
            <w:noWrap/>
            <w:vAlign w:val="center"/>
            <w:hideMark/>
          </w:tcPr>
          <w:p w14:paraId="05FED528" w14:textId="77777777" w:rsidR="00685EF8" w:rsidRPr="00685EF8" w:rsidRDefault="00685EF8" w:rsidP="00685EF8">
            <w:pPr>
              <w:spacing w:after="0" w:line="240" w:lineRule="auto"/>
              <w:jc w:val="center"/>
              <w:rPr>
                <w:rFonts w:ascii="Arial" w:eastAsia="Times New Roman" w:hAnsi="Arial" w:cs="Arial"/>
                <w:b/>
                <w:bCs/>
                <w:sz w:val="20"/>
                <w:szCs w:val="20"/>
                <w:lang w:eastAsia="en-GB"/>
              </w:rPr>
            </w:pPr>
            <w:r w:rsidRPr="00685EF8">
              <w:rPr>
                <w:rFonts w:ascii="Arial" w:eastAsia="Times New Roman" w:hAnsi="Arial" w:cs="Arial"/>
                <w:b/>
                <w:bCs/>
                <w:sz w:val="20"/>
                <w:szCs w:val="20"/>
                <w:lang w:eastAsia="en-GB"/>
              </w:rPr>
              <w:t>H(T)-H(298)</w:t>
            </w:r>
          </w:p>
        </w:tc>
        <w:tc>
          <w:tcPr>
            <w:tcW w:w="284" w:type="dxa"/>
            <w:tcBorders>
              <w:top w:val="nil"/>
              <w:left w:val="nil"/>
              <w:bottom w:val="nil"/>
              <w:right w:val="nil"/>
            </w:tcBorders>
            <w:shd w:val="clear" w:color="auto" w:fill="auto"/>
            <w:noWrap/>
            <w:vAlign w:val="bottom"/>
            <w:hideMark/>
          </w:tcPr>
          <w:p w14:paraId="1C4401ED" w14:textId="77777777" w:rsidR="00685EF8" w:rsidRPr="00685EF8" w:rsidRDefault="00685EF8" w:rsidP="00685EF8">
            <w:pPr>
              <w:spacing w:after="0" w:line="240" w:lineRule="auto"/>
              <w:jc w:val="center"/>
              <w:rPr>
                <w:rFonts w:ascii="Arial" w:eastAsia="Times New Roman" w:hAnsi="Arial" w:cs="Arial"/>
                <w:b/>
                <w:bCs/>
                <w:sz w:val="20"/>
                <w:szCs w:val="20"/>
                <w:lang w:eastAsia="en-GB"/>
              </w:rPr>
            </w:pPr>
          </w:p>
        </w:tc>
        <w:tc>
          <w:tcPr>
            <w:tcW w:w="1842" w:type="dxa"/>
            <w:tcBorders>
              <w:top w:val="nil"/>
              <w:left w:val="single" w:sz="8" w:space="0" w:color="auto"/>
              <w:bottom w:val="single" w:sz="4" w:space="0" w:color="auto"/>
              <w:right w:val="single" w:sz="4" w:space="0" w:color="auto"/>
            </w:tcBorders>
            <w:shd w:val="clear" w:color="auto" w:fill="auto"/>
            <w:vAlign w:val="center"/>
            <w:hideMark/>
          </w:tcPr>
          <w:p w14:paraId="780AA2E2" w14:textId="77777777" w:rsidR="00685EF8" w:rsidRPr="00685EF8" w:rsidRDefault="00685EF8" w:rsidP="00685EF8">
            <w:pPr>
              <w:spacing w:after="0" w:line="240" w:lineRule="auto"/>
              <w:jc w:val="center"/>
              <w:rPr>
                <w:rFonts w:ascii="Arial" w:eastAsia="Times New Roman" w:hAnsi="Arial" w:cs="Arial"/>
                <w:b/>
                <w:bCs/>
                <w:sz w:val="20"/>
                <w:szCs w:val="20"/>
                <w:lang w:eastAsia="en-GB"/>
              </w:rPr>
            </w:pPr>
            <w:r w:rsidRPr="00685EF8">
              <w:rPr>
                <w:rFonts w:ascii="Arial" w:eastAsia="Times New Roman" w:hAnsi="Arial" w:cs="Arial"/>
                <w:b/>
                <w:bCs/>
                <w:sz w:val="20"/>
                <w:szCs w:val="20"/>
                <w:lang w:eastAsia="en-GB"/>
              </w:rPr>
              <w:t>Cp</w:t>
            </w:r>
          </w:p>
        </w:tc>
        <w:tc>
          <w:tcPr>
            <w:tcW w:w="1985" w:type="dxa"/>
            <w:tcBorders>
              <w:top w:val="nil"/>
              <w:left w:val="nil"/>
              <w:bottom w:val="single" w:sz="4" w:space="0" w:color="auto"/>
              <w:right w:val="single" w:sz="8" w:space="0" w:color="auto"/>
            </w:tcBorders>
            <w:shd w:val="clear" w:color="auto" w:fill="auto"/>
            <w:noWrap/>
            <w:vAlign w:val="center"/>
            <w:hideMark/>
          </w:tcPr>
          <w:p w14:paraId="4B17A45F" w14:textId="77777777" w:rsidR="00685EF8" w:rsidRPr="00685EF8" w:rsidRDefault="00685EF8" w:rsidP="00685EF8">
            <w:pPr>
              <w:spacing w:after="0" w:line="240" w:lineRule="auto"/>
              <w:jc w:val="center"/>
              <w:rPr>
                <w:rFonts w:ascii="Arial" w:eastAsia="Times New Roman" w:hAnsi="Arial" w:cs="Arial"/>
                <w:b/>
                <w:bCs/>
                <w:sz w:val="20"/>
                <w:szCs w:val="20"/>
                <w:lang w:eastAsia="en-GB"/>
              </w:rPr>
            </w:pPr>
            <w:r w:rsidRPr="00685EF8">
              <w:rPr>
                <w:rFonts w:ascii="Arial" w:eastAsia="Times New Roman" w:hAnsi="Arial" w:cs="Arial"/>
                <w:b/>
                <w:bCs/>
                <w:sz w:val="20"/>
                <w:szCs w:val="20"/>
                <w:lang w:eastAsia="en-GB"/>
              </w:rPr>
              <w:t>H(T)-H(298)</w:t>
            </w:r>
          </w:p>
        </w:tc>
      </w:tr>
      <w:tr w:rsidR="00685EF8" w:rsidRPr="00685EF8" w14:paraId="47F61240" w14:textId="77777777" w:rsidTr="00685EF8">
        <w:trPr>
          <w:trHeight w:val="299"/>
        </w:trPr>
        <w:tc>
          <w:tcPr>
            <w:tcW w:w="1460" w:type="dxa"/>
            <w:vMerge/>
            <w:tcBorders>
              <w:top w:val="nil"/>
              <w:left w:val="single" w:sz="8" w:space="0" w:color="auto"/>
              <w:bottom w:val="single" w:sz="8" w:space="0" w:color="000000"/>
              <w:right w:val="single" w:sz="8" w:space="0" w:color="auto"/>
            </w:tcBorders>
            <w:vAlign w:val="center"/>
            <w:hideMark/>
          </w:tcPr>
          <w:p w14:paraId="4190B112" w14:textId="77777777" w:rsidR="00685EF8" w:rsidRPr="00685EF8" w:rsidRDefault="00685EF8" w:rsidP="00685EF8">
            <w:pPr>
              <w:spacing w:after="0" w:line="240" w:lineRule="auto"/>
              <w:rPr>
                <w:rFonts w:ascii="Arial" w:eastAsia="Times New Roman" w:hAnsi="Arial" w:cs="Arial"/>
                <w:b/>
                <w:bCs/>
                <w:sz w:val="20"/>
                <w:szCs w:val="20"/>
                <w:lang w:eastAsia="en-GB"/>
              </w:rPr>
            </w:pPr>
          </w:p>
        </w:tc>
        <w:tc>
          <w:tcPr>
            <w:tcW w:w="380" w:type="dxa"/>
            <w:tcBorders>
              <w:top w:val="nil"/>
              <w:left w:val="nil"/>
              <w:bottom w:val="nil"/>
              <w:right w:val="nil"/>
            </w:tcBorders>
            <w:shd w:val="clear" w:color="auto" w:fill="auto"/>
            <w:noWrap/>
            <w:vAlign w:val="bottom"/>
            <w:hideMark/>
          </w:tcPr>
          <w:p w14:paraId="66E5D914" w14:textId="77777777" w:rsidR="00685EF8" w:rsidRPr="00685EF8" w:rsidRDefault="00685EF8" w:rsidP="00685EF8">
            <w:pPr>
              <w:spacing w:after="0" w:line="240" w:lineRule="auto"/>
              <w:jc w:val="center"/>
              <w:rPr>
                <w:rFonts w:ascii="Arial" w:eastAsia="Times New Roman" w:hAnsi="Arial" w:cs="Arial"/>
                <w:b/>
                <w:bCs/>
                <w:sz w:val="20"/>
                <w:szCs w:val="20"/>
                <w:lang w:eastAsia="en-GB"/>
              </w:rPr>
            </w:pPr>
          </w:p>
        </w:tc>
        <w:tc>
          <w:tcPr>
            <w:tcW w:w="1411" w:type="dxa"/>
            <w:tcBorders>
              <w:top w:val="nil"/>
              <w:left w:val="single" w:sz="8" w:space="0" w:color="auto"/>
              <w:bottom w:val="single" w:sz="8" w:space="0" w:color="auto"/>
              <w:right w:val="single" w:sz="4" w:space="0" w:color="auto"/>
            </w:tcBorders>
            <w:shd w:val="clear" w:color="auto" w:fill="auto"/>
            <w:noWrap/>
            <w:vAlign w:val="center"/>
            <w:hideMark/>
          </w:tcPr>
          <w:p w14:paraId="1AC5B06E" w14:textId="77777777" w:rsidR="00685EF8" w:rsidRPr="00685EF8" w:rsidRDefault="00685EF8" w:rsidP="00685EF8">
            <w:pPr>
              <w:spacing w:after="0" w:line="240" w:lineRule="auto"/>
              <w:jc w:val="center"/>
              <w:rPr>
                <w:rFonts w:ascii="Arial" w:eastAsia="Times New Roman" w:hAnsi="Arial" w:cs="Arial"/>
                <w:b/>
                <w:bCs/>
                <w:sz w:val="20"/>
                <w:szCs w:val="20"/>
                <w:lang w:eastAsia="en-GB"/>
              </w:rPr>
            </w:pPr>
            <w:r w:rsidRPr="00685EF8">
              <w:rPr>
                <w:rFonts w:ascii="Arial" w:eastAsia="Times New Roman" w:hAnsi="Arial" w:cs="Arial"/>
                <w:b/>
                <w:bCs/>
                <w:sz w:val="20"/>
                <w:szCs w:val="20"/>
                <w:lang w:eastAsia="en-GB"/>
              </w:rPr>
              <w:t>kJ/kmol.K</w:t>
            </w:r>
          </w:p>
        </w:tc>
        <w:tc>
          <w:tcPr>
            <w:tcW w:w="1984" w:type="dxa"/>
            <w:tcBorders>
              <w:top w:val="nil"/>
              <w:left w:val="nil"/>
              <w:bottom w:val="single" w:sz="8" w:space="0" w:color="auto"/>
              <w:right w:val="single" w:sz="8" w:space="0" w:color="auto"/>
            </w:tcBorders>
            <w:shd w:val="clear" w:color="auto" w:fill="auto"/>
            <w:noWrap/>
            <w:vAlign w:val="center"/>
            <w:hideMark/>
          </w:tcPr>
          <w:p w14:paraId="2D0E2F79" w14:textId="77777777" w:rsidR="00685EF8" w:rsidRPr="00685EF8" w:rsidRDefault="00685EF8" w:rsidP="00685EF8">
            <w:pPr>
              <w:spacing w:after="0" w:line="240" w:lineRule="auto"/>
              <w:jc w:val="center"/>
              <w:rPr>
                <w:rFonts w:ascii="Arial" w:eastAsia="Times New Roman" w:hAnsi="Arial" w:cs="Arial"/>
                <w:b/>
                <w:bCs/>
                <w:sz w:val="20"/>
                <w:szCs w:val="20"/>
                <w:lang w:eastAsia="en-GB"/>
              </w:rPr>
            </w:pPr>
            <w:r w:rsidRPr="00685EF8">
              <w:rPr>
                <w:rFonts w:ascii="Arial" w:eastAsia="Times New Roman" w:hAnsi="Arial" w:cs="Arial"/>
                <w:b/>
                <w:bCs/>
                <w:sz w:val="20"/>
                <w:szCs w:val="20"/>
                <w:lang w:eastAsia="en-GB"/>
              </w:rPr>
              <w:t>MJ/kmol</w:t>
            </w:r>
          </w:p>
        </w:tc>
        <w:tc>
          <w:tcPr>
            <w:tcW w:w="284" w:type="dxa"/>
            <w:tcBorders>
              <w:top w:val="nil"/>
              <w:left w:val="nil"/>
              <w:bottom w:val="nil"/>
              <w:right w:val="nil"/>
            </w:tcBorders>
            <w:shd w:val="clear" w:color="auto" w:fill="auto"/>
            <w:noWrap/>
            <w:vAlign w:val="bottom"/>
            <w:hideMark/>
          </w:tcPr>
          <w:p w14:paraId="144001B0" w14:textId="77777777" w:rsidR="00685EF8" w:rsidRPr="00685EF8" w:rsidRDefault="00685EF8" w:rsidP="00685EF8">
            <w:pPr>
              <w:spacing w:after="0" w:line="240" w:lineRule="auto"/>
              <w:jc w:val="center"/>
              <w:rPr>
                <w:rFonts w:ascii="Arial" w:eastAsia="Times New Roman" w:hAnsi="Arial" w:cs="Arial"/>
                <w:b/>
                <w:bCs/>
                <w:sz w:val="20"/>
                <w:szCs w:val="20"/>
                <w:lang w:eastAsia="en-GB"/>
              </w:rPr>
            </w:pPr>
          </w:p>
        </w:tc>
        <w:tc>
          <w:tcPr>
            <w:tcW w:w="1842" w:type="dxa"/>
            <w:tcBorders>
              <w:top w:val="nil"/>
              <w:left w:val="single" w:sz="8" w:space="0" w:color="auto"/>
              <w:bottom w:val="single" w:sz="8" w:space="0" w:color="auto"/>
              <w:right w:val="single" w:sz="4" w:space="0" w:color="auto"/>
            </w:tcBorders>
            <w:shd w:val="clear" w:color="auto" w:fill="auto"/>
            <w:noWrap/>
            <w:vAlign w:val="center"/>
            <w:hideMark/>
          </w:tcPr>
          <w:p w14:paraId="768D7069" w14:textId="77777777" w:rsidR="00685EF8" w:rsidRPr="00685EF8" w:rsidRDefault="00685EF8" w:rsidP="00685EF8">
            <w:pPr>
              <w:spacing w:after="0" w:line="240" w:lineRule="auto"/>
              <w:jc w:val="center"/>
              <w:rPr>
                <w:rFonts w:ascii="Arial" w:eastAsia="Times New Roman" w:hAnsi="Arial" w:cs="Arial"/>
                <w:b/>
                <w:bCs/>
                <w:sz w:val="20"/>
                <w:szCs w:val="20"/>
                <w:lang w:eastAsia="en-GB"/>
              </w:rPr>
            </w:pPr>
            <w:r w:rsidRPr="00685EF8">
              <w:rPr>
                <w:rFonts w:ascii="Arial" w:eastAsia="Times New Roman" w:hAnsi="Arial" w:cs="Arial"/>
                <w:b/>
                <w:bCs/>
                <w:sz w:val="20"/>
                <w:szCs w:val="20"/>
                <w:lang w:eastAsia="en-GB"/>
              </w:rPr>
              <w:t>kJ/kmol.K</w:t>
            </w:r>
          </w:p>
        </w:tc>
        <w:tc>
          <w:tcPr>
            <w:tcW w:w="1985" w:type="dxa"/>
            <w:tcBorders>
              <w:top w:val="nil"/>
              <w:left w:val="nil"/>
              <w:bottom w:val="single" w:sz="8" w:space="0" w:color="auto"/>
              <w:right w:val="single" w:sz="8" w:space="0" w:color="auto"/>
            </w:tcBorders>
            <w:shd w:val="clear" w:color="auto" w:fill="auto"/>
            <w:noWrap/>
            <w:vAlign w:val="center"/>
            <w:hideMark/>
          </w:tcPr>
          <w:p w14:paraId="2B1E642E" w14:textId="77777777" w:rsidR="00685EF8" w:rsidRPr="00685EF8" w:rsidRDefault="00685EF8" w:rsidP="00685EF8">
            <w:pPr>
              <w:spacing w:after="0" w:line="240" w:lineRule="auto"/>
              <w:jc w:val="center"/>
              <w:rPr>
                <w:rFonts w:ascii="Arial" w:eastAsia="Times New Roman" w:hAnsi="Arial" w:cs="Arial"/>
                <w:b/>
                <w:bCs/>
                <w:sz w:val="20"/>
                <w:szCs w:val="20"/>
                <w:lang w:eastAsia="en-GB"/>
              </w:rPr>
            </w:pPr>
            <w:r w:rsidRPr="00685EF8">
              <w:rPr>
                <w:rFonts w:ascii="Arial" w:eastAsia="Times New Roman" w:hAnsi="Arial" w:cs="Arial"/>
                <w:b/>
                <w:bCs/>
                <w:sz w:val="20"/>
                <w:szCs w:val="20"/>
                <w:lang w:eastAsia="en-GB"/>
              </w:rPr>
              <w:t>MJ/kmol</w:t>
            </w:r>
          </w:p>
        </w:tc>
      </w:tr>
      <w:tr w:rsidR="00685EF8" w:rsidRPr="00685EF8" w14:paraId="7407AFC7" w14:textId="77777777" w:rsidTr="00685EF8">
        <w:trPr>
          <w:trHeight w:val="286"/>
        </w:trPr>
        <w:tc>
          <w:tcPr>
            <w:tcW w:w="1460" w:type="dxa"/>
            <w:tcBorders>
              <w:top w:val="nil"/>
              <w:left w:val="single" w:sz="8" w:space="0" w:color="auto"/>
              <w:bottom w:val="single" w:sz="4" w:space="0" w:color="auto"/>
              <w:right w:val="single" w:sz="8" w:space="0" w:color="auto"/>
            </w:tcBorders>
            <w:shd w:val="clear" w:color="auto" w:fill="auto"/>
            <w:noWrap/>
            <w:vAlign w:val="center"/>
            <w:hideMark/>
          </w:tcPr>
          <w:p w14:paraId="4626FD69"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200</w:t>
            </w:r>
          </w:p>
        </w:tc>
        <w:tc>
          <w:tcPr>
            <w:tcW w:w="380" w:type="dxa"/>
            <w:tcBorders>
              <w:top w:val="nil"/>
              <w:left w:val="nil"/>
              <w:bottom w:val="nil"/>
              <w:right w:val="nil"/>
            </w:tcBorders>
            <w:shd w:val="clear" w:color="auto" w:fill="auto"/>
            <w:noWrap/>
            <w:vAlign w:val="bottom"/>
            <w:hideMark/>
          </w:tcPr>
          <w:p w14:paraId="60D48F04"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411" w:type="dxa"/>
            <w:tcBorders>
              <w:top w:val="nil"/>
              <w:left w:val="single" w:sz="8" w:space="0" w:color="auto"/>
              <w:bottom w:val="single" w:sz="4" w:space="0" w:color="auto"/>
              <w:right w:val="single" w:sz="4" w:space="0" w:color="auto"/>
            </w:tcBorders>
            <w:shd w:val="clear" w:color="auto" w:fill="auto"/>
            <w:noWrap/>
            <w:vAlign w:val="center"/>
            <w:hideMark/>
          </w:tcPr>
          <w:p w14:paraId="557F7F8B"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28.473</w:t>
            </w:r>
          </w:p>
        </w:tc>
        <w:tc>
          <w:tcPr>
            <w:tcW w:w="1984" w:type="dxa"/>
            <w:tcBorders>
              <w:top w:val="nil"/>
              <w:left w:val="nil"/>
              <w:bottom w:val="single" w:sz="4" w:space="0" w:color="auto"/>
              <w:right w:val="single" w:sz="8" w:space="0" w:color="auto"/>
            </w:tcBorders>
            <w:shd w:val="clear" w:color="auto" w:fill="auto"/>
            <w:noWrap/>
            <w:vAlign w:val="center"/>
            <w:hideMark/>
          </w:tcPr>
          <w:p w14:paraId="174CD157"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-2.836</w:t>
            </w:r>
          </w:p>
        </w:tc>
        <w:tc>
          <w:tcPr>
            <w:tcW w:w="284" w:type="dxa"/>
            <w:tcBorders>
              <w:top w:val="nil"/>
              <w:left w:val="nil"/>
              <w:bottom w:val="nil"/>
              <w:right w:val="nil"/>
            </w:tcBorders>
            <w:shd w:val="clear" w:color="auto" w:fill="auto"/>
            <w:noWrap/>
            <w:vAlign w:val="bottom"/>
            <w:hideMark/>
          </w:tcPr>
          <w:p w14:paraId="7907A1E9"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4" w:space="0" w:color="auto"/>
              <w:right w:val="single" w:sz="4" w:space="0" w:color="auto"/>
            </w:tcBorders>
            <w:shd w:val="clear" w:color="auto" w:fill="auto"/>
            <w:noWrap/>
            <w:vAlign w:val="center"/>
            <w:hideMark/>
          </w:tcPr>
          <w:p w14:paraId="34DB6766"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28.793</w:t>
            </w:r>
          </w:p>
        </w:tc>
        <w:tc>
          <w:tcPr>
            <w:tcW w:w="1985" w:type="dxa"/>
            <w:tcBorders>
              <w:top w:val="nil"/>
              <w:left w:val="nil"/>
              <w:bottom w:val="single" w:sz="4" w:space="0" w:color="auto"/>
              <w:right w:val="single" w:sz="8" w:space="0" w:color="auto"/>
            </w:tcBorders>
            <w:shd w:val="clear" w:color="auto" w:fill="auto"/>
            <w:noWrap/>
            <w:vAlign w:val="center"/>
            <w:hideMark/>
          </w:tcPr>
          <w:p w14:paraId="601A825A"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-2.841</w:t>
            </w:r>
          </w:p>
        </w:tc>
      </w:tr>
      <w:tr w:rsidR="00685EF8" w:rsidRPr="00685EF8" w14:paraId="4D14A4B6" w14:textId="77777777" w:rsidTr="00685EF8">
        <w:trPr>
          <w:trHeight w:val="286"/>
        </w:trPr>
        <w:tc>
          <w:tcPr>
            <w:tcW w:w="1460" w:type="dxa"/>
            <w:tcBorders>
              <w:top w:val="nil"/>
              <w:left w:val="single" w:sz="8" w:space="0" w:color="auto"/>
              <w:bottom w:val="single" w:sz="4" w:space="0" w:color="auto"/>
              <w:right w:val="single" w:sz="8" w:space="0" w:color="auto"/>
            </w:tcBorders>
            <w:shd w:val="clear" w:color="auto" w:fill="auto"/>
            <w:noWrap/>
            <w:vAlign w:val="center"/>
            <w:hideMark/>
          </w:tcPr>
          <w:p w14:paraId="65EF5383"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298</w:t>
            </w:r>
          </w:p>
        </w:tc>
        <w:tc>
          <w:tcPr>
            <w:tcW w:w="380" w:type="dxa"/>
            <w:tcBorders>
              <w:top w:val="nil"/>
              <w:left w:val="nil"/>
              <w:bottom w:val="nil"/>
              <w:right w:val="nil"/>
            </w:tcBorders>
            <w:shd w:val="clear" w:color="auto" w:fill="auto"/>
            <w:noWrap/>
            <w:vAlign w:val="bottom"/>
            <w:hideMark/>
          </w:tcPr>
          <w:p w14:paraId="2963A9EC"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411" w:type="dxa"/>
            <w:tcBorders>
              <w:top w:val="nil"/>
              <w:left w:val="single" w:sz="8" w:space="0" w:color="auto"/>
              <w:bottom w:val="single" w:sz="4" w:space="0" w:color="auto"/>
              <w:right w:val="single" w:sz="4" w:space="0" w:color="auto"/>
            </w:tcBorders>
            <w:shd w:val="clear" w:color="auto" w:fill="auto"/>
            <w:noWrap/>
            <w:vAlign w:val="center"/>
            <w:hideMark/>
          </w:tcPr>
          <w:p w14:paraId="6F7A9AB3"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29.315</w:t>
            </w:r>
          </w:p>
        </w:tc>
        <w:tc>
          <w:tcPr>
            <w:tcW w:w="1984" w:type="dxa"/>
            <w:tcBorders>
              <w:top w:val="nil"/>
              <w:left w:val="nil"/>
              <w:bottom w:val="single" w:sz="4" w:space="0" w:color="auto"/>
              <w:right w:val="single" w:sz="8" w:space="0" w:color="auto"/>
            </w:tcBorders>
            <w:shd w:val="clear" w:color="auto" w:fill="auto"/>
            <w:noWrap/>
            <w:vAlign w:val="center"/>
            <w:hideMark/>
          </w:tcPr>
          <w:p w14:paraId="4D8DA84F"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0</w:t>
            </w:r>
          </w:p>
        </w:tc>
        <w:tc>
          <w:tcPr>
            <w:tcW w:w="284" w:type="dxa"/>
            <w:tcBorders>
              <w:top w:val="nil"/>
              <w:left w:val="nil"/>
              <w:bottom w:val="nil"/>
              <w:right w:val="nil"/>
            </w:tcBorders>
            <w:shd w:val="clear" w:color="auto" w:fill="auto"/>
            <w:noWrap/>
            <w:vAlign w:val="bottom"/>
            <w:hideMark/>
          </w:tcPr>
          <w:p w14:paraId="4E7EAC19"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4" w:space="0" w:color="auto"/>
              <w:right w:val="single" w:sz="4" w:space="0" w:color="auto"/>
            </w:tcBorders>
            <w:shd w:val="clear" w:color="auto" w:fill="auto"/>
            <w:noWrap/>
            <w:vAlign w:val="center"/>
            <w:hideMark/>
          </w:tcPr>
          <w:p w14:paraId="6C9D2D45"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29.071</w:t>
            </w:r>
          </w:p>
        </w:tc>
        <w:tc>
          <w:tcPr>
            <w:tcW w:w="1985" w:type="dxa"/>
            <w:tcBorders>
              <w:top w:val="nil"/>
              <w:left w:val="nil"/>
              <w:bottom w:val="single" w:sz="4" w:space="0" w:color="auto"/>
              <w:right w:val="single" w:sz="8" w:space="0" w:color="auto"/>
            </w:tcBorders>
            <w:shd w:val="clear" w:color="auto" w:fill="auto"/>
            <w:noWrap/>
            <w:vAlign w:val="center"/>
            <w:hideMark/>
          </w:tcPr>
          <w:p w14:paraId="64DEA960"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0</w:t>
            </w:r>
          </w:p>
        </w:tc>
      </w:tr>
      <w:tr w:rsidR="00685EF8" w:rsidRPr="00685EF8" w14:paraId="0099C86E" w14:textId="77777777" w:rsidTr="00685EF8">
        <w:trPr>
          <w:trHeight w:val="286"/>
        </w:trPr>
        <w:tc>
          <w:tcPr>
            <w:tcW w:w="1460" w:type="dxa"/>
            <w:tcBorders>
              <w:top w:val="nil"/>
              <w:left w:val="single" w:sz="8" w:space="0" w:color="auto"/>
              <w:bottom w:val="single" w:sz="4" w:space="0" w:color="auto"/>
              <w:right w:val="single" w:sz="8" w:space="0" w:color="auto"/>
            </w:tcBorders>
            <w:shd w:val="clear" w:color="auto" w:fill="auto"/>
            <w:noWrap/>
            <w:vAlign w:val="center"/>
            <w:hideMark/>
          </w:tcPr>
          <w:p w14:paraId="2BFFB5FB"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300</w:t>
            </w:r>
          </w:p>
        </w:tc>
        <w:tc>
          <w:tcPr>
            <w:tcW w:w="380" w:type="dxa"/>
            <w:tcBorders>
              <w:top w:val="nil"/>
              <w:left w:val="nil"/>
              <w:bottom w:val="nil"/>
              <w:right w:val="nil"/>
            </w:tcBorders>
            <w:shd w:val="clear" w:color="auto" w:fill="auto"/>
            <w:noWrap/>
            <w:vAlign w:val="bottom"/>
            <w:hideMark/>
          </w:tcPr>
          <w:p w14:paraId="0BF52C30"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411" w:type="dxa"/>
            <w:tcBorders>
              <w:top w:val="nil"/>
              <w:left w:val="single" w:sz="8" w:space="0" w:color="auto"/>
              <w:bottom w:val="single" w:sz="4" w:space="0" w:color="auto"/>
              <w:right w:val="single" w:sz="4" w:space="0" w:color="auto"/>
            </w:tcBorders>
            <w:shd w:val="clear" w:color="auto" w:fill="auto"/>
            <w:noWrap/>
            <w:vAlign w:val="center"/>
            <w:hideMark/>
          </w:tcPr>
          <w:p w14:paraId="57ACE449"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29.331</w:t>
            </w:r>
          </w:p>
        </w:tc>
        <w:tc>
          <w:tcPr>
            <w:tcW w:w="1984" w:type="dxa"/>
            <w:tcBorders>
              <w:top w:val="nil"/>
              <w:left w:val="nil"/>
              <w:bottom w:val="single" w:sz="4" w:space="0" w:color="auto"/>
              <w:right w:val="single" w:sz="8" w:space="0" w:color="auto"/>
            </w:tcBorders>
            <w:shd w:val="clear" w:color="auto" w:fill="auto"/>
            <w:noWrap/>
            <w:vAlign w:val="center"/>
            <w:hideMark/>
          </w:tcPr>
          <w:p w14:paraId="1EBE9CDD"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0.054</w:t>
            </w:r>
          </w:p>
        </w:tc>
        <w:tc>
          <w:tcPr>
            <w:tcW w:w="284" w:type="dxa"/>
            <w:tcBorders>
              <w:top w:val="nil"/>
              <w:left w:val="nil"/>
              <w:bottom w:val="nil"/>
              <w:right w:val="nil"/>
            </w:tcBorders>
            <w:shd w:val="clear" w:color="auto" w:fill="auto"/>
            <w:noWrap/>
            <w:vAlign w:val="bottom"/>
            <w:hideMark/>
          </w:tcPr>
          <w:p w14:paraId="119483AF"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4" w:space="0" w:color="auto"/>
              <w:right w:val="single" w:sz="4" w:space="0" w:color="auto"/>
            </w:tcBorders>
            <w:shd w:val="clear" w:color="auto" w:fill="auto"/>
            <w:noWrap/>
            <w:vAlign w:val="center"/>
            <w:hideMark/>
          </w:tcPr>
          <w:p w14:paraId="098C894C"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29.075</w:t>
            </w:r>
          </w:p>
        </w:tc>
        <w:tc>
          <w:tcPr>
            <w:tcW w:w="1985" w:type="dxa"/>
            <w:tcBorders>
              <w:top w:val="nil"/>
              <w:left w:val="nil"/>
              <w:bottom w:val="single" w:sz="4" w:space="0" w:color="auto"/>
              <w:right w:val="single" w:sz="8" w:space="0" w:color="auto"/>
            </w:tcBorders>
            <w:shd w:val="clear" w:color="auto" w:fill="auto"/>
            <w:noWrap/>
            <w:vAlign w:val="center"/>
            <w:hideMark/>
          </w:tcPr>
          <w:p w14:paraId="6F7BEF57"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0.054</w:t>
            </w:r>
          </w:p>
        </w:tc>
      </w:tr>
      <w:tr w:rsidR="00685EF8" w:rsidRPr="00685EF8" w14:paraId="7EE4219A" w14:textId="77777777" w:rsidTr="00685EF8">
        <w:trPr>
          <w:trHeight w:val="286"/>
        </w:trPr>
        <w:tc>
          <w:tcPr>
            <w:tcW w:w="1460" w:type="dxa"/>
            <w:tcBorders>
              <w:top w:val="nil"/>
              <w:left w:val="single" w:sz="8" w:space="0" w:color="auto"/>
              <w:bottom w:val="single" w:sz="4" w:space="0" w:color="auto"/>
              <w:right w:val="single" w:sz="8" w:space="0" w:color="auto"/>
            </w:tcBorders>
            <w:shd w:val="clear" w:color="auto" w:fill="auto"/>
            <w:noWrap/>
            <w:vAlign w:val="center"/>
            <w:hideMark/>
          </w:tcPr>
          <w:p w14:paraId="26AAE620"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400</w:t>
            </w:r>
          </w:p>
        </w:tc>
        <w:tc>
          <w:tcPr>
            <w:tcW w:w="380" w:type="dxa"/>
            <w:tcBorders>
              <w:top w:val="nil"/>
              <w:left w:val="nil"/>
              <w:bottom w:val="nil"/>
              <w:right w:val="nil"/>
            </w:tcBorders>
            <w:shd w:val="clear" w:color="auto" w:fill="auto"/>
            <w:noWrap/>
            <w:vAlign w:val="bottom"/>
            <w:hideMark/>
          </w:tcPr>
          <w:p w14:paraId="054B1C04"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411" w:type="dxa"/>
            <w:tcBorders>
              <w:top w:val="nil"/>
              <w:left w:val="single" w:sz="8" w:space="0" w:color="auto"/>
              <w:bottom w:val="single" w:sz="4" w:space="0" w:color="auto"/>
              <w:right w:val="single" w:sz="4" w:space="0" w:color="auto"/>
            </w:tcBorders>
            <w:shd w:val="clear" w:color="auto" w:fill="auto"/>
            <w:noWrap/>
            <w:vAlign w:val="center"/>
            <w:hideMark/>
          </w:tcPr>
          <w:p w14:paraId="2D7E81E2"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30.21</w:t>
            </w:r>
          </w:p>
        </w:tc>
        <w:tc>
          <w:tcPr>
            <w:tcW w:w="1984" w:type="dxa"/>
            <w:tcBorders>
              <w:top w:val="nil"/>
              <w:left w:val="nil"/>
              <w:bottom w:val="single" w:sz="4" w:space="0" w:color="auto"/>
              <w:right w:val="single" w:sz="8" w:space="0" w:color="auto"/>
            </w:tcBorders>
            <w:shd w:val="clear" w:color="auto" w:fill="auto"/>
            <w:noWrap/>
            <w:vAlign w:val="center"/>
            <w:hideMark/>
          </w:tcPr>
          <w:p w14:paraId="694994AD"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3.031</w:t>
            </w:r>
          </w:p>
        </w:tc>
        <w:tc>
          <w:tcPr>
            <w:tcW w:w="284" w:type="dxa"/>
            <w:tcBorders>
              <w:top w:val="nil"/>
              <w:left w:val="nil"/>
              <w:bottom w:val="nil"/>
              <w:right w:val="nil"/>
            </w:tcBorders>
            <w:shd w:val="clear" w:color="auto" w:fill="auto"/>
            <w:noWrap/>
            <w:vAlign w:val="bottom"/>
            <w:hideMark/>
          </w:tcPr>
          <w:p w14:paraId="46D9A3AD"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4" w:space="0" w:color="auto"/>
              <w:right w:val="single" w:sz="4" w:space="0" w:color="auto"/>
            </w:tcBorders>
            <w:shd w:val="clear" w:color="auto" w:fill="auto"/>
            <w:noWrap/>
            <w:vAlign w:val="center"/>
            <w:hideMark/>
          </w:tcPr>
          <w:p w14:paraId="2668F885"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29.319</w:t>
            </w:r>
          </w:p>
        </w:tc>
        <w:tc>
          <w:tcPr>
            <w:tcW w:w="1985" w:type="dxa"/>
            <w:tcBorders>
              <w:top w:val="nil"/>
              <w:left w:val="nil"/>
              <w:bottom w:val="single" w:sz="4" w:space="0" w:color="auto"/>
              <w:right w:val="single" w:sz="8" w:space="0" w:color="auto"/>
            </w:tcBorders>
            <w:shd w:val="clear" w:color="auto" w:fill="auto"/>
            <w:noWrap/>
            <w:vAlign w:val="center"/>
            <w:hideMark/>
          </w:tcPr>
          <w:p w14:paraId="2412C389"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2.973</w:t>
            </w:r>
          </w:p>
        </w:tc>
      </w:tr>
      <w:tr w:rsidR="00685EF8" w:rsidRPr="00685EF8" w14:paraId="2E80D97F" w14:textId="77777777" w:rsidTr="00685EF8">
        <w:trPr>
          <w:trHeight w:val="286"/>
        </w:trPr>
        <w:tc>
          <w:tcPr>
            <w:tcW w:w="1460" w:type="dxa"/>
            <w:tcBorders>
              <w:top w:val="nil"/>
              <w:left w:val="single" w:sz="8" w:space="0" w:color="auto"/>
              <w:bottom w:val="single" w:sz="4" w:space="0" w:color="auto"/>
              <w:right w:val="single" w:sz="8" w:space="0" w:color="auto"/>
            </w:tcBorders>
            <w:shd w:val="clear" w:color="auto" w:fill="auto"/>
            <w:noWrap/>
            <w:vAlign w:val="center"/>
            <w:hideMark/>
          </w:tcPr>
          <w:p w14:paraId="10EA120D"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500</w:t>
            </w:r>
          </w:p>
        </w:tc>
        <w:tc>
          <w:tcPr>
            <w:tcW w:w="380" w:type="dxa"/>
            <w:tcBorders>
              <w:top w:val="nil"/>
              <w:left w:val="nil"/>
              <w:bottom w:val="nil"/>
              <w:right w:val="nil"/>
            </w:tcBorders>
            <w:shd w:val="clear" w:color="auto" w:fill="auto"/>
            <w:noWrap/>
            <w:vAlign w:val="bottom"/>
            <w:hideMark/>
          </w:tcPr>
          <w:p w14:paraId="7EC32EFF"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411" w:type="dxa"/>
            <w:tcBorders>
              <w:top w:val="nil"/>
              <w:left w:val="single" w:sz="8" w:space="0" w:color="auto"/>
              <w:bottom w:val="single" w:sz="4" w:space="0" w:color="auto"/>
              <w:right w:val="single" w:sz="4" w:space="0" w:color="auto"/>
            </w:tcBorders>
            <w:shd w:val="clear" w:color="auto" w:fill="auto"/>
            <w:noWrap/>
            <w:vAlign w:val="center"/>
            <w:hideMark/>
          </w:tcPr>
          <w:p w14:paraId="20EEE845"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31.114</w:t>
            </w:r>
          </w:p>
        </w:tc>
        <w:tc>
          <w:tcPr>
            <w:tcW w:w="1984" w:type="dxa"/>
            <w:tcBorders>
              <w:top w:val="nil"/>
              <w:left w:val="nil"/>
              <w:bottom w:val="single" w:sz="4" w:space="0" w:color="auto"/>
              <w:right w:val="single" w:sz="8" w:space="0" w:color="auto"/>
            </w:tcBorders>
            <w:shd w:val="clear" w:color="auto" w:fill="auto"/>
            <w:noWrap/>
            <w:vAlign w:val="center"/>
            <w:hideMark/>
          </w:tcPr>
          <w:p w14:paraId="08516DD2"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6.097</w:t>
            </w:r>
          </w:p>
        </w:tc>
        <w:tc>
          <w:tcPr>
            <w:tcW w:w="284" w:type="dxa"/>
            <w:tcBorders>
              <w:top w:val="nil"/>
              <w:left w:val="nil"/>
              <w:bottom w:val="nil"/>
              <w:right w:val="nil"/>
            </w:tcBorders>
            <w:shd w:val="clear" w:color="auto" w:fill="auto"/>
            <w:noWrap/>
            <w:vAlign w:val="bottom"/>
            <w:hideMark/>
          </w:tcPr>
          <w:p w14:paraId="36EEC118"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4" w:space="0" w:color="auto"/>
              <w:right w:val="single" w:sz="4" w:space="0" w:color="auto"/>
            </w:tcBorders>
            <w:shd w:val="clear" w:color="auto" w:fill="auto"/>
            <w:noWrap/>
            <w:vAlign w:val="center"/>
            <w:hideMark/>
          </w:tcPr>
          <w:p w14:paraId="00728B37"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29.636</w:t>
            </w:r>
          </w:p>
        </w:tc>
        <w:tc>
          <w:tcPr>
            <w:tcW w:w="1985" w:type="dxa"/>
            <w:tcBorders>
              <w:top w:val="nil"/>
              <w:left w:val="nil"/>
              <w:bottom w:val="single" w:sz="4" w:space="0" w:color="auto"/>
              <w:right w:val="single" w:sz="8" w:space="0" w:color="auto"/>
            </w:tcBorders>
            <w:shd w:val="clear" w:color="auto" w:fill="auto"/>
            <w:noWrap/>
            <w:vAlign w:val="center"/>
            <w:hideMark/>
          </w:tcPr>
          <w:p w14:paraId="45537A1F"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5.92</w:t>
            </w:r>
          </w:p>
        </w:tc>
      </w:tr>
      <w:tr w:rsidR="00685EF8" w:rsidRPr="00685EF8" w14:paraId="28CF8243" w14:textId="77777777" w:rsidTr="00685EF8">
        <w:trPr>
          <w:trHeight w:val="286"/>
        </w:trPr>
        <w:tc>
          <w:tcPr>
            <w:tcW w:w="1460" w:type="dxa"/>
            <w:tcBorders>
              <w:top w:val="nil"/>
              <w:left w:val="single" w:sz="8" w:space="0" w:color="auto"/>
              <w:bottom w:val="single" w:sz="4" w:space="0" w:color="auto"/>
              <w:right w:val="single" w:sz="8" w:space="0" w:color="auto"/>
            </w:tcBorders>
            <w:shd w:val="clear" w:color="auto" w:fill="auto"/>
            <w:noWrap/>
            <w:vAlign w:val="center"/>
            <w:hideMark/>
          </w:tcPr>
          <w:p w14:paraId="2024A119"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600</w:t>
            </w:r>
          </w:p>
        </w:tc>
        <w:tc>
          <w:tcPr>
            <w:tcW w:w="380" w:type="dxa"/>
            <w:tcBorders>
              <w:top w:val="nil"/>
              <w:left w:val="nil"/>
              <w:bottom w:val="nil"/>
              <w:right w:val="nil"/>
            </w:tcBorders>
            <w:shd w:val="clear" w:color="auto" w:fill="auto"/>
            <w:noWrap/>
            <w:vAlign w:val="bottom"/>
            <w:hideMark/>
          </w:tcPr>
          <w:p w14:paraId="38450C42"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411" w:type="dxa"/>
            <w:tcBorders>
              <w:top w:val="nil"/>
              <w:left w:val="single" w:sz="8" w:space="0" w:color="auto"/>
              <w:bottom w:val="single" w:sz="4" w:space="0" w:color="auto"/>
              <w:right w:val="single" w:sz="4" w:space="0" w:color="auto"/>
            </w:tcBorders>
            <w:shd w:val="clear" w:color="auto" w:fill="auto"/>
            <w:noWrap/>
            <w:vAlign w:val="center"/>
            <w:hideMark/>
          </w:tcPr>
          <w:p w14:paraId="4BF40117"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32.03</w:t>
            </w:r>
          </w:p>
        </w:tc>
        <w:tc>
          <w:tcPr>
            <w:tcW w:w="1984" w:type="dxa"/>
            <w:tcBorders>
              <w:top w:val="nil"/>
              <w:left w:val="nil"/>
              <w:bottom w:val="single" w:sz="4" w:space="0" w:color="auto"/>
              <w:right w:val="single" w:sz="8" w:space="0" w:color="auto"/>
            </w:tcBorders>
            <w:shd w:val="clear" w:color="auto" w:fill="auto"/>
            <w:noWrap/>
            <w:vAlign w:val="center"/>
            <w:hideMark/>
          </w:tcPr>
          <w:p w14:paraId="6ADAA346"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9.254</w:t>
            </w:r>
          </w:p>
        </w:tc>
        <w:tc>
          <w:tcPr>
            <w:tcW w:w="284" w:type="dxa"/>
            <w:tcBorders>
              <w:top w:val="nil"/>
              <w:left w:val="nil"/>
              <w:bottom w:val="nil"/>
              <w:right w:val="nil"/>
            </w:tcBorders>
            <w:shd w:val="clear" w:color="auto" w:fill="auto"/>
            <w:noWrap/>
            <w:vAlign w:val="bottom"/>
            <w:hideMark/>
          </w:tcPr>
          <w:p w14:paraId="60B69F0D"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4" w:space="0" w:color="auto"/>
              <w:right w:val="single" w:sz="4" w:space="0" w:color="auto"/>
            </w:tcBorders>
            <w:shd w:val="clear" w:color="auto" w:fill="auto"/>
            <w:noWrap/>
            <w:vAlign w:val="center"/>
            <w:hideMark/>
          </w:tcPr>
          <w:p w14:paraId="5900A1D8"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30.086</w:t>
            </w:r>
          </w:p>
        </w:tc>
        <w:tc>
          <w:tcPr>
            <w:tcW w:w="1985" w:type="dxa"/>
            <w:tcBorders>
              <w:top w:val="nil"/>
              <w:left w:val="nil"/>
              <w:bottom w:val="single" w:sz="4" w:space="0" w:color="auto"/>
              <w:right w:val="single" w:sz="8" w:space="0" w:color="auto"/>
            </w:tcBorders>
            <w:shd w:val="clear" w:color="auto" w:fill="auto"/>
            <w:noWrap/>
            <w:vAlign w:val="center"/>
            <w:hideMark/>
          </w:tcPr>
          <w:p w14:paraId="084DB96F"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8.905</w:t>
            </w:r>
          </w:p>
        </w:tc>
      </w:tr>
      <w:tr w:rsidR="00685EF8" w:rsidRPr="00685EF8" w14:paraId="7094B28B" w14:textId="77777777" w:rsidTr="00685EF8">
        <w:trPr>
          <w:trHeight w:val="286"/>
        </w:trPr>
        <w:tc>
          <w:tcPr>
            <w:tcW w:w="1460" w:type="dxa"/>
            <w:tcBorders>
              <w:top w:val="nil"/>
              <w:left w:val="single" w:sz="8" w:space="0" w:color="auto"/>
              <w:bottom w:val="single" w:sz="4" w:space="0" w:color="auto"/>
              <w:right w:val="single" w:sz="8" w:space="0" w:color="auto"/>
            </w:tcBorders>
            <w:shd w:val="clear" w:color="auto" w:fill="auto"/>
            <w:noWrap/>
            <w:vAlign w:val="center"/>
            <w:hideMark/>
          </w:tcPr>
          <w:p w14:paraId="3BC4FAE3"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700</w:t>
            </w:r>
          </w:p>
        </w:tc>
        <w:tc>
          <w:tcPr>
            <w:tcW w:w="380" w:type="dxa"/>
            <w:tcBorders>
              <w:top w:val="nil"/>
              <w:left w:val="nil"/>
              <w:bottom w:val="nil"/>
              <w:right w:val="nil"/>
            </w:tcBorders>
            <w:shd w:val="clear" w:color="auto" w:fill="auto"/>
            <w:noWrap/>
            <w:vAlign w:val="bottom"/>
            <w:hideMark/>
          </w:tcPr>
          <w:p w14:paraId="0ED9B94C"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411" w:type="dxa"/>
            <w:tcBorders>
              <w:top w:val="nil"/>
              <w:left w:val="single" w:sz="8" w:space="0" w:color="auto"/>
              <w:bottom w:val="single" w:sz="4" w:space="0" w:color="auto"/>
              <w:right w:val="single" w:sz="4" w:space="0" w:color="auto"/>
            </w:tcBorders>
            <w:shd w:val="clear" w:color="auto" w:fill="auto"/>
            <w:noWrap/>
            <w:vAlign w:val="center"/>
            <w:hideMark/>
          </w:tcPr>
          <w:p w14:paraId="51A6627D"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32.927</w:t>
            </w:r>
          </w:p>
        </w:tc>
        <w:tc>
          <w:tcPr>
            <w:tcW w:w="1984" w:type="dxa"/>
            <w:tcBorders>
              <w:top w:val="nil"/>
              <w:left w:val="nil"/>
              <w:bottom w:val="single" w:sz="4" w:space="0" w:color="auto"/>
              <w:right w:val="single" w:sz="8" w:space="0" w:color="auto"/>
            </w:tcBorders>
            <w:shd w:val="clear" w:color="auto" w:fill="auto"/>
            <w:noWrap/>
            <w:vAlign w:val="center"/>
            <w:hideMark/>
          </w:tcPr>
          <w:p w14:paraId="771D32FE"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12.503</w:t>
            </w:r>
          </w:p>
        </w:tc>
        <w:tc>
          <w:tcPr>
            <w:tcW w:w="284" w:type="dxa"/>
            <w:tcBorders>
              <w:top w:val="nil"/>
              <w:left w:val="nil"/>
              <w:bottom w:val="nil"/>
              <w:right w:val="nil"/>
            </w:tcBorders>
            <w:shd w:val="clear" w:color="auto" w:fill="auto"/>
            <w:noWrap/>
            <w:vAlign w:val="bottom"/>
            <w:hideMark/>
          </w:tcPr>
          <w:p w14:paraId="363A3575"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4" w:space="0" w:color="auto"/>
              <w:right w:val="single" w:sz="4" w:space="0" w:color="auto"/>
            </w:tcBorders>
            <w:shd w:val="clear" w:color="auto" w:fill="auto"/>
            <w:noWrap/>
            <w:vAlign w:val="center"/>
            <w:hideMark/>
          </w:tcPr>
          <w:p w14:paraId="722194A7"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30.684</w:t>
            </w:r>
          </w:p>
        </w:tc>
        <w:tc>
          <w:tcPr>
            <w:tcW w:w="1985" w:type="dxa"/>
            <w:tcBorders>
              <w:top w:val="nil"/>
              <w:left w:val="nil"/>
              <w:bottom w:val="single" w:sz="4" w:space="0" w:color="auto"/>
              <w:right w:val="single" w:sz="8" w:space="0" w:color="auto"/>
            </w:tcBorders>
            <w:shd w:val="clear" w:color="auto" w:fill="auto"/>
            <w:noWrap/>
            <w:vAlign w:val="center"/>
            <w:hideMark/>
          </w:tcPr>
          <w:p w14:paraId="0D50D1FE"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11.942</w:t>
            </w:r>
          </w:p>
        </w:tc>
      </w:tr>
      <w:tr w:rsidR="00685EF8" w:rsidRPr="00685EF8" w14:paraId="2F93873E" w14:textId="77777777" w:rsidTr="00685EF8">
        <w:trPr>
          <w:trHeight w:val="286"/>
        </w:trPr>
        <w:tc>
          <w:tcPr>
            <w:tcW w:w="1460" w:type="dxa"/>
            <w:tcBorders>
              <w:top w:val="nil"/>
              <w:left w:val="single" w:sz="8" w:space="0" w:color="auto"/>
              <w:bottom w:val="single" w:sz="4" w:space="0" w:color="auto"/>
              <w:right w:val="single" w:sz="8" w:space="0" w:color="auto"/>
            </w:tcBorders>
            <w:shd w:val="clear" w:color="auto" w:fill="auto"/>
            <w:noWrap/>
            <w:vAlign w:val="center"/>
            <w:hideMark/>
          </w:tcPr>
          <w:p w14:paraId="13928452"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800</w:t>
            </w:r>
          </w:p>
        </w:tc>
        <w:tc>
          <w:tcPr>
            <w:tcW w:w="380" w:type="dxa"/>
            <w:tcBorders>
              <w:top w:val="nil"/>
              <w:left w:val="nil"/>
              <w:bottom w:val="nil"/>
              <w:right w:val="nil"/>
            </w:tcBorders>
            <w:shd w:val="clear" w:color="auto" w:fill="auto"/>
            <w:noWrap/>
            <w:vAlign w:val="bottom"/>
            <w:hideMark/>
          </w:tcPr>
          <w:p w14:paraId="76EB0126"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411" w:type="dxa"/>
            <w:tcBorders>
              <w:top w:val="nil"/>
              <w:left w:val="single" w:sz="8" w:space="0" w:color="auto"/>
              <w:bottom w:val="single" w:sz="4" w:space="0" w:color="auto"/>
              <w:right w:val="single" w:sz="4" w:space="0" w:color="auto"/>
            </w:tcBorders>
            <w:shd w:val="clear" w:color="auto" w:fill="auto"/>
            <w:noWrap/>
            <w:vAlign w:val="center"/>
            <w:hideMark/>
          </w:tcPr>
          <w:p w14:paraId="3097F3F6"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33.757</w:t>
            </w:r>
          </w:p>
        </w:tc>
        <w:tc>
          <w:tcPr>
            <w:tcW w:w="1984" w:type="dxa"/>
            <w:tcBorders>
              <w:top w:val="nil"/>
              <w:left w:val="nil"/>
              <w:bottom w:val="single" w:sz="4" w:space="0" w:color="auto"/>
              <w:right w:val="single" w:sz="8" w:space="0" w:color="auto"/>
            </w:tcBorders>
            <w:shd w:val="clear" w:color="auto" w:fill="auto"/>
            <w:noWrap/>
            <w:vAlign w:val="center"/>
            <w:hideMark/>
          </w:tcPr>
          <w:p w14:paraId="5076E03C"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15.838</w:t>
            </w:r>
          </w:p>
        </w:tc>
        <w:tc>
          <w:tcPr>
            <w:tcW w:w="284" w:type="dxa"/>
            <w:tcBorders>
              <w:top w:val="nil"/>
              <w:left w:val="nil"/>
              <w:bottom w:val="nil"/>
              <w:right w:val="nil"/>
            </w:tcBorders>
            <w:shd w:val="clear" w:color="auto" w:fill="auto"/>
            <w:noWrap/>
            <w:vAlign w:val="bottom"/>
            <w:hideMark/>
          </w:tcPr>
          <w:p w14:paraId="7B853CA7"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4" w:space="0" w:color="auto"/>
              <w:right w:val="single" w:sz="4" w:space="0" w:color="auto"/>
            </w:tcBorders>
            <w:shd w:val="clear" w:color="auto" w:fill="auto"/>
            <w:noWrap/>
            <w:vAlign w:val="center"/>
            <w:hideMark/>
          </w:tcPr>
          <w:p w14:paraId="4174D139"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31.394</w:t>
            </w:r>
          </w:p>
        </w:tc>
        <w:tc>
          <w:tcPr>
            <w:tcW w:w="1985" w:type="dxa"/>
            <w:tcBorders>
              <w:top w:val="nil"/>
              <w:left w:val="nil"/>
              <w:bottom w:val="single" w:sz="4" w:space="0" w:color="auto"/>
              <w:right w:val="single" w:sz="8" w:space="0" w:color="auto"/>
            </w:tcBorders>
            <w:shd w:val="clear" w:color="auto" w:fill="auto"/>
            <w:noWrap/>
            <w:vAlign w:val="center"/>
            <w:hideMark/>
          </w:tcPr>
          <w:p w14:paraId="398B499B"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15.046</w:t>
            </w:r>
          </w:p>
        </w:tc>
      </w:tr>
      <w:tr w:rsidR="00685EF8" w:rsidRPr="00685EF8" w14:paraId="3B0577F2" w14:textId="77777777" w:rsidTr="00685EF8">
        <w:trPr>
          <w:trHeight w:val="286"/>
        </w:trPr>
        <w:tc>
          <w:tcPr>
            <w:tcW w:w="1460" w:type="dxa"/>
            <w:tcBorders>
              <w:top w:val="nil"/>
              <w:left w:val="single" w:sz="8" w:space="0" w:color="auto"/>
              <w:bottom w:val="single" w:sz="4" w:space="0" w:color="auto"/>
              <w:right w:val="single" w:sz="8" w:space="0" w:color="auto"/>
            </w:tcBorders>
            <w:shd w:val="clear" w:color="auto" w:fill="auto"/>
            <w:noWrap/>
            <w:vAlign w:val="center"/>
            <w:hideMark/>
          </w:tcPr>
          <w:p w14:paraId="49B81763"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900</w:t>
            </w:r>
          </w:p>
        </w:tc>
        <w:tc>
          <w:tcPr>
            <w:tcW w:w="380" w:type="dxa"/>
            <w:tcBorders>
              <w:top w:val="nil"/>
              <w:left w:val="nil"/>
              <w:bottom w:val="nil"/>
              <w:right w:val="nil"/>
            </w:tcBorders>
            <w:shd w:val="clear" w:color="auto" w:fill="auto"/>
            <w:noWrap/>
            <w:vAlign w:val="bottom"/>
            <w:hideMark/>
          </w:tcPr>
          <w:p w14:paraId="3665FDD8"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411" w:type="dxa"/>
            <w:tcBorders>
              <w:top w:val="nil"/>
              <w:left w:val="single" w:sz="8" w:space="0" w:color="auto"/>
              <w:bottom w:val="single" w:sz="4" w:space="0" w:color="auto"/>
              <w:right w:val="single" w:sz="4" w:space="0" w:color="auto"/>
            </w:tcBorders>
            <w:shd w:val="clear" w:color="auto" w:fill="auto"/>
            <w:noWrap/>
            <w:vAlign w:val="center"/>
            <w:hideMark/>
          </w:tcPr>
          <w:p w14:paraId="01C808E3"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34.454</w:t>
            </w:r>
          </w:p>
        </w:tc>
        <w:tc>
          <w:tcPr>
            <w:tcW w:w="1984" w:type="dxa"/>
            <w:tcBorders>
              <w:top w:val="nil"/>
              <w:left w:val="nil"/>
              <w:bottom w:val="single" w:sz="4" w:space="0" w:color="auto"/>
              <w:right w:val="single" w:sz="8" w:space="0" w:color="auto"/>
            </w:tcBorders>
            <w:shd w:val="clear" w:color="auto" w:fill="auto"/>
            <w:noWrap/>
            <w:vAlign w:val="center"/>
            <w:hideMark/>
          </w:tcPr>
          <w:p w14:paraId="72098F87"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19.25</w:t>
            </w:r>
          </w:p>
        </w:tc>
        <w:tc>
          <w:tcPr>
            <w:tcW w:w="284" w:type="dxa"/>
            <w:tcBorders>
              <w:top w:val="nil"/>
              <w:left w:val="nil"/>
              <w:bottom w:val="nil"/>
              <w:right w:val="nil"/>
            </w:tcBorders>
            <w:shd w:val="clear" w:color="auto" w:fill="auto"/>
            <w:noWrap/>
            <w:vAlign w:val="bottom"/>
            <w:hideMark/>
          </w:tcPr>
          <w:p w14:paraId="73D42E8B"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4" w:space="0" w:color="auto"/>
              <w:right w:val="single" w:sz="4" w:space="0" w:color="auto"/>
            </w:tcBorders>
            <w:shd w:val="clear" w:color="auto" w:fill="auto"/>
            <w:noWrap/>
            <w:vAlign w:val="center"/>
            <w:hideMark/>
          </w:tcPr>
          <w:p w14:paraId="2E0A8F0C"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32.131</w:t>
            </w:r>
          </w:p>
        </w:tc>
        <w:tc>
          <w:tcPr>
            <w:tcW w:w="1985" w:type="dxa"/>
            <w:tcBorders>
              <w:top w:val="nil"/>
              <w:left w:val="nil"/>
              <w:bottom w:val="single" w:sz="4" w:space="0" w:color="auto"/>
              <w:right w:val="single" w:sz="8" w:space="0" w:color="auto"/>
            </w:tcBorders>
            <w:shd w:val="clear" w:color="auto" w:fill="auto"/>
            <w:noWrap/>
            <w:vAlign w:val="center"/>
            <w:hideMark/>
          </w:tcPr>
          <w:p w14:paraId="661E7F45"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18.222</w:t>
            </w:r>
          </w:p>
        </w:tc>
      </w:tr>
      <w:tr w:rsidR="00685EF8" w:rsidRPr="00685EF8" w14:paraId="1C04E59C" w14:textId="77777777" w:rsidTr="00685EF8">
        <w:trPr>
          <w:trHeight w:val="286"/>
        </w:trPr>
        <w:tc>
          <w:tcPr>
            <w:tcW w:w="1460" w:type="dxa"/>
            <w:tcBorders>
              <w:top w:val="nil"/>
              <w:left w:val="single" w:sz="8" w:space="0" w:color="auto"/>
              <w:bottom w:val="single" w:sz="4" w:space="0" w:color="auto"/>
              <w:right w:val="single" w:sz="8" w:space="0" w:color="auto"/>
            </w:tcBorders>
            <w:shd w:val="clear" w:color="auto" w:fill="auto"/>
            <w:noWrap/>
            <w:vAlign w:val="center"/>
            <w:hideMark/>
          </w:tcPr>
          <w:p w14:paraId="5BD75EBF"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1000</w:t>
            </w:r>
          </w:p>
        </w:tc>
        <w:tc>
          <w:tcPr>
            <w:tcW w:w="380" w:type="dxa"/>
            <w:tcBorders>
              <w:top w:val="nil"/>
              <w:left w:val="nil"/>
              <w:bottom w:val="nil"/>
              <w:right w:val="nil"/>
            </w:tcBorders>
            <w:shd w:val="clear" w:color="auto" w:fill="auto"/>
            <w:noWrap/>
            <w:vAlign w:val="bottom"/>
            <w:hideMark/>
          </w:tcPr>
          <w:p w14:paraId="705AAB70"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411" w:type="dxa"/>
            <w:tcBorders>
              <w:top w:val="nil"/>
              <w:left w:val="single" w:sz="8" w:space="0" w:color="auto"/>
              <w:bottom w:val="single" w:sz="4" w:space="0" w:color="auto"/>
              <w:right w:val="single" w:sz="4" w:space="0" w:color="auto"/>
            </w:tcBorders>
            <w:shd w:val="clear" w:color="auto" w:fill="auto"/>
            <w:noWrap/>
            <w:vAlign w:val="center"/>
            <w:hideMark/>
          </w:tcPr>
          <w:p w14:paraId="616FD0A9"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34.936</w:t>
            </w:r>
          </w:p>
        </w:tc>
        <w:tc>
          <w:tcPr>
            <w:tcW w:w="1984" w:type="dxa"/>
            <w:tcBorders>
              <w:top w:val="nil"/>
              <w:left w:val="nil"/>
              <w:bottom w:val="single" w:sz="4" w:space="0" w:color="auto"/>
              <w:right w:val="single" w:sz="8" w:space="0" w:color="auto"/>
            </w:tcBorders>
            <w:shd w:val="clear" w:color="auto" w:fill="auto"/>
            <w:noWrap/>
            <w:vAlign w:val="center"/>
            <w:hideMark/>
          </w:tcPr>
          <w:p w14:paraId="19A4CFAB"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22.721</w:t>
            </w:r>
          </w:p>
        </w:tc>
        <w:tc>
          <w:tcPr>
            <w:tcW w:w="284" w:type="dxa"/>
            <w:tcBorders>
              <w:top w:val="nil"/>
              <w:left w:val="nil"/>
              <w:bottom w:val="nil"/>
              <w:right w:val="nil"/>
            </w:tcBorders>
            <w:shd w:val="clear" w:color="auto" w:fill="auto"/>
            <w:noWrap/>
            <w:vAlign w:val="bottom"/>
            <w:hideMark/>
          </w:tcPr>
          <w:p w14:paraId="62BF98A7"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4" w:space="0" w:color="auto"/>
              <w:right w:val="single" w:sz="4" w:space="0" w:color="auto"/>
            </w:tcBorders>
            <w:shd w:val="clear" w:color="auto" w:fill="auto"/>
            <w:noWrap/>
            <w:vAlign w:val="center"/>
            <w:hideMark/>
          </w:tcPr>
          <w:p w14:paraId="6B502E16"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32.762</w:t>
            </w:r>
          </w:p>
        </w:tc>
        <w:tc>
          <w:tcPr>
            <w:tcW w:w="1985" w:type="dxa"/>
            <w:tcBorders>
              <w:top w:val="nil"/>
              <w:left w:val="nil"/>
              <w:bottom w:val="single" w:sz="4" w:space="0" w:color="auto"/>
              <w:right w:val="single" w:sz="8" w:space="0" w:color="auto"/>
            </w:tcBorders>
            <w:shd w:val="clear" w:color="auto" w:fill="auto"/>
            <w:noWrap/>
            <w:vAlign w:val="center"/>
            <w:hideMark/>
          </w:tcPr>
          <w:p w14:paraId="7E04DFA6"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21.468</w:t>
            </w:r>
          </w:p>
        </w:tc>
      </w:tr>
      <w:tr w:rsidR="00685EF8" w:rsidRPr="00685EF8" w14:paraId="6B637E98" w14:textId="77777777" w:rsidTr="00685EF8">
        <w:trPr>
          <w:trHeight w:val="286"/>
        </w:trPr>
        <w:tc>
          <w:tcPr>
            <w:tcW w:w="1460" w:type="dxa"/>
            <w:tcBorders>
              <w:top w:val="nil"/>
              <w:left w:val="single" w:sz="8" w:space="0" w:color="auto"/>
              <w:bottom w:val="single" w:sz="4" w:space="0" w:color="auto"/>
              <w:right w:val="single" w:sz="8" w:space="0" w:color="auto"/>
            </w:tcBorders>
            <w:shd w:val="clear" w:color="auto" w:fill="auto"/>
            <w:noWrap/>
            <w:vAlign w:val="center"/>
            <w:hideMark/>
          </w:tcPr>
          <w:p w14:paraId="02E9405B"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1100</w:t>
            </w:r>
          </w:p>
        </w:tc>
        <w:tc>
          <w:tcPr>
            <w:tcW w:w="380" w:type="dxa"/>
            <w:tcBorders>
              <w:top w:val="nil"/>
              <w:left w:val="nil"/>
              <w:bottom w:val="nil"/>
              <w:right w:val="nil"/>
            </w:tcBorders>
            <w:shd w:val="clear" w:color="auto" w:fill="auto"/>
            <w:noWrap/>
            <w:vAlign w:val="bottom"/>
            <w:hideMark/>
          </w:tcPr>
          <w:p w14:paraId="49569CC1"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411" w:type="dxa"/>
            <w:tcBorders>
              <w:top w:val="nil"/>
              <w:left w:val="single" w:sz="8" w:space="0" w:color="auto"/>
              <w:bottom w:val="single" w:sz="4" w:space="0" w:color="auto"/>
              <w:right w:val="single" w:sz="4" w:space="0" w:color="auto"/>
            </w:tcBorders>
            <w:shd w:val="clear" w:color="auto" w:fill="auto"/>
            <w:noWrap/>
            <w:vAlign w:val="center"/>
            <w:hideMark/>
          </w:tcPr>
          <w:p w14:paraId="1AC86CB6"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35.27</w:t>
            </w:r>
          </w:p>
        </w:tc>
        <w:tc>
          <w:tcPr>
            <w:tcW w:w="1984" w:type="dxa"/>
            <w:tcBorders>
              <w:top w:val="nil"/>
              <w:left w:val="nil"/>
              <w:bottom w:val="single" w:sz="4" w:space="0" w:color="auto"/>
              <w:right w:val="single" w:sz="8" w:space="0" w:color="auto"/>
            </w:tcBorders>
            <w:shd w:val="clear" w:color="auto" w:fill="auto"/>
            <w:noWrap/>
            <w:vAlign w:val="center"/>
            <w:hideMark/>
          </w:tcPr>
          <w:p w14:paraId="15FF4F5F"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26.232</w:t>
            </w:r>
          </w:p>
        </w:tc>
        <w:tc>
          <w:tcPr>
            <w:tcW w:w="284" w:type="dxa"/>
            <w:tcBorders>
              <w:top w:val="nil"/>
              <w:left w:val="nil"/>
              <w:bottom w:val="nil"/>
              <w:right w:val="nil"/>
            </w:tcBorders>
            <w:shd w:val="clear" w:color="auto" w:fill="auto"/>
            <w:noWrap/>
            <w:vAlign w:val="bottom"/>
            <w:hideMark/>
          </w:tcPr>
          <w:p w14:paraId="7E94AD66"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4" w:space="0" w:color="auto"/>
              <w:right w:val="single" w:sz="4" w:space="0" w:color="auto"/>
            </w:tcBorders>
            <w:shd w:val="clear" w:color="auto" w:fill="auto"/>
            <w:noWrap/>
            <w:vAlign w:val="center"/>
            <w:hideMark/>
          </w:tcPr>
          <w:p w14:paraId="28CD239C"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33.258</w:t>
            </w:r>
          </w:p>
        </w:tc>
        <w:tc>
          <w:tcPr>
            <w:tcW w:w="1985" w:type="dxa"/>
            <w:tcBorders>
              <w:top w:val="nil"/>
              <w:left w:val="nil"/>
              <w:bottom w:val="single" w:sz="4" w:space="0" w:color="auto"/>
              <w:right w:val="single" w:sz="8" w:space="0" w:color="auto"/>
            </w:tcBorders>
            <w:shd w:val="clear" w:color="auto" w:fill="auto"/>
            <w:noWrap/>
            <w:vAlign w:val="center"/>
            <w:hideMark/>
          </w:tcPr>
          <w:p w14:paraId="60DBCD65"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24.77</w:t>
            </w:r>
          </w:p>
        </w:tc>
      </w:tr>
      <w:tr w:rsidR="00685EF8" w:rsidRPr="00685EF8" w14:paraId="39541CDA" w14:textId="77777777" w:rsidTr="00685EF8">
        <w:trPr>
          <w:trHeight w:val="286"/>
        </w:trPr>
        <w:tc>
          <w:tcPr>
            <w:tcW w:w="1460" w:type="dxa"/>
            <w:tcBorders>
              <w:top w:val="nil"/>
              <w:left w:val="single" w:sz="8" w:space="0" w:color="auto"/>
              <w:bottom w:val="single" w:sz="4" w:space="0" w:color="auto"/>
              <w:right w:val="single" w:sz="8" w:space="0" w:color="auto"/>
            </w:tcBorders>
            <w:shd w:val="clear" w:color="auto" w:fill="auto"/>
            <w:noWrap/>
            <w:vAlign w:val="center"/>
            <w:hideMark/>
          </w:tcPr>
          <w:p w14:paraId="62FC846E"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1200</w:t>
            </w:r>
          </w:p>
        </w:tc>
        <w:tc>
          <w:tcPr>
            <w:tcW w:w="380" w:type="dxa"/>
            <w:tcBorders>
              <w:top w:val="nil"/>
              <w:left w:val="nil"/>
              <w:bottom w:val="nil"/>
              <w:right w:val="nil"/>
            </w:tcBorders>
            <w:shd w:val="clear" w:color="auto" w:fill="auto"/>
            <w:noWrap/>
            <w:vAlign w:val="bottom"/>
            <w:hideMark/>
          </w:tcPr>
          <w:p w14:paraId="0C714981"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411" w:type="dxa"/>
            <w:tcBorders>
              <w:top w:val="nil"/>
              <w:left w:val="single" w:sz="8" w:space="0" w:color="auto"/>
              <w:bottom w:val="single" w:sz="4" w:space="0" w:color="auto"/>
              <w:right w:val="single" w:sz="4" w:space="0" w:color="auto"/>
            </w:tcBorders>
            <w:shd w:val="clear" w:color="auto" w:fill="auto"/>
            <w:noWrap/>
            <w:vAlign w:val="center"/>
            <w:hideMark/>
          </w:tcPr>
          <w:p w14:paraId="711D8FA9"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35.593</w:t>
            </w:r>
          </w:p>
        </w:tc>
        <w:tc>
          <w:tcPr>
            <w:tcW w:w="1984" w:type="dxa"/>
            <w:tcBorders>
              <w:top w:val="nil"/>
              <w:left w:val="nil"/>
              <w:bottom w:val="single" w:sz="4" w:space="0" w:color="auto"/>
              <w:right w:val="single" w:sz="8" w:space="0" w:color="auto"/>
            </w:tcBorders>
            <w:shd w:val="clear" w:color="auto" w:fill="auto"/>
            <w:noWrap/>
            <w:vAlign w:val="center"/>
            <w:hideMark/>
          </w:tcPr>
          <w:p w14:paraId="161D3045"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29.775</w:t>
            </w:r>
          </w:p>
        </w:tc>
        <w:tc>
          <w:tcPr>
            <w:tcW w:w="284" w:type="dxa"/>
            <w:tcBorders>
              <w:top w:val="nil"/>
              <w:left w:val="nil"/>
              <w:bottom w:val="nil"/>
              <w:right w:val="nil"/>
            </w:tcBorders>
            <w:shd w:val="clear" w:color="auto" w:fill="auto"/>
            <w:noWrap/>
            <w:vAlign w:val="bottom"/>
            <w:hideMark/>
          </w:tcPr>
          <w:p w14:paraId="78D193DD"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4" w:space="0" w:color="auto"/>
              <w:right w:val="single" w:sz="4" w:space="0" w:color="auto"/>
            </w:tcBorders>
            <w:shd w:val="clear" w:color="auto" w:fill="auto"/>
            <w:noWrap/>
            <w:vAlign w:val="center"/>
            <w:hideMark/>
          </w:tcPr>
          <w:p w14:paraId="1B228C75"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33.707</w:t>
            </w:r>
          </w:p>
        </w:tc>
        <w:tc>
          <w:tcPr>
            <w:tcW w:w="1985" w:type="dxa"/>
            <w:tcBorders>
              <w:top w:val="nil"/>
              <w:left w:val="nil"/>
              <w:bottom w:val="single" w:sz="4" w:space="0" w:color="auto"/>
              <w:right w:val="single" w:sz="8" w:space="0" w:color="auto"/>
            </w:tcBorders>
            <w:shd w:val="clear" w:color="auto" w:fill="auto"/>
            <w:noWrap/>
            <w:vAlign w:val="center"/>
            <w:hideMark/>
          </w:tcPr>
          <w:p w14:paraId="1773320F"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28.118</w:t>
            </w:r>
          </w:p>
        </w:tc>
      </w:tr>
      <w:tr w:rsidR="00685EF8" w:rsidRPr="00685EF8" w14:paraId="1D6107AE" w14:textId="77777777" w:rsidTr="00685EF8">
        <w:trPr>
          <w:trHeight w:val="286"/>
        </w:trPr>
        <w:tc>
          <w:tcPr>
            <w:tcW w:w="1460" w:type="dxa"/>
            <w:tcBorders>
              <w:top w:val="nil"/>
              <w:left w:val="single" w:sz="8" w:space="0" w:color="auto"/>
              <w:bottom w:val="single" w:sz="4" w:space="0" w:color="auto"/>
              <w:right w:val="single" w:sz="8" w:space="0" w:color="auto"/>
            </w:tcBorders>
            <w:shd w:val="clear" w:color="auto" w:fill="auto"/>
            <w:noWrap/>
            <w:vAlign w:val="center"/>
            <w:hideMark/>
          </w:tcPr>
          <w:p w14:paraId="6AE3A1E6"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1300</w:t>
            </w:r>
          </w:p>
        </w:tc>
        <w:tc>
          <w:tcPr>
            <w:tcW w:w="380" w:type="dxa"/>
            <w:tcBorders>
              <w:top w:val="nil"/>
              <w:left w:val="nil"/>
              <w:bottom w:val="nil"/>
              <w:right w:val="nil"/>
            </w:tcBorders>
            <w:shd w:val="clear" w:color="auto" w:fill="auto"/>
            <w:noWrap/>
            <w:vAlign w:val="bottom"/>
            <w:hideMark/>
          </w:tcPr>
          <w:p w14:paraId="39C6D211"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411" w:type="dxa"/>
            <w:tcBorders>
              <w:top w:val="nil"/>
              <w:left w:val="single" w:sz="8" w:space="0" w:color="auto"/>
              <w:bottom w:val="single" w:sz="4" w:space="0" w:color="auto"/>
              <w:right w:val="single" w:sz="4" w:space="0" w:color="auto"/>
            </w:tcBorders>
            <w:shd w:val="clear" w:color="auto" w:fill="auto"/>
            <w:noWrap/>
            <w:vAlign w:val="center"/>
            <w:hideMark/>
          </w:tcPr>
          <w:p w14:paraId="1B75A407"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35.903</w:t>
            </w:r>
          </w:p>
        </w:tc>
        <w:tc>
          <w:tcPr>
            <w:tcW w:w="1984" w:type="dxa"/>
            <w:tcBorders>
              <w:top w:val="nil"/>
              <w:left w:val="nil"/>
              <w:bottom w:val="single" w:sz="4" w:space="0" w:color="auto"/>
              <w:right w:val="single" w:sz="8" w:space="0" w:color="auto"/>
            </w:tcBorders>
            <w:shd w:val="clear" w:color="auto" w:fill="auto"/>
            <w:noWrap/>
            <w:vAlign w:val="center"/>
            <w:hideMark/>
          </w:tcPr>
          <w:p w14:paraId="0B226FD2"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33.35</w:t>
            </w:r>
          </w:p>
        </w:tc>
        <w:tc>
          <w:tcPr>
            <w:tcW w:w="284" w:type="dxa"/>
            <w:tcBorders>
              <w:top w:val="nil"/>
              <w:left w:val="nil"/>
              <w:bottom w:val="nil"/>
              <w:right w:val="nil"/>
            </w:tcBorders>
            <w:shd w:val="clear" w:color="auto" w:fill="auto"/>
            <w:noWrap/>
            <w:vAlign w:val="bottom"/>
            <w:hideMark/>
          </w:tcPr>
          <w:p w14:paraId="43288582"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4" w:space="0" w:color="auto"/>
              <w:right w:val="single" w:sz="4" w:space="0" w:color="auto"/>
            </w:tcBorders>
            <w:shd w:val="clear" w:color="auto" w:fill="auto"/>
            <w:noWrap/>
            <w:vAlign w:val="center"/>
            <w:hideMark/>
          </w:tcPr>
          <w:p w14:paraId="0496AB3D"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34.113</w:t>
            </w:r>
          </w:p>
        </w:tc>
        <w:tc>
          <w:tcPr>
            <w:tcW w:w="1985" w:type="dxa"/>
            <w:tcBorders>
              <w:top w:val="nil"/>
              <w:left w:val="nil"/>
              <w:bottom w:val="single" w:sz="4" w:space="0" w:color="auto"/>
              <w:right w:val="single" w:sz="8" w:space="0" w:color="auto"/>
            </w:tcBorders>
            <w:shd w:val="clear" w:color="auto" w:fill="auto"/>
            <w:noWrap/>
            <w:vAlign w:val="center"/>
            <w:hideMark/>
          </w:tcPr>
          <w:p w14:paraId="233402ED"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31.51</w:t>
            </w:r>
          </w:p>
        </w:tc>
      </w:tr>
      <w:tr w:rsidR="00685EF8" w:rsidRPr="00685EF8" w14:paraId="169728A4" w14:textId="77777777" w:rsidTr="00685EF8">
        <w:trPr>
          <w:trHeight w:val="286"/>
        </w:trPr>
        <w:tc>
          <w:tcPr>
            <w:tcW w:w="1460" w:type="dxa"/>
            <w:tcBorders>
              <w:top w:val="nil"/>
              <w:left w:val="single" w:sz="8" w:space="0" w:color="auto"/>
              <w:bottom w:val="single" w:sz="4" w:space="0" w:color="auto"/>
              <w:right w:val="single" w:sz="8" w:space="0" w:color="auto"/>
            </w:tcBorders>
            <w:shd w:val="clear" w:color="auto" w:fill="auto"/>
            <w:noWrap/>
            <w:vAlign w:val="center"/>
            <w:hideMark/>
          </w:tcPr>
          <w:p w14:paraId="2E705FED"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1400</w:t>
            </w:r>
          </w:p>
        </w:tc>
        <w:tc>
          <w:tcPr>
            <w:tcW w:w="380" w:type="dxa"/>
            <w:tcBorders>
              <w:top w:val="nil"/>
              <w:left w:val="nil"/>
              <w:bottom w:val="nil"/>
              <w:right w:val="nil"/>
            </w:tcBorders>
            <w:shd w:val="clear" w:color="auto" w:fill="auto"/>
            <w:noWrap/>
            <w:vAlign w:val="bottom"/>
            <w:hideMark/>
          </w:tcPr>
          <w:p w14:paraId="281CC60A"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411" w:type="dxa"/>
            <w:tcBorders>
              <w:top w:val="nil"/>
              <w:left w:val="single" w:sz="8" w:space="0" w:color="auto"/>
              <w:bottom w:val="single" w:sz="4" w:space="0" w:color="auto"/>
              <w:right w:val="single" w:sz="4" w:space="0" w:color="auto"/>
            </w:tcBorders>
            <w:shd w:val="clear" w:color="auto" w:fill="auto"/>
            <w:noWrap/>
            <w:vAlign w:val="center"/>
            <w:hideMark/>
          </w:tcPr>
          <w:p w14:paraId="72E63749"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36.202</w:t>
            </w:r>
          </w:p>
        </w:tc>
        <w:tc>
          <w:tcPr>
            <w:tcW w:w="1984" w:type="dxa"/>
            <w:tcBorders>
              <w:top w:val="nil"/>
              <w:left w:val="nil"/>
              <w:bottom w:val="single" w:sz="4" w:space="0" w:color="auto"/>
              <w:right w:val="single" w:sz="8" w:space="0" w:color="auto"/>
            </w:tcBorders>
            <w:shd w:val="clear" w:color="auto" w:fill="auto"/>
            <w:noWrap/>
            <w:vAlign w:val="center"/>
            <w:hideMark/>
          </w:tcPr>
          <w:p w14:paraId="04E3DA91"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36.955</w:t>
            </w:r>
          </w:p>
        </w:tc>
        <w:tc>
          <w:tcPr>
            <w:tcW w:w="284" w:type="dxa"/>
            <w:tcBorders>
              <w:top w:val="nil"/>
              <w:left w:val="nil"/>
              <w:bottom w:val="nil"/>
              <w:right w:val="nil"/>
            </w:tcBorders>
            <w:shd w:val="clear" w:color="auto" w:fill="auto"/>
            <w:noWrap/>
            <w:vAlign w:val="bottom"/>
            <w:hideMark/>
          </w:tcPr>
          <w:p w14:paraId="3444A7A5"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4" w:space="0" w:color="auto"/>
              <w:right w:val="single" w:sz="4" w:space="0" w:color="auto"/>
            </w:tcBorders>
            <w:shd w:val="clear" w:color="auto" w:fill="auto"/>
            <w:noWrap/>
            <w:vAlign w:val="center"/>
            <w:hideMark/>
          </w:tcPr>
          <w:p w14:paraId="48E03CE8"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34.477</w:t>
            </w:r>
          </w:p>
        </w:tc>
        <w:tc>
          <w:tcPr>
            <w:tcW w:w="1985" w:type="dxa"/>
            <w:tcBorders>
              <w:top w:val="nil"/>
              <w:left w:val="nil"/>
              <w:bottom w:val="single" w:sz="4" w:space="0" w:color="auto"/>
              <w:right w:val="single" w:sz="8" w:space="0" w:color="auto"/>
            </w:tcBorders>
            <w:shd w:val="clear" w:color="auto" w:fill="auto"/>
            <w:noWrap/>
            <w:vAlign w:val="center"/>
            <w:hideMark/>
          </w:tcPr>
          <w:p w14:paraId="5D8D738F"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34.939</w:t>
            </w:r>
          </w:p>
        </w:tc>
      </w:tr>
      <w:tr w:rsidR="00685EF8" w:rsidRPr="00685EF8" w14:paraId="75379B9A" w14:textId="77777777" w:rsidTr="00685EF8">
        <w:trPr>
          <w:trHeight w:val="286"/>
        </w:trPr>
        <w:tc>
          <w:tcPr>
            <w:tcW w:w="1460" w:type="dxa"/>
            <w:tcBorders>
              <w:top w:val="nil"/>
              <w:left w:val="single" w:sz="8" w:space="0" w:color="auto"/>
              <w:bottom w:val="single" w:sz="4" w:space="0" w:color="auto"/>
              <w:right w:val="single" w:sz="8" w:space="0" w:color="auto"/>
            </w:tcBorders>
            <w:shd w:val="clear" w:color="auto" w:fill="auto"/>
            <w:noWrap/>
            <w:vAlign w:val="center"/>
            <w:hideMark/>
          </w:tcPr>
          <w:p w14:paraId="3FFEE070"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1500</w:t>
            </w:r>
          </w:p>
        </w:tc>
        <w:tc>
          <w:tcPr>
            <w:tcW w:w="380" w:type="dxa"/>
            <w:tcBorders>
              <w:top w:val="nil"/>
              <w:left w:val="nil"/>
              <w:bottom w:val="nil"/>
              <w:right w:val="nil"/>
            </w:tcBorders>
            <w:shd w:val="clear" w:color="auto" w:fill="auto"/>
            <w:noWrap/>
            <w:vAlign w:val="bottom"/>
            <w:hideMark/>
          </w:tcPr>
          <w:p w14:paraId="2FF4FFC1"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411" w:type="dxa"/>
            <w:tcBorders>
              <w:top w:val="nil"/>
              <w:left w:val="single" w:sz="8" w:space="0" w:color="auto"/>
              <w:bottom w:val="single" w:sz="4" w:space="0" w:color="auto"/>
              <w:right w:val="single" w:sz="4" w:space="0" w:color="auto"/>
            </w:tcBorders>
            <w:shd w:val="clear" w:color="auto" w:fill="auto"/>
            <w:noWrap/>
            <w:vAlign w:val="center"/>
            <w:hideMark/>
          </w:tcPr>
          <w:p w14:paraId="65046B7F"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36.49</w:t>
            </w:r>
          </w:p>
        </w:tc>
        <w:tc>
          <w:tcPr>
            <w:tcW w:w="1984" w:type="dxa"/>
            <w:tcBorders>
              <w:top w:val="nil"/>
              <w:left w:val="nil"/>
              <w:bottom w:val="single" w:sz="4" w:space="0" w:color="auto"/>
              <w:right w:val="single" w:sz="8" w:space="0" w:color="auto"/>
            </w:tcBorders>
            <w:shd w:val="clear" w:color="auto" w:fill="auto"/>
            <w:noWrap/>
            <w:vAlign w:val="center"/>
            <w:hideMark/>
          </w:tcPr>
          <w:p w14:paraId="759CE5EA"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40.59</w:t>
            </w:r>
          </w:p>
        </w:tc>
        <w:tc>
          <w:tcPr>
            <w:tcW w:w="284" w:type="dxa"/>
            <w:tcBorders>
              <w:top w:val="nil"/>
              <w:left w:val="nil"/>
              <w:bottom w:val="nil"/>
              <w:right w:val="nil"/>
            </w:tcBorders>
            <w:shd w:val="clear" w:color="auto" w:fill="auto"/>
            <w:noWrap/>
            <w:vAlign w:val="bottom"/>
            <w:hideMark/>
          </w:tcPr>
          <w:p w14:paraId="1F2D28BD"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4" w:space="0" w:color="auto"/>
              <w:right w:val="single" w:sz="4" w:space="0" w:color="auto"/>
            </w:tcBorders>
            <w:shd w:val="clear" w:color="auto" w:fill="auto"/>
            <w:noWrap/>
            <w:vAlign w:val="center"/>
            <w:hideMark/>
          </w:tcPr>
          <w:p w14:paraId="22808F56"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34.805</w:t>
            </w:r>
          </w:p>
        </w:tc>
        <w:tc>
          <w:tcPr>
            <w:tcW w:w="1985" w:type="dxa"/>
            <w:tcBorders>
              <w:top w:val="nil"/>
              <w:left w:val="nil"/>
              <w:bottom w:val="single" w:sz="4" w:space="0" w:color="auto"/>
              <w:right w:val="single" w:sz="8" w:space="0" w:color="auto"/>
            </w:tcBorders>
            <w:shd w:val="clear" w:color="auto" w:fill="auto"/>
            <w:noWrap/>
            <w:vAlign w:val="center"/>
            <w:hideMark/>
          </w:tcPr>
          <w:p w14:paraId="3907A451"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38.404</w:t>
            </w:r>
          </w:p>
        </w:tc>
      </w:tr>
      <w:tr w:rsidR="00685EF8" w:rsidRPr="00685EF8" w14:paraId="1DF30D17" w14:textId="77777777" w:rsidTr="00685EF8">
        <w:trPr>
          <w:trHeight w:val="286"/>
        </w:trPr>
        <w:tc>
          <w:tcPr>
            <w:tcW w:w="1460" w:type="dxa"/>
            <w:tcBorders>
              <w:top w:val="nil"/>
              <w:left w:val="single" w:sz="8" w:space="0" w:color="auto"/>
              <w:bottom w:val="single" w:sz="4" w:space="0" w:color="auto"/>
              <w:right w:val="single" w:sz="8" w:space="0" w:color="auto"/>
            </w:tcBorders>
            <w:shd w:val="clear" w:color="auto" w:fill="auto"/>
            <w:noWrap/>
            <w:vAlign w:val="center"/>
            <w:hideMark/>
          </w:tcPr>
          <w:p w14:paraId="71595D86"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1600</w:t>
            </w:r>
          </w:p>
        </w:tc>
        <w:tc>
          <w:tcPr>
            <w:tcW w:w="380" w:type="dxa"/>
            <w:tcBorders>
              <w:top w:val="nil"/>
              <w:left w:val="nil"/>
              <w:bottom w:val="nil"/>
              <w:right w:val="nil"/>
            </w:tcBorders>
            <w:shd w:val="clear" w:color="auto" w:fill="auto"/>
            <w:noWrap/>
            <w:vAlign w:val="bottom"/>
            <w:hideMark/>
          </w:tcPr>
          <w:p w14:paraId="0C65E42E"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411" w:type="dxa"/>
            <w:tcBorders>
              <w:top w:val="nil"/>
              <w:left w:val="single" w:sz="8" w:space="0" w:color="auto"/>
              <w:bottom w:val="single" w:sz="4" w:space="0" w:color="auto"/>
              <w:right w:val="single" w:sz="4" w:space="0" w:color="auto"/>
            </w:tcBorders>
            <w:shd w:val="clear" w:color="auto" w:fill="auto"/>
            <w:noWrap/>
            <w:vAlign w:val="center"/>
            <w:hideMark/>
          </w:tcPr>
          <w:p w14:paraId="3BEF6DFC"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36.768</w:t>
            </w:r>
          </w:p>
        </w:tc>
        <w:tc>
          <w:tcPr>
            <w:tcW w:w="1984" w:type="dxa"/>
            <w:tcBorders>
              <w:top w:val="nil"/>
              <w:left w:val="nil"/>
              <w:bottom w:val="single" w:sz="4" w:space="0" w:color="auto"/>
              <w:right w:val="single" w:sz="8" w:space="0" w:color="auto"/>
            </w:tcBorders>
            <w:shd w:val="clear" w:color="auto" w:fill="auto"/>
            <w:noWrap/>
            <w:vAlign w:val="center"/>
            <w:hideMark/>
          </w:tcPr>
          <w:p w14:paraId="6B5B3C01"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44.253</w:t>
            </w:r>
          </w:p>
        </w:tc>
        <w:tc>
          <w:tcPr>
            <w:tcW w:w="284" w:type="dxa"/>
            <w:tcBorders>
              <w:top w:val="nil"/>
              <w:left w:val="nil"/>
              <w:bottom w:val="nil"/>
              <w:right w:val="nil"/>
            </w:tcBorders>
            <w:shd w:val="clear" w:color="auto" w:fill="auto"/>
            <w:noWrap/>
            <w:vAlign w:val="bottom"/>
            <w:hideMark/>
          </w:tcPr>
          <w:p w14:paraId="2619DBF0"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4" w:space="0" w:color="auto"/>
              <w:right w:val="single" w:sz="4" w:space="0" w:color="auto"/>
            </w:tcBorders>
            <w:shd w:val="clear" w:color="auto" w:fill="auto"/>
            <w:noWrap/>
            <w:vAlign w:val="center"/>
            <w:hideMark/>
          </w:tcPr>
          <w:p w14:paraId="49175D7B"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35.099</w:t>
            </w:r>
          </w:p>
        </w:tc>
        <w:tc>
          <w:tcPr>
            <w:tcW w:w="1985" w:type="dxa"/>
            <w:tcBorders>
              <w:top w:val="nil"/>
              <w:left w:val="nil"/>
              <w:bottom w:val="single" w:sz="4" w:space="0" w:color="auto"/>
              <w:right w:val="single" w:sz="8" w:space="0" w:color="auto"/>
            </w:tcBorders>
            <w:shd w:val="clear" w:color="auto" w:fill="auto"/>
            <w:noWrap/>
            <w:vAlign w:val="center"/>
            <w:hideMark/>
          </w:tcPr>
          <w:p w14:paraId="206A029D"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41.899</w:t>
            </w:r>
          </w:p>
        </w:tc>
      </w:tr>
      <w:tr w:rsidR="00685EF8" w:rsidRPr="00685EF8" w14:paraId="34435448" w14:textId="77777777" w:rsidTr="00685EF8">
        <w:trPr>
          <w:trHeight w:val="286"/>
        </w:trPr>
        <w:tc>
          <w:tcPr>
            <w:tcW w:w="1460" w:type="dxa"/>
            <w:tcBorders>
              <w:top w:val="nil"/>
              <w:left w:val="single" w:sz="8" w:space="0" w:color="auto"/>
              <w:bottom w:val="single" w:sz="4" w:space="0" w:color="auto"/>
              <w:right w:val="single" w:sz="8" w:space="0" w:color="auto"/>
            </w:tcBorders>
            <w:shd w:val="clear" w:color="auto" w:fill="auto"/>
            <w:noWrap/>
            <w:vAlign w:val="center"/>
            <w:hideMark/>
          </w:tcPr>
          <w:p w14:paraId="1049ECD9"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1700</w:t>
            </w:r>
          </w:p>
        </w:tc>
        <w:tc>
          <w:tcPr>
            <w:tcW w:w="380" w:type="dxa"/>
            <w:tcBorders>
              <w:top w:val="nil"/>
              <w:left w:val="nil"/>
              <w:bottom w:val="nil"/>
              <w:right w:val="nil"/>
            </w:tcBorders>
            <w:shd w:val="clear" w:color="auto" w:fill="auto"/>
            <w:noWrap/>
            <w:vAlign w:val="bottom"/>
            <w:hideMark/>
          </w:tcPr>
          <w:p w14:paraId="7F0FEADD"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411" w:type="dxa"/>
            <w:tcBorders>
              <w:top w:val="nil"/>
              <w:left w:val="single" w:sz="8" w:space="0" w:color="auto"/>
              <w:bottom w:val="single" w:sz="4" w:space="0" w:color="auto"/>
              <w:right w:val="single" w:sz="4" w:space="0" w:color="auto"/>
            </w:tcBorders>
            <w:shd w:val="clear" w:color="auto" w:fill="auto"/>
            <w:noWrap/>
            <w:vAlign w:val="center"/>
            <w:hideMark/>
          </w:tcPr>
          <w:p w14:paraId="20B21CAB"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37.036</w:t>
            </w:r>
          </w:p>
        </w:tc>
        <w:tc>
          <w:tcPr>
            <w:tcW w:w="1984" w:type="dxa"/>
            <w:tcBorders>
              <w:top w:val="nil"/>
              <w:left w:val="nil"/>
              <w:bottom w:val="single" w:sz="4" w:space="0" w:color="auto"/>
              <w:right w:val="single" w:sz="8" w:space="0" w:color="auto"/>
            </w:tcBorders>
            <w:shd w:val="clear" w:color="auto" w:fill="auto"/>
            <w:noWrap/>
            <w:vAlign w:val="center"/>
            <w:hideMark/>
          </w:tcPr>
          <w:p w14:paraId="6C0293AD"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47.943</w:t>
            </w:r>
          </w:p>
        </w:tc>
        <w:tc>
          <w:tcPr>
            <w:tcW w:w="284" w:type="dxa"/>
            <w:tcBorders>
              <w:top w:val="nil"/>
              <w:left w:val="nil"/>
              <w:bottom w:val="nil"/>
              <w:right w:val="nil"/>
            </w:tcBorders>
            <w:shd w:val="clear" w:color="auto" w:fill="auto"/>
            <w:noWrap/>
            <w:vAlign w:val="bottom"/>
            <w:hideMark/>
          </w:tcPr>
          <w:p w14:paraId="39E83F98"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4" w:space="0" w:color="auto"/>
              <w:right w:val="single" w:sz="4" w:space="0" w:color="auto"/>
            </w:tcBorders>
            <w:shd w:val="clear" w:color="auto" w:fill="auto"/>
            <w:noWrap/>
            <w:vAlign w:val="center"/>
            <w:hideMark/>
          </w:tcPr>
          <w:p w14:paraId="1DDC8BDA"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35.361</w:t>
            </w:r>
          </w:p>
        </w:tc>
        <w:tc>
          <w:tcPr>
            <w:tcW w:w="1985" w:type="dxa"/>
            <w:tcBorders>
              <w:top w:val="nil"/>
              <w:left w:val="nil"/>
              <w:bottom w:val="single" w:sz="4" w:space="0" w:color="auto"/>
              <w:right w:val="single" w:sz="8" w:space="0" w:color="auto"/>
            </w:tcBorders>
            <w:shd w:val="clear" w:color="auto" w:fill="auto"/>
            <w:noWrap/>
            <w:vAlign w:val="center"/>
            <w:hideMark/>
          </w:tcPr>
          <w:p w14:paraId="30EDF7AC"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45.423</w:t>
            </w:r>
          </w:p>
        </w:tc>
      </w:tr>
      <w:tr w:rsidR="00685EF8" w:rsidRPr="00685EF8" w14:paraId="7F802AD4" w14:textId="77777777" w:rsidTr="00685EF8">
        <w:trPr>
          <w:trHeight w:val="286"/>
        </w:trPr>
        <w:tc>
          <w:tcPr>
            <w:tcW w:w="1460" w:type="dxa"/>
            <w:tcBorders>
              <w:top w:val="nil"/>
              <w:left w:val="single" w:sz="8" w:space="0" w:color="auto"/>
              <w:bottom w:val="single" w:sz="4" w:space="0" w:color="auto"/>
              <w:right w:val="single" w:sz="8" w:space="0" w:color="auto"/>
            </w:tcBorders>
            <w:shd w:val="clear" w:color="auto" w:fill="auto"/>
            <w:noWrap/>
            <w:vAlign w:val="center"/>
            <w:hideMark/>
          </w:tcPr>
          <w:p w14:paraId="16051CFC"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1800</w:t>
            </w:r>
          </w:p>
        </w:tc>
        <w:tc>
          <w:tcPr>
            <w:tcW w:w="380" w:type="dxa"/>
            <w:tcBorders>
              <w:top w:val="nil"/>
              <w:left w:val="nil"/>
              <w:bottom w:val="nil"/>
              <w:right w:val="nil"/>
            </w:tcBorders>
            <w:shd w:val="clear" w:color="auto" w:fill="auto"/>
            <w:noWrap/>
            <w:vAlign w:val="bottom"/>
            <w:hideMark/>
          </w:tcPr>
          <w:p w14:paraId="5D35A651"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411" w:type="dxa"/>
            <w:tcBorders>
              <w:top w:val="nil"/>
              <w:left w:val="single" w:sz="8" w:space="0" w:color="auto"/>
              <w:bottom w:val="single" w:sz="4" w:space="0" w:color="auto"/>
              <w:right w:val="single" w:sz="4" w:space="0" w:color="auto"/>
            </w:tcBorders>
            <w:shd w:val="clear" w:color="auto" w:fill="auto"/>
            <w:noWrap/>
            <w:vAlign w:val="center"/>
            <w:hideMark/>
          </w:tcPr>
          <w:p w14:paraId="6E3A6929"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37.296</w:t>
            </w:r>
          </w:p>
        </w:tc>
        <w:tc>
          <w:tcPr>
            <w:tcW w:w="1984" w:type="dxa"/>
            <w:tcBorders>
              <w:top w:val="nil"/>
              <w:left w:val="nil"/>
              <w:bottom w:val="single" w:sz="4" w:space="0" w:color="auto"/>
              <w:right w:val="single" w:sz="8" w:space="0" w:color="auto"/>
            </w:tcBorders>
            <w:shd w:val="clear" w:color="auto" w:fill="auto"/>
            <w:noWrap/>
            <w:vAlign w:val="center"/>
            <w:hideMark/>
          </w:tcPr>
          <w:p w14:paraId="51E12DC6"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51.66</w:t>
            </w:r>
          </w:p>
        </w:tc>
        <w:tc>
          <w:tcPr>
            <w:tcW w:w="284" w:type="dxa"/>
            <w:tcBorders>
              <w:top w:val="nil"/>
              <w:left w:val="nil"/>
              <w:bottom w:val="nil"/>
              <w:right w:val="nil"/>
            </w:tcBorders>
            <w:shd w:val="clear" w:color="auto" w:fill="auto"/>
            <w:noWrap/>
            <w:vAlign w:val="bottom"/>
            <w:hideMark/>
          </w:tcPr>
          <w:p w14:paraId="46A5E3B7"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4" w:space="0" w:color="auto"/>
              <w:right w:val="single" w:sz="4" w:space="0" w:color="auto"/>
            </w:tcBorders>
            <w:shd w:val="clear" w:color="auto" w:fill="auto"/>
            <w:noWrap/>
            <w:vAlign w:val="center"/>
            <w:hideMark/>
          </w:tcPr>
          <w:p w14:paraId="651DB4B3"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35.595</w:t>
            </w:r>
          </w:p>
        </w:tc>
        <w:tc>
          <w:tcPr>
            <w:tcW w:w="1985" w:type="dxa"/>
            <w:tcBorders>
              <w:top w:val="nil"/>
              <w:left w:val="nil"/>
              <w:bottom w:val="single" w:sz="4" w:space="0" w:color="auto"/>
              <w:right w:val="single" w:sz="8" w:space="0" w:color="auto"/>
            </w:tcBorders>
            <w:shd w:val="clear" w:color="auto" w:fill="auto"/>
            <w:noWrap/>
            <w:vAlign w:val="center"/>
            <w:hideMark/>
          </w:tcPr>
          <w:p w14:paraId="3FAA3355"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48.971</w:t>
            </w:r>
          </w:p>
        </w:tc>
      </w:tr>
      <w:tr w:rsidR="00685EF8" w:rsidRPr="00685EF8" w14:paraId="3EA4CEE6" w14:textId="77777777" w:rsidTr="00685EF8">
        <w:trPr>
          <w:trHeight w:val="286"/>
        </w:trPr>
        <w:tc>
          <w:tcPr>
            <w:tcW w:w="1460" w:type="dxa"/>
            <w:tcBorders>
              <w:top w:val="nil"/>
              <w:left w:val="single" w:sz="8" w:space="0" w:color="auto"/>
              <w:bottom w:val="single" w:sz="4" w:space="0" w:color="auto"/>
              <w:right w:val="single" w:sz="8" w:space="0" w:color="auto"/>
            </w:tcBorders>
            <w:shd w:val="clear" w:color="auto" w:fill="auto"/>
            <w:noWrap/>
            <w:vAlign w:val="center"/>
            <w:hideMark/>
          </w:tcPr>
          <w:p w14:paraId="72F7F6E1"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1900</w:t>
            </w:r>
          </w:p>
        </w:tc>
        <w:tc>
          <w:tcPr>
            <w:tcW w:w="380" w:type="dxa"/>
            <w:tcBorders>
              <w:top w:val="nil"/>
              <w:left w:val="nil"/>
              <w:bottom w:val="nil"/>
              <w:right w:val="nil"/>
            </w:tcBorders>
            <w:shd w:val="clear" w:color="auto" w:fill="auto"/>
            <w:noWrap/>
            <w:vAlign w:val="bottom"/>
            <w:hideMark/>
          </w:tcPr>
          <w:p w14:paraId="2DC71D49"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411" w:type="dxa"/>
            <w:tcBorders>
              <w:top w:val="nil"/>
              <w:left w:val="single" w:sz="8" w:space="0" w:color="auto"/>
              <w:bottom w:val="single" w:sz="4" w:space="0" w:color="auto"/>
              <w:right w:val="single" w:sz="4" w:space="0" w:color="auto"/>
            </w:tcBorders>
            <w:shd w:val="clear" w:color="auto" w:fill="auto"/>
            <w:noWrap/>
            <w:vAlign w:val="center"/>
            <w:hideMark/>
          </w:tcPr>
          <w:p w14:paraId="4ABB43A0"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37.546</w:t>
            </w:r>
          </w:p>
        </w:tc>
        <w:tc>
          <w:tcPr>
            <w:tcW w:w="1984" w:type="dxa"/>
            <w:tcBorders>
              <w:top w:val="nil"/>
              <w:left w:val="nil"/>
              <w:bottom w:val="single" w:sz="4" w:space="0" w:color="auto"/>
              <w:right w:val="single" w:sz="8" w:space="0" w:color="auto"/>
            </w:tcBorders>
            <w:shd w:val="clear" w:color="auto" w:fill="auto"/>
            <w:noWrap/>
            <w:vAlign w:val="center"/>
            <w:hideMark/>
          </w:tcPr>
          <w:p w14:paraId="0D1E1D41"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55.402</w:t>
            </w:r>
          </w:p>
        </w:tc>
        <w:tc>
          <w:tcPr>
            <w:tcW w:w="284" w:type="dxa"/>
            <w:tcBorders>
              <w:top w:val="nil"/>
              <w:left w:val="nil"/>
              <w:bottom w:val="nil"/>
              <w:right w:val="nil"/>
            </w:tcBorders>
            <w:shd w:val="clear" w:color="auto" w:fill="auto"/>
            <w:noWrap/>
            <w:vAlign w:val="bottom"/>
            <w:hideMark/>
          </w:tcPr>
          <w:p w14:paraId="57550F11"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4" w:space="0" w:color="auto"/>
              <w:right w:val="single" w:sz="4" w:space="0" w:color="auto"/>
            </w:tcBorders>
            <w:shd w:val="clear" w:color="auto" w:fill="auto"/>
            <w:noWrap/>
            <w:vAlign w:val="center"/>
            <w:hideMark/>
          </w:tcPr>
          <w:p w14:paraId="752FF1D0"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35.803</w:t>
            </w:r>
          </w:p>
        </w:tc>
        <w:tc>
          <w:tcPr>
            <w:tcW w:w="1985" w:type="dxa"/>
            <w:tcBorders>
              <w:top w:val="nil"/>
              <w:left w:val="nil"/>
              <w:bottom w:val="single" w:sz="4" w:space="0" w:color="auto"/>
              <w:right w:val="single" w:sz="8" w:space="0" w:color="auto"/>
            </w:tcBorders>
            <w:shd w:val="clear" w:color="auto" w:fill="auto"/>
            <w:noWrap/>
            <w:vAlign w:val="center"/>
            <w:hideMark/>
          </w:tcPr>
          <w:p w14:paraId="4B5CB551"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52.541</w:t>
            </w:r>
          </w:p>
        </w:tc>
      </w:tr>
      <w:tr w:rsidR="00685EF8" w:rsidRPr="00685EF8" w14:paraId="5663144F" w14:textId="77777777" w:rsidTr="00685EF8">
        <w:trPr>
          <w:trHeight w:val="286"/>
        </w:trPr>
        <w:tc>
          <w:tcPr>
            <w:tcW w:w="1460" w:type="dxa"/>
            <w:tcBorders>
              <w:top w:val="nil"/>
              <w:left w:val="single" w:sz="8" w:space="0" w:color="auto"/>
              <w:bottom w:val="single" w:sz="4" w:space="0" w:color="auto"/>
              <w:right w:val="single" w:sz="8" w:space="0" w:color="auto"/>
            </w:tcBorders>
            <w:shd w:val="clear" w:color="auto" w:fill="auto"/>
            <w:noWrap/>
            <w:vAlign w:val="center"/>
            <w:hideMark/>
          </w:tcPr>
          <w:p w14:paraId="53A22BAA"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2000</w:t>
            </w:r>
          </w:p>
        </w:tc>
        <w:tc>
          <w:tcPr>
            <w:tcW w:w="380" w:type="dxa"/>
            <w:tcBorders>
              <w:top w:val="nil"/>
              <w:left w:val="nil"/>
              <w:bottom w:val="nil"/>
              <w:right w:val="nil"/>
            </w:tcBorders>
            <w:shd w:val="clear" w:color="auto" w:fill="auto"/>
            <w:noWrap/>
            <w:vAlign w:val="bottom"/>
            <w:hideMark/>
          </w:tcPr>
          <w:p w14:paraId="0F71F7FF"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411" w:type="dxa"/>
            <w:tcBorders>
              <w:top w:val="nil"/>
              <w:left w:val="single" w:sz="8" w:space="0" w:color="auto"/>
              <w:bottom w:val="single" w:sz="4" w:space="0" w:color="auto"/>
              <w:right w:val="single" w:sz="4" w:space="0" w:color="auto"/>
            </w:tcBorders>
            <w:shd w:val="clear" w:color="auto" w:fill="auto"/>
            <w:noWrap/>
            <w:vAlign w:val="center"/>
            <w:hideMark/>
          </w:tcPr>
          <w:p w14:paraId="22439FF2"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37.788</w:t>
            </w:r>
          </w:p>
        </w:tc>
        <w:tc>
          <w:tcPr>
            <w:tcW w:w="1984" w:type="dxa"/>
            <w:tcBorders>
              <w:top w:val="nil"/>
              <w:left w:val="nil"/>
              <w:bottom w:val="single" w:sz="4" w:space="0" w:color="auto"/>
              <w:right w:val="single" w:sz="8" w:space="0" w:color="auto"/>
            </w:tcBorders>
            <w:shd w:val="clear" w:color="auto" w:fill="auto"/>
            <w:noWrap/>
            <w:vAlign w:val="center"/>
            <w:hideMark/>
          </w:tcPr>
          <w:p w14:paraId="175BC422"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59.169</w:t>
            </w:r>
          </w:p>
        </w:tc>
        <w:tc>
          <w:tcPr>
            <w:tcW w:w="284" w:type="dxa"/>
            <w:tcBorders>
              <w:top w:val="nil"/>
              <w:left w:val="nil"/>
              <w:bottom w:val="nil"/>
              <w:right w:val="nil"/>
            </w:tcBorders>
            <w:shd w:val="clear" w:color="auto" w:fill="auto"/>
            <w:noWrap/>
            <w:vAlign w:val="bottom"/>
            <w:hideMark/>
          </w:tcPr>
          <w:p w14:paraId="36800F30"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4" w:space="0" w:color="auto"/>
              <w:right w:val="single" w:sz="4" w:space="0" w:color="auto"/>
            </w:tcBorders>
            <w:shd w:val="clear" w:color="auto" w:fill="auto"/>
            <w:noWrap/>
            <w:vAlign w:val="center"/>
            <w:hideMark/>
          </w:tcPr>
          <w:p w14:paraId="69D37F2C"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35.988</w:t>
            </w:r>
          </w:p>
        </w:tc>
        <w:tc>
          <w:tcPr>
            <w:tcW w:w="1985" w:type="dxa"/>
            <w:tcBorders>
              <w:top w:val="nil"/>
              <w:left w:val="nil"/>
              <w:bottom w:val="single" w:sz="4" w:space="0" w:color="auto"/>
              <w:right w:val="single" w:sz="8" w:space="0" w:color="auto"/>
            </w:tcBorders>
            <w:shd w:val="clear" w:color="auto" w:fill="auto"/>
            <w:noWrap/>
            <w:vAlign w:val="center"/>
            <w:hideMark/>
          </w:tcPr>
          <w:p w14:paraId="71C2B9E9"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56.13</w:t>
            </w:r>
          </w:p>
        </w:tc>
      </w:tr>
      <w:tr w:rsidR="00685EF8" w:rsidRPr="00685EF8" w14:paraId="56638234" w14:textId="77777777" w:rsidTr="00685EF8">
        <w:trPr>
          <w:trHeight w:val="286"/>
        </w:trPr>
        <w:tc>
          <w:tcPr>
            <w:tcW w:w="1460" w:type="dxa"/>
            <w:tcBorders>
              <w:top w:val="nil"/>
              <w:left w:val="single" w:sz="8" w:space="0" w:color="auto"/>
              <w:bottom w:val="single" w:sz="4" w:space="0" w:color="auto"/>
              <w:right w:val="single" w:sz="8" w:space="0" w:color="auto"/>
            </w:tcBorders>
            <w:shd w:val="clear" w:color="auto" w:fill="auto"/>
            <w:noWrap/>
            <w:vAlign w:val="center"/>
            <w:hideMark/>
          </w:tcPr>
          <w:p w14:paraId="320EED7F"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2100</w:t>
            </w:r>
          </w:p>
        </w:tc>
        <w:tc>
          <w:tcPr>
            <w:tcW w:w="380" w:type="dxa"/>
            <w:tcBorders>
              <w:top w:val="nil"/>
              <w:left w:val="nil"/>
              <w:bottom w:val="nil"/>
              <w:right w:val="nil"/>
            </w:tcBorders>
            <w:shd w:val="clear" w:color="auto" w:fill="auto"/>
            <w:noWrap/>
            <w:vAlign w:val="bottom"/>
            <w:hideMark/>
          </w:tcPr>
          <w:p w14:paraId="01B9EFF7"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411" w:type="dxa"/>
            <w:tcBorders>
              <w:top w:val="nil"/>
              <w:left w:val="single" w:sz="8" w:space="0" w:color="auto"/>
              <w:bottom w:val="single" w:sz="4" w:space="0" w:color="auto"/>
              <w:right w:val="single" w:sz="4" w:space="0" w:color="auto"/>
            </w:tcBorders>
            <w:shd w:val="clear" w:color="auto" w:fill="auto"/>
            <w:noWrap/>
            <w:vAlign w:val="center"/>
            <w:hideMark/>
          </w:tcPr>
          <w:p w14:paraId="55378D81"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38.023</w:t>
            </w:r>
          </w:p>
        </w:tc>
        <w:tc>
          <w:tcPr>
            <w:tcW w:w="1984" w:type="dxa"/>
            <w:tcBorders>
              <w:top w:val="nil"/>
              <w:left w:val="nil"/>
              <w:bottom w:val="single" w:sz="4" w:space="0" w:color="auto"/>
              <w:right w:val="single" w:sz="8" w:space="0" w:color="auto"/>
            </w:tcBorders>
            <w:shd w:val="clear" w:color="auto" w:fill="auto"/>
            <w:noWrap/>
            <w:vAlign w:val="center"/>
            <w:hideMark/>
          </w:tcPr>
          <w:p w14:paraId="4F3C5F3D"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62.959</w:t>
            </w:r>
          </w:p>
        </w:tc>
        <w:tc>
          <w:tcPr>
            <w:tcW w:w="284" w:type="dxa"/>
            <w:tcBorders>
              <w:top w:val="nil"/>
              <w:left w:val="nil"/>
              <w:bottom w:val="nil"/>
              <w:right w:val="nil"/>
            </w:tcBorders>
            <w:shd w:val="clear" w:color="auto" w:fill="auto"/>
            <w:noWrap/>
            <w:vAlign w:val="bottom"/>
            <w:hideMark/>
          </w:tcPr>
          <w:p w14:paraId="5A1E7BAE"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4" w:space="0" w:color="auto"/>
              <w:right w:val="single" w:sz="4" w:space="0" w:color="auto"/>
            </w:tcBorders>
            <w:shd w:val="clear" w:color="auto" w:fill="auto"/>
            <w:noWrap/>
            <w:vAlign w:val="center"/>
            <w:hideMark/>
          </w:tcPr>
          <w:p w14:paraId="5E7B97DA"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36.152</w:t>
            </w:r>
          </w:p>
        </w:tc>
        <w:tc>
          <w:tcPr>
            <w:tcW w:w="1985" w:type="dxa"/>
            <w:tcBorders>
              <w:top w:val="nil"/>
              <w:left w:val="nil"/>
              <w:bottom w:val="single" w:sz="4" w:space="0" w:color="auto"/>
              <w:right w:val="single" w:sz="8" w:space="0" w:color="auto"/>
            </w:tcBorders>
            <w:shd w:val="clear" w:color="auto" w:fill="auto"/>
            <w:noWrap/>
            <w:vAlign w:val="center"/>
            <w:hideMark/>
          </w:tcPr>
          <w:p w14:paraId="467D77A3"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59.738</w:t>
            </w:r>
          </w:p>
        </w:tc>
      </w:tr>
      <w:tr w:rsidR="00685EF8" w:rsidRPr="00685EF8" w14:paraId="51F60AB2" w14:textId="77777777" w:rsidTr="00685EF8">
        <w:trPr>
          <w:trHeight w:val="286"/>
        </w:trPr>
        <w:tc>
          <w:tcPr>
            <w:tcW w:w="1460" w:type="dxa"/>
            <w:tcBorders>
              <w:top w:val="nil"/>
              <w:left w:val="single" w:sz="8" w:space="0" w:color="auto"/>
              <w:bottom w:val="single" w:sz="4" w:space="0" w:color="auto"/>
              <w:right w:val="single" w:sz="8" w:space="0" w:color="auto"/>
            </w:tcBorders>
            <w:shd w:val="clear" w:color="auto" w:fill="auto"/>
            <w:noWrap/>
            <w:vAlign w:val="center"/>
            <w:hideMark/>
          </w:tcPr>
          <w:p w14:paraId="4286E480"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2200</w:t>
            </w:r>
          </w:p>
        </w:tc>
        <w:tc>
          <w:tcPr>
            <w:tcW w:w="380" w:type="dxa"/>
            <w:tcBorders>
              <w:top w:val="nil"/>
              <w:left w:val="nil"/>
              <w:bottom w:val="nil"/>
              <w:right w:val="nil"/>
            </w:tcBorders>
            <w:shd w:val="clear" w:color="auto" w:fill="auto"/>
            <w:noWrap/>
            <w:vAlign w:val="bottom"/>
            <w:hideMark/>
          </w:tcPr>
          <w:p w14:paraId="4BF8D3A6"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411" w:type="dxa"/>
            <w:tcBorders>
              <w:top w:val="nil"/>
              <w:left w:val="single" w:sz="8" w:space="0" w:color="auto"/>
              <w:bottom w:val="single" w:sz="4" w:space="0" w:color="auto"/>
              <w:right w:val="single" w:sz="4" w:space="0" w:color="auto"/>
            </w:tcBorders>
            <w:shd w:val="clear" w:color="auto" w:fill="auto"/>
            <w:noWrap/>
            <w:vAlign w:val="center"/>
            <w:hideMark/>
          </w:tcPr>
          <w:p w14:paraId="23DC5648"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38.25</w:t>
            </w:r>
          </w:p>
        </w:tc>
        <w:tc>
          <w:tcPr>
            <w:tcW w:w="1984" w:type="dxa"/>
            <w:tcBorders>
              <w:top w:val="nil"/>
              <w:left w:val="nil"/>
              <w:bottom w:val="single" w:sz="4" w:space="0" w:color="auto"/>
              <w:right w:val="single" w:sz="8" w:space="0" w:color="auto"/>
            </w:tcBorders>
            <w:shd w:val="clear" w:color="auto" w:fill="auto"/>
            <w:noWrap/>
            <w:vAlign w:val="center"/>
            <w:hideMark/>
          </w:tcPr>
          <w:p w14:paraId="56E6CCDD"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66.773</w:t>
            </w:r>
          </w:p>
        </w:tc>
        <w:tc>
          <w:tcPr>
            <w:tcW w:w="284" w:type="dxa"/>
            <w:tcBorders>
              <w:top w:val="nil"/>
              <w:left w:val="nil"/>
              <w:bottom w:val="nil"/>
              <w:right w:val="nil"/>
            </w:tcBorders>
            <w:shd w:val="clear" w:color="auto" w:fill="auto"/>
            <w:noWrap/>
            <w:vAlign w:val="bottom"/>
            <w:hideMark/>
          </w:tcPr>
          <w:p w14:paraId="6F4E29C7"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4" w:space="0" w:color="auto"/>
              <w:right w:val="single" w:sz="4" w:space="0" w:color="auto"/>
            </w:tcBorders>
            <w:shd w:val="clear" w:color="auto" w:fill="auto"/>
            <w:noWrap/>
            <w:vAlign w:val="center"/>
            <w:hideMark/>
          </w:tcPr>
          <w:p w14:paraId="24A59BEC"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36.298</w:t>
            </w:r>
          </w:p>
        </w:tc>
        <w:tc>
          <w:tcPr>
            <w:tcW w:w="1985" w:type="dxa"/>
            <w:tcBorders>
              <w:top w:val="nil"/>
              <w:left w:val="nil"/>
              <w:bottom w:val="single" w:sz="4" w:space="0" w:color="auto"/>
              <w:right w:val="single" w:sz="8" w:space="0" w:color="auto"/>
            </w:tcBorders>
            <w:shd w:val="clear" w:color="auto" w:fill="auto"/>
            <w:noWrap/>
            <w:vAlign w:val="center"/>
            <w:hideMark/>
          </w:tcPr>
          <w:p w14:paraId="005B847B"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63.36</w:t>
            </w:r>
          </w:p>
        </w:tc>
      </w:tr>
      <w:tr w:rsidR="00685EF8" w:rsidRPr="00685EF8" w14:paraId="76137CAF" w14:textId="77777777" w:rsidTr="00685EF8">
        <w:trPr>
          <w:trHeight w:val="286"/>
        </w:trPr>
        <w:tc>
          <w:tcPr>
            <w:tcW w:w="1460" w:type="dxa"/>
            <w:tcBorders>
              <w:top w:val="nil"/>
              <w:left w:val="single" w:sz="8" w:space="0" w:color="auto"/>
              <w:bottom w:val="single" w:sz="4" w:space="0" w:color="auto"/>
              <w:right w:val="single" w:sz="8" w:space="0" w:color="auto"/>
            </w:tcBorders>
            <w:shd w:val="clear" w:color="auto" w:fill="auto"/>
            <w:noWrap/>
            <w:vAlign w:val="center"/>
            <w:hideMark/>
          </w:tcPr>
          <w:p w14:paraId="6705285A"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2300</w:t>
            </w:r>
          </w:p>
        </w:tc>
        <w:tc>
          <w:tcPr>
            <w:tcW w:w="380" w:type="dxa"/>
            <w:tcBorders>
              <w:top w:val="nil"/>
              <w:left w:val="nil"/>
              <w:bottom w:val="nil"/>
              <w:right w:val="nil"/>
            </w:tcBorders>
            <w:shd w:val="clear" w:color="auto" w:fill="auto"/>
            <w:noWrap/>
            <w:vAlign w:val="bottom"/>
            <w:hideMark/>
          </w:tcPr>
          <w:p w14:paraId="4BE9FD2E"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411" w:type="dxa"/>
            <w:tcBorders>
              <w:top w:val="nil"/>
              <w:left w:val="single" w:sz="8" w:space="0" w:color="auto"/>
              <w:bottom w:val="single" w:sz="4" w:space="0" w:color="auto"/>
              <w:right w:val="single" w:sz="4" w:space="0" w:color="auto"/>
            </w:tcBorders>
            <w:shd w:val="clear" w:color="auto" w:fill="auto"/>
            <w:noWrap/>
            <w:vAlign w:val="center"/>
            <w:hideMark/>
          </w:tcPr>
          <w:p w14:paraId="6AA2AA8B"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38.47</w:t>
            </w:r>
          </w:p>
        </w:tc>
        <w:tc>
          <w:tcPr>
            <w:tcW w:w="1984" w:type="dxa"/>
            <w:tcBorders>
              <w:top w:val="nil"/>
              <w:left w:val="nil"/>
              <w:bottom w:val="single" w:sz="4" w:space="0" w:color="auto"/>
              <w:right w:val="single" w:sz="8" w:space="0" w:color="auto"/>
            </w:tcBorders>
            <w:shd w:val="clear" w:color="auto" w:fill="auto"/>
            <w:noWrap/>
            <w:vAlign w:val="center"/>
            <w:hideMark/>
          </w:tcPr>
          <w:p w14:paraId="7D7598B8"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70.609</w:t>
            </w:r>
          </w:p>
        </w:tc>
        <w:tc>
          <w:tcPr>
            <w:tcW w:w="284" w:type="dxa"/>
            <w:tcBorders>
              <w:top w:val="nil"/>
              <w:left w:val="nil"/>
              <w:bottom w:val="nil"/>
              <w:right w:val="nil"/>
            </w:tcBorders>
            <w:shd w:val="clear" w:color="auto" w:fill="auto"/>
            <w:noWrap/>
            <w:vAlign w:val="bottom"/>
            <w:hideMark/>
          </w:tcPr>
          <w:p w14:paraId="2370BF36"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4" w:space="0" w:color="auto"/>
              <w:right w:val="single" w:sz="4" w:space="0" w:color="auto"/>
            </w:tcBorders>
            <w:shd w:val="clear" w:color="auto" w:fill="auto"/>
            <w:noWrap/>
            <w:vAlign w:val="center"/>
            <w:hideMark/>
          </w:tcPr>
          <w:p w14:paraId="3764318A"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36.428</w:t>
            </w:r>
          </w:p>
        </w:tc>
        <w:tc>
          <w:tcPr>
            <w:tcW w:w="1985" w:type="dxa"/>
            <w:tcBorders>
              <w:top w:val="nil"/>
              <w:left w:val="nil"/>
              <w:bottom w:val="single" w:sz="4" w:space="0" w:color="auto"/>
              <w:right w:val="single" w:sz="8" w:space="0" w:color="auto"/>
            </w:tcBorders>
            <w:shd w:val="clear" w:color="auto" w:fill="auto"/>
            <w:noWrap/>
            <w:vAlign w:val="center"/>
            <w:hideMark/>
          </w:tcPr>
          <w:p w14:paraId="19CD5A72"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66.997</w:t>
            </w:r>
          </w:p>
        </w:tc>
      </w:tr>
      <w:tr w:rsidR="00685EF8" w:rsidRPr="00685EF8" w14:paraId="341E7946" w14:textId="77777777" w:rsidTr="00685EF8">
        <w:trPr>
          <w:trHeight w:val="286"/>
        </w:trPr>
        <w:tc>
          <w:tcPr>
            <w:tcW w:w="1460" w:type="dxa"/>
            <w:tcBorders>
              <w:top w:val="nil"/>
              <w:left w:val="single" w:sz="8" w:space="0" w:color="auto"/>
              <w:bottom w:val="single" w:sz="4" w:space="0" w:color="auto"/>
              <w:right w:val="single" w:sz="8" w:space="0" w:color="auto"/>
            </w:tcBorders>
            <w:shd w:val="clear" w:color="auto" w:fill="auto"/>
            <w:noWrap/>
            <w:vAlign w:val="center"/>
            <w:hideMark/>
          </w:tcPr>
          <w:p w14:paraId="64A34B65"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2400</w:t>
            </w:r>
          </w:p>
        </w:tc>
        <w:tc>
          <w:tcPr>
            <w:tcW w:w="380" w:type="dxa"/>
            <w:tcBorders>
              <w:top w:val="nil"/>
              <w:left w:val="nil"/>
              <w:bottom w:val="nil"/>
              <w:right w:val="nil"/>
            </w:tcBorders>
            <w:shd w:val="clear" w:color="auto" w:fill="auto"/>
            <w:noWrap/>
            <w:vAlign w:val="bottom"/>
            <w:hideMark/>
          </w:tcPr>
          <w:p w14:paraId="67904B6A"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411" w:type="dxa"/>
            <w:tcBorders>
              <w:top w:val="nil"/>
              <w:left w:val="single" w:sz="8" w:space="0" w:color="auto"/>
              <w:bottom w:val="single" w:sz="4" w:space="0" w:color="auto"/>
              <w:right w:val="single" w:sz="4" w:space="0" w:color="auto"/>
            </w:tcBorders>
            <w:shd w:val="clear" w:color="auto" w:fill="auto"/>
            <w:noWrap/>
            <w:vAlign w:val="center"/>
            <w:hideMark/>
          </w:tcPr>
          <w:p w14:paraId="25AA06AA"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38.684</w:t>
            </w:r>
          </w:p>
        </w:tc>
        <w:tc>
          <w:tcPr>
            <w:tcW w:w="1984" w:type="dxa"/>
            <w:tcBorders>
              <w:top w:val="nil"/>
              <w:left w:val="nil"/>
              <w:bottom w:val="single" w:sz="4" w:space="0" w:color="auto"/>
              <w:right w:val="single" w:sz="8" w:space="0" w:color="auto"/>
            </w:tcBorders>
            <w:shd w:val="clear" w:color="auto" w:fill="auto"/>
            <w:noWrap/>
            <w:vAlign w:val="center"/>
            <w:hideMark/>
          </w:tcPr>
          <w:p w14:paraId="06CE637B"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74.467</w:t>
            </w:r>
          </w:p>
        </w:tc>
        <w:tc>
          <w:tcPr>
            <w:tcW w:w="284" w:type="dxa"/>
            <w:tcBorders>
              <w:top w:val="nil"/>
              <w:left w:val="nil"/>
              <w:bottom w:val="nil"/>
              <w:right w:val="nil"/>
            </w:tcBorders>
            <w:shd w:val="clear" w:color="auto" w:fill="auto"/>
            <w:noWrap/>
            <w:vAlign w:val="bottom"/>
            <w:hideMark/>
          </w:tcPr>
          <w:p w14:paraId="36CB103E"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4" w:space="0" w:color="auto"/>
              <w:right w:val="single" w:sz="4" w:space="0" w:color="auto"/>
            </w:tcBorders>
            <w:shd w:val="clear" w:color="auto" w:fill="auto"/>
            <w:noWrap/>
            <w:vAlign w:val="center"/>
            <w:hideMark/>
          </w:tcPr>
          <w:p w14:paraId="273AFAF5"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36.543</w:t>
            </w:r>
          </w:p>
        </w:tc>
        <w:tc>
          <w:tcPr>
            <w:tcW w:w="1985" w:type="dxa"/>
            <w:tcBorders>
              <w:top w:val="nil"/>
              <w:left w:val="nil"/>
              <w:bottom w:val="single" w:sz="4" w:space="0" w:color="auto"/>
              <w:right w:val="single" w:sz="8" w:space="0" w:color="auto"/>
            </w:tcBorders>
            <w:shd w:val="clear" w:color="auto" w:fill="auto"/>
            <w:noWrap/>
            <w:vAlign w:val="center"/>
            <w:hideMark/>
          </w:tcPr>
          <w:p w14:paraId="1CBA5A14"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70.645</w:t>
            </w:r>
          </w:p>
        </w:tc>
      </w:tr>
      <w:tr w:rsidR="00685EF8" w:rsidRPr="00685EF8" w14:paraId="75A464AB" w14:textId="77777777" w:rsidTr="00685EF8">
        <w:trPr>
          <w:trHeight w:val="286"/>
        </w:trPr>
        <w:tc>
          <w:tcPr>
            <w:tcW w:w="1460" w:type="dxa"/>
            <w:tcBorders>
              <w:top w:val="nil"/>
              <w:left w:val="single" w:sz="8" w:space="0" w:color="auto"/>
              <w:bottom w:val="single" w:sz="4" w:space="0" w:color="auto"/>
              <w:right w:val="single" w:sz="8" w:space="0" w:color="auto"/>
            </w:tcBorders>
            <w:shd w:val="clear" w:color="auto" w:fill="auto"/>
            <w:noWrap/>
            <w:vAlign w:val="center"/>
            <w:hideMark/>
          </w:tcPr>
          <w:p w14:paraId="101F3B43"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lastRenderedPageBreak/>
              <w:t>2500</w:t>
            </w:r>
          </w:p>
        </w:tc>
        <w:tc>
          <w:tcPr>
            <w:tcW w:w="380" w:type="dxa"/>
            <w:tcBorders>
              <w:top w:val="nil"/>
              <w:left w:val="nil"/>
              <w:bottom w:val="nil"/>
              <w:right w:val="nil"/>
            </w:tcBorders>
            <w:shd w:val="clear" w:color="auto" w:fill="auto"/>
            <w:noWrap/>
            <w:vAlign w:val="bottom"/>
            <w:hideMark/>
          </w:tcPr>
          <w:p w14:paraId="19314219"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411" w:type="dxa"/>
            <w:tcBorders>
              <w:top w:val="nil"/>
              <w:left w:val="single" w:sz="8" w:space="0" w:color="auto"/>
              <w:bottom w:val="single" w:sz="4" w:space="0" w:color="auto"/>
              <w:right w:val="single" w:sz="4" w:space="0" w:color="auto"/>
            </w:tcBorders>
            <w:shd w:val="clear" w:color="auto" w:fill="auto"/>
            <w:noWrap/>
            <w:vAlign w:val="center"/>
            <w:hideMark/>
          </w:tcPr>
          <w:p w14:paraId="11C17ADF"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38.891</w:t>
            </w:r>
          </w:p>
        </w:tc>
        <w:tc>
          <w:tcPr>
            <w:tcW w:w="1984" w:type="dxa"/>
            <w:tcBorders>
              <w:top w:val="nil"/>
              <w:left w:val="nil"/>
              <w:bottom w:val="single" w:sz="4" w:space="0" w:color="auto"/>
              <w:right w:val="single" w:sz="8" w:space="0" w:color="auto"/>
            </w:tcBorders>
            <w:shd w:val="clear" w:color="auto" w:fill="auto"/>
            <w:noWrap/>
            <w:vAlign w:val="center"/>
            <w:hideMark/>
          </w:tcPr>
          <w:p w14:paraId="469382EB"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78.346</w:t>
            </w:r>
          </w:p>
        </w:tc>
        <w:tc>
          <w:tcPr>
            <w:tcW w:w="284" w:type="dxa"/>
            <w:tcBorders>
              <w:top w:val="nil"/>
              <w:left w:val="nil"/>
              <w:bottom w:val="nil"/>
              <w:right w:val="nil"/>
            </w:tcBorders>
            <w:shd w:val="clear" w:color="auto" w:fill="auto"/>
            <w:noWrap/>
            <w:vAlign w:val="bottom"/>
            <w:hideMark/>
          </w:tcPr>
          <w:p w14:paraId="24125D45"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4" w:space="0" w:color="auto"/>
              <w:right w:val="single" w:sz="4" w:space="0" w:color="auto"/>
            </w:tcBorders>
            <w:shd w:val="clear" w:color="auto" w:fill="auto"/>
            <w:noWrap/>
            <w:vAlign w:val="center"/>
            <w:hideMark/>
          </w:tcPr>
          <w:p w14:paraId="6F90E91E"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36.645</w:t>
            </w:r>
          </w:p>
        </w:tc>
        <w:tc>
          <w:tcPr>
            <w:tcW w:w="1985" w:type="dxa"/>
            <w:tcBorders>
              <w:top w:val="nil"/>
              <w:left w:val="nil"/>
              <w:bottom w:val="single" w:sz="4" w:space="0" w:color="auto"/>
              <w:right w:val="single" w:sz="8" w:space="0" w:color="auto"/>
            </w:tcBorders>
            <w:shd w:val="clear" w:color="auto" w:fill="auto"/>
            <w:noWrap/>
            <w:vAlign w:val="center"/>
            <w:hideMark/>
          </w:tcPr>
          <w:p w14:paraId="254C27ED"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74.305</w:t>
            </w:r>
          </w:p>
        </w:tc>
      </w:tr>
      <w:tr w:rsidR="00685EF8" w:rsidRPr="00685EF8" w14:paraId="50066D85" w14:textId="77777777" w:rsidTr="00685EF8">
        <w:trPr>
          <w:trHeight w:val="286"/>
        </w:trPr>
        <w:tc>
          <w:tcPr>
            <w:tcW w:w="1460" w:type="dxa"/>
            <w:tcBorders>
              <w:top w:val="nil"/>
              <w:left w:val="single" w:sz="8" w:space="0" w:color="auto"/>
              <w:bottom w:val="single" w:sz="4" w:space="0" w:color="auto"/>
              <w:right w:val="single" w:sz="8" w:space="0" w:color="auto"/>
            </w:tcBorders>
            <w:shd w:val="clear" w:color="auto" w:fill="auto"/>
            <w:noWrap/>
            <w:vAlign w:val="center"/>
            <w:hideMark/>
          </w:tcPr>
          <w:p w14:paraId="3EB6EF74"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2600</w:t>
            </w:r>
          </w:p>
        </w:tc>
        <w:tc>
          <w:tcPr>
            <w:tcW w:w="380" w:type="dxa"/>
            <w:tcBorders>
              <w:top w:val="nil"/>
              <w:left w:val="nil"/>
              <w:bottom w:val="nil"/>
              <w:right w:val="nil"/>
            </w:tcBorders>
            <w:shd w:val="clear" w:color="auto" w:fill="auto"/>
            <w:noWrap/>
            <w:vAlign w:val="bottom"/>
            <w:hideMark/>
          </w:tcPr>
          <w:p w14:paraId="0B0D0E62"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411" w:type="dxa"/>
            <w:tcBorders>
              <w:top w:val="nil"/>
              <w:left w:val="single" w:sz="8" w:space="0" w:color="auto"/>
              <w:bottom w:val="single" w:sz="4" w:space="0" w:color="auto"/>
              <w:right w:val="single" w:sz="4" w:space="0" w:color="auto"/>
            </w:tcBorders>
            <w:shd w:val="clear" w:color="auto" w:fill="auto"/>
            <w:noWrap/>
            <w:vAlign w:val="center"/>
            <w:hideMark/>
          </w:tcPr>
          <w:p w14:paraId="0EED85E5"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39.093</w:t>
            </w:r>
          </w:p>
        </w:tc>
        <w:tc>
          <w:tcPr>
            <w:tcW w:w="1984" w:type="dxa"/>
            <w:tcBorders>
              <w:top w:val="nil"/>
              <w:left w:val="nil"/>
              <w:bottom w:val="single" w:sz="4" w:space="0" w:color="auto"/>
              <w:right w:val="single" w:sz="8" w:space="0" w:color="auto"/>
            </w:tcBorders>
            <w:shd w:val="clear" w:color="auto" w:fill="auto"/>
            <w:noWrap/>
            <w:vAlign w:val="center"/>
            <w:hideMark/>
          </w:tcPr>
          <w:p w14:paraId="49364FD3"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82.245</w:t>
            </w:r>
          </w:p>
        </w:tc>
        <w:tc>
          <w:tcPr>
            <w:tcW w:w="284" w:type="dxa"/>
            <w:tcBorders>
              <w:top w:val="nil"/>
              <w:left w:val="nil"/>
              <w:bottom w:val="nil"/>
              <w:right w:val="nil"/>
            </w:tcBorders>
            <w:shd w:val="clear" w:color="auto" w:fill="auto"/>
            <w:noWrap/>
            <w:vAlign w:val="bottom"/>
            <w:hideMark/>
          </w:tcPr>
          <w:p w14:paraId="43A11CE1"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4" w:space="0" w:color="auto"/>
              <w:right w:val="single" w:sz="4" w:space="0" w:color="auto"/>
            </w:tcBorders>
            <w:shd w:val="clear" w:color="auto" w:fill="auto"/>
            <w:noWrap/>
            <w:vAlign w:val="center"/>
            <w:hideMark/>
          </w:tcPr>
          <w:p w14:paraId="16DDCBAB"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36.737</w:t>
            </w:r>
          </w:p>
        </w:tc>
        <w:tc>
          <w:tcPr>
            <w:tcW w:w="1985" w:type="dxa"/>
            <w:tcBorders>
              <w:top w:val="nil"/>
              <w:left w:val="nil"/>
              <w:bottom w:val="single" w:sz="4" w:space="0" w:color="auto"/>
              <w:right w:val="single" w:sz="8" w:space="0" w:color="auto"/>
            </w:tcBorders>
            <w:shd w:val="clear" w:color="auto" w:fill="auto"/>
            <w:noWrap/>
            <w:vAlign w:val="center"/>
            <w:hideMark/>
          </w:tcPr>
          <w:p w14:paraId="55DB1020"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77.974</w:t>
            </w:r>
          </w:p>
        </w:tc>
      </w:tr>
      <w:tr w:rsidR="00685EF8" w:rsidRPr="00685EF8" w14:paraId="616B35E5" w14:textId="77777777" w:rsidTr="00685EF8">
        <w:trPr>
          <w:trHeight w:val="286"/>
        </w:trPr>
        <w:tc>
          <w:tcPr>
            <w:tcW w:w="1460" w:type="dxa"/>
            <w:tcBorders>
              <w:top w:val="nil"/>
              <w:left w:val="single" w:sz="8" w:space="0" w:color="auto"/>
              <w:bottom w:val="single" w:sz="4" w:space="0" w:color="auto"/>
              <w:right w:val="single" w:sz="8" w:space="0" w:color="auto"/>
            </w:tcBorders>
            <w:shd w:val="clear" w:color="auto" w:fill="auto"/>
            <w:noWrap/>
            <w:vAlign w:val="center"/>
            <w:hideMark/>
          </w:tcPr>
          <w:p w14:paraId="21A4759D"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2700</w:t>
            </w:r>
          </w:p>
        </w:tc>
        <w:tc>
          <w:tcPr>
            <w:tcW w:w="380" w:type="dxa"/>
            <w:tcBorders>
              <w:top w:val="nil"/>
              <w:left w:val="nil"/>
              <w:bottom w:val="nil"/>
              <w:right w:val="nil"/>
            </w:tcBorders>
            <w:shd w:val="clear" w:color="auto" w:fill="auto"/>
            <w:noWrap/>
            <w:vAlign w:val="bottom"/>
            <w:hideMark/>
          </w:tcPr>
          <w:p w14:paraId="3D40C9E6"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411" w:type="dxa"/>
            <w:tcBorders>
              <w:top w:val="nil"/>
              <w:left w:val="single" w:sz="8" w:space="0" w:color="auto"/>
              <w:bottom w:val="single" w:sz="4" w:space="0" w:color="auto"/>
              <w:right w:val="single" w:sz="4" w:space="0" w:color="auto"/>
            </w:tcBorders>
            <w:shd w:val="clear" w:color="auto" w:fill="auto"/>
            <w:noWrap/>
            <w:vAlign w:val="center"/>
            <w:hideMark/>
          </w:tcPr>
          <w:p w14:paraId="798E496E"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39.289</w:t>
            </w:r>
          </w:p>
        </w:tc>
        <w:tc>
          <w:tcPr>
            <w:tcW w:w="1984" w:type="dxa"/>
            <w:tcBorders>
              <w:top w:val="nil"/>
              <w:left w:val="nil"/>
              <w:bottom w:val="single" w:sz="4" w:space="0" w:color="auto"/>
              <w:right w:val="single" w:sz="8" w:space="0" w:color="auto"/>
            </w:tcBorders>
            <w:shd w:val="clear" w:color="auto" w:fill="auto"/>
            <w:noWrap/>
            <w:vAlign w:val="center"/>
            <w:hideMark/>
          </w:tcPr>
          <w:p w14:paraId="62A3E8BC"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86.164</w:t>
            </w:r>
          </w:p>
        </w:tc>
        <w:tc>
          <w:tcPr>
            <w:tcW w:w="284" w:type="dxa"/>
            <w:tcBorders>
              <w:top w:val="nil"/>
              <w:left w:val="nil"/>
              <w:bottom w:val="nil"/>
              <w:right w:val="nil"/>
            </w:tcBorders>
            <w:shd w:val="clear" w:color="auto" w:fill="auto"/>
            <w:noWrap/>
            <w:vAlign w:val="bottom"/>
            <w:hideMark/>
          </w:tcPr>
          <w:p w14:paraId="4524642A"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4" w:space="0" w:color="auto"/>
              <w:right w:val="single" w:sz="4" w:space="0" w:color="auto"/>
            </w:tcBorders>
            <w:shd w:val="clear" w:color="auto" w:fill="auto"/>
            <w:noWrap/>
            <w:vAlign w:val="center"/>
            <w:hideMark/>
          </w:tcPr>
          <w:p w14:paraId="2023805E"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36.82</w:t>
            </w:r>
          </w:p>
        </w:tc>
        <w:tc>
          <w:tcPr>
            <w:tcW w:w="1985" w:type="dxa"/>
            <w:tcBorders>
              <w:top w:val="nil"/>
              <w:left w:val="nil"/>
              <w:bottom w:val="single" w:sz="4" w:space="0" w:color="auto"/>
              <w:right w:val="single" w:sz="8" w:space="0" w:color="auto"/>
            </w:tcBorders>
            <w:shd w:val="clear" w:color="auto" w:fill="auto"/>
            <w:noWrap/>
            <w:vAlign w:val="center"/>
            <w:hideMark/>
          </w:tcPr>
          <w:p w14:paraId="0D005936"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81.652</w:t>
            </w:r>
          </w:p>
        </w:tc>
      </w:tr>
      <w:tr w:rsidR="00685EF8" w:rsidRPr="00685EF8" w14:paraId="576F6AC3" w14:textId="77777777" w:rsidTr="00685EF8">
        <w:trPr>
          <w:trHeight w:val="286"/>
        </w:trPr>
        <w:tc>
          <w:tcPr>
            <w:tcW w:w="1460" w:type="dxa"/>
            <w:tcBorders>
              <w:top w:val="nil"/>
              <w:left w:val="single" w:sz="8" w:space="0" w:color="auto"/>
              <w:bottom w:val="single" w:sz="4" w:space="0" w:color="auto"/>
              <w:right w:val="single" w:sz="8" w:space="0" w:color="auto"/>
            </w:tcBorders>
            <w:shd w:val="clear" w:color="auto" w:fill="auto"/>
            <w:noWrap/>
            <w:vAlign w:val="center"/>
            <w:hideMark/>
          </w:tcPr>
          <w:p w14:paraId="68FF84C1"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2800</w:t>
            </w:r>
          </w:p>
        </w:tc>
        <w:tc>
          <w:tcPr>
            <w:tcW w:w="380" w:type="dxa"/>
            <w:tcBorders>
              <w:top w:val="nil"/>
              <w:left w:val="nil"/>
              <w:bottom w:val="nil"/>
              <w:right w:val="nil"/>
            </w:tcBorders>
            <w:shd w:val="clear" w:color="auto" w:fill="auto"/>
            <w:noWrap/>
            <w:vAlign w:val="bottom"/>
            <w:hideMark/>
          </w:tcPr>
          <w:p w14:paraId="2D94D5E7"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411" w:type="dxa"/>
            <w:tcBorders>
              <w:top w:val="nil"/>
              <w:left w:val="single" w:sz="8" w:space="0" w:color="auto"/>
              <w:bottom w:val="single" w:sz="4" w:space="0" w:color="auto"/>
              <w:right w:val="single" w:sz="4" w:space="0" w:color="auto"/>
            </w:tcBorders>
            <w:shd w:val="clear" w:color="auto" w:fill="auto"/>
            <w:noWrap/>
            <w:vAlign w:val="center"/>
            <w:hideMark/>
          </w:tcPr>
          <w:p w14:paraId="41DEC713"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39.48</w:t>
            </w:r>
          </w:p>
        </w:tc>
        <w:tc>
          <w:tcPr>
            <w:tcW w:w="1984" w:type="dxa"/>
            <w:tcBorders>
              <w:top w:val="nil"/>
              <w:left w:val="nil"/>
              <w:bottom w:val="single" w:sz="4" w:space="0" w:color="auto"/>
              <w:right w:val="single" w:sz="8" w:space="0" w:color="auto"/>
            </w:tcBorders>
            <w:shd w:val="clear" w:color="auto" w:fill="auto"/>
            <w:noWrap/>
            <w:vAlign w:val="center"/>
            <w:hideMark/>
          </w:tcPr>
          <w:p w14:paraId="1A87FAAC"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90.103</w:t>
            </w:r>
          </w:p>
        </w:tc>
        <w:tc>
          <w:tcPr>
            <w:tcW w:w="284" w:type="dxa"/>
            <w:tcBorders>
              <w:top w:val="nil"/>
              <w:left w:val="nil"/>
              <w:bottom w:val="nil"/>
              <w:right w:val="nil"/>
            </w:tcBorders>
            <w:shd w:val="clear" w:color="auto" w:fill="auto"/>
            <w:noWrap/>
            <w:vAlign w:val="bottom"/>
            <w:hideMark/>
          </w:tcPr>
          <w:p w14:paraId="6DA858FF"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4" w:space="0" w:color="auto"/>
              <w:right w:val="single" w:sz="4" w:space="0" w:color="auto"/>
            </w:tcBorders>
            <w:shd w:val="clear" w:color="auto" w:fill="auto"/>
            <w:noWrap/>
            <w:vAlign w:val="center"/>
            <w:hideMark/>
          </w:tcPr>
          <w:p w14:paraId="6E6B1789"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36.895</w:t>
            </w:r>
          </w:p>
        </w:tc>
        <w:tc>
          <w:tcPr>
            <w:tcW w:w="1985" w:type="dxa"/>
            <w:tcBorders>
              <w:top w:val="nil"/>
              <w:left w:val="nil"/>
              <w:bottom w:val="single" w:sz="4" w:space="0" w:color="auto"/>
              <w:right w:val="single" w:sz="8" w:space="0" w:color="auto"/>
            </w:tcBorders>
            <w:shd w:val="clear" w:color="auto" w:fill="auto"/>
            <w:noWrap/>
            <w:vAlign w:val="center"/>
            <w:hideMark/>
          </w:tcPr>
          <w:p w14:paraId="1D72C800"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85.338</w:t>
            </w:r>
          </w:p>
        </w:tc>
      </w:tr>
      <w:tr w:rsidR="00685EF8" w:rsidRPr="00685EF8" w14:paraId="5DB63AC8" w14:textId="77777777" w:rsidTr="00685EF8">
        <w:trPr>
          <w:trHeight w:val="286"/>
        </w:trPr>
        <w:tc>
          <w:tcPr>
            <w:tcW w:w="1460" w:type="dxa"/>
            <w:tcBorders>
              <w:top w:val="nil"/>
              <w:left w:val="single" w:sz="8" w:space="0" w:color="auto"/>
              <w:bottom w:val="single" w:sz="4" w:space="0" w:color="auto"/>
              <w:right w:val="single" w:sz="8" w:space="0" w:color="auto"/>
            </w:tcBorders>
            <w:shd w:val="clear" w:color="auto" w:fill="auto"/>
            <w:noWrap/>
            <w:vAlign w:val="center"/>
            <w:hideMark/>
          </w:tcPr>
          <w:p w14:paraId="685F8E9C"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2900</w:t>
            </w:r>
          </w:p>
        </w:tc>
        <w:tc>
          <w:tcPr>
            <w:tcW w:w="380" w:type="dxa"/>
            <w:tcBorders>
              <w:top w:val="nil"/>
              <w:left w:val="nil"/>
              <w:bottom w:val="nil"/>
              <w:right w:val="nil"/>
            </w:tcBorders>
            <w:shd w:val="clear" w:color="auto" w:fill="auto"/>
            <w:noWrap/>
            <w:vAlign w:val="bottom"/>
            <w:hideMark/>
          </w:tcPr>
          <w:p w14:paraId="34EED35C"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411" w:type="dxa"/>
            <w:tcBorders>
              <w:top w:val="nil"/>
              <w:left w:val="single" w:sz="8" w:space="0" w:color="auto"/>
              <w:bottom w:val="single" w:sz="4" w:space="0" w:color="auto"/>
              <w:right w:val="single" w:sz="4" w:space="0" w:color="auto"/>
            </w:tcBorders>
            <w:shd w:val="clear" w:color="auto" w:fill="auto"/>
            <w:noWrap/>
            <w:vAlign w:val="center"/>
            <w:hideMark/>
          </w:tcPr>
          <w:p w14:paraId="492F3E59"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39.665</w:t>
            </w:r>
          </w:p>
        </w:tc>
        <w:tc>
          <w:tcPr>
            <w:tcW w:w="1984" w:type="dxa"/>
            <w:tcBorders>
              <w:top w:val="nil"/>
              <w:left w:val="nil"/>
              <w:bottom w:val="single" w:sz="4" w:space="0" w:color="auto"/>
              <w:right w:val="single" w:sz="8" w:space="0" w:color="auto"/>
            </w:tcBorders>
            <w:shd w:val="clear" w:color="auto" w:fill="auto"/>
            <w:noWrap/>
            <w:vAlign w:val="center"/>
            <w:hideMark/>
          </w:tcPr>
          <w:p w14:paraId="3477B293"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94.06</w:t>
            </w:r>
          </w:p>
        </w:tc>
        <w:tc>
          <w:tcPr>
            <w:tcW w:w="284" w:type="dxa"/>
            <w:tcBorders>
              <w:top w:val="nil"/>
              <w:left w:val="nil"/>
              <w:bottom w:val="nil"/>
              <w:right w:val="nil"/>
            </w:tcBorders>
            <w:shd w:val="clear" w:color="auto" w:fill="auto"/>
            <w:noWrap/>
            <w:vAlign w:val="bottom"/>
            <w:hideMark/>
          </w:tcPr>
          <w:p w14:paraId="6F0A8DDC"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4" w:space="0" w:color="auto"/>
              <w:right w:val="single" w:sz="4" w:space="0" w:color="auto"/>
            </w:tcBorders>
            <w:shd w:val="clear" w:color="auto" w:fill="auto"/>
            <w:noWrap/>
            <w:vAlign w:val="center"/>
            <w:hideMark/>
          </w:tcPr>
          <w:p w14:paraId="02F136AC"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36.964</w:t>
            </w:r>
          </w:p>
        </w:tc>
        <w:tc>
          <w:tcPr>
            <w:tcW w:w="1985" w:type="dxa"/>
            <w:tcBorders>
              <w:top w:val="nil"/>
              <w:left w:val="nil"/>
              <w:bottom w:val="single" w:sz="4" w:space="0" w:color="auto"/>
              <w:right w:val="single" w:sz="8" w:space="0" w:color="auto"/>
            </w:tcBorders>
            <w:shd w:val="clear" w:color="auto" w:fill="auto"/>
            <w:noWrap/>
            <w:vAlign w:val="center"/>
            <w:hideMark/>
          </w:tcPr>
          <w:p w14:paraId="7ACB20CC"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89.031</w:t>
            </w:r>
          </w:p>
        </w:tc>
      </w:tr>
      <w:tr w:rsidR="00685EF8" w:rsidRPr="00685EF8" w14:paraId="55C16435" w14:textId="77777777" w:rsidTr="00685EF8">
        <w:trPr>
          <w:trHeight w:val="286"/>
        </w:trPr>
        <w:tc>
          <w:tcPr>
            <w:tcW w:w="1460" w:type="dxa"/>
            <w:tcBorders>
              <w:top w:val="nil"/>
              <w:left w:val="single" w:sz="8" w:space="0" w:color="auto"/>
              <w:bottom w:val="single" w:sz="4" w:space="0" w:color="auto"/>
              <w:right w:val="single" w:sz="8" w:space="0" w:color="auto"/>
            </w:tcBorders>
            <w:shd w:val="clear" w:color="auto" w:fill="auto"/>
            <w:noWrap/>
            <w:vAlign w:val="center"/>
            <w:hideMark/>
          </w:tcPr>
          <w:p w14:paraId="32F9E133"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3000</w:t>
            </w:r>
          </w:p>
        </w:tc>
        <w:tc>
          <w:tcPr>
            <w:tcW w:w="380" w:type="dxa"/>
            <w:tcBorders>
              <w:top w:val="nil"/>
              <w:left w:val="nil"/>
              <w:bottom w:val="nil"/>
              <w:right w:val="nil"/>
            </w:tcBorders>
            <w:shd w:val="clear" w:color="auto" w:fill="auto"/>
            <w:noWrap/>
            <w:vAlign w:val="bottom"/>
            <w:hideMark/>
          </w:tcPr>
          <w:p w14:paraId="37413380"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411" w:type="dxa"/>
            <w:tcBorders>
              <w:top w:val="nil"/>
              <w:left w:val="single" w:sz="8" w:space="0" w:color="auto"/>
              <w:bottom w:val="single" w:sz="4" w:space="0" w:color="auto"/>
              <w:right w:val="single" w:sz="4" w:space="0" w:color="auto"/>
            </w:tcBorders>
            <w:shd w:val="clear" w:color="auto" w:fill="auto"/>
            <w:noWrap/>
            <w:vAlign w:val="center"/>
            <w:hideMark/>
          </w:tcPr>
          <w:p w14:paraId="5B618466"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39.846</w:t>
            </w:r>
          </w:p>
        </w:tc>
        <w:tc>
          <w:tcPr>
            <w:tcW w:w="1984" w:type="dxa"/>
            <w:tcBorders>
              <w:top w:val="nil"/>
              <w:left w:val="nil"/>
              <w:bottom w:val="single" w:sz="4" w:space="0" w:color="auto"/>
              <w:right w:val="single" w:sz="8" w:space="0" w:color="auto"/>
            </w:tcBorders>
            <w:shd w:val="clear" w:color="auto" w:fill="auto"/>
            <w:noWrap/>
            <w:vAlign w:val="center"/>
            <w:hideMark/>
          </w:tcPr>
          <w:p w14:paraId="47212129"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98.036</w:t>
            </w:r>
          </w:p>
        </w:tc>
        <w:tc>
          <w:tcPr>
            <w:tcW w:w="284" w:type="dxa"/>
            <w:tcBorders>
              <w:top w:val="nil"/>
              <w:left w:val="nil"/>
              <w:bottom w:val="nil"/>
              <w:right w:val="nil"/>
            </w:tcBorders>
            <w:shd w:val="clear" w:color="auto" w:fill="auto"/>
            <w:noWrap/>
            <w:vAlign w:val="bottom"/>
            <w:hideMark/>
          </w:tcPr>
          <w:p w14:paraId="5D01EF25"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4" w:space="0" w:color="auto"/>
              <w:right w:val="single" w:sz="4" w:space="0" w:color="auto"/>
            </w:tcBorders>
            <w:shd w:val="clear" w:color="auto" w:fill="auto"/>
            <w:noWrap/>
            <w:vAlign w:val="center"/>
            <w:hideMark/>
          </w:tcPr>
          <w:p w14:paraId="2E4042B2"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37.028</w:t>
            </w:r>
          </w:p>
        </w:tc>
        <w:tc>
          <w:tcPr>
            <w:tcW w:w="1985" w:type="dxa"/>
            <w:tcBorders>
              <w:top w:val="nil"/>
              <w:left w:val="nil"/>
              <w:bottom w:val="single" w:sz="4" w:space="0" w:color="auto"/>
              <w:right w:val="single" w:sz="8" w:space="0" w:color="auto"/>
            </w:tcBorders>
            <w:shd w:val="clear" w:color="auto" w:fill="auto"/>
            <w:noWrap/>
            <w:vAlign w:val="center"/>
            <w:hideMark/>
          </w:tcPr>
          <w:p w14:paraId="724B81D9"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92.73</w:t>
            </w:r>
          </w:p>
        </w:tc>
      </w:tr>
      <w:tr w:rsidR="00685EF8" w:rsidRPr="00685EF8" w14:paraId="06D4920A" w14:textId="77777777" w:rsidTr="00685EF8">
        <w:trPr>
          <w:trHeight w:val="286"/>
        </w:trPr>
        <w:tc>
          <w:tcPr>
            <w:tcW w:w="1460" w:type="dxa"/>
            <w:tcBorders>
              <w:top w:val="nil"/>
              <w:left w:val="single" w:sz="8" w:space="0" w:color="auto"/>
              <w:bottom w:val="single" w:sz="4" w:space="0" w:color="auto"/>
              <w:right w:val="single" w:sz="8" w:space="0" w:color="auto"/>
            </w:tcBorders>
            <w:shd w:val="clear" w:color="auto" w:fill="auto"/>
            <w:noWrap/>
            <w:vAlign w:val="center"/>
            <w:hideMark/>
          </w:tcPr>
          <w:p w14:paraId="772E2130"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3100</w:t>
            </w:r>
          </w:p>
        </w:tc>
        <w:tc>
          <w:tcPr>
            <w:tcW w:w="380" w:type="dxa"/>
            <w:tcBorders>
              <w:top w:val="nil"/>
              <w:left w:val="nil"/>
              <w:bottom w:val="nil"/>
              <w:right w:val="nil"/>
            </w:tcBorders>
            <w:shd w:val="clear" w:color="auto" w:fill="auto"/>
            <w:noWrap/>
            <w:vAlign w:val="bottom"/>
            <w:hideMark/>
          </w:tcPr>
          <w:p w14:paraId="3FBC29C5"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411" w:type="dxa"/>
            <w:tcBorders>
              <w:top w:val="nil"/>
              <w:left w:val="single" w:sz="8" w:space="0" w:color="auto"/>
              <w:bottom w:val="single" w:sz="4" w:space="0" w:color="auto"/>
              <w:right w:val="single" w:sz="4" w:space="0" w:color="auto"/>
            </w:tcBorders>
            <w:shd w:val="clear" w:color="auto" w:fill="auto"/>
            <w:noWrap/>
            <w:vAlign w:val="center"/>
            <w:hideMark/>
          </w:tcPr>
          <w:p w14:paraId="309B43CF"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40.023</w:t>
            </w:r>
          </w:p>
        </w:tc>
        <w:tc>
          <w:tcPr>
            <w:tcW w:w="1984" w:type="dxa"/>
            <w:tcBorders>
              <w:top w:val="nil"/>
              <w:left w:val="nil"/>
              <w:bottom w:val="single" w:sz="4" w:space="0" w:color="auto"/>
              <w:right w:val="single" w:sz="8" w:space="0" w:color="auto"/>
            </w:tcBorders>
            <w:shd w:val="clear" w:color="auto" w:fill="auto"/>
            <w:noWrap/>
            <w:vAlign w:val="center"/>
            <w:hideMark/>
          </w:tcPr>
          <w:p w14:paraId="4F851C7D"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102.029</w:t>
            </w:r>
          </w:p>
        </w:tc>
        <w:tc>
          <w:tcPr>
            <w:tcW w:w="284" w:type="dxa"/>
            <w:tcBorders>
              <w:top w:val="nil"/>
              <w:left w:val="nil"/>
              <w:bottom w:val="nil"/>
              <w:right w:val="nil"/>
            </w:tcBorders>
            <w:shd w:val="clear" w:color="auto" w:fill="auto"/>
            <w:noWrap/>
            <w:vAlign w:val="bottom"/>
            <w:hideMark/>
          </w:tcPr>
          <w:p w14:paraId="40A2BB68"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4" w:space="0" w:color="auto"/>
              <w:right w:val="single" w:sz="4" w:space="0" w:color="auto"/>
            </w:tcBorders>
            <w:shd w:val="clear" w:color="auto" w:fill="auto"/>
            <w:noWrap/>
            <w:vAlign w:val="center"/>
            <w:hideMark/>
          </w:tcPr>
          <w:p w14:paraId="3DFC5002"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37.088</w:t>
            </w:r>
          </w:p>
        </w:tc>
        <w:tc>
          <w:tcPr>
            <w:tcW w:w="1985" w:type="dxa"/>
            <w:tcBorders>
              <w:top w:val="nil"/>
              <w:left w:val="nil"/>
              <w:bottom w:val="single" w:sz="4" w:space="0" w:color="auto"/>
              <w:right w:val="single" w:sz="8" w:space="0" w:color="auto"/>
            </w:tcBorders>
            <w:shd w:val="clear" w:color="auto" w:fill="auto"/>
            <w:noWrap/>
            <w:vAlign w:val="center"/>
            <w:hideMark/>
          </w:tcPr>
          <w:p w14:paraId="139644A8"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96.436</w:t>
            </w:r>
          </w:p>
        </w:tc>
      </w:tr>
      <w:tr w:rsidR="00685EF8" w:rsidRPr="00685EF8" w14:paraId="52423AEE" w14:textId="77777777" w:rsidTr="00685EF8">
        <w:trPr>
          <w:trHeight w:val="286"/>
        </w:trPr>
        <w:tc>
          <w:tcPr>
            <w:tcW w:w="1460" w:type="dxa"/>
            <w:tcBorders>
              <w:top w:val="nil"/>
              <w:left w:val="single" w:sz="8" w:space="0" w:color="auto"/>
              <w:bottom w:val="single" w:sz="4" w:space="0" w:color="auto"/>
              <w:right w:val="single" w:sz="8" w:space="0" w:color="auto"/>
            </w:tcBorders>
            <w:shd w:val="clear" w:color="auto" w:fill="auto"/>
            <w:noWrap/>
            <w:vAlign w:val="center"/>
            <w:hideMark/>
          </w:tcPr>
          <w:p w14:paraId="23F3352B"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3200</w:t>
            </w:r>
          </w:p>
        </w:tc>
        <w:tc>
          <w:tcPr>
            <w:tcW w:w="380" w:type="dxa"/>
            <w:tcBorders>
              <w:top w:val="nil"/>
              <w:left w:val="nil"/>
              <w:bottom w:val="nil"/>
              <w:right w:val="nil"/>
            </w:tcBorders>
            <w:shd w:val="clear" w:color="auto" w:fill="auto"/>
            <w:noWrap/>
            <w:vAlign w:val="bottom"/>
            <w:hideMark/>
          </w:tcPr>
          <w:p w14:paraId="444B7A8D"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411" w:type="dxa"/>
            <w:tcBorders>
              <w:top w:val="nil"/>
              <w:left w:val="single" w:sz="8" w:space="0" w:color="auto"/>
              <w:bottom w:val="single" w:sz="4" w:space="0" w:color="auto"/>
              <w:right w:val="single" w:sz="4" w:space="0" w:color="auto"/>
            </w:tcBorders>
            <w:shd w:val="clear" w:color="auto" w:fill="auto"/>
            <w:noWrap/>
            <w:vAlign w:val="center"/>
            <w:hideMark/>
          </w:tcPr>
          <w:p w14:paraId="1EA95B73"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40.195</w:t>
            </w:r>
          </w:p>
        </w:tc>
        <w:tc>
          <w:tcPr>
            <w:tcW w:w="1984" w:type="dxa"/>
            <w:tcBorders>
              <w:top w:val="nil"/>
              <w:left w:val="nil"/>
              <w:bottom w:val="single" w:sz="4" w:space="0" w:color="auto"/>
              <w:right w:val="single" w:sz="8" w:space="0" w:color="auto"/>
            </w:tcBorders>
            <w:shd w:val="clear" w:color="auto" w:fill="auto"/>
            <w:noWrap/>
            <w:vAlign w:val="center"/>
            <w:hideMark/>
          </w:tcPr>
          <w:p w14:paraId="622617A7"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106.04</w:t>
            </w:r>
          </w:p>
        </w:tc>
        <w:tc>
          <w:tcPr>
            <w:tcW w:w="284" w:type="dxa"/>
            <w:tcBorders>
              <w:top w:val="nil"/>
              <w:left w:val="nil"/>
              <w:bottom w:val="nil"/>
              <w:right w:val="nil"/>
            </w:tcBorders>
            <w:shd w:val="clear" w:color="auto" w:fill="auto"/>
            <w:noWrap/>
            <w:vAlign w:val="bottom"/>
            <w:hideMark/>
          </w:tcPr>
          <w:p w14:paraId="6A664971"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4" w:space="0" w:color="auto"/>
              <w:right w:val="single" w:sz="4" w:space="0" w:color="auto"/>
            </w:tcBorders>
            <w:shd w:val="clear" w:color="auto" w:fill="auto"/>
            <w:noWrap/>
            <w:vAlign w:val="center"/>
            <w:hideMark/>
          </w:tcPr>
          <w:p w14:paraId="711C63D7"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37.144</w:t>
            </w:r>
          </w:p>
        </w:tc>
        <w:tc>
          <w:tcPr>
            <w:tcW w:w="1985" w:type="dxa"/>
            <w:tcBorders>
              <w:top w:val="nil"/>
              <w:left w:val="nil"/>
              <w:bottom w:val="single" w:sz="4" w:space="0" w:color="auto"/>
              <w:right w:val="single" w:sz="8" w:space="0" w:color="auto"/>
            </w:tcBorders>
            <w:shd w:val="clear" w:color="auto" w:fill="auto"/>
            <w:noWrap/>
            <w:vAlign w:val="center"/>
            <w:hideMark/>
          </w:tcPr>
          <w:p w14:paraId="692F2F9B"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100.148</w:t>
            </w:r>
          </w:p>
        </w:tc>
      </w:tr>
      <w:tr w:rsidR="00685EF8" w:rsidRPr="00685EF8" w14:paraId="50B06DF3" w14:textId="77777777" w:rsidTr="00685EF8">
        <w:trPr>
          <w:trHeight w:val="286"/>
        </w:trPr>
        <w:tc>
          <w:tcPr>
            <w:tcW w:w="1460" w:type="dxa"/>
            <w:tcBorders>
              <w:top w:val="nil"/>
              <w:left w:val="single" w:sz="8" w:space="0" w:color="auto"/>
              <w:bottom w:val="single" w:sz="4" w:space="0" w:color="auto"/>
              <w:right w:val="single" w:sz="8" w:space="0" w:color="auto"/>
            </w:tcBorders>
            <w:shd w:val="clear" w:color="auto" w:fill="auto"/>
            <w:noWrap/>
            <w:vAlign w:val="center"/>
            <w:hideMark/>
          </w:tcPr>
          <w:p w14:paraId="51DB8C55"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3300</w:t>
            </w:r>
          </w:p>
        </w:tc>
        <w:tc>
          <w:tcPr>
            <w:tcW w:w="380" w:type="dxa"/>
            <w:tcBorders>
              <w:top w:val="nil"/>
              <w:left w:val="nil"/>
              <w:bottom w:val="nil"/>
              <w:right w:val="nil"/>
            </w:tcBorders>
            <w:shd w:val="clear" w:color="auto" w:fill="auto"/>
            <w:noWrap/>
            <w:vAlign w:val="bottom"/>
            <w:hideMark/>
          </w:tcPr>
          <w:p w14:paraId="6EA38AD8"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411" w:type="dxa"/>
            <w:tcBorders>
              <w:top w:val="nil"/>
              <w:left w:val="single" w:sz="8" w:space="0" w:color="auto"/>
              <w:bottom w:val="single" w:sz="4" w:space="0" w:color="auto"/>
              <w:right w:val="single" w:sz="4" w:space="0" w:color="auto"/>
            </w:tcBorders>
            <w:shd w:val="clear" w:color="auto" w:fill="auto"/>
            <w:noWrap/>
            <w:vAlign w:val="center"/>
            <w:hideMark/>
          </w:tcPr>
          <w:p w14:paraId="131264E0"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40.362</w:t>
            </w:r>
          </w:p>
        </w:tc>
        <w:tc>
          <w:tcPr>
            <w:tcW w:w="1984" w:type="dxa"/>
            <w:tcBorders>
              <w:top w:val="nil"/>
              <w:left w:val="nil"/>
              <w:bottom w:val="single" w:sz="4" w:space="0" w:color="auto"/>
              <w:right w:val="single" w:sz="8" w:space="0" w:color="auto"/>
            </w:tcBorders>
            <w:shd w:val="clear" w:color="auto" w:fill="auto"/>
            <w:noWrap/>
            <w:vAlign w:val="center"/>
            <w:hideMark/>
          </w:tcPr>
          <w:p w14:paraId="43B4A823"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110.068</w:t>
            </w:r>
          </w:p>
        </w:tc>
        <w:tc>
          <w:tcPr>
            <w:tcW w:w="284" w:type="dxa"/>
            <w:tcBorders>
              <w:top w:val="nil"/>
              <w:left w:val="nil"/>
              <w:bottom w:val="nil"/>
              <w:right w:val="nil"/>
            </w:tcBorders>
            <w:shd w:val="clear" w:color="auto" w:fill="auto"/>
            <w:noWrap/>
            <w:vAlign w:val="bottom"/>
            <w:hideMark/>
          </w:tcPr>
          <w:p w14:paraId="04A31A7D"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4" w:space="0" w:color="auto"/>
              <w:right w:val="single" w:sz="4" w:space="0" w:color="auto"/>
            </w:tcBorders>
            <w:shd w:val="clear" w:color="auto" w:fill="auto"/>
            <w:noWrap/>
            <w:vAlign w:val="center"/>
            <w:hideMark/>
          </w:tcPr>
          <w:p w14:paraId="003BE3BD"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37.198</w:t>
            </w:r>
          </w:p>
        </w:tc>
        <w:tc>
          <w:tcPr>
            <w:tcW w:w="1985" w:type="dxa"/>
            <w:tcBorders>
              <w:top w:val="nil"/>
              <w:left w:val="nil"/>
              <w:bottom w:val="single" w:sz="4" w:space="0" w:color="auto"/>
              <w:right w:val="single" w:sz="8" w:space="0" w:color="auto"/>
            </w:tcBorders>
            <w:shd w:val="clear" w:color="auto" w:fill="auto"/>
            <w:noWrap/>
            <w:vAlign w:val="center"/>
            <w:hideMark/>
          </w:tcPr>
          <w:p w14:paraId="149C713A"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103.865</w:t>
            </w:r>
          </w:p>
        </w:tc>
      </w:tr>
      <w:tr w:rsidR="00685EF8" w:rsidRPr="00685EF8" w14:paraId="60D42D38" w14:textId="77777777" w:rsidTr="00685EF8">
        <w:trPr>
          <w:trHeight w:val="286"/>
        </w:trPr>
        <w:tc>
          <w:tcPr>
            <w:tcW w:w="1460" w:type="dxa"/>
            <w:tcBorders>
              <w:top w:val="nil"/>
              <w:left w:val="single" w:sz="8" w:space="0" w:color="auto"/>
              <w:bottom w:val="single" w:sz="4" w:space="0" w:color="auto"/>
              <w:right w:val="single" w:sz="8" w:space="0" w:color="auto"/>
            </w:tcBorders>
            <w:shd w:val="clear" w:color="auto" w:fill="auto"/>
            <w:noWrap/>
            <w:vAlign w:val="center"/>
            <w:hideMark/>
          </w:tcPr>
          <w:p w14:paraId="1B76EE1C"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3400</w:t>
            </w:r>
          </w:p>
        </w:tc>
        <w:tc>
          <w:tcPr>
            <w:tcW w:w="380" w:type="dxa"/>
            <w:tcBorders>
              <w:top w:val="nil"/>
              <w:left w:val="nil"/>
              <w:bottom w:val="nil"/>
              <w:right w:val="nil"/>
            </w:tcBorders>
            <w:shd w:val="clear" w:color="auto" w:fill="auto"/>
            <w:noWrap/>
            <w:vAlign w:val="bottom"/>
            <w:hideMark/>
          </w:tcPr>
          <w:p w14:paraId="3C996444"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411" w:type="dxa"/>
            <w:tcBorders>
              <w:top w:val="nil"/>
              <w:left w:val="single" w:sz="8" w:space="0" w:color="auto"/>
              <w:bottom w:val="single" w:sz="4" w:space="0" w:color="auto"/>
              <w:right w:val="single" w:sz="4" w:space="0" w:color="auto"/>
            </w:tcBorders>
            <w:shd w:val="clear" w:color="auto" w:fill="auto"/>
            <w:noWrap/>
            <w:vAlign w:val="center"/>
            <w:hideMark/>
          </w:tcPr>
          <w:p w14:paraId="63A8521A"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40.526</w:t>
            </w:r>
          </w:p>
        </w:tc>
        <w:tc>
          <w:tcPr>
            <w:tcW w:w="1984" w:type="dxa"/>
            <w:tcBorders>
              <w:top w:val="nil"/>
              <w:left w:val="nil"/>
              <w:bottom w:val="single" w:sz="4" w:space="0" w:color="auto"/>
              <w:right w:val="single" w:sz="8" w:space="0" w:color="auto"/>
            </w:tcBorders>
            <w:shd w:val="clear" w:color="auto" w:fill="auto"/>
            <w:noWrap/>
            <w:vAlign w:val="center"/>
            <w:hideMark/>
          </w:tcPr>
          <w:p w14:paraId="4B62A1A3"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114.112</w:t>
            </w:r>
          </w:p>
        </w:tc>
        <w:tc>
          <w:tcPr>
            <w:tcW w:w="284" w:type="dxa"/>
            <w:tcBorders>
              <w:top w:val="nil"/>
              <w:left w:val="nil"/>
              <w:bottom w:val="nil"/>
              <w:right w:val="nil"/>
            </w:tcBorders>
            <w:shd w:val="clear" w:color="auto" w:fill="auto"/>
            <w:noWrap/>
            <w:vAlign w:val="bottom"/>
            <w:hideMark/>
          </w:tcPr>
          <w:p w14:paraId="21DFBD2A"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4" w:space="0" w:color="auto"/>
              <w:right w:val="single" w:sz="4" w:space="0" w:color="auto"/>
            </w:tcBorders>
            <w:shd w:val="clear" w:color="auto" w:fill="auto"/>
            <w:noWrap/>
            <w:vAlign w:val="center"/>
            <w:hideMark/>
          </w:tcPr>
          <w:p w14:paraId="1F68AAA8"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37.251</w:t>
            </w:r>
          </w:p>
        </w:tc>
        <w:tc>
          <w:tcPr>
            <w:tcW w:w="1985" w:type="dxa"/>
            <w:tcBorders>
              <w:top w:val="nil"/>
              <w:left w:val="nil"/>
              <w:bottom w:val="single" w:sz="4" w:space="0" w:color="auto"/>
              <w:right w:val="single" w:sz="8" w:space="0" w:color="auto"/>
            </w:tcBorders>
            <w:shd w:val="clear" w:color="auto" w:fill="auto"/>
            <w:noWrap/>
            <w:vAlign w:val="center"/>
            <w:hideMark/>
          </w:tcPr>
          <w:p w14:paraId="0D67C3EE"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107.587</w:t>
            </w:r>
          </w:p>
        </w:tc>
      </w:tr>
      <w:tr w:rsidR="00685EF8" w:rsidRPr="00685EF8" w14:paraId="78808413" w14:textId="77777777" w:rsidTr="00685EF8">
        <w:trPr>
          <w:trHeight w:val="286"/>
        </w:trPr>
        <w:tc>
          <w:tcPr>
            <w:tcW w:w="1460" w:type="dxa"/>
            <w:tcBorders>
              <w:top w:val="nil"/>
              <w:left w:val="single" w:sz="8" w:space="0" w:color="auto"/>
              <w:bottom w:val="single" w:sz="4" w:space="0" w:color="auto"/>
              <w:right w:val="single" w:sz="8" w:space="0" w:color="auto"/>
            </w:tcBorders>
            <w:shd w:val="clear" w:color="auto" w:fill="auto"/>
            <w:noWrap/>
            <w:vAlign w:val="center"/>
            <w:hideMark/>
          </w:tcPr>
          <w:p w14:paraId="46D79A2E"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3500</w:t>
            </w:r>
          </w:p>
        </w:tc>
        <w:tc>
          <w:tcPr>
            <w:tcW w:w="380" w:type="dxa"/>
            <w:tcBorders>
              <w:top w:val="nil"/>
              <w:left w:val="nil"/>
              <w:bottom w:val="nil"/>
              <w:right w:val="nil"/>
            </w:tcBorders>
            <w:shd w:val="clear" w:color="auto" w:fill="auto"/>
            <w:noWrap/>
            <w:vAlign w:val="bottom"/>
            <w:hideMark/>
          </w:tcPr>
          <w:p w14:paraId="5842B292"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411" w:type="dxa"/>
            <w:tcBorders>
              <w:top w:val="nil"/>
              <w:left w:val="single" w:sz="8" w:space="0" w:color="auto"/>
              <w:bottom w:val="single" w:sz="4" w:space="0" w:color="auto"/>
              <w:right w:val="single" w:sz="4" w:space="0" w:color="auto"/>
            </w:tcBorders>
            <w:shd w:val="clear" w:color="auto" w:fill="auto"/>
            <w:noWrap/>
            <w:vAlign w:val="center"/>
            <w:hideMark/>
          </w:tcPr>
          <w:p w14:paraId="11C97F68"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40.686</w:t>
            </w:r>
          </w:p>
        </w:tc>
        <w:tc>
          <w:tcPr>
            <w:tcW w:w="1984" w:type="dxa"/>
            <w:tcBorders>
              <w:top w:val="nil"/>
              <w:left w:val="nil"/>
              <w:bottom w:val="single" w:sz="4" w:space="0" w:color="auto"/>
              <w:right w:val="single" w:sz="8" w:space="0" w:color="auto"/>
            </w:tcBorders>
            <w:shd w:val="clear" w:color="auto" w:fill="auto"/>
            <w:noWrap/>
            <w:vAlign w:val="center"/>
            <w:hideMark/>
          </w:tcPr>
          <w:p w14:paraId="7A296FA0"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118.173</w:t>
            </w:r>
          </w:p>
        </w:tc>
        <w:tc>
          <w:tcPr>
            <w:tcW w:w="284" w:type="dxa"/>
            <w:tcBorders>
              <w:top w:val="nil"/>
              <w:left w:val="nil"/>
              <w:bottom w:val="nil"/>
              <w:right w:val="nil"/>
            </w:tcBorders>
            <w:shd w:val="clear" w:color="auto" w:fill="auto"/>
            <w:noWrap/>
            <w:vAlign w:val="bottom"/>
            <w:hideMark/>
          </w:tcPr>
          <w:p w14:paraId="22AC4BD5"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4" w:space="0" w:color="auto"/>
              <w:right w:val="single" w:sz="4" w:space="0" w:color="auto"/>
            </w:tcBorders>
            <w:shd w:val="clear" w:color="auto" w:fill="auto"/>
            <w:noWrap/>
            <w:vAlign w:val="center"/>
            <w:hideMark/>
          </w:tcPr>
          <w:p w14:paraId="46E5E3D9"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37.302</w:t>
            </w:r>
          </w:p>
        </w:tc>
        <w:tc>
          <w:tcPr>
            <w:tcW w:w="1985" w:type="dxa"/>
            <w:tcBorders>
              <w:top w:val="nil"/>
              <w:left w:val="nil"/>
              <w:bottom w:val="single" w:sz="4" w:space="0" w:color="auto"/>
              <w:right w:val="single" w:sz="8" w:space="0" w:color="auto"/>
            </w:tcBorders>
            <w:shd w:val="clear" w:color="auto" w:fill="auto"/>
            <w:noWrap/>
            <w:vAlign w:val="center"/>
            <w:hideMark/>
          </w:tcPr>
          <w:p w14:paraId="7C62E1E2"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111.315</w:t>
            </w:r>
          </w:p>
        </w:tc>
      </w:tr>
      <w:tr w:rsidR="00685EF8" w:rsidRPr="00685EF8" w14:paraId="3820AB23" w14:textId="77777777" w:rsidTr="00685EF8">
        <w:trPr>
          <w:trHeight w:val="286"/>
        </w:trPr>
        <w:tc>
          <w:tcPr>
            <w:tcW w:w="1460" w:type="dxa"/>
            <w:tcBorders>
              <w:top w:val="nil"/>
              <w:left w:val="single" w:sz="8" w:space="0" w:color="auto"/>
              <w:bottom w:val="single" w:sz="4" w:space="0" w:color="auto"/>
              <w:right w:val="single" w:sz="8" w:space="0" w:color="auto"/>
            </w:tcBorders>
            <w:shd w:val="clear" w:color="auto" w:fill="auto"/>
            <w:noWrap/>
            <w:vAlign w:val="center"/>
            <w:hideMark/>
          </w:tcPr>
          <w:p w14:paraId="7557B92C"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3600</w:t>
            </w:r>
          </w:p>
        </w:tc>
        <w:tc>
          <w:tcPr>
            <w:tcW w:w="380" w:type="dxa"/>
            <w:tcBorders>
              <w:top w:val="nil"/>
              <w:left w:val="nil"/>
              <w:bottom w:val="nil"/>
              <w:right w:val="nil"/>
            </w:tcBorders>
            <w:shd w:val="clear" w:color="auto" w:fill="auto"/>
            <w:noWrap/>
            <w:vAlign w:val="bottom"/>
            <w:hideMark/>
          </w:tcPr>
          <w:p w14:paraId="4167B8F5"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411" w:type="dxa"/>
            <w:tcBorders>
              <w:top w:val="nil"/>
              <w:left w:val="single" w:sz="8" w:space="0" w:color="auto"/>
              <w:bottom w:val="single" w:sz="4" w:space="0" w:color="auto"/>
              <w:right w:val="single" w:sz="4" w:space="0" w:color="auto"/>
            </w:tcBorders>
            <w:shd w:val="clear" w:color="auto" w:fill="auto"/>
            <w:noWrap/>
            <w:vAlign w:val="center"/>
            <w:hideMark/>
          </w:tcPr>
          <w:p w14:paraId="432F5F1A"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40.842</w:t>
            </w:r>
          </w:p>
        </w:tc>
        <w:tc>
          <w:tcPr>
            <w:tcW w:w="1984" w:type="dxa"/>
            <w:tcBorders>
              <w:top w:val="nil"/>
              <w:left w:val="nil"/>
              <w:bottom w:val="single" w:sz="4" w:space="0" w:color="auto"/>
              <w:right w:val="single" w:sz="8" w:space="0" w:color="auto"/>
            </w:tcBorders>
            <w:shd w:val="clear" w:color="auto" w:fill="auto"/>
            <w:noWrap/>
            <w:vAlign w:val="center"/>
            <w:hideMark/>
          </w:tcPr>
          <w:p w14:paraId="0B6048F5"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122.249</w:t>
            </w:r>
          </w:p>
        </w:tc>
        <w:tc>
          <w:tcPr>
            <w:tcW w:w="284" w:type="dxa"/>
            <w:tcBorders>
              <w:top w:val="nil"/>
              <w:left w:val="nil"/>
              <w:bottom w:val="nil"/>
              <w:right w:val="nil"/>
            </w:tcBorders>
            <w:shd w:val="clear" w:color="auto" w:fill="auto"/>
            <w:noWrap/>
            <w:vAlign w:val="bottom"/>
            <w:hideMark/>
          </w:tcPr>
          <w:p w14:paraId="07DB90AF"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4" w:space="0" w:color="auto"/>
              <w:right w:val="single" w:sz="4" w:space="0" w:color="auto"/>
            </w:tcBorders>
            <w:shd w:val="clear" w:color="auto" w:fill="auto"/>
            <w:noWrap/>
            <w:vAlign w:val="center"/>
            <w:hideMark/>
          </w:tcPr>
          <w:p w14:paraId="0D4A4D76"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37.352</w:t>
            </w:r>
          </w:p>
        </w:tc>
        <w:tc>
          <w:tcPr>
            <w:tcW w:w="1985" w:type="dxa"/>
            <w:tcBorders>
              <w:top w:val="nil"/>
              <w:left w:val="nil"/>
              <w:bottom w:val="single" w:sz="4" w:space="0" w:color="auto"/>
              <w:right w:val="single" w:sz="8" w:space="0" w:color="auto"/>
            </w:tcBorders>
            <w:shd w:val="clear" w:color="auto" w:fill="auto"/>
            <w:noWrap/>
            <w:vAlign w:val="center"/>
            <w:hideMark/>
          </w:tcPr>
          <w:p w14:paraId="768A7112"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115.048</w:t>
            </w:r>
          </w:p>
        </w:tc>
      </w:tr>
      <w:tr w:rsidR="00685EF8" w:rsidRPr="00685EF8" w14:paraId="5BAED083" w14:textId="77777777" w:rsidTr="00685EF8">
        <w:trPr>
          <w:trHeight w:val="286"/>
        </w:trPr>
        <w:tc>
          <w:tcPr>
            <w:tcW w:w="1460" w:type="dxa"/>
            <w:tcBorders>
              <w:top w:val="nil"/>
              <w:left w:val="single" w:sz="8" w:space="0" w:color="auto"/>
              <w:bottom w:val="single" w:sz="4" w:space="0" w:color="auto"/>
              <w:right w:val="single" w:sz="8" w:space="0" w:color="auto"/>
            </w:tcBorders>
            <w:shd w:val="clear" w:color="auto" w:fill="auto"/>
            <w:noWrap/>
            <w:vAlign w:val="center"/>
            <w:hideMark/>
          </w:tcPr>
          <w:p w14:paraId="58523142"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3700</w:t>
            </w:r>
          </w:p>
        </w:tc>
        <w:tc>
          <w:tcPr>
            <w:tcW w:w="380" w:type="dxa"/>
            <w:tcBorders>
              <w:top w:val="nil"/>
              <w:left w:val="nil"/>
              <w:bottom w:val="nil"/>
              <w:right w:val="nil"/>
            </w:tcBorders>
            <w:shd w:val="clear" w:color="auto" w:fill="auto"/>
            <w:noWrap/>
            <w:vAlign w:val="bottom"/>
            <w:hideMark/>
          </w:tcPr>
          <w:p w14:paraId="64389F1F"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411" w:type="dxa"/>
            <w:tcBorders>
              <w:top w:val="nil"/>
              <w:left w:val="single" w:sz="8" w:space="0" w:color="auto"/>
              <w:bottom w:val="single" w:sz="4" w:space="0" w:color="auto"/>
              <w:right w:val="single" w:sz="4" w:space="0" w:color="auto"/>
            </w:tcBorders>
            <w:shd w:val="clear" w:color="auto" w:fill="auto"/>
            <w:noWrap/>
            <w:vAlign w:val="center"/>
            <w:hideMark/>
          </w:tcPr>
          <w:p w14:paraId="6B3D428C"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40.994</w:t>
            </w:r>
          </w:p>
        </w:tc>
        <w:tc>
          <w:tcPr>
            <w:tcW w:w="1984" w:type="dxa"/>
            <w:tcBorders>
              <w:top w:val="nil"/>
              <w:left w:val="nil"/>
              <w:bottom w:val="single" w:sz="4" w:space="0" w:color="auto"/>
              <w:right w:val="single" w:sz="8" w:space="0" w:color="auto"/>
            </w:tcBorders>
            <w:shd w:val="clear" w:color="auto" w:fill="auto"/>
            <w:noWrap/>
            <w:vAlign w:val="center"/>
            <w:hideMark/>
          </w:tcPr>
          <w:p w14:paraId="282EF058"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126.341</w:t>
            </w:r>
          </w:p>
        </w:tc>
        <w:tc>
          <w:tcPr>
            <w:tcW w:w="284" w:type="dxa"/>
            <w:tcBorders>
              <w:top w:val="nil"/>
              <w:left w:val="nil"/>
              <w:bottom w:val="nil"/>
              <w:right w:val="nil"/>
            </w:tcBorders>
            <w:shd w:val="clear" w:color="auto" w:fill="auto"/>
            <w:noWrap/>
            <w:vAlign w:val="bottom"/>
            <w:hideMark/>
          </w:tcPr>
          <w:p w14:paraId="2BC720A2"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4" w:space="0" w:color="auto"/>
              <w:right w:val="single" w:sz="4" w:space="0" w:color="auto"/>
            </w:tcBorders>
            <w:shd w:val="clear" w:color="auto" w:fill="auto"/>
            <w:noWrap/>
            <w:vAlign w:val="center"/>
            <w:hideMark/>
          </w:tcPr>
          <w:p w14:paraId="113BB754"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37.402</w:t>
            </w:r>
          </w:p>
        </w:tc>
        <w:tc>
          <w:tcPr>
            <w:tcW w:w="1985" w:type="dxa"/>
            <w:tcBorders>
              <w:top w:val="nil"/>
              <w:left w:val="nil"/>
              <w:bottom w:val="single" w:sz="4" w:space="0" w:color="auto"/>
              <w:right w:val="single" w:sz="8" w:space="0" w:color="auto"/>
            </w:tcBorders>
            <w:shd w:val="clear" w:color="auto" w:fill="auto"/>
            <w:noWrap/>
            <w:vAlign w:val="center"/>
            <w:hideMark/>
          </w:tcPr>
          <w:p w14:paraId="3AF4C824"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118.786</w:t>
            </w:r>
          </w:p>
        </w:tc>
      </w:tr>
      <w:tr w:rsidR="00685EF8" w:rsidRPr="00685EF8" w14:paraId="60594A8E" w14:textId="77777777" w:rsidTr="00685EF8">
        <w:trPr>
          <w:trHeight w:val="286"/>
        </w:trPr>
        <w:tc>
          <w:tcPr>
            <w:tcW w:w="1460" w:type="dxa"/>
            <w:tcBorders>
              <w:top w:val="nil"/>
              <w:left w:val="single" w:sz="8" w:space="0" w:color="auto"/>
              <w:bottom w:val="single" w:sz="4" w:space="0" w:color="auto"/>
              <w:right w:val="single" w:sz="8" w:space="0" w:color="auto"/>
            </w:tcBorders>
            <w:shd w:val="clear" w:color="auto" w:fill="auto"/>
            <w:noWrap/>
            <w:vAlign w:val="center"/>
            <w:hideMark/>
          </w:tcPr>
          <w:p w14:paraId="5C821DB6"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3800</w:t>
            </w:r>
          </w:p>
        </w:tc>
        <w:tc>
          <w:tcPr>
            <w:tcW w:w="380" w:type="dxa"/>
            <w:tcBorders>
              <w:top w:val="nil"/>
              <w:left w:val="nil"/>
              <w:bottom w:val="nil"/>
              <w:right w:val="nil"/>
            </w:tcBorders>
            <w:shd w:val="clear" w:color="auto" w:fill="auto"/>
            <w:noWrap/>
            <w:vAlign w:val="bottom"/>
            <w:hideMark/>
          </w:tcPr>
          <w:p w14:paraId="06BAAD15"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411" w:type="dxa"/>
            <w:tcBorders>
              <w:top w:val="nil"/>
              <w:left w:val="single" w:sz="8" w:space="0" w:color="auto"/>
              <w:bottom w:val="single" w:sz="4" w:space="0" w:color="auto"/>
              <w:right w:val="single" w:sz="4" w:space="0" w:color="auto"/>
            </w:tcBorders>
            <w:shd w:val="clear" w:color="auto" w:fill="auto"/>
            <w:noWrap/>
            <w:vAlign w:val="center"/>
            <w:hideMark/>
          </w:tcPr>
          <w:p w14:paraId="428EA990"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41.143</w:t>
            </w:r>
          </w:p>
        </w:tc>
        <w:tc>
          <w:tcPr>
            <w:tcW w:w="1984" w:type="dxa"/>
            <w:tcBorders>
              <w:top w:val="nil"/>
              <w:left w:val="nil"/>
              <w:bottom w:val="single" w:sz="4" w:space="0" w:color="auto"/>
              <w:right w:val="single" w:sz="8" w:space="0" w:color="auto"/>
            </w:tcBorders>
            <w:shd w:val="clear" w:color="auto" w:fill="auto"/>
            <w:noWrap/>
            <w:vAlign w:val="center"/>
            <w:hideMark/>
          </w:tcPr>
          <w:p w14:paraId="760BD638"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130.448</w:t>
            </w:r>
          </w:p>
        </w:tc>
        <w:tc>
          <w:tcPr>
            <w:tcW w:w="284" w:type="dxa"/>
            <w:tcBorders>
              <w:top w:val="nil"/>
              <w:left w:val="nil"/>
              <w:bottom w:val="nil"/>
              <w:right w:val="nil"/>
            </w:tcBorders>
            <w:shd w:val="clear" w:color="auto" w:fill="auto"/>
            <w:noWrap/>
            <w:vAlign w:val="bottom"/>
            <w:hideMark/>
          </w:tcPr>
          <w:p w14:paraId="3F262B8A"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4" w:space="0" w:color="auto"/>
              <w:right w:val="single" w:sz="4" w:space="0" w:color="auto"/>
            </w:tcBorders>
            <w:shd w:val="clear" w:color="auto" w:fill="auto"/>
            <w:noWrap/>
            <w:vAlign w:val="center"/>
            <w:hideMark/>
          </w:tcPr>
          <w:p w14:paraId="36611717"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37.452</w:t>
            </w:r>
          </w:p>
        </w:tc>
        <w:tc>
          <w:tcPr>
            <w:tcW w:w="1985" w:type="dxa"/>
            <w:tcBorders>
              <w:top w:val="nil"/>
              <w:left w:val="nil"/>
              <w:bottom w:val="single" w:sz="4" w:space="0" w:color="auto"/>
              <w:right w:val="single" w:sz="8" w:space="0" w:color="auto"/>
            </w:tcBorders>
            <w:shd w:val="clear" w:color="auto" w:fill="auto"/>
            <w:noWrap/>
            <w:vAlign w:val="center"/>
            <w:hideMark/>
          </w:tcPr>
          <w:p w14:paraId="45BF8B8C"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122.528</w:t>
            </w:r>
          </w:p>
        </w:tc>
      </w:tr>
      <w:tr w:rsidR="00685EF8" w:rsidRPr="00685EF8" w14:paraId="0ECFCC8A" w14:textId="77777777" w:rsidTr="00685EF8">
        <w:trPr>
          <w:trHeight w:val="286"/>
        </w:trPr>
        <w:tc>
          <w:tcPr>
            <w:tcW w:w="1460" w:type="dxa"/>
            <w:tcBorders>
              <w:top w:val="nil"/>
              <w:left w:val="single" w:sz="8" w:space="0" w:color="auto"/>
              <w:bottom w:val="single" w:sz="4" w:space="0" w:color="auto"/>
              <w:right w:val="single" w:sz="8" w:space="0" w:color="auto"/>
            </w:tcBorders>
            <w:shd w:val="clear" w:color="auto" w:fill="auto"/>
            <w:noWrap/>
            <w:vAlign w:val="center"/>
            <w:hideMark/>
          </w:tcPr>
          <w:p w14:paraId="5C8E1B7A"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3900</w:t>
            </w:r>
          </w:p>
        </w:tc>
        <w:tc>
          <w:tcPr>
            <w:tcW w:w="380" w:type="dxa"/>
            <w:tcBorders>
              <w:top w:val="nil"/>
              <w:left w:val="nil"/>
              <w:bottom w:val="nil"/>
              <w:right w:val="nil"/>
            </w:tcBorders>
            <w:shd w:val="clear" w:color="auto" w:fill="auto"/>
            <w:noWrap/>
            <w:vAlign w:val="bottom"/>
            <w:hideMark/>
          </w:tcPr>
          <w:p w14:paraId="52C0F4C1"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411" w:type="dxa"/>
            <w:tcBorders>
              <w:top w:val="nil"/>
              <w:left w:val="single" w:sz="8" w:space="0" w:color="auto"/>
              <w:bottom w:val="single" w:sz="4" w:space="0" w:color="auto"/>
              <w:right w:val="single" w:sz="4" w:space="0" w:color="auto"/>
            </w:tcBorders>
            <w:shd w:val="clear" w:color="auto" w:fill="auto"/>
            <w:noWrap/>
            <w:vAlign w:val="center"/>
            <w:hideMark/>
          </w:tcPr>
          <w:p w14:paraId="4F7A7D5C"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41.287</w:t>
            </w:r>
          </w:p>
        </w:tc>
        <w:tc>
          <w:tcPr>
            <w:tcW w:w="1984" w:type="dxa"/>
            <w:tcBorders>
              <w:top w:val="nil"/>
              <w:left w:val="nil"/>
              <w:bottom w:val="single" w:sz="4" w:space="0" w:color="auto"/>
              <w:right w:val="single" w:sz="8" w:space="0" w:color="auto"/>
            </w:tcBorders>
            <w:shd w:val="clear" w:color="auto" w:fill="auto"/>
            <w:noWrap/>
            <w:vAlign w:val="center"/>
            <w:hideMark/>
          </w:tcPr>
          <w:p w14:paraId="292805D2"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134.57</w:t>
            </w:r>
          </w:p>
        </w:tc>
        <w:tc>
          <w:tcPr>
            <w:tcW w:w="284" w:type="dxa"/>
            <w:tcBorders>
              <w:top w:val="nil"/>
              <w:left w:val="nil"/>
              <w:bottom w:val="nil"/>
              <w:right w:val="nil"/>
            </w:tcBorders>
            <w:shd w:val="clear" w:color="auto" w:fill="auto"/>
            <w:noWrap/>
            <w:vAlign w:val="bottom"/>
            <w:hideMark/>
          </w:tcPr>
          <w:p w14:paraId="7F740321"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4" w:space="0" w:color="auto"/>
              <w:right w:val="single" w:sz="4" w:space="0" w:color="auto"/>
            </w:tcBorders>
            <w:shd w:val="clear" w:color="auto" w:fill="auto"/>
            <w:noWrap/>
            <w:vAlign w:val="center"/>
            <w:hideMark/>
          </w:tcPr>
          <w:p w14:paraId="20A911E2"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37.501</w:t>
            </w:r>
          </w:p>
        </w:tc>
        <w:tc>
          <w:tcPr>
            <w:tcW w:w="1985" w:type="dxa"/>
            <w:tcBorders>
              <w:top w:val="nil"/>
              <w:left w:val="nil"/>
              <w:bottom w:val="single" w:sz="4" w:space="0" w:color="auto"/>
              <w:right w:val="single" w:sz="8" w:space="0" w:color="auto"/>
            </w:tcBorders>
            <w:shd w:val="clear" w:color="auto" w:fill="auto"/>
            <w:noWrap/>
            <w:vAlign w:val="center"/>
            <w:hideMark/>
          </w:tcPr>
          <w:p w14:paraId="111FDF8D"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126.276</w:t>
            </w:r>
          </w:p>
        </w:tc>
      </w:tr>
      <w:tr w:rsidR="00685EF8" w:rsidRPr="00685EF8" w14:paraId="18E9B420" w14:textId="77777777" w:rsidTr="00685EF8">
        <w:trPr>
          <w:trHeight w:val="286"/>
        </w:trPr>
        <w:tc>
          <w:tcPr>
            <w:tcW w:w="1460" w:type="dxa"/>
            <w:tcBorders>
              <w:top w:val="nil"/>
              <w:left w:val="single" w:sz="8" w:space="0" w:color="auto"/>
              <w:bottom w:val="single" w:sz="4" w:space="0" w:color="auto"/>
              <w:right w:val="single" w:sz="8" w:space="0" w:color="auto"/>
            </w:tcBorders>
            <w:shd w:val="clear" w:color="auto" w:fill="auto"/>
            <w:noWrap/>
            <w:vAlign w:val="center"/>
            <w:hideMark/>
          </w:tcPr>
          <w:p w14:paraId="54E672F8"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4000</w:t>
            </w:r>
          </w:p>
        </w:tc>
        <w:tc>
          <w:tcPr>
            <w:tcW w:w="380" w:type="dxa"/>
            <w:tcBorders>
              <w:top w:val="nil"/>
              <w:left w:val="nil"/>
              <w:bottom w:val="nil"/>
              <w:right w:val="nil"/>
            </w:tcBorders>
            <w:shd w:val="clear" w:color="auto" w:fill="auto"/>
            <w:noWrap/>
            <w:vAlign w:val="bottom"/>
            <w:hideMark/>
          </w:tcPr>
          <w:p w14:paraId="27D56DB6"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411" w:type="dxa"/>
            <w:tcBorders>
              <w:top w:val="nil"/>
              <w:left w:val="single" w:sz="8" w:space="0" w:color="auto"/>
              <w:bottom w:val="single" w:sz="4" w:space="0" w:color="auto"/>
              <w:right w:val="single" w:sz="4" w:space="0" w:color="auto"/>
            </w:tcBorders>
            <w:shd w:val="clear" w:color="auto" w:fill="auto"/>
            <w:noWrap/>
            <w:vAlign w:val="center"/>
            <w:hideMark/>
          </w:tcPr>
          <w:p w14:paraId="41DE9BE2"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41.429</w:t>
            </w:r>
          </w:p>
        </w:tc>
        <w:tc>
          <w:tcPr>
            <w:tcW w:w="1984" w:type="dxa"/>
            <w:tcBorders>
              <w:top w:val="nil"/>
              <w:left w:val="nil"/>
              <w:bottom w:val="single" w:sz="4" w:space="0" w:color="auto"/>
              <w:right w:val="single" w:sz="8" w:space="0" w:color="auto"/>
            </w:tcBorders>
            <w:shd w:val="clear" w:color="auto" w:fill="auto"/>
            <w:noWrap/>
            <w:vAlign w:val="center"/>
            <w:hideMark/>
          </w:tcPr>
          <w:p w14:paraId="140F12DB"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138.705</w:t>
            </w:r>
          </w:p>
        </w:tc>
        <w:tc>
          <w:tcPr>
            <w:tcW w:w="284" w:type="dxa"/>
            <w:tcBorders>
              <w:top w:val="nil"/>
              <w:left w:val="nil"/>
              <w:bottom w:val="nil"/>
              <w:right w:val="nil"/>
            </w:tcBorders>
            <w:shd w:val="clear" w:color="auto" w:fill="auto"/>
            <w:noWrap/>
            <w:vAlign w:val="bottom"/>
            <w:hideMark/>
          </w:tcPr>
          <w:p w14:paraId="215328A9"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4" w:space="0" w:color="auto"/>
              <w:right w:val="single" w:sz="4" w:space="0" w:color="auto"/>
            </w:tcBorders>
            <w:shd w:val="clear" w:color="auto" w:fill="auto"/>
            <w:noWrap/>
            <w:vAlign w:val="center"/>
            <w:hideMark/>
          </w:tcPr>
          <w:p w14:paraId="0E4BB1B7"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37.549</w:t>
            </w:r>
          </w:p>
        </w:tc>
        <w:tc>
          <w:tcPr>
            <w:tcW w:w="1985" w:type="dxa"/>
            <w:tcBorders>
              <w:top w:val="nil"/>
              <w:left w:val="nil"/>
              <w:bottom w:val="single" w:sz="4" w:space="0" w:color="auto"/>
              <w:right w:val="single" w:sz="8" w:space="0" w:color="auto"/>
            </w:tcBorders>
            <w:shd w:val="clear" w:color="auto" w:fill="auto"/>
            <w:noWrap/>
            <w:vAlign w:val="center"/>
            <w:hideMark/>
          </w:tcPr>
          <w:p w14:paraId="08ED768D"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130.028</w:t>
            </w:r>
          </w:p>
        </w:tc>
      </w:tr>
      <w:tr w:rsidR="00685EF8" w:rsidRPr="00685EF8" w14:paraId="4718E84F" w14:textId="77777777" w:rsidTr="00685EF8">
        <w:trPr>
          <w:trHeight w:val="286"/>
        </w:trPr>
        <w:tc>
          <w:tcPr>
            <w:tcW w:w="1460" w:type="dxa"/>
            <w:tcBorders>
              <w:top w:val="nil"/>
              <w:left w:val="single" w:sz="8" w:space="0" w:color="auto"/>
              <w:bottom w:val="single" w:sz="4" w:space="0" w:color="auto"/>
              <w:right w:val="single" w:sz="8" w:space="0" w:color="auto"/>
            </w:tcBorders>
            <w:shd w:val="clear" w:color="auto" w:fill="auto"/>
            <w:noWrap/>
            <w:vAlign w:val="center"/>
            <w:hideMark/>
          </w:tcPr>
          <w:p w14:paraId="58AFEC3E"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4100</w:t>
            </w:r>
          </w:p>
        </w:tc>
        <w:tc>
          <w:tcPr>
            <w:tcW w:w="380" w:type="dxa"/>
            <w:tcBorders>
              <w:top w:val="nil"/>
              <w:left w:val="nil"/>
              <w:bottom w:val="nil"/>
              <w:right w:val="nil"/>
            </w:tcBorders>
            <w:shd w:val="clear" w:color="auto" w:fill="auto"/>
            <w:noWrap/>
            <w:vAlign w:val="bottom"/>
            <w:hideMark/>
          </w:tcPr>
          <w:p w14:paraId="7006DE56"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411" w:type="dxa"/>
            <w:tcBorders>
              <w:top w:val="nil"/>
              <w:left w:val="single" w:sz="8" w:space="0" w:color="auto"/>
              <w:bottom w:val="single" w:sz="4" w:space="0" w:color="auto"/>
              <w:right w:val="single" w:sz="4" w:space="0" w:color="auto"/>
            </w:tcBorders>
            <w:shd w:val="clear" w:color="auto" w:fill="auto"/>
            <w:noWrap/>
            <w:vAlign w:val="center"/>
            <w:hideMark/>
          </w:tcPr>
          <w:p w14:paraId="528C84F3"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41.566</w:t>
            </w:r>
          </w:p>
        </w:tc>
        <w:tc>
          <w:tcPr>
            <w:tcW w:w="1984" w:type="dxa"/>
            <w:tcBorders>
              <w:top w:val="nil"/>
              <w:left w:val="nil"/>
              <w:bottom w:val="single" w:sz="4" w:space="0" w:color="auto"/>
              <w:right w:val="single" w:sz="8" w:space="0" w:color="auto"/>
            </w:tcBorders>
            <w:shd w:val="clear" w:color="auto" w:fill="auto"/>
            <w:noWrap/>
            <w:vAlign w:val="center"/>
            <w:hideMark/>
          </w:tcPr>
          <w:p w14:paraId="73D533EB"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142.855</w:t>
            </w:r>
          </w:p>
        </w:tc>
        <w:tc>
          <w:tcPr>
            <w:tcW w:w="284" w:type="dxa"/>
            <w:tcBorders>
              <w:top w:val="nil"/>
              <w:left w:val="nil"/>
              <w:bottom w:val="nil"/>
              <w:right w:val="nil"/>
            </w:tcBorders>
            <w:shd w:val="clear" w:color="auto" w:fill="auto"/>
            <w:noWrap/>
            <w:vAlign w:val="bottom"/>
            <w:hideMark/>
          </w:tcPr>
          <w:p w14:paraId="5535AFD0"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4" w:space="0" w:color="auto"/>
              <w:right w:val="single" w:sz="4" w:space="0" w:color="auto"/>
            </w:tcBorders>
            <w:shd w:val="clear" w:color="auto" w:fill="auto"/>
            <w:noWrap/>
            <w:vAlign w:val="center"/>
            <w:hideMark/>
          </w:tcPr>
          <w:p w14:paraId="07A698B4"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37.597</w:t>
            </w:r>
          </w:p>
        </w:tc>
        <w:tc>
          <w:tcPr>
            <w:tcW w:w="1985" w:type="dxa"/>
            <w:tcBorders>
              <w:top w:val="nil"/>
              <w:left w:val="nil"/>
              <w:bottom w:val="single" w:sz="4" w:space="0" w:color="auto"/>
              <w:right w:val="single" w:sz="8" w:space="0" w:color="auto"/>
            </w:tcBorders>
            <w:shd w:val="clear" w:color="auto" w:fill="auto"/>
            <w:noWrap/>
            <w:vAlign w:val="center"/>
            <w:hideMark/>
          </w:tcPr>
          <w:p w14:paraId="1D3CF893"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133.786</w:t>
            </w:r>
          </w:p>
        </w:tc>
      </w:tr>
      <w:tr w:rsidR="00685EF8" w:rsidRPr="00685EF8" w14:paraId="5D96F61B" w14:textId="77777777" w:rsidTr="00685EF8">
        <w:trPr>
          <w:trHeight w:val="286"/>
        </w:trPr>
        <w:tc>
          <w:tcPr>
            <w:tcW w:w="1460" w:type="dxa"/>
            <w:tcBorders>
              <w:top w:val="nil"/>
              <w:left w:val="single" w:sz="8" w:space="0" w:color="auto"/>
              <w:bottom w:val="single" w:sz="4" w:space="0" w:color="auto"/>
              <w:right w:val="single" w:sz="8" w:space="0" w:color="auto"/>
            </w:tcBorders>
            <w:shd w:val="clear" w:color="auto" w:fill="auto"/>
            <w:noWrap/>
            <w:vAlign w:val="center"/>
            <w:hideMark/>
          </w:tcPr>
          <w:p w14:paraId="2194EE6D"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4200</w:t>
            </w:r>
          </w:p>
        </w:tc>
        <w:tc>
          <w:tcPr>
            <w:tcW w:w="380" w:type="dxa"/>
            <w:tcBorders>
              <w:top w:val="nil"/>
              <w:left w:val="nil"/>
              <w:bottom w:val="nil"/>
              <w:right w:val="nil"/>
            </w:tcBorders>
            <w:shd w:val="clear" w:color="auto" w:fill="auto"/>
            <w:noWrap/>
            <w:vAlign w:val="bottom"/>
            <w:hideMark/>
          </w:tcPr>
          <w:p w14:paraId="698B8943"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411" w:type="dxa"/>
            <w:tcBorders>
              <w:top w:val="nil"/>
              <w:left w:val="single" w:sz="8" w:space="0" w:color="auto"/>
              <w:bottom w:val="single" w:sz="4" w:space="0" w:color="auto"/>
              <w:right w:val="single" w:sz="4" w:space="0" w:color="auto"/>
            </w:tcBorders>
            <w:shd w:val="clear" w:color="auto" w:fill="auto"/>
            <w:noWrap/>
            <w:vAlign w:val="center"/>
            <w:hideMark/>
          </w:tcPr>
          <w:p w14:paraId="291DBBFD"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41.7</w:t>
            </w:r>
          </w:p>
        </w:tc>
        <w:tc>
          <w:tcPr>
            <w:tcW w:w="1984" w:type="dxa"/>
            <w:tcBorders>
              <w:top w:val="nil"/>
              <w:left w:val="nil"/>
              <w:bottom w:val="single" w:sz="4" w:space="0" w:color="auto"/>
              <w:right w:val="single" w:sz="8" w:space="0" w:color="auto"/>
            </w:tcBorders>
            <w:shd w:val="clear" w:color="auto" w:fill="auto"/>
            <w:noWrap/>
            <w:vAlign w:val="center"/>
            <w:hideMark/>
          </w:tcPr>
          <w:p w14:paraId="74C19AEB"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147.019</w:t>
            </w:r>
          </w:p>
        </w:tc>
        <w:tc>
          <w:tcPr>
            <w:tcW w:w="284" w:type="dxa"/>
            <w:tcBorders>
              <w:top w:val="nil"/>
              <w:left w:val="nil"/>
              <w:bottom w:val="nil"/>
              <w:right w:val="nil"/>
            </w:tcBorders>
            <w:shd w:val="clear" w:color="auto" w:fill="auto"/>
            <w:noWrap/>
            <w:vAlign w:val="bottom"/>
            <w:hideMark/>
          </w:tcPr>
          <w:p w14:paraId="42612A8C"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4" w:space="0" w:color="auto"/>
              <w:right w:val="single" w:sz="4" w:space="0" w:color="auto"/>
            </w:tcBorders>
            <w:shd w:val="clear" w:color="auto" w:fill="auto"/>
            <w:noWrap/>
            <w:vAlign w:val="center"/>
            <w:hideMark/>
          </w:tcPr>
          <w:p w14:paraId="24AA1C65"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37.643</w:t>
            </w:r>
          </w:p>
        </w:tc>
        <w:tc>
          <w:tcPr>
            <w:tcW w:w="1985" w:type="dxa"/>
            <w:tcBorders>
              <w:top w:val="nil"/>
              <w:left w:val="nil"/>
              <w:bottom w:val="single" w:sz="4" w:space="0" w:color="auto"/>
              <w:right w:val="single" w:sz="8" w:space="0" w:color="auto"/>
            </w:tcBorders>
            <w:shd w:val="clear" w:color="auto" w:fill="auto"/>
            <w:noWrap/>
            <w:vAlign w:val="center"/>
            <w:hideMark/>
          </w:tcPr>
          <w:p w14:paraId="2D1018DF"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137.548</w:t>
            </w:r>
          </w:p>
        </w:tc>
      </w:tr>
      <w:tr w:rsidR="00685EF8" w:rsidRPr="00685EF8" w14:paraId="5647723D" w14:textId="77777777" w:rsidTr="00685EF8">
        <w:trPr>
          <w:trHeight w:val="286"/>
        </w:trPr>
        <w:tc>
          <w:tcPr>
            <w:tcW w:w="1460" w:type="dxa"/>
            <w:tcBorders>
              <w:top w:val="nil"/>
              <w:left w:val="single" w:sz="8" w:space="0" w:color="auto"/>
              <w:bottom w:val="single" w:sz="4" w:space="0" w:color="auto"/>
              <w:right w:val="single" w:sz="8" w:space="0" w:color="auto"/>
            </w:tcBorders>
            <w:shd w:val="clear" w:color="auto" w:fill="auto"/>
            <w:noWrap/>
            <w:vAlign w:val="center"/>
            <w:hideMark/>
          </w:tcPr>
          <w:p w14:paraId="036C5483"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4300</w:t>
            </w:r>
          </w:p>
        </w:tc>
        <w:tc>
          <w:tcPr>
            <w:tcW w:w="380" w:type="dxa"/>
            <w:tcBorders>
              <w:top w:val="nil"/>
              <w:left w:val="nil"/>
              <w:bottom w:val="nil"/>
              <w:right w:val="nil"/>
            </w:tcBorders>
            <w:shd w:val="clear" w:color="auto" w:fill="auto"/>
            <w:noWrap/>
            <w:vAlign w:val="bottom"/>
            <w:hideMark/>
          </w:tcPr>
          <w:p w14:paraId="6DF2CBE0"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411" w:type="dxa"/>
            <w:tcBorders>
              <w:top w:val="nil"/>
              <w:left w:val="single" w:sz="8" w:space="0" w:color="auto"/>
              <w:bottom w:val="single" w:sz="4" w:space="0" w:color="auto"/>
              <w:right w:val="single" w:sz="4" w:space="0" w:color="auto"/>
            </w:tcBorders>
            <w:shd w:val="clear" w:color="auto" w:fill="auto"/>
            <w:noWrap/>
            <w:vAlign w:val="center"/>
            <w:hideMark/>
          </w:tcPr>
          <w:p w14:paraId="1684499D"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41.83</w:t>
            </w:r>
          </w:p>
        </w:tc>
        <w:tc>
          <w:tcPr>
            <w:tcW w:w="1984" w:type="dxa"/>
            <w:tcBorders>
              <w:top w:val="nil"/>
              <w:left w:val="nil"/>
              <w:bottom w:val="single" w:sz="4" w:space="0" w:color="auto"/>
              <w:right w:val="single" w:sz="8" w:space="0" w:color="auto"/>
            </w:tcBorders>
            <w:shd w:val="clear" w:color="auto" w:fill="auto"/>
            <w:noWrap/>
            <w:vAlign w:val="center"/>
            <w:hideMark/>
          </w:tcPr>
          <w:p w14:paraId="6C08BB9D"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151.195</w:t>
            </w:r>
          </w:p>
        </w:tc>
        <w:tc>
          <w:tcPr>
            <w:tcW w:w="284" w:type="dxa"/>
            <w:tcBorders>
              <w:top w:val="nil"/>
              <w:left w:val="nil"/>
              <w:bottom w:val="nil"/>
              <w:right w:val="nil"/>
            </w:tcBorders>
            <w:shd w:val="clear" w:color="auto" w:fill="auto"/>
            <w:noWrap/>
            <w:vAlign w:val="bottom"/>
            <w:hideMark/>
          </w:tcPr>
          <w:p w14:paraId="26125CFD"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4" w:space="0" w:color="auto"/>
              <w:right w:val="single" w:sz="4" w:space="0" w:color="auto"/>
            </w:tcBorders>
            <w:shd w:val="clear" w:color="auto" w:fill="auto"/>
            <w:noWrap/>
            <w:vAlign w:val="center"/>
            <w:hideMark/>
          </w:tcPr>
          <w:p w14:paraId="29861F91"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37.688</w:t>
            </w:r>
          </w:p>
        </w:tc>
        <w:tc>
          <w:tcPr>
            <w:tcW w:w="1985" w:type="dxa"/>
            <w:tcBorders>
              <w:top w:val="nil"/>
              <w:left w:val="nil"/>
              <w:bottom w:val="single" w:sz="4" w:space="0" w:color="auto"/>
              <w:right w:val="single" w:sz="8" w:space="0" w:color="auto"/>
            </w:tcBorders>
            <w:shd w:val="clear" w:color="auto" w:fill="auto"/>
            <w:noWrap/>
            <w:vAlign w:val="center"/>
            <w:hideMark/>
          </w:tcPr>
          <w:p w14:paraId="1975C65C"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141.314</w:t>
            </w:r>
          </w:p>
        </w:tc>
      </w:tr>
      <w:tr w:rsidR="00685EF8" w:rsidRPr="00685EF8" w14:paraId="4DF95776" w14:textId="77777777" w:rsidTr="00685EF8">
        <w:trPr>
          <w:trHeight w:val="286"/>
        </w:trPr>
        <w:tc>
          <w:tcPr>
            <w:tcW w:w="1460" w:type="dxa"/>
            <w:tcBorders>
              <w:top w:val="nil"/>
              <w:left w:val="single" w:sz="8" w:space="0" w:color="auto"/>
              <w:bottom w:val="single" w:sz="4" w:space="0" w:color="auto"/>
              <w:right w:val="single" w:sz="8" w:space="0" w:color="auto"/>
            </w:tcBorders>
            <w:shd w:val="clear" w:color="auto" w:fill="auto"/>
            <w:noWrap/>
            <w:vAlign w:val="center"/>
            <w:hideMark/>
          </w:tcPr>
          <w:p w14:paraId="0DF67E8E"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4400</w:t>
            </w:r>
          </w:p>
        </w:tc>
        <w:tc>
          <w:tcPr>
            <w:tcW w:w="380" w:type="dxa"/>
            <w:tcBorders>
              <w:top w:val="nil"/>
              <w:left w:val="nil"/>
              <w:bottom w:val="nil"/>
              <w:right w:val="nil"/>
            </w:tcBorders>
            <w:shd w:val="clear" w:color="auto" w:fill="auto"/>
            <w:noWrap/>
            <w:vAlign w:val="bottom"/>
            <w:hideMark/>
          </w:tcPr>
          <w:p w14:paraId="4461D2BF"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411" w:type="dxa"/>
            <w:tcBorders>
              <w:top w:val="nil"/>
              <w:left w:val="single" w:sz="8" w:space="0" w:color="auto"/>
              <w:bottom w:val="single" w:sz="4" w:space="0" w:color="auto"/>
              <w:right w:val="single" w:sz="4" w:space="0" w:color="auto"/>
            </w:tcBorders>
            <w:shd w:val="clear" w:color="auto" w:fill="auto"/>
            <w:noWrap/>
            <w:vAlign w:val="center"/>
            <w:hideMark/>
          </w:tcPr>
          <w:p w14:paraId="77DEB5F6"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41.957</w:t>
            </w:r>
          </w:p>
        </w:tc>
        <w:tc>
          <w:tcPr>
            <w:tcW w:w="1984" w:type="dxa"/>
            <w:tcBorders>
              <w:top w:val="nil"/>
              <w:left w:val="nil"/>
              <w:bottom w:val="single" w:sz="4" w:space="0" w:color="auto"/>
              <w:right w:val="single" w:sz="8" w:space="0" w:color="auto"/>
            </w:tcBorders>
            <w:shd w:val="clear" w:color="auto" w:fill="auto"/>
            <w:noWrap/>
            <w:vAlign w:val="center"/>
            <w:hideMark/>
          </w:tcPr>
          <w:p w14:paraId="35F790A2"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155.384</w:t>
            </w:r>
          </w:p>
        </w:tc>
        <w:tc>
          <w:tcPr>
            <w:tcW w:w="284" w:type="dxa"/>
            <w:tcBorders>
              <w:top w:val="nil"/>
              <w:left w:val="nil"/>
              <w:bottom w:val="nil"/>
              <w:right w:val="nil"/>
            </w:tcBorders>
            <w:shd w:val="clear" w:color="auto" w:fill="auto"/>
            <w:noWrap/>
            <w:vAlign w:val="bottom"/>
            <w:hideMark/>
          </w:tcPr>
          <w:p w14:paraId="757470D6"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4" w:space="0" w:color="auto"/>
              <w:right w:val="single" w:sz="4" w:space="0" w:color="auto"/>
            </w:tcBorders>
            <w:shd w:val="clear" w:color="auto" w:fill="auto"/>
            <w:noWrap/>
            <w:vAlign w:val="center"/>
            <w:hideMark/>
          </w:tcPr>
          <w:p w14:paraId="0F19C7B8"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37.73</w:t>
            </w:r>
          </w:p>
        </w:tc>
        <w:tc>
          <w:tcPr>
            <w:tcW w:w="1985" w:type="dxa"/>
            <w:tcBorders>
              <w:top w:val="nil"/>
              <w:left w:val="nil"/>
              <w:bottom w:val="single" w:sz="4" w:space="0" w:color="auto"/>
              <w:right w:val="single" w:sz="8" w:space="0" w:color="auto"/>
            </w:tcBorders>
            <w:shd w:val="clear" w:color="auto" w:fill="auto"/>
            <w:noWrap/>
            <w:vAlign w:val="center"/>
            <w:hideMark/>
          </w:tcPr>
          <w:p w14:paraId="6B0F88A0"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145.085</w:t>
            </w:r>
          </w:p>
        </w:tc>
      </w:tr>
      <w:tr w:rsidR="00685EF8" w:rsidRPr="00685EF8" w14:paraId="185A323B" w14:textId="77777777" w:rsidTr="00685EF8">
        <w:trPr>
          <w:trHeight w:val="286"/>
        </w:trPr>
        <w:tc>
          <w:tcPr>
            <w:tcW w:w="1460" w:type="dxa"/>
            <w:tcBorders>
              <w:top w:val="nil"/>
              <w:left w:val="single" w:sz="8" w:space="0" w:color="auto"/>
              <w:bottom w:val="single" w:sz="4" w:space="0" w:color="auto"/>
              <w:right w:val="single" w:sz="8" w:space="0" w:color="auto"/>
            </w:tcBorders>
            <w:shd w:val="clear" w:color="auto" w:fill="auto"/>
            <w:noWrap/>
            <w:vAlign w:val="center"/>
            <w:hideMark/>
          </w:tcPr>
          <w:p w14:paraId="719D3516"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4500</w:t>
            </w:r>
          </w:p>
        </w:tc>
        <w:tc>
          <w:tcPr>
            <w:tcW w:w="380" w:type="dxa"/>
            <w:tcBorders>
              <w:top w:val="nil"/>
              <w:left w:val="nil"/>
              <w:bottom w:val="nil"/>
              <w:right w:val="nil"/>
            </w:tcBorders>
            <w:shd w:val="clear" w:color="auto" w:fill="auto"/>
            <w:noWrap/>
            <w:vAlign w:val="bottom"/>
            <w:hideMark/>
          </w:tcPr>
          <w:p w14:paraId="370A8A6C"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411" w:type="dxa"/>
            <w:tcBorders>
              <w:top w:val="nil"/>
              <w:left w:val="single" w:sz="8" w:space="0" w:color="auto"/>
              <w:bottom w:val="single" w:sz="4" w:space="0" w:color="auto"/>
              <w:right w:val="single" w:sz="4" w:space="0" w:color="auto"/>
            </w:tcBorders>
            <w:shd w:val="clear" w:color="auto" w:fill="auto"/>
            <w:noWrap/>
            <w:vAlign w:val="center"/>
            <w:hideMark/>
          </w:tcPr>
          <w:p w14:paraId="2A6D2DC6"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42.079</w:t>
            </w:r>
          </w:p>
        </w:tc>
        <w:tc>
          <w:tcPr>
            <w:tcW w:w="1984" w:type="dxa"/>
            <w:tcBorders>
              <w:top w:val="nil"/>
              <w:left w:val="nil"/>
              <w:bottom w:val="single" w:sz="4" w:space="0" w:color="auto"/>
              <w:right w:val="single" w:sz="8" w:space="0" w:color="auto"/>
            </w:tcBorders>
            <w:shd w:val="clear" w:color="auto" w:fill="auto"/>
            <w:noWrap/>
            <w:vAlign w:val="center"/>
            <w:hideMark/>
          </w:tcPr>
          <w:p w14:paraId="3981C4EB"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159.586</w:t>
            </w:r>
          </w:p>
        </w:tc>
        <w:tc>
          <w:tcPr>
            <w:tcW w:w="284" w:type="dxa"/>
            <w:tcBorders>
              <w:top w:val="nil"/>
              <w:left w:val="nil"/>
              <w:bottom w:val="nil"/>
              <w:right w:val="nil"/>
            </w:tcBorders>
            <w:shd w:val="clear" w:color="auto" w:fill="auto"/>
            <w:noWrap/>
            <w:vAlign w:val="bottom"/>
            <w:hideMark/>
          </w:tcPr>
          <w:p w14:paraId="426C49DB"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4" w:space="0" w:color="auto"/>
              <w:right w:val="single" w:sz="4" w:space="0" w:color="auto"/>
            </w:tcBorders>
            <w:shd w:val="clear" w:color="auto" w:fill="auto"/>
            <w:noWrap/>
            <w:vAlign w:val="center"/>
            <w:hideMark/>
          </w:tcPr>
          <w:p w14:paraId="4F5A3245"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37.768</w:t>
            </w:r>
          </w:p>
        </w:tc>
        <w:tc>
          <w:tcPr>
            <w:tcW w:w="1985" w:type="dxa"/>
            <w:tcBorders>
              <w:top w:val="nil"/>
              <w:left w:val="nil"/>
              <w:bottom w:val="single" w:sz="4" w:space="0" w:color="auto"/>
              <w:right w:val="single" w:sz="8" w:space="0" w:color="auto"/>
            </w:tcBorders>
            <w:shd w:val="clear" w:color="auto" w:fill="auto"/>
            <w:noWrap/>
            <w:vAlign w:val="center"/>
            <w:hideMark/>
          </w:tcPr>
          <w:p w14:paraId="5247677E"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148.86</w:t>
            </w:r>
          </w:p>
        </w:tc>
      </w:tr>
      <w:tr w:rsidR="00685EF8" w:rsidRPr="00685EF8" w14:paraId="05BE484F" w14:textId="77777777" w:rsidTr="00685EF8">
        <w:trPr>
          <w:trHeight w:val="286"/>
        </w:trPr>
        <w:tc>
          <w:tcPr>
            <w:tcW w:w="1460" w:type="dxa"/>
            <w:tcBorders>
              <w:top w:val="nil"/>
              <w:left w:val="single" w:sz="8" w:space="0" w:color="auto"/>
              <w:bottom w:val="single" w:sz="4" w:space="0" w:color="auto"/>
              <w:right w:val="single" w:sz="8" w:space="0" w:color="auto"/>
            </w:tcBorders>
            <w:shd w:val="clear" w:color="auto" w:fill="auto"/>
            <w:noWrap/>
            <w:vAlign w:val="center"/>
            <w:hideMark/>
          </w:tcPr>
          <w:p w14:paraId="5745B2A9"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4600</w:t>
            </w:r>
          </w:p>
        </w:tc>
        <w:tc>
          <w:tcPr>
            <w:tcW w:w="380" w:type="dxa"/>
            <w:tcBorders>
              <w:top w:val="nil"/>
              <w:left w:val="nil"/>
              <w:bottom w:val="nil"/>
              <w:right w:val="nil"/>
            </w:tcBorders>
            <w:shd w:val="clear" w:color="auto" w:fill="auto"/>
            <w:noWrap/>
            <w:vAlign w:val="bottom"/>
            <w:hideMark/>
          </w:tcPr>
          <w:p w14:paraId="27E3E433"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411" w:type="dxa"/>
            <w:tcBorders>
              <w:top w:val="nil"/>
              <w:left w:val="single" w:sz="8" w:space="0" w:color="auto"/>
              <w:bottom w:val="single" w:sz="4" w:space="0" w:color="auto"/>
              <w:right w:val="single" w:sz="4" w:space="0" w:color="auto"/>
            </w:tcBorders>
            <w:shd w:val="clear" w:color="auto" w:fill="auto"/>
            <w:noWrap/>
            <w:vAlign w:val="center"/>
            <w:hideMark/>
          </w:tcPr>
          <w:p w14:paraId="6CB63418"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42.197</w:t>
            </w:r>
          </w:p>
        </w:tc>
        <w:tc>
          <w:tcPr>
            <w:tcW w:w="1984" w:type="dxa"/>
            <w:tcBorders>
              <w:top w:val="nil"/>
              <w:left w:val="nil"/>
              <w:bottom w:val="single" w:sz="4" w:space="0" w:color="auto"/>
              <w:right w:val="single" w:sz="8" w:space="0" w:color="auto"/>
            </w:tcBorders>
            <w:shd w:val="clear" w:color="auto" w:fill="auto"/>
            <w:noWrap/>
            <w:vAlign w:val="center"/>
            <w:hideMark/>
          </w:tcPr>
          <w:p w14:paraId="24F96612"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163.8</w:t>
            </w:r>
          </w:p>
        </w:tc>
        <w:tc>
          <w:tcPr>
            <w:tcW w:w="284" w:type="dxa"/>
            <w:tcBorders>
              <w:top w:val="nil"/>
              <w:left w:val="nil"/>
              <w:bottom w:val="nil"/>
              <w:right w:val="nil"/>
            </w:tcBorders>
            <w:shd w:val="clear" w:color="auto" w:fill="auto"/>
            <w:noWrap/>
            <w:vAlign w:val="bottom"/>
            <w:hideMark/>
          </w:tcPr>
          <w:p w14:paraId="0ECD8301"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4" w:space="0" w:color="auto"/>
              <w:right w:val="single" w:sz="4" w:space="0" w:color="auto"/>
            </w:tcBorders>
            <w:shd w:val="clear" w:color="auto" w:fill="auto"/>
            <w:noWrap/>
            <w:vAlign w:val="center"/>
            <w:hideMark/>
          </w:tcPr>
          <w:p w14:paraId="7D277542"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37.803</w:t>
            </w:r>
          </w:p>
        </w:tc>
        <w:tc>
          <w:tcPr>
            <w:tcW w:w="1985" w:type="dxa"/>
            <w:tcBorders>
              <w:top w:val="nil"/>
              <w:left w:val="nil"/>
              <w:bottom w:val="single" w:sz="4" w:space="0" w:color="auto"/>
              <w:right w:val="single" w:sz="8" w:space="0" w:color="auto"/>
            </w:tcBorders>
            <w:shd w:val="clear" w:color="auto" w:fill="auto"/>
            <w:noWrap/>
            <w:vAlign w:val="center"/>
            <w:hideMark/>
          </w:tcPr>
          <w:p w14:paraId="6DCA5225"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152.639</w:t>
            </w:r>
          </w:p>
        </w:tc>
      </w:tr>
      <w:tr w:rsidR="00685EF8" w:rsidRPr="00685EF8" w14:paraId="3ED6BE1B" w14:textId="77777777" w:rsidTr="00685EF8">
        <w:trPr>
          <w:trHeight w:val="286"/>
        </w:trPr>
        <w:tc>
          <w:tcPr>
            <w:tcW w:w="1460" w:type="dxa"/>
            <w:tcBorders>
              <w:top w:val="nil"/>
              <w:left w:val="single" w:sz="8" w:space="0" w:color="auto"/>
              <w:bottom w:val="single" w:sz="4" w:space="0" w:color="auto"/>
              <w:right w:val="single" w:sz="8" w:space="0" w:color="auto"/>
            </w:tcBorders>
            <w:shd w:val="clear" w:color="auto" w:fill="auto"/>
            <w:noWrap/>
            <w:vAlign w:val="center"/>
            <w:hideMark/>
          </w:tcPr>
          <w:p w14:paraId="6FE8C3B5"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4700</w:t>
            </w:r>
          </w:p>
        </w:tc>
        <w:tc>
          <w:tcPr>
            <w:tcW w:w="380" w:type="dxa"/>
            <w:tcBorders>
              <w:top w:val="nil"/>
              <w:left w:val="nil"/>
              <w:bottom w:val="nil"/>
              <w:right w:val="nil"/>
            </w:tcBorders>
            <w:shd w:val="clear" w:color="auto" w:fill="auto"/>
            <w:noWrap/>
            <w:vAlign w:val="bottom"/>
            <w:hideMark/>
          </w:tcPr>
          <w:p w14:paraId="4FA8DBC2"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411" w:type="dxa"/>
            <w:tcBorders>
              <w:top w:val="nil"/>
              <w:left w:val="single" w:sz="8" w:space="0" w:color="auto"/>
              <w:bottom w:val="single" w:sz="4" w:space="0" w:color="auto"/>
              <w:right w:val="single" w:sz="4" w:space="0" w:color="auto"/>
            </w:tcBorders>
            <w:shd w:val="clear" w:color="auto" w:fill="auto"/>
            <w:noWrap/>
            <w:vAlign w:val="center"/>
            <w:hideMark/>
          </w:tcPr>
          <w:p w14:paraId="1C0375A0"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42.312</w:t>
            </w:r>
          </w:p>
        </w:tc>
        <w:tc>
          <w:tcPr>
            <w:tcW w:w="1984" w:type="dxa"/>
            <w:tcBorders>
              <w:top w:val="nil"/>
              <w:left w:val="nil"/>
              <w:bottom w:val="single" w:sz="4" w:space="0" w:color="auto"/>
              <w:right w:val="single" w:sz="8" w:space="0" w:color="auto"/>
            </w:tcBorders>
            <w:shd w:val="clear" w:color="auto" w:fill="auto"/>
            <w:noWrap/>
            <w:vAlign w:val="center"/>
            <w:hideMark/>
          </w:tcPr>
          <w:p w14:paraId="4BC42DED"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168.026</w:t>
            </w:r>
          </w:p>
        </w:tc>
        <w:tc>
          <w:tcPr>
            <w:tcW w:w="284" w:type="dxa"/>
            <w:tcBorders>
              <w:top w:val="nil"/>
              <w:left w:val="nil"/>
              <w:bottom w:val="nil"/>
              <w:right w:val="nil"/>
            </w:tcBorders>
            <w:shd w:val="clear" w:color="auto" w:fill="auto"/>
            <w:noWrap/>
            <w:vAlign w:val="bottom"/>
            <w:hideMark/>
          </w:tcPr>
          <w:p w14:paraId="4022BCC8"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4" w:space="0" w:color="auto"/>
              <w:right w:val="single" w:sz="4" w:space="0" w:color="auto"/>
            </w:tcBorders>
            <w:shd w:val="clear" w:color="auto" w:fill="auto"/>
            <w:noWrap/>
            <w:vAlign w:val="center"/>
            <w:hideMark/>
          </w:tcPr>
          <w:p w14:paraId="0FB11CC6"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37.832</w:t>
            </w:r>
          </w:p>
        </w:tc>
        <w:tc>
          <w:tcPr>
            <w:tcW w:w="1985" w:type="dxa"/>
            <w:tcBorders>
              <w:top w:val="nil"/>
              <w:left w:val="nil"/>
              <w:bottom w:val="single" w:sz="4" w:space="0" w:color="auto"/>
              <w:right w:val="single" w:sz="8" w:space="0" w:color="auto"/>
            </w:tcBorders>
            <w:shd w:val="clear" w:color="auto" w:fill="auto"/>
            <w:noWrap/>
            <w:vAlign w:val="center"/>
            <w:hideMark/>
          </w:tcPr>
          <w:p w14:paraId="18A9A2C9"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156.42</w:t>
            </w:r>
          </w:p>
        </w:tc>
      </w:tr>
      <w:tr w:rsidR="00685EF8" w:rsidRPr="00685EF8" w14:paraId="519EFB31" w14:textId="77777777" w:rsidTr="00685EF8">
        <w:trPr>
          <w:trHeight w:val="286"/>
        </w:trPr>
        <w:tc>
          <w:tcPr>
            <w:tcW w:w="1460" w:type="dxa"/>
            <w:tcBorders>
              <w:top w:val="nil"/>
              <w:left w:val="single" w:sz="8" w:space="0" w:color="auto"/>
              <w:bottom w:val="single" w:sz="4" w:space="0" w:color="auto"/>
              <w:right w:val="single" w:sz="8" w:space="0" w:color="auto"/>
            </w:tcBorders>
            <w:shd w:val="clear" w:color="auto" w:fill="auto"/>
            <w:noWrap/>
            <w:vAlign w:val="center"/>
            <w:hideMark/>
          </w:tcPr>
          <w:p w14:paraId="4F47D76B"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4800</w:t>
            </w:r>
          </w:p>
        </w:tc>
        <w:tc>
          <w:tcPr>
            <w:tcW w:w="380" w:type="dxa"/>
            <w:tcBorders>
              <w:top w:val="nil"/>
              <w:left w:val="nil"/>
              <w:bottom w:val="nil"/>
              <w:right w:val="nil"/>
            </w:tcBorders>
            <w:shd w:val="clear" w:color="auto" w:fill="auto"/>
            <w:noWrap/>
            <w:vAlign w:val="bottom"/>
            <w:hideMark/>
          </w:tcPr>
          <w:p w14:paraId="121FF3E6"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411" w:type="dxa"/>
            <w:tcBorders>
              <w:top w:val="nil"/>
              <w:left w:val="single" w:sz="8" w:space="0" w:color="auto"/>
              <w:bottom w:val="single" w:sz="4" w:space="0" w:color="auto"/>
              <w:right w:val="single" w:sz="4" w:space="0" w:color="auto"/>
            </w:tcBorders>
            <w:shd w:val="clear" w:color="auto" w:fill="auto"/>
            <w:noWrap/>
            <w:vAlign w:val="center"/>
            <w:hideMark/>
          </w:tcPr>
          <w:p w14:paraId="6EDC71BA"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42.421</w:t>
            </w:r>
          </w:p>
        </w:tc>
        <w:tc>
          <w:tcPr>
            <w:tcW w:w="1984" w:type="dxa"/>
            <w:tcBorders>
              <w:top w:val="nil"/>
              <w:left w:val="nil"/>
              <w:bottom w:val="single" w:sz="4" w:space="0" w:color="auto"/>
              <w:right w:val="single" w:sz="8" w:space="0" w:color="auto"/>
            </w:tcBorders>
            <w:shd w:val="clear" w:color="auto" w:fill="auto"/>
            <w:noWrap/>
            <w:vAlign w:val="center"/>
            <w:hideMark/>
          </w:tcPr>
          <w:p w14:paraId="1A03EF19"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172.262</w:t>
            </w:r>
          </w:p>
        </w:tc>
        <w:tc>
          <w:tcPr>
            <w:tcW w:w="284" w:type="dxa"/>
            <w:tcBorders>
              <w:top w:val="nil"/>
              <w:left w:val="nil"/>
              <w:bottom w:val="nil"/>
              <w:right w:val="nil"/>
            </w:tcBorders>
            <w:shd w:val="clear" w:color="auto" w:fill="auto"/>
            <w:noWrap/>
            <w:vAlign w:val="bottom"/>
            <w:hideMark/>
          </w:tcPr>
          <w:p w14:paraId="23F855BF"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4" w:space="0" w:color="auto"/>
              <w:right w:val="single" w:sz="4" w:space="0" w:color="auto"/>
            </w:tcBorders>
            <w:shd w:val="clear" w:color="auto" w:fill="auto"/>
            <w:noWrap/>
            <w:vAlign w:val="center"/>
            <w:hideMark/>
          </w:tcPr>
          <w:p w14:paraId="08FE34B1"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37.854</w:t>
            </w:r>
          </w:p>
        </w:tc>
        <w:tc>
          <w:tcPr>
            <w:tcW w:w="1985" w:type="dxa"/>
            <w:tcBorders>
              <w:top w:val="nil"/>
              <w:left w:val="nil"/>
              <w:bottom w:val="single" w:sz="4" w:space="0" w:color="auto"/>
              <w:right w:val="single" w:sz="8" w:space="0" w:color="auto"/>
            </w:tcBorders>
            <w:shd w:val="clear" w:color="auto" w:fill="auto"/>
            <w:noWrap/>
            <w:vAlign w:val="center"/>
            <w:hideMark/>
          </w:tcPr>
          <w:p w14:paraId="1B381589"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160.205</w:t>
            </w:r>
          </w:p>
        </w:tc>
      </w:tr>
      <w:tr w:rsidR="00685EF8" w:rsidRPr="00685EF8" w14:paraId="3BD49471" w14:textId="77777777" w:rsidTr="00685EF8">
        <w:trPr>
          <w:trHeight w:val="286"/>
        </w:trPr>
        <w:tc>
          <w:tcPr>
            <w:tcW w:w="1460" w:type="dxa"/>
            <w:tcBorders>
              <w:top w:val="nil"/>
              <w:left w:val="single" w:sz="8" w:space="0" w:color="auto"/>
              <w:bottom w:val="single" w:sz="4" w:space="0" w:color="auto"/>
              <w:right w:val="single" w:sz="8" w:space="0" w:color="auto"/>
            </w:tcBorders>
            <w:shd w:val="clear" w:color="auto" w:fill="auto"/>
            <w:noWrap/>
            <w:vAlign w:val="center"/>
            <w:hideMark/>
          </w:tcPr>
          <w:p w14:paraId="5B175925"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4900</w:t>
            </w:r>
          </w:p>
        </w:tc>
        <w:tc>
          <w:tcPr>
            <w:tcW w:w="380" w:type="dxa"/>
            <w:tcBorders>
              <w:top w:val="nil"/>
              <w:left w:val="nil"/>
              <w:bottom w:val="nil"/>
              <w:right w:val="nil"/>
            </w:tcBorders>
            <w:shd w:val="clear" w:color="auto" w:fill="auto"/>
            <w:noWrap/>
            <w:vAlign w:val="bottom"/>
            <w:hideMark/>
          </w:tcPr>
          <w:p w14:paraId="29C3D22F"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411" w:type="dxa"/>
            <w:tcBorders>
              <w:top w:val="nil"/>
              <w:left w:val="single" w:sz="8" w:space="0" w:color="auto"/>
              <w:bottom w:val="single" w:sz="4" w:space="0" w:color="auto"/>
              <w:right w:val="single" w:sz="4" w:space="0" w:color="auto"/>
            </w:tcBorders>
            <w:shd w:val="clear" w:color="auto" w:fill="auto"/>
            <w:noWrap/>
            <w:vAlign w:val="center"/>
            <w:hideMark/>
          </w:tcPr>
          <w:p w14:paraId="58632492"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42.527</w:t>
            </w:r>
          </w:p>
        </w:tc>
        <w:tc>
          <w:tcPr>
            <w:tcW w:w="1984" w:type="dxa"/>
            <w:tcBorders>
              <w:top w:val="nil"/>
              <w:left w:val="nil"/>
              <w:bottom w:val="single" w:sz="4" w:space="0" w:color="auto"/>
              <w:right w:val="single" w:sz="8" w:space="0" w:color="auto"/>
            </w:tcBorders>
            <w:shd w:val="clear" w:color="auto" w:fill="auto"/>
            <w:noWrap/>
            <w:vAlign w:val="center"/>
            <w:hideMark/>
          </w:tcPr>
          <w:p w14:paraId="6E7EEA86"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176.51</w:t>
            </w:r>
          </w:p>
        </w:tc>
        <w:tc>
          <w:tcPr>
            <w:tcW w:w="284" w:type="dxa"/>
            <w:tcBorders>
              <w:top w:val="nil"/>
              <w:left w:val="nil"/>
              <w:bottom w:val="nil"/>
              <w:right w:val="nil"/>
            </w:tcBorders>
            <w:shd w:val="clear" w:color="auto" w:fill="auto"/>
            <w:noWrap/>
            <w:vAlign w:val="bottom"/>
            <w:hideMark/>
          </w:tcPr>
          <w:p w14:paraId="15F80FB1"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4" w:space="0" w:color="auto"/>
              <w:right w:val="single" w:sz="4" w:space="0" w:color="auto"/>
            </w:tcBorders>
            <w:shd w:val="clear" w:color="auto" w:fill="auto"/>
            <w:noWrap/>
            <w:vAlign w:val="center"/>
            <w:hideMark/>
          </w:tcPr>
          <w:p w14:paraId="687EBA43"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37.868</w:t>
            </w:r>
          </w:p>
        </w:tc>
        <w:tc>
          <w:tcPr>
            <w:tcW w:w="1985" w:type="dxa"/>
            <w:tcBorders>
              <w:top w:val="nil"/>
              <w:left w:val="nil"/>
              <w:bottom w:val="single" w:sz="4" w:space="0" w:color="auto"/>
              <w:right w:val="single" w:sz="8" w:space="0" w:color="auto"/>
            </w:tcBorders>
            <w:shd w:val="clear" w:color="auto" w:fill="auto"/>
            <w:noWrap/>
            <w:vAlign w:val="center"/>
            <w:hideMark/>
          </w:tcPr>
          <w:p w14:paraId="60BC88AF"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163.991</w:t>
            </w:r>
          </w:p>
        </w:tc>
      </w:tr>
      <w:tr w:rsidR="00685EF8" w:rsidRPr="00685EF8" w14:paraId="6127F2C4" w14:textId="77777777" w:rsidTr="00685EF8">
        <w:trPr>
          <w:trHeight w:val="299"/>
        </w:trPr>
        <w:tc>
          <w:tcPr>
            <w:tcW w:w="1460" w:type="dxa"/>
            <w:tcBorders>
              <w:top w:val="nil"/>
              <w:left w:val="single" w:sz="8" w:space="0" w:color="auto"/>
              <w:bottom w:val="single" w:sz="8" w:space="0" w:color="auto"/>
              <w:right w:val="single" w:sz="8" w:space="0" w:color="auto"/>
            </w:tcBorders>
            <w:shd w:val="clear" w:color="auto" w:fill="auto"/>
            <w:noWrap/>
            <w:vAlign w:val="center"/>
            <w:hideMark/>
          </w:tcPr>
          <w:p w14:paraId="654F77FC"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5000</w:t>
            </w:r>
          </w:p>
        </w:tc>
        <w:tc>
          <w:tcPr>
            <w:tcW w:w="380" w:type="dxa"/>
            <w:tcBorders>
              <w:top w:val="nil"/>
              <w:left w:val="nil"/>
              <w:bottom w:val="nil"/>
              <w:right w:val="nil"/>
            </w:tcBorders>
            <w:shd w:val="clear" w:color="auto" w:fill="auto"/>
            <w:noWrap/>
            <w:vAlign w:val="bottom"/>
            <w:hideMark/>
          </w:tcPr>
          <w:p w14:paraId="34BADC95"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411" w:type="dxa"/>
            <w:tcBorders>
              <w:top w:val="nil"/>
              <w:left w:val="single" w:sz="8" w:space="0" w:color="auto"/>
              <w:bottom w:val="single" w:sz="8" w:space="0" w:color="auto"/>
              <w:right w:val="single" w:sz="4" w:space="0" w:color="auto"/>
            </w:tcBorders>
            <w:shd w:val="clear" w:color="auto" w:fill="auto"/>
            <w:noWrap/>
            <w:vAlign w:val="center"/>
            <w:hideMark/>
          </w:tcPr>
          <w:p w14:paraId="7FAD1864"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42.627</w:t>
            </w:r>
          </w:p>
        </w:tc>
        <w:tc>
          <w:tcPr>
            <w:tcW w:w="1984" w:type="dxa"/>
            <w:tcBorders>
              <w:top w:val="nil"/>
              <w:left w:val="nil"/>
              <w:bottom w:val="single" w:sz="8" w:space="0" w:color="auto"/>
              <w:right w:val="single" w:sz="8" w:space="0" w:color="auto"/>
            </w:tcBorders>
            <w:shd w:val="clear" w:color="auto" w:fill="auto"/>
            <w:noWrap/>
            <w:vAlign w:val="center"/>
            <w:hideMark/>
          </w:tcPr>
          <w:p w14:paraId="2E8DB37C"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180.767</w:t>
            </w:r>
          </w:p>
        </w:tc>
        <w:tc>
          <w:tcPr>
            <w:tcW w:w="284" w:type="dxa"/>
            <w:tcBorders>
              <w:top w:val="nil"/>
              <w:left w:val="nil"/>
              <w:bottom w:val="nil"/>
              <w:right w:val="nil"/>
            </w:tcBorders>
            <w:shd w:val="clear" w:color="auto" w:fill="auto"/>
            <w:noWrap/>
            <w:vAlign w:val="bottom"/>
            <w:hideMark/>
          </w:tcPr>
          <w:p w14:paraId="0D2B58F8" w14:textId="77777777" w:rsidR="00685EF8" w:rsidRPr="00685EF8" w:rsidRDefault="00685EF8" w:rsidP="00685EF8">
            <w:pPr>
              <w:spacing w:after="0" w:line="240" w:lineRule="auto"/>
              <w:jc w:val="center"/>
              <w:rPr>
                <w:rFonts w:ascii="Arial" w:eastAsia="Times New Roman" w:hAnsi="Arial" w:cs="Arial"/>
                <w:sz w:val="20"/>
                <w:szCs w:val="20"/>
                <w:lang w:eastAsia="en-GB"/>
              </w:rPr>
            </w:pPr>
          </w:p>
        </w:tc>
        <w:tc>
          <w:tcPr>
            <w:tcW w:w="1842" w:type="dxa"/>
            <w:tcBorders>
              <w:top w:val="nil"/>
              <w:left w:val="single" w:sz="8" w:space="0" w:color="auto"/>
              <w:bottom w:val="single" w:sz="8" w:space="0" w:color="auto"/>
              <w:right w:val="single" w:sz="4" w:space="0" w:color="auto"/>
            </w:tcBorders>
            <w:shd w:val="clear" w:color="auto" w:fill="auto"/>
            <w:noWrap/>
            <w:vAlign w:val="center"/>
            <w:hideMark/>
          </w:tcPr>
          <w:p w14:paraId="5300C90E"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37.873</w:t>
            </w:r>
          </w:p>
        </w:tc>
        <w:tc>
          <w:tcPr>
            <w:tcW w:w="1985" w:type="dxa"/>
            <w:tcBorders>
              <w:top w:val="nil"/>
              <w:left w:val="nil"/>
              <w:bottom w:val="single" w:sz="8" w:space="0" w:color="auto"/>
              <w:right w:val="single" w:sz="8" w:space="0" w:color="auto"/>
            </w:tcBorders>
            <w:shd w:val="clear" w:color="auto" w:fill="auto"/>
            <w:noWrap/>
            <w:vAlign w:val="center"/>
            <w:hideMark/>
          </w:tcPr>
          <w:p w14:paraId="602E094F" w14:textId="77777777" w:rsidR="00685EF8" w:rsidRPr="00685EF8" w:rsidRDefault="00685EF8" w:rsidP="00685EF8">
            <w:pPr>
              <w:spacing w:after="0" w:line="240" w:lineRule="auto"/>
              <w:jc w:val="center"/>
              <w:rPr>
                <w:rFonts w:ascii="Arial" w:eastAsia="Times New Roman" w:hAnsi="Arial" w:cs="Arial"/>
                <w:sz w:val="20"/>
                <w:szCs w:val="20"/>
                <w:lang w:eastAsia="en-GB"/>
              </w:rPr>
            </w:pPr>
            <w:r w:rsidRPr="00685EF8">
              <w:rPr>
                <w:rFonts w:ascii="Arial" w:eastAsia="Times New Roman" w:hAnsi="Arial" w:cs="Arial"/>
                <w:sz w:val="20"/>
                <w:szCs w:val="20"/>
                <w:lang w:eastAsia="en-GB"/>
              </w:rPr>
              <w:t>167.778</w:t>
            </w:r>
          </w:p>
        </w:tc>
      </w:tr>
    </w:tbl>
    <w:p w14:paraId="198EE263" w14:textId="00AA8A9D" w:rsidR="009D0933" w:rsidRDefault="009D0933" w:rsidP="009D0933">
      <w:pPr>
        <w:pStyle w:val="Caption"/>
      </w:pPr>
      <w:r>
        <w:t xml:space="preserve">Table </w:t>
      </w:r>
      <w:fldSimple w:instr=" SEQ Table \* ARABIC ">
        <w:r>
          <w:rPr>
            <w:noProof/>
          </w:rPr>
          <w:t>1</w:t>
        </w:r>
      </w:fldSimple>
      <w:r>
        <w:t>:</w:t>
      </w:r>
      <w:r w:rsidRPr="00072DA3">
        <w:t xml:space="preserve"> NASA Enthalpy Tables for H2O,CO2,O2 and N2 (Heywood, 1988) (Turns, 2006)</w:t>
      </w:r>
      <w:sdt>
        <w:sdtPr>
          <w:id w:val="729358607"/>
          <w:citation/>
        </w:sdtPr>
        <w:sdtContent>
          <w:r w:rsidR="002762F6">
            <w:fldChar w:fldCharType="begin"/>
          </w:r>
          <w:r w:rsidR="002762F6">
            <w:instrText xml:space="preserve"> CITATION Col01 \l 2057 </w:instrText>
          </w:r>
          <w:r w:rsidR="002762F6">
            <w:fldChar w:fldCharType="separate"/>
          </w:r>
          <w:r w:rsidR="002762F6">
            <w:rPr>
              <w:noProof/>
            </w:rPr>
            <w:t xml:space="preserve"> (Colin R Ferguson, 2001)</w:t>
          </w:r>
          <w:r w:rsidR="002762F6">
            <w:fldChar w:fldCharType="end"/>
          </w:r>
        </w:sdtContent>
      </w:sdt>
    </w:p>
    <w:p w14:paraId="299466ED" w14:textId="13F3530C" w:rsidR="007153BE" w:rsidRPr="007153BE" w:rsidRDefault="007153BE" w:rsidP="007153BE">
      <w:pPr>
        <w:pStyle w:val="Heading2"/>
      </w:pPr>
      <w:bookmarkStart w:id="22" w:name="_Toc503445934"/>
      <w:r>
        <w:t>Method</w:t>
      </w:r>
      <w:bookmarkEnd w:id="22"/>
    </w:p>
    <w:p w14:paraId="07BEEB24" w14:textId="1932F649" w:rsidR="009D0933" w:rsidRPr="009D0933" w:rsidRDefault="00B92D73" w:rsidP="009D0933">
      <w:r>
        <w:t xml:space="preserve">Plotting the </w:t>
      </w:r>
      <w:r w:rsidR="00B44FD6">
        <w:t>enthalpies against temperature gives the graphs shown below(Figure 5) (Figure 6) (Figure 7)(Figure 8), from these graphs, the equation of the line can be obtained.</w:t>
      </w:r>
    </w:p>
    <w:p w14:paraId="697ADE6D" w14:textId="2330D2DD" w:rsidR="001F7C8F" w:rsidRDefault="00685EF8" w:rsidP="009D0933">
      <w:pPr>
        <w:pStyle w:val="Caption"/>
      </w:pPr>
      <w:r>
        <w:rPr>
          <w:noProof/>
        </w:rPr>
        <w:drawing>
          <wp:inline distT="0" distB="0" distL="0" distR="0" wp14:anchorId="61872894" wp14:editId="5B67949C">
            <wp:extent cx="6300000" cy="2340000"/>
            <wp:effectExtent l="0" t="0" r="5715" b="3175"/>
            <wp:docPr id="10" name="Chart 10">
              <a:extLst xmlns:a="http://schemas.openxmlformats.org/drawingml/2006/main">
                <a:ext uri="{FF2B5EF4-FFF2-40B4-BE49-F238E27FC236}">
                  <a16:creationId xmlns:a16="http://schemas.microsoft.com/office/drawing/2014/main" id="{9D441F05-6068-49D4-9514-66C3AAACCCB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416F4CC" w14:textId="5AA31D61" w:rsidR="00685EF8" w:rsidRDefault="001F7C8F" w:rsidP="001F7C8F">
      <w:pPr>
        <w:pStyle w:val="Caption"/>
        <w:jc w:val="center"/>
      </w:pPr>
      <w:bookmarkStart w:id="23" w:name="_Toc503445885"/>
      <w:r>
        <w:t xml:space="preserve">Figure </w:t>
      </w:r>
      <w:fldSimple w:instr=" SEQ Figure \* ARABIC ">
        <w:r w:rsidR="004E0ADF">
          <w:rPr>
            <w:noProof/>
          </w:rPr>
          <w:t>6</w:t>
        </w:r>
      </w:fldSimple>
      <w:r>
        <w:t>: H2O NASA Table Enthalpy Graph</w:t>
      </w:r>
      <w:bookmarkEnd w:id="23"/>
    </w:p>
    <w:p w14:paraId="0D32A615" w14:textId="77777777" w:rsidR="001F7C8F" w:rsidRDefault="00685EF8" w:rsidP="001F7C8F">
      <w:pPr>
        <w:keepNext/>
      </w:pPr>
      <w:r>
        <w:rPr>
          <w:noProof/>
        </w:rPr>
        <w:lastRenderedPageBreak/>
        <w:drawing>
          <wp:inline distT="0" distB="0" distL="0" distR="0" wp14:anchorId="24386E48" wp14:editId="76624BDA">
            <wp:extent cx="6300000" cy="2340000"/>
            <wp:effectExtent l="0" t="0" r="5715" b="3175"/>
            <wp:docPr id="11" name="Chart 11">
              <a:extLst xmlns:a="http://schemas.openxmlformats.org/drawingml/2006/main">
                <a:ext uri="{FF2B5EF4-FFF2-40B4-BE49-F238E27FC236}">
                  <a16:creationId xmlns:a16="http://schemas.microsoft.com/office/drawing/2014/main" id="{0CA84178-0612-4063-ABC3-CE388933D97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A368B3A" w14:textId="1193DE27" w:rsidR="00685EF8" w:rsidRDefault="001F7C8F" w:rsidP="001F7C8F">
      <w:pPr>
        <w:pStyle w:val="Caption"/>
        <w:jc w:val="center"/>
      </w:pPr>
      <w:bookmarkStart w:id="24" w:name="_Toc503445886"/>
      <w:r>
        <w:t xml:space="preserve">Figure </w:t>
      </w:r>
      <w:fldSimple w:instr=" SEQ Figure \* ARABIC ">
        <w:r w:rsidR="004E0ADF">
          <w:rPr>
            <w:noProof/>
          </w:rPr>
          <w:t>7</w:t>
        </w:r>
      </w:fldSimple>
      <w:r>
        <w:t>: CO2</w:t>
      </w:r>
      <w:r w:rsidRPr="006076E0">
        <w:t xml:space="preserve"> NASA Table Enthalpy Graph</w:t>
      </w:r>
      <w:bookmarkEnd w:id="24"/>
    </w:p>
    <w:p w14:paraId="2FF9C604" w14:textId="77777777" w:rsidR="001F7C8F" w:rsidRDefault="00685EF8" w:rsidP="001F7C8F">
      <w:pPr>
        <w:keepNext/>
        <w:jc w:val="center"/>
      </w:pPr>
      <w:r>
        <w:rPr>
          <w:noProof/>
        </w:rPr>
        <w:drawing>
          <wp:inline distT="0" distB="0" distL="0" distR="0" wp14:anchorId="5F28D9B1" wp14:editId="31F50B2D">
            <wp:extent cx="6300000" cy="2340000"/>
            <wp:effectExtent l="0" t="0" r="5715" b="3175"/>
            <wp:docPr id="12" name="Chart 12">
              <a:extLst xmlns:a="http://schemas.openxmlformats.org/drawingml/2006/main">
                <a:ext uri="{FF2B5EF4-FFF2-40B4-BE49-F238E27FC236}">
                  <a16:creationId xmlns:a16="http://schemas.microsoft.com/office/drawing/2014/main" id="{FEEF2B21-A386-4413-9E62-47C90936EE0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A053D65" w14:textId="6DFF6E70" w:rsidR="00685EF8" w:rsidRDefault="001F7C8F" w:rsidP="001F7C8F">
      <w:pPr>
        <w:pStyle w:val="Caption"/>
        <w:jc w:val="center"/>
      </w:pPr>
      <w:bookmarkStart w:id="25" w:name="_Toc503445887"/>
      <w:r>
        <w:t xml:space="preserve">Figure </w:t>
      </w:r>
      <w:fldSimple w:instr=" SEQ Figure \* ARABIC ">
        <w:r w:rsidR="004E0ADF">
          <w:rPr>
            <w:noProof/>
          </w:rPr>
          <w:t>8</w:t>
        </w:r>
      </w:fldSimple>
      <w:r>
        <w:t xml:space="preserve">:  </w:t>
      </w:r>
      <w:r w:rsidRPr="006F4F69">
        <w:t>O</w:t>
      </w:r>
      <w:r>
        <w:t>2</w:t>
      </w:r>
      <w:r w:rsidRPr="006F4F69">
        <w:t xml:space="preserve"> NASA Table Enthalpy Graph</w:t>
      </w:r>
      <w:bookmarkEnd w:id="25"/>
    </w:p>
    <w:p w14:paraId="0ADE14EA" w14:textId="77777777" w:rsidR="001F7C8F" w:rsidRDefault="00685EF8" w:rsidP="001F7C8F">
      <w:pPr>
        <w:keepNext/>
        <w:jc w:val="center"/>
      </w:pPr>
      <w:r>
        <w:rPr>
          <w:noProof/>
        </w:rPr>
        <w:drawing>
          <wp:inline distT="0" distB="0" distL="0" distR="0" wp14:anchorId="53CFD450" wp14:editId="285A0102">
            <wp:extent cx="6300000" cy="2340000"/>
            <wp:effectExtent l="0" t="0" r="5715" b="3175"/>
            <wp:docPr id="13" name="Chart 13">
              <a:extLst xmlns:a="http://schemas.openxmlformats.org/drawingml/2006/main">
                <a:ext uri="{FF2B5EF4-FFF2-40B4-BE49-F238E27FC236}">
                  <a16:creationId xmlns:a16="http://schemas.microsoft.com/office/drawing/2014/main" id="{61380B09-8C34-48E2-8569-CCF81B9CAB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3C1EF26" w14:textId="1E9ADFC8" w:rsidR="00685EF8" w:rsidRPr="00010B6F" w:rsidRDefault="001F7C8F" w:rsidP="001F7C8F">
      <w:pPr>
        <w:pStyle w:val="Caption"/>
        <w:jc w:val="center"/>
      </w:pPr>
      <w:bookmarkStart w:id="26" w:name="_Toc503445888"/>
      <w:r>
        <w:t xml:space="preserve">Figure </w:t>
      </w:r>
      <w:fldSimple w:instr=" SEQ Figure \* ARABIC ">
        <w:r w:rsidR="004E0ADF">
          <w:rPr>
            <w:noProof/>
          </w:rPr>
          <w:t>9</w:t>
        </w:r>
      </w:fldSimple>
      <w:r>
        <w:t>: N2</w:t>
      </w:r>
      <w:r w:rsidRPr="003252C1">
        <w:t xml:space="preserve"> NASA Table Enthalpy Graph</w:t>
      </w:r>
      <w:bookmarkEnd w:id="26"/>
    </w:p>
    <w:p w14:paraId="66A1C56F" w14:textId="41E24DFB" w:rsidR="004B79E6" w:rsidRPr="00B44FD6" w:rsidRDefault="00B44FD6" w:rsidP="00244E6B">
      <w:pPr>
        <w:pStyle w:val="Heading1"/>
        <w:rPr>
          <w:rFonts w:eastAsiaTheme="minorEastAsia"/>
        </w:rPr>
      </w:pPr>
      <w:bookmarkStart w:id="27" w:name="_Toc503445935"/>
      <w:r>
        <w:lastRenderedPageBreak/>
        <w:t>Enthalpy</w:t>
      </w:r>
      <w:r w:rsidR="007153BE">
        <w:t xml:space="preserve"> Released</w:t>
      </w:r>
      <w:bookmarkEnd w:id="27"/>
    </w:p>
    <w:p w14:paraId="3705411B" w14:textId="0CDF7F4D" w:rsidR="00010B6F" w:rsidRDefault="00B44FD6" w:rsidP="00244E6B">
      <w:pPr>
        <w:pStyle w:val="Heading2"/>
      </w:pPr>
      <w:bookmarkStart w:id="28" w:name="_Toc503445936"/>
      <w:r>
        <w:t>Method</w:t>
      </w:r>
      <w:bookmarkEnd w:id="28"/>
    </w:p>
    <w:p w14:paraId="75235A00" w14:textId="2F648751" w:rsidR="00B44FD6" w:rsidRPr="00244E6B" w:rsidRDefault="00B44FD6" w:rsidP="00244E6B">
      <w:pPr>
        <w:pStyle w:val="ListParagraph"/>
        <w:numPr>
          <w:ilvl w:val="0"/>
          <w:numId w:val="7"/>
        </w:numPr>
        <w:rPr>
          <w:rFonts w:eastAsiaTheme="minorEastAsia"/>
        </w:rPr>
      </w:pPr>
      <w:r w:rsidRPr="00244E6B">
        <w:rPr>
          <w:rFonts w:eastAsiaTheme="minorEastAsia"/>
        </w:rPr>
        <w:t>Using the Line Equation from the enthalpy graphs, replace x with temperature to calculate enthalpy for each molecule at each temperature (Figure 9).</w:t>
      </w:r>
    </w:p>
    <w:p w14:paraId="03CFCE9E" w14:textId="77777777" w:rsidR="00B44FD6" w:rsidRDefault="00B44FD6" w:rsidP="00B44FD6">
      <w:pPr>
        <w:keepNext/>
        <w:jc w:val="center"/>
      </w:pPr>
      <w:r>
        <w:rPr>
          <w:noProof/>
        </w:rPr>
        <w:drawing>
          <wp:inline distT="0" distB="0" distL="0" distR="0" wp14:anchorId="0FBC1EB0" wp14:editId="02570EE0">
            <wp:extent cx="4177665" cy="3291840"/>
            <wp:effectExtent l="0" t="0" r="0" b="3810"/>
            <wp:docPr id="14" name="Picture 14" descr="C:\Users\Phil\AppData\Local\Microsoft\Windows\INetCache\Content.Word\Screenshot 2018-01-11 01.09.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Phil\AppData\Local\Microsoft\Windows\INetCache\Content.Word\Screenshot 2018-01-11 01.09.05.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177665" cy="3291840"/>
                    </a:xfrm>
                    <a:prstGeom prst="rect">
                      <a:avLst/>
                    </a:prstGeom>
                    <a:noFill/>
                    <a:ln>
                      <a:noFill/>
                    </a:ln>
                  </pic:spPr>
                </pic:pic>
              </a:graphicData>
            </a:graphic>
          </wp:inline>
        </w:drawing>
      </w:r>
    </w:p>
    <w:p w14:paraId="053CCAEF" w14:textId="1AA27B52" w:rsidR="00B44FD6" w:rsidRDefault="00B44FD6" w:rsidP="00B44FD6">
      <w:pPr>
        <w:pStyle w:val="Caption"/>
        <w:jc w:val="center"/>
        <w:rPr>
          <w:rFonts w:eastAsiaTheme="minorEastAsia"/>
        </w:rPr>
      </w:pPr>
      <w:bookmarkStart w:id="29" w:name="_Toc503445889"/>
      <w:r>
        <w:t xml:space="preserve">Figure </w:t>
      </w:r>
      <w:fldSimple w:instr=" SEQ Figure \* ARABIC ">
        <w:r w:rsidR="004E0ADF">
          <w:rPr>
            <w:noProof/>
          </w:rPr>
          <w:t>10</w:t>
        </w:r>
      </w:fldSimple>
      <w:r>
        <w:t>: Example</w:t>
      </w:r>
      <w:r>
        <w:rPr>
          <w:noProof/>
        </w:rPr>
        <w:t xml:space="preserve"> of Molecular Enthalpy vs Temperature</w:t>
      </w:r>
      <w:bookmarkEnd w:id="29"/>
    </w:p>
    <w:p w14:paraId="6AD05F20" w14:textId="1D8D63A4" w:rsidR="004B79E6" w:rsidRDefault="00007F34" w:rsidP="00244E6B">
      <w:pPr>
        <w:pStyle w:val="ListParagraph"/>
        <w:numPr>
          <w:ilvl w:val="0"/>
          <w:numId w:val="5"/>
        </w:numPr>
        <w:rPr>
          <w:rFonts w:eastAsiaTheme="minorEastAsia"/>
        </w:rPr>
      </w:pPr>
      <w:r>
        <w:rPr>
          <w:rFonts w:eastAsiaTheme="minorEastAsia"/>
        </w:rPr>
        <w:t>Using the equation below and the figures from the enthalpy tables (Figure 10), the Enthalpy released can be calculated, this can then be subtracted</w:t>
      </w:r>
      <w:r w:rsidR="00244E6B">
        <w:rPr>
          <w:rFonts w:eastAsiaTheme="minorEastAsia"/>
        </w:rPr>
        <w:t xml:space="preserve"> from the Net Enthalpy </w:t>
      </w:r>
      <w:r>
        <w:rPr>
          <w:rFonts w:eastAsiaTheme="minorEastAsia"/>
        </w:rPr>
        <w:t xml:space="preserve">to </w:t>
      </w:r>
      <w:r w:rsidR="00244E6B">
        <w:rPr>
          <w:rFonts w:eastAsiaTheme="minorEastAsia"/>
        </w:rPr>
        <w:t>give the</w:t>
      </w:r>
      <w:r w:rsidR="004B79E6" w:rsidRPr="00244E6B">
        <w:rPr>
          <w:rFonts w:eastAsiaTheme="minorEastAsia"/>
        </w:rPr>
        <w:t xml:space="preserve"> difference</w:t>
      </w:r>
      <w:r w:rsidR="00244E6B">
        <w:rPr>
          <w:rFonts w:eastAsiaTheme="minorEastAsia"/>
        </w:rPr>
        <w:t>/error</w:t>
      </w:r>
      <w:r w:rsidR="004B79E6" w:rsidRPr="00244E6B">
        <w:rPr>
          <w:rFonts w:eastAsiaTheme="minorEastAsia"/>
        </w:rPr>
        <w:t xml:space="preserve"> between </w:t>
      </w:r>
      <w:r w:rsidR="002D16E9" w:rsidRPr="00244E6B">
        <w:rPr>
          <w:rFonts w:eastAsiaTheme="minorEastAsia"/>
        </w:rPr>
        <w:t>them.</w:t>
      </w:r>
      <w:r w:rsidR="002D16E9">
        <w:rPr>
          <w:rFonts w:eastAsiaTheme="minorEastAsia"/>
        </w:rPr>
        <w:t xml:space="preserve"> (</w:t>
      </w:r>
      <w:r w:rsidR="00BB004A">
        <w:rPr>
          <w:rFonts w:eastAsiaTheme="minorEastAsia"/>
        </w:rPr>
        <w:t>Figure 1</w:t>
      </w:r>
      <w:r>
        <w:rPr>
          <w:rFonts w:eastAsiaTheme="minorEastAsia"/>
        </w:rPr>
        <w:t>1</w:t>
      </w:r>
      <w:r w:rsidR="00BB004A">
        <w:rPr>
          <w:rFonts w:eastAsiaTheme="minorEastAsia"/>
        </w:rPr>
        <w:t>)</w:t>
      </w:r>
    </w:p>
    <w:p w14:paraId="605EF0C2" w14:textId="77777777" w:rsidR="00007F34" w:rsidRDefault="00007F34" w:rsidP="00007F34">
      <w:pPr>
        <w:pStyle w:val="ListParagraph"/>
        <w:ind w:left="829"/>
        <w:rPr>
          <w:rFonts w:eastAsiaTheme="minorEastAsia"/>
        </w:rPr>
      </w:pPr>
    </w:p>
    <w:p w14:paraId="2D23C7C8" w14:textId="2783B3D4" w:rsidR="00007F34" w:rsidRPr="00007F34" w:rsidRDefault="00007F34" w:rsidP="00007F34">
      <w:pPr>
        <w:pStyle w:val="ListParagraph"/>
        <w:ind w:left="829"/>
        <w:jc w:val="center"/>
        <w:rPr>
          <w:rFonts w:eastAsiaTheme="minorEastAsia"/>
        </w:rPr>
      </w:pPr>
      <m:oMathPara>
        <m:oMathParaPr>
          <m:jc m:val="center"/>
        </m:oMathParaPr>
        <m:oMath>
          <m:r>
            <w:rPr>
              <w:rFonts w:ascii="Cambria Math" w:eastAsiaTheme="minorEastAsia" w:hAnsi="Cambria Math"/>
            </w:rPr>
            <m:t>ER=(H2O E×H2O PQ)+(CO2 E×CO2 PQ)+(O2 E×O2 PQ)+(N2 E×O2 PQ)</m:t>
          </m:r>
        </m:oMath>
      </m:oMathPara>
    </w:p>
    <w:p w14:paraId="0296A45C" w14:textId="77777777" w:rsidR="00007F34" w:rsidRPr="00007F34" w:rsidRDefault="00007F34" w:rsidP="00007F34">
      <w:pPr>
        <w:pStyle w:val="ListParagraph"/>
        <w:ind w:left="829"/>
        <w:jc w:val="center"/>
        <w:rPr>
          <w:rFonts w:eastAsiaTheme="minorEastAsia"/>
        </w:rPr>
      </w:pPr>
    </w:p>
    <w:p w14:paraId="2D119996" w14:textId="23CE6C4C" w:rsidR="00007F34" w:rsidRDefault="00007F34" w:rsidP="00007F34">
      <w:pPr>
        <w:pStyle w:val="ListParagraph"/>
        <w:ind w:left="829"/>
        <w:rPr>
          <w:rFonts w:eastAsiaTheme="minorEastAsia"/>
        </w:rPr>
      </w:pPr>
      <w:r>
        <w:rPr>
          <w:rFonts w:eastAsiaTheme="minorEastAsia"/>
        </w:rPr>
        <w:t>Where:</w:t>
      </w:r>
    </w:p>
    <w:p w14:paraId="411D5FF9" w14:textId="6F962C2D" w:rsidR="00007F34" w:rsidRDefault="00007F34" w:rsidP="00007F34">
      <w:pPr>
        <w:pStyle w:val="ListParagraph"/>
        <w:ind w:left="829"/>
        <w:rPr>
          <w:rFonts w:eastAsiaTheme="minorEastAsia"/>
        </w:rPr>
      </w:pPr>
      <w:r>
        <w:rPr>
          <w:rFonts w:eastAsiaTheme="minorEastAsia"/>
        </w:rPr>
        <w:t>ER = Enthalpy Released</w:t>
      </w:r>
    </w:p>
    <w:p w14:paraId="6F299FA6" w14:textId="587E6F82" w:rsidR="00007F34" w:rsidRDefault="00007F34" w:rsidP="00007F34">
      <w:pPr>
        <w:pStyle w:val="ListParagraph"/>
        <w:ind w:left="829"/>
        <w:rPr>
          <w:rFonts w:eastAsiaTheme="minorEastAsia"/>
        </w:rPr>
      </w:pPr>
      <w:r>
        <w:rPr>
          <w:rFonts w:eastAsiaTheme="minorEastAsia"/>
        </w:rPr>
        <w:t>E = Enthalpy</w:t>
      </w:r>
    </w:p>
    <w:p w14:paraId="0588A5AC" w14:textId="3372237A" w:rsidR="00007F34" w:rsidRPr="00007F34" w:rsidRDefault="00007F34" w:rsidP="00007F34">
      <w:pPr>
        <w:pStyle w:val="ListParagraph"/>
        <w:ind w:left="829"/>
        <w:rPr>
          <w:rFonts w:eastAsiaTheme="minorEastAsia"/>
        </w:rPr>
      </w:pPr>
      <w:r>
        <w:rPr>
          <w:rFonts w:eastAsiaTheme="minorEastAsia"/>
        </w:rPr>
        <w:t>PQ = Product Quantity</w:t>
      </w:r>
    </w:p>
    <w:p w14:paraId="6F37DFA2" w14:textId="77777777" w:rsidR="00244E6B" w:rsidRDefault="00244E6B" w:rsidP="00244E6B">
      <w:pPr>
        <w:keepNext/>
        <w:ind w:left="469"/>
        <w:jc w:val="center"/>
      </w:pPr>
      <w:r>
        <w:rPr>
          <w:noProof/>
        </w:rPr>
        <w:lastRenderedPageBreak/>
        <w:drawing>
          <wp:inline distT="0" distB="0" distL="0" distR="0" wp14:anchorId="0D9A3110" wp14:editId="1DE25398">
            <wp:extent cx="5400000" cy="2353155"/>
            <wp:effectExtent l="0" t="0" r="0" b="9525"/>
            <wp:docPr id="15" name="Picture 15" descr="C:\Users\Phil\AppData\Local\Microsoft\Windows\INetCache\Content.Word\Screenshot 2018-01-11 01.16.2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Phil\AppData\Local\Microsoft\Windows\INetCache\Content.Word\Screenshot 2018-01-11 01.16.25.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00000" cy="2353155"/>
                    </a:xfrm>
                    <a:prstGeom prst="rect">
                      <a:avLst/>
                    </a:prstGeom>
                    <a:noFill/>
                    <a:ln>
                      <a:noFill/>
                    </a:ln>
                  </pic:spPr>
                </pic:pic>
              </a:graphicData>
            </a:graphic>
          </wp:inline>
        </w:drawing>
      </w:r>
    </w:p>
    <w:p w14:paraId="52084163" w14:textId="12568BA9" w:rsidR="00244E6B" w:rsidRDefault="00244E6B" w:rsidP="00244E6B">
      <w:pPr>
        <w:pStyle w:val="Caption"/>
        <w:jc w:val="center"/>
        <w:rPr>
          <w:noProof/>
        </w:rPr>
      </w:pPr>
      <w:bookmarkStart w:id="30" w:name="_Toc503445890"/>
      <w:r>
        <w:t xml:space="preserve">Figure </w:t>
      </w:r>
      <w:fldSimple w:instr=" SEQ Figure \* ARABIC ">
        <w:r w:rsidR="004E0ADF">
          <w:rPr>
            <w:noProof/>
          </w:rPr>
          <w:t>11</w:t>
        </w:r>
      </w:fldSimple>
      <w:r>
        <w:t>: Example of Enthalpy Released, Net Enthalpy</w:t>
      </w:r>
      <w:r>
        <w:rPr>
          <w:noProof/>
        </w:rPr>
        <w:t xml:space="preserve"> and Error Table</w:t>
      </w:r>
      <w:bookmarkEnd w:id="30"/>
    </w:p>
    <w:p w14:paraId="6CD4EEBA" w14:textId="31F0B6DC" w:rsidR="00C06824" w:rsidRDefault="00C06824">
      <w:pPr>
        <w:spacing w:line="259" w:lineRule="auto"/>
      </w:pPr>
      <w:r>
        <w:br w:type="page"/>
      </w:r>
    </w:p>
    <w:p w14:paraId="260AB4CD" w14:textId="31140F3E" w:rsidR="004B79E6" w:rsidRDefault="00BB004A" w:rsidP="00BB004A">
      <w:pPr>
        <w:pStyle w:val="Heading1"/>
      </w:pPr>
      <w:bookmarkStart w:id="31" w:name="_Toc503445937"/>
      <w:r>
        <w:lastRenderedPageBreak/>
        <w:t>Initial Flame Temperature</w:t>
      </w:r>
      <w:bookmarkEnd w:id="31"/>
    </w:p>
    <w:p w14:paraId="69997B0A" w14:textId="77E6F4ED" w:rsidR="00BB004A" w:rsidRDefault="00BB004A" w:rsidP="002762F6">
      <w:pPr>
        <w:pStyle w:val="Heading2"/>
      </w:pPr>
      <w:bookmarkStart w:id="32" w:name="_Toc503445938"/>
      <w:r>
        <w:t>Method</w:t>
      </w:r>
      <w:bookmarkEnd w:id="32"/>
    </w:p>
    <w:p w14:paraId="724F175D" w14:textId="7971AF81" w:rsidR="002762F6" w:rsidRPr="002762F6" w:rsidRDefault="002762F6" w:rsidP="002762F6">
      <w:r>
        <w:t xml:space="preserve">To find the </w:t>
      </w:r>
      <w:r w:rsidR="000D2775">
        <w:t>f</w:t>
      </w:r>
      <w:r>
        <w:t xml:space="preserve">lame temperature </w:t>
      </w:r>
      <w:r w:rsidR="000D2775">
        <w:t>at which the net enthalpy occurs, the 2 values in the error column closest to 0 need to be inserted into the equation below:</w:t>
      </w:r>
      <w:r>
        <w:t xml:space="preserve"> </w:t>
      </w:r>
    </w:p>
    <w:p w14:paraId="287EA12A" w14:textId="77777777" w:rsidR="004B79E6" w:rsidRPr="00E42EB9" w:rsidRDefault="004B79E6" w:rsidP="004B79E6">
      <w:pPr>
        <w:rPr>
          <w:rFonts w:eastAsiaTheme="minorEastAsia"/>
        </w:rPr>
      </w:pPr>
      <m:oMathPara>
        <m:oMath>
          <m:r>
            <w:rPr>
              <w:rFonts w:ascii="Cambria Math" w:eastAsiaTheme="minorEastAsia" w:hAnsi="Cambria Math"/>
            </w:rPr>
            <m:t xml:space="preserve">Flame Temperature=T1+(( </m:t>
          </m:r>
          <m:sSub>
            <m:sSubPr>
              <m:ctrlPr>
                <w:rPr>
                  <w:rFonts w:ascii="Cambria Math" w:eastAsiaTheme="minorEastAsia" w:hAnsi="Cambria Math"/>
                  <w:i/>
                </w:rPr>
              </m:ctrlPr>
            </m:sSubPr>
            <m:e>
              <m:r>
                <w:rPr>
                  <w:rFonts w:ascii="Cambria Math" w:eastAsiaTheme="minorEastAsia" w:hAnsi="Cambria Math"/>
                </w:rPr>
                <m:t>E</m:t>
              </m:r>
            </m:e>
            <m:sub>
              <m:r>
                <w:rPr>
                  <w:rFonts w:ascii="Cambria Math" w:eastAsiaTheme="minorEastAsia" w:hAnsi="Cambria Math"/>
                </w:rPr>
                <m:t>net</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E</m:t>
              </m:r>
            </m:e>
            <m:sub>
              <m:r>
                <w:rPr>
                  <w:rFonts w:ascii="Cambria Math" w:eastAsiaTheme="minorEastAsia" w:hAnsi="Cambria Math"/>
                </w:rPr>
                <m:t>Released</m:t>
              </m:r>
            </m:sub>
          </m:sSub>
          <m:r>
            <w:rPr>
              <w:rFonts w:ascii="Cambria Math" w:eastAsiaTheme="minorEastAsia" w:hAnsi="Cambria Math"/>
            </w:rPr>
            <m:t xml:space="preserve"> 1)/(</m:t>
          </m:r>
          <m:sSub>
            <m:sSubPr>
              <m:ctrlPr>
                <w:rPr>
                  <w:rFonts w:ascii="Cambria Math" w:eastAsiaTheme="minorEastAsia" w:hAnsi="Cambria Math"/>
                  <w:i/>
                </w:rPr>
              </m:ctrlPr>
            </m:sSubPr>
            <m:e>
              <m:r>
                <w:rPr>
                  <w:rFonts w:ascii="Cambria Math" w:eastAsiaTheme="minorEastAsia" w:hAnsi="Cambria Math"/>
                </w:rPr>
                <m:t>E</m:t>
              </m:r>
            </m:e>
            <m:sub>
              <m:r>
                <w:rPr>
                  <w:rFonts w:ascii="Cambria Math" w:eastAsiaTheme="minorEastAsia" w:hAnsi="Cambria Math"/>
                </w:rPr>
                <m:t>Released</m:t>
              </m:r>
            </m:sub>
          </m:sSub>
          <m:r>
            <w:rPr>
              <w:rFonts w:ascii="Cambria Math" w:eastAsiaTheme="minorEastAsia" w:hAnsi="Cambria Math"/>
            </w:rPr>
            <m:t xml:space="preserve"> 2-</m:t>
          </m:r>
          <m:sSub>
            <m:sSubPr>
              <m:ctrlPr>
                <w:rPr>
                  <w:rFonts w:ascii="Cambria Math" w:eastAsiaTheme="minorEastAsia" w:hAnsi="Cambria Math"/>
                  <w:i/>
                </w:rPr>
              </m:ctrlPr>
            </m:sSubPr>
            <m:e>
              <m:r>
                <w:rPr>
                  <w:rFonts w:ascii="Cambria Math" w:eastAsiaTheme="minorEastAsia" w:hAnsi="Cambria Math"/>
                </w:rPr>
                <m:t>E</m:t>
              </m:r>
            </m:e>
            <m:sub>
              <m:r>
                <w:rPr>
                  <w:rFonts w:ascii="Cambria Math" w:eastAsiaTheme="minorEastAsia" w:hAnsi="Cambria Math"/>
                </w:rPr>
                <m:t>Released</m:t>
              </m:r>
            </m:sub>
          </m:sSub>
          <m:r>
            <w:rPr>
              <w:rFonts w:ascii="Cambria Math" w:eastAsiaTheme="minorEastAsia" w:hAnsi="Cambria Math"/>
            </w:rPr>
            <m:t xml:space="preserve"> 1)×(T2-T1)</m:t>
          </m:r>
        </m:oMath>
      </m:oMathPara>
    </w:p>
    <w:p w14:paraId="1CF98BEC" w14:textId="77777777" w:rsidR="004B79E6" w:rsidRDefault="004B79E6" w:rsidP="004B79E6">
      <w:pPr>
        <w:rPr>
          <w:rFonts w:eastAsiaTheme="minorEastAsia"/>
        </w:rPr>
      </w:pPr>
      <w:r>
        <w:rPr>
          <w:rFonts w:eastAsiaTheme="minorEastAsia"/>
        </w:rPr>
        <w:t>Where:</w:t>
      </w:r>
    </w:p>
    <w:p w14:paraId="2C799F6C" w14:textId="77777777" w:rsidR="004B79E6" w:rsidRDefault="004B79E6" w:rsidP="004B79E6">
      <w:pPr>
        <w:rPr>
          <w:rFonts w:eastAsiaTheme="minorEastAsia"/>
        </w:rPr>
      </w:pPr>
      <w:r>
        <w:rPr>
          <w:rFonts w:eastAsiaTheme="minorEastAsia"/>
        </w:rPr>
        <w:t>E = Enthalpy</w:t>
      </w:r>
    </w:p>
    <w:p w14:paraId="50E5BF09" w14:textId="45A58BDE" w:rsidR="004B79E6" w:rsidRDefault="004B79E6" w:rsidP="004B79E6">
      <w:pPr>
        <w:rPr>
          <w:rFonts w:eastAsiaTheme="minorEastAsia"/>
        </w:rPr>
      </w:pPr>
      <w:r>
        <w:rPr>
          <w:rFonts w:eastAsiaTheme="minorEastAsia"/>
        </w:rPr>
        <w:t xml:space="preserve">T = Temperature </w:t>
      </w:r>
    </w:p>
    <w:p w14:paraId="7AF38D86" w14:textId="3E376D7F" w:rsidR="000D2775" w:rsidRDefault="000D2775" w:rsidP="000D2775">
      <w:pPr>
        <w:pStyle w:val="Heading2"/>
      </w:pPr>
      <w:bookmarkStart w:id="33" w:name="_Toc503445939"/>
      <w:r>
        <w:t>Results</w:t>
      </w:r>
      <w:bookmarkEnd w:id="33"/>
    </w:p>
    <w:p w14:paraId="6E00265C" w14:textId="77777777" w:rsidR="00C30E6E" w:rsidRDefault="009A71E5" w:rsidP="00C30E6E">
      <w:pPr>
        <w:keepNext/>
        <w:jc w:val="center"/>
      </w:pPr>
      <w:r>
        <w:rPr>
          <w:noProof/>
        </w:rPr>
        <w:drawing>
          <wp:inline distT="0" distB="0" distL="0" distR="0" wp14:anchorId="605B5773" wp14:editId="30B5037E">
            <wp:extent cx="3282315" cy="2367915"/>
            <wp:effectExtent l="0" t="0" r="0" b="0"/>
            <wp:docPr id="16" name="Picture 16" descr="C:\Users\Phil\AppData\Local\Microsoft\Windows\INetCache\Content.Word\Screenshot 2018-01-11 02.48.0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Phil\AppData\Local\Microsoft\Windows\INetCache\Content.Word\Screenshot 2018-01-11 02.48.08.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282315" cy="2367915"/>
                    </a:xfrm>
                    <a:prstGeom prst="rect">
                      <a:avLst/>
                    </a:prstGeom>
                    <a:noFill/>
                    <a:ln>
                      <a:noFill/>
                    </a:ln>
                  </pic:spPr>
                </pic:pic>
              </a:graphicData>
            </a:graphic>
          </wp:inline>
        </w:drawing>
      </w:r>
    </w:p>
    <w:p w14:paraId="6F706F49" w14:textId="0B17E39D" w:rsidR="000D2775" w:rsidRPr="000D2775" w:rsidRDefault="00C30E6E" w:rsidP="00C30E6E">
      <w:pPr>
        <w:pStyle w:val="Caption"/>
        <w:jc w:val="center"/>
      </w:pPr>
      <w:bookmarkStart w:id="34" w:name="_Toc503445891"/>
      <w:r>
        <w:t xml:space="preserve">Figure </w:t>
      </w:r>
      <w:fldSimple w:instr=" SEQ Figure \* ARABIC ">
        <w:r w:rsidR="004E0ADF">
          <w:rPr>
            <w:noProof/>
          </w:rPr>
          <w:t>12</w:t>
        </w:r>
      </w:fldSimple>
      <w:r>
        <w:t>: Initial Flame Temperature Results</w:t>
      </w:r>
      <w:bookmarkEnd w:id="34"/>
    </w:p>
    <w:p w14:paraId="7D2604F3" w14:textId="77777777" w:rsidR="00C30E6E" w:rsidRDefault="000D2775" w:rsidP="00C30E6E">
      <w:pPr>
        <w:keepNext/>
        <w:jc w:val="center"/>
      </w:pPr>
      <w:r>
        <w:rPr>
          <w:noProof/>
        </w:rPr>
        <w:drawing>
          <wp:inline distT="0" distB="0" distL="0" distR="0" wp14:anchorId="6EA7A460" wp14:editId="4CA2758C">
            <wp:extent cx="5529869" cy="2744769"/>
            <wp:effectExtent l="0" t="0" r="13970" b="17780"/>
            <wp:docPr id="1" name="Chart 1">
              <a:extLst xmlns:a="http://schemas.openxmlformats.org/drawingml/2006/main">
                <a:ext uri="{FF2B5EF4-FFF2-40B4-BE49-F238E27FC236}">
                  <a16:creationId xmlns:a16="http://schemas.microsoft.com/office/drawing/2014/main" id="{8F182822-D589-4C25-804D-0F12485FB4D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709A10EE" w14:textId="51051EA0" w:rsidR="000D2775" w:rsidRPr="000D2775" w:rsidRDefault="00C30E6E" w:rsidP="00C30E6E">
      <w:pPr>
        <w:pStyle w:val="Caption"/>
        <w:jc w:val="center"/>
      </w:pPr>
      <w:bookmarkStart w:id="35" w:name="_Toc503445892"/>
      <w:r>
        <w:t xml:space="preserve">Figure </w:t>
      </w:r>
      <w:fldSimple w:instr=" SEQ Figure \* ARABIC ">
        <w:r w:rsidR="004E0ADF">
          <w:rPr>
            <w:noProof/>
          </w:rPr>
          <w:t>13</w:t>
        </w:r>
      </w:fldSimple>
      <w:r>
        <w:t>: Flame Temperature vs Fuel Equivalence Ratio</w:t>
      </w:r>
      <w:bookmarkEnd w:id="35"/>
    </w:p>
    <w:p w14:paraId="5E3961B4" w14:textId="5D4B9BFE" w:rsidR="000D2775" w:rsidRDefault="000D2775" w:rsidP="000D2775">
      <w:pPr>
        <w:pStyle w:val="Heading2"/>
      </w:pPr>
      <w:bookmarkStart w:id="36" w:name="_Toc503445940"/>
      <w:r>
        <w:lastRenderedPageBreak/>
        <w:t>Analysis</w:t>
      </w:r>
      <w:bookmarkEnd w:id="36"/>
    </w:p>
    <w:p w14:paraId="38AC47CD" w14:textId="17449B16" w:rsidR="009A71E5" w:rsidRDefault="007064E4" w:rsidP="009A71E5">
      <w:r>
        <w:t>As</w:t>
      </w:r>
      <w:r w:rsidR="009A71E5">
        <w:t xml:space="preserve"> the engine burns leaner the initial flame temperature becomes lower. At Stoichiometric the flame temperature is 2409.39 </w:t>
      </w:r>
      <w:r w:rsidR="00C30E6E">
        <w:t>Kelvin;</w:t>
      </w:r>
      <w:r w:rsidR="009A71E5">
        <w:t xml:space="preserve"> </w:t>
      </w:r>
      <w:r>
        <w:t>however,</w:t>
      </w:r>
      <w:r w:rsidR="009A71E5">
        <w:t xml:space="preserve"> it reduces to 1672.22 Kelvin at a leanness of 0.6</w:t>
      </w:r>
      <w:r>
        <w:t xml:space="preserve"> (Figure 12)(Figure 13)</w:t>
      </w:r>
      <w:r w:rsidR="009A71E5">
        <w:t>. The temperature lowers as the fuel equivalence becomes leaner due to there being less</w:t>
      </w:r>
      <w:r w:rsidR="00D34B59">
        <w:t xml:space="preserve"> fuel molecules, and as there are less fuel molecules there are less collisions and therefore lower temperatures. As well as there being less fuel molecules there is also the same </w:t>
      </w:r>
      <w:r w:rsidR="00C30E6E">
        <w:t xml:space="preserve">quantity </w:t>
      </w:r>
      <w:r w:rsidR="00D34B59">
        <w:t>of air within the cylinder</w:t>
      </w:r>
      <w:r w:rsidR="00C30E6E">
        <w:t xml:space="preserve"> as there is for stoichiometric</w:t>
      </w:r>
      <w:r w:rsidR="00D34B59">
        <w:t xml:space="preserve">, effectively diluting </w:t>
      </w:r>
      <w:r w:rsidR="00C30E6E">
        <w:t>the mixture</w:t>
      </w:r>
      <w:r w:rsidR="008C50E2">
        <w:t xml:space="preserve">. </w:t>
      </w:r>
    </w:p>
    <w:p w14:paraId="3DFE51C4" w14:textId="22525B09" w:rsidR="00C06824" w:rsidRDefault="00C06824">
      <w:pPr>
        <w:spacing w:line="259" w:lineRule="auto"/>
      </w:pPr>
      <w:r>
        <w:br w:type="page"/>
      </w:r>
    </w:p>
    <w:p w14:paraId="3F7F8460" w14:textId="6A2E3858" w:rsidR="000D2775" w:rsidRDefault="009A71E5" w:rsidP="009A71E5">
      <w:pPr>
        <w:pStyle w:val="Heading1"/>
      </w:pPr>
      <w:bookmarkStart w:id="37" w:name="_Toc503445941"/>
      <w:r>
        <w:lastRenderedPageBreak/>
        <w:t>Flame Temperatures with change in Crank Angle</w:t>
      </w:r>
      <w:bookmarkEnd w:id="37"/>
    </w:p>
    <w:p w14:paraId="0A346F4C" w14:textId="56309154" w:rsidR="009A71E5" w:rsidRDefault="009A71E5" w:rsidP="009A71E5">
      <w:r>
        <w:t>The initial flame temperature represents the flame temperatures that are produced at the start of the combustion cycle. At this point the crank angle is 0 and the cylinder pressure is 10 bar.</w:t>
      </w:r>
    </w:p>
    <w:p w14:paraId="204418F0" w14:textId="0309D747" w:rsidR="00C30E6E" w:rsidRDefault="00C30E6E" w:rsidP="00C30E6E">
      <w:pPr>
        <w:pStyle w:val="Heading2"/>
      </w:pPr>
      <w:bookmarkStart w:id="38" w:name="_Toc503445942"/>
      <w:r>
        <w:t>Method</w:t>
      </w:r>
      <w:bookmarkEnd w:id="38"/>
    </w:p>
    <w:p w14:paraId="367E2B9F" w14:textId="77777777" w:rsidR="009A71E5" w:rsidRDefault="009A71E5" w:rsidP="009A71E5">
      <w:r>
        <w:t>To work out the Flame Temperature per degree of crank angle the following equation is used:</w:t>
      </w:r>
    </w:p>
    <w:p w14:paraId="215C55D2" w14:textId="77777777" w:rsidR="009A71E5" w:rsidRDefault="009A71E5" w:rsidP="009A71E5">
      <w:pPr>
        <w:rPr>
          <w:rFonts w:eastAsiaTheme="minorEastAsia"/>
        </w:rPr>
      </w:pPr>
      <m:oMathPara>
        <m:oMath>
          <m:r>
            <w:rPr>
              <w:rFonts w:ascii="Cambria Math" w:hAnsi="Cambria Math"/>
            </w:rPr>
            <m:t>T2=T1×</m:t>
          </m:r>
          <m:sSup>
            <m:sSupPr>
              <m:ctrlPr>
                <w:rPr>
                  <w:rFonts w:ascii="Cambria Math" w:hAnsi="Cambria Math"/>
                  <w:i/>
                </w:rPr>
              </m:ctrlPr>
            </m:sSupPr>
            <m:e>
              <m:f>
                <m:fPr>
                  <m:ctrlPr>
                    <w:rPr>
                      <w:rFonts w:ascii="Cambria Math" w:hAnsi="Cambria Math"/>
                      <w:i/>
                    </w:rPr>
                  </m:ctrlPr>
                </m:fPr>
                <m:num>
                  <m:r>
                    <w:rPr>
                      <w:rFonts w:ascii="Cambria Math" w:hAnsi="Cambria Math"/>
                    </w:rPr>
                    <m:t>P2</m:t>
                  </m:r>
                </m:num>
                <m:den>
                  <m:r>
                    <w:rPr>
                      <w:rFonts w:ascii="Cambria Math" w:hAnsi="Cambria Math"/>
                    </w:rPr>
                    <m:t>P1</m:t>
                  </m:r>
                </m:den>
              </m:f>
            </m:e>
            <m:sup>
              <m:f>
                <m:fPr>
                  <m:ctrlPr>
                    <w:rPr>
                      <w:rFonts w:ascii="Cambria Math" w:hAnsi="Cambria Math"/>
                      <w:i/>
                    </w:rPr>
                  </m:ctrlPr>
                </m:fPr>
                <m:num>
                  <m:r>
                    <w:rPr>
                      <w:rFonts w:ascii="Cambria Math" w:hAnsi="Cambria Math"/>
                    </w:rPr>
                    <m:t>n-1</m:t>
                  </m:r>
                </m:num>
                <m:den>
                  <m:r>
                    <w:rPr>
                      <w:rFonts w:ascii="Cambria Math" w:hAnsi="Cambria Math"/>
                    </w:rPr>
                    <m:t>n</m:t>
                  </m:r>
                </m:den>
              </m:f>
            </m:sup>
          </m:sSup>
          <m:r>
            <m:rPr>
              <m:sty m:val="p"/>
            </m:rPr>
            <w:rPr>
              <w:rFonts w:ascii="Cambria Math" w:hAnsi="Cambria Math"/>
            </w:rPr>
            <w:br/>
          </m:r>
        </m:oMath>
      </m:oMathPara>
      <w:r>
        <w:rPr>
          <w:rFonts w:eastAsiaTheme="minorEastAsia"/>
        </w:rPr>
        <w:t>where:</w:t>
      </w:r>
    </w:p>
    <w:p w14:paraId="6E5511B5" w14:textId="77777777" w:rsidR="009A71E5" w:rsidRDefault="009A71E5" w:rsidP="009A71E5">
      <w:pPr>
        <w:rPr>
          <w:rFonts w:eastAsiaTheme="minorEastAsia"/>
        </w:rPr>
      </w:pPr>
      <w:r>
        <w:rPr>
          <w:rFonts w:eastAsiaTheme="minorEastAsia"/>
        </w:rPr>
        <w:t>T =  Flame Temperature</w:t>
      </w:r>
    </w:p>
    <w:p w14:paraId="50954457" w14:textId="77777777" w:rsidR="009A71E5" w:rsidRDefault="009A71E5" w:rsidP="009A71E5">
      <w:pPr>
        <w:rPr>
          <w:rFonts w:eastAsiaTheme="minorEastAsia"/>
        </w:rPr>
      </w:pPr>
      <w:r>
        <w:rPr>
          <w:rFonts w:eastAsiaTheme="minorEastAsia"/>
        </w:rPr>
        <w:t>P = Pressure</w:t>
      </w:r>
    </w:p>
    <w:p w14:paraId="096B938D" w14:textId="77777777" w:rsidR="009A71E5" w:rsidRPr="0009213B" w:rsidRDefault="009A71E5" w:rsidP="009A71E5">
      <w:pPr>
        <w:rPr>
          <w:rFonts w:eastAsiaTheme="minorEastAsia"/>
        </w:rPr>
      </w:pPr>
      <w:r>
        <w:rPr>
          <w:rFonts w:eastAsiaTheme="minorEastAsia"/>
        </w:rPr>
        <w:t>n = Polytrophic Index</w:t>
      </w:r>
    </w:p>
    <w:p w14:paraId="258877F0" w14:textId="5A6A9AB1" w:rsidR="009A71E5" w:rsidRDefault="00C30E6E" w:rsidP="00C30E6E">
      <w:pPr>
        <w:pStyle w:val="Heading2"/>
      </w:pPr>
      <w:bookmarkStart w:id="39" w:name="_Toc503445943"/>
      <w:r>
        <w:t>Results</w:t>
      </w:r>
      <w:bookmarkEnd w:id="39"/>
    </w:p>
    <w:p w14:paraId="1A3CF235" w14:textId="77777777" w:rsidR="00C30E6E" w:rsidRDefault="00C30E6E" w:rsidP="00C30E6E">
      <w:pPr>
        <w:keepNext/>
        <w:jc w:val="center"/>
      </w:pPr>
      <w:r>
        <w:rPr>
          <w:noProof/>
        </w:rPr>
        <w:drawing>
          <wp:inline distT="0" distB="0" distL="0" distR="0" wp14:anchorId="77D773D9" wp14:editId="4BDEA39B">
            <wp:extent cx="5580000" cy="2706951"/>
            <wp:effectExtent l="0" t="0" r="1905" b="0"/>
            <wp:docPr id="17" name="Picture 17" descr="C:\Users\Phil\AppData\Local\Microsoft\Windows\INetCache\Content.Word\Screenshot 2018-01-11 09.28.2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Phil\AppData\Local\Microsoft\Windows\INetCache\Content.Word\Screenshot 2018-01-11 09.28.29.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580000" cy="2706951"/>
                    </a:xfrm>
                    <a:prstGeom prst="rect">
                      <a:avLst/>
                    </a:prstGeom>
                    <a:noFill/>
                    <a:ln>
                      <a:noFill/>
                    </a:ln>
                  </pic:spPr>
                </pic:pic>
              </a:graphicData>
            </a:graphic>
          </wp:inline>
        </w:drawing>
      </w:r>
    </w:p>
    <w:p w14:paraId="46BD6F49" w14:textId="30E602C5" w:rsidR="00C30E6E" w:rsidRDefault="00C30E6E" w:rsidP="00C30E6E">
      <w:pPr>
        <w:pStyle w:val="Caption"/>
        <w:jc w:val="center"/>
      </w:pPr>
      <w:bookmarkStart w:id="40" w:name="_Toc503445893"/>
      <w:r>
        <w:t xml:space="preserve">Figure </w:t>
      </w:r>
      <w:fldSimple w:instr=" SEQ Figure \* ARABIC ">
        <w:r w:rsidR="004E0ADF">
          <w:rPr>
            <w:noProof/>
          </w:rPr>
          <w:t>14</w:t>
        </w:r>
      </w:fldSimple>
      <w:r>
        <w:t>: Example of Results for Flame Temperature vs Change in Crank Angle</w:t>
      </w:r>
      <w:bookmarkEnd w:id="40"/>
    </w:p>
    <w:p w14:paraId="7047AAD2" w14:textId="77777777" w:rsidR="00C30E6E" w:rsidRDefault="00C30E6E" w:rsidP="00C30E6E">
      <w:pPr>
        <w:keepNext/>
        <w:jc w:val="center"/>
      </w:pPr>
      <w:r>
        <w:rPr>
          <w:noProof/>
        </w:rPr>
        <w:lastRenderedPageBreak/>
        <w:drawing>
          <wp:inline distT="0" distB="0" distL="0" distR="0" wp14:anchorId="6806041E" wp14:editId="4DAEB038">
            <wp:extent cx="5580000" cy="2845019"/>
            <wp:effectExtent l="0" t="0" r="1905" b="12700"/>
            <wp:docPr id="18" name="Chart 18">
              <a:extLst xmlns:a="http://schemas.openxmlformats.org/drawingml/2006/main">
                <a:ext uri="{FF2B5EF4-FFF2-40B4-BE49-F238E27FC236}">
                  <a16:creationId xmlns:a16="http://schemas.microsoft.com/office/drawing/2014/main" id="{FF676D7A-246E-4427-B88A-BCD6C643A8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5AF16272" w14:textId="35C499BF" w:rsidR="00C30E6E" w:rsidRDefault="00C30E6E" w:rsidP="00C30E6E">
      <w:pPr>
        <w:pStyle w:val="Caption"/>
        <w:jc w:val="center"/>
      </w:pPr>
      <w:bookmarkStart w:id="41" w:name="_Toc503445894"/>
      <w:r>
        <w:t xml:space="preserve">Figure </w:t>
      </w:r>
      <w:fldSimple w:instr=" SEQ Figure \* ARABIC ">
        <w:r w:rsidR="004E0ADF">
          <w:rPr>
            <w:noProof/>
          </w:rPr>
          <w:t>15</w:t>
        </w:r>
      </w:fldSimple>
      <w:r>
        <w:t>: Crank Angle vs Flame Temperature</w:t>
      </w:r>
      <w:bookmarkEnd w:id="41"/>
    </w:p>
    <w:p w14:paraId="615F9127" w14:textId="4B0564A7" w:rsidR="00C30E6E" w:rsidRDefault="00C30E6E" w:rsidP="00C30E6E">
      <w:pPr>
        <w:pStyle w:val="Heading2"/>
      </w:pPr>
      <w:bookmarkStart w:id="42" w:name="_Toc503445944"/>
      <w:r>
        <w:t>Analysis</w:t>
      </w:r>
      <w:bookmarkEnd w:id="42"/>
    </w:p>
    <w:p w14:paraId="28F32F57" w14:textId="2D7911C1" w:rsidR="00C30E6E" w:rsidRDefault="00386F5B" w:rsidP="00C30E6E">
      <w:r>
        <w:t>During the rotation of the crankshaft from the start of combustion the cylinder pressure increases from 10bar to 50bar. During this time the flame temperature increases due to the increase in pressure, however as can be seen in figures 14 and 15, the leaner mixtures still have a lower flame temperature than stoichiometric but follow the same pattern of increase.</w:t>
      </w:r>
    </w:p>
    <w:p w14:paraId="18AAD91B" w14:textId="79C5769F" w:rsidR="00C06824" w:rsidRDefault="00C06824">
      <w:pPr>
        <w:spacing w:line="259" w:lineRule="auto"/>
      </w:pPr>
      <w:r>
        <w:br w:type="page"/>
      </w:r>
    </w:p>
    <w:p w14:paraId="73992D00" w14:textId="5759C5C6" w:rsidR="004B79E6" w:rsidRDefault="792EE21C" w:rsidP="000D2775">
      <w:pPr>
        <w:pStyle w:val="Heading1"/>
      </w:pPr>
      <w:bookmarkStart w:id="43" w:name="_Toc503445945"/>
      <w:r>
        <w:lastRenderedPageBreak/>
        <w:t>Multiplying Constant (α)</w:t>
      </w:r>
      <w:bookmarkEnd w:id="43"/>
    </w:p>
    <w:p w14:paraId="56605CDF" w14:textId="0FAB07CC" w:rsidR="004B79E6" w:rsidRDefault="004B79E6" w:rsidP="004B79E6">
      <w:r>
        <w:t xml:space="preserve">The multiplying constant is the ratio of NOx mass fraction to its equilibrium value </w:t>
      </w:r>
      <w:sdt>
        <w:sdtPr>
          <w:id w:val="2093046578"/>
          <w:citation/>
        </w:sdtPr>
        <w:sdtContent>
          <w:r>
            <w:fldChar w:fldCharType="begin"/>
          </w:r>
          <w:r>
            <w:instrText xml:space="preserve"> CITATION Col01 \l 2057 </w:instrText>
          </w:r>
          <w:r>
            <w:fldChar w:fldCharType="separate"/>
          </w:r>
          <w:r>
            <w:rPr>
              <w:noProof/>
            </w:rPr>
            <w:t>(Colin R Ferguson, 2001)</w:t>
          </w:r>
          <w:r>
            <w:fldChar w:fldCharType="end"/>
          </w:r>
        </w:sdtContent>
      </w:sdt>
      <w:r w:rsidR="00386F5B">
        <w:t>.</w:t>
      </w:r>
    </w:p>
    <w:p w14:paraId="317AA7C3" w14:textId="77777777" w:rsidR="00386F5B" w:rsidRPr="000D2775" w:rsidRDefault="00386F5B" w:rsidP="00386F5B">
      <w:pPr>
        <w:pStyle w:val="Heading2"/>
      </w:pPr>
      <w:bookmarkStart w:id="44" w:name="_Toc503445946"/>
      <w:r>
        <w:t>Method</w:t>
      </w:r>
      <w:bookmarkEnd w:id="44"/>
    </w:p>
    <w:p w14:paraId="49D7CB3A" w14:textId="77777777" w:rsidR="004B79E6" w:rsidRPr="00567B20" w:rsidRDefault="004B79E6" w:rsidP="004B79E6">
      <w:pPr>
        <w:rPr>
          <w:rFonts w:eastAsiaTheme="minorEastAsia"/>
        </w:rPr>
      </w:pPr>
      <m:oMathPara>
        <m:oMath>
          <m:r>
            <w:rPr>
              <w:rFonts w:ascii="Cambria Math" w:hAnsi="Cambria Math"/>
            </w:rPr>
            <m:t xml:space="preserve">Multiplying Contant </m:t>
          </m:r>
          <m:d>
            <m:dPr>
              <m:ctrlPr>
                <w:rPr>
                  <w:rFonts w:ascii="Cambria Math" w:hAnsi="Cambria Math"/>
                  <w:i/>
                </w:rPr>
              </m:ctrlPr>
            </m:dPr>
            <m:e>
              <m:r>
                <w:rPr>
                  <w:rFonts w:ascii="Cambria Math" w:hAnsi="Cambria Math"/>
                </w:rPr>
                <m:t>α</m:t>
              </m:r>
            </m:e>
          </m:d>
          <m:r>
            <w:rPr>
              <w:rFonts w:ascii="Cambria Math" w:hAnsi="Cambria Math"/>
            </w:rPr>
            <m:t>=</m:t>
          </m:r>
          <m:f>
            <m:fPr>
              <m:ctrlPr>
                <w:rPr>
                  <w:rFonts w:ascii="Cambria Math" w:hAnsi="Cambria Math"/>
                  <w:i/>
                </w:rPr>
              </m:ctrlPr>
            </m:fPr>
            <m:num>
              <m:r>
                <w:rPr>
                  <w:rFonts w:ascii="Cambria Math" w:hAnsi="Cambria Math"/>
                </w:rPr>
                <m:t>N</m:t>
              </m:r>
            </m:num>
            <m:den>
              <m:r>
                <w:rPr>
                  <w:rFonts w:ascii="Cambria Math" w:hAnsi="Cambria Math"/>
                </w:rPr>
                <m:t>Number of Kmols Reactant</m:t>
              </m:r>
            </m:den>
          </m:f>
          <m:r>
            <w:rPr>
              <w:rFonts w:ascii="Cambria Math" w:hAnsi="Cambria Math"/>
            </w:rPr>
            <m:t xml:space="preserve"> </m:t>
          </m:r>
        </m:oMath>
      </m:oMathPara>
    </w:p>
    <w:p w14:paraId="769C3F57" w14:textId="7D15983E" w:rsidR="004B79E6" w:rsidRDefault="004B79E6" w:rsidP="004B79E6">
      <w:pPr>
        <w:rPr>
          <w:rFonts w:eastAsiaTheme="minorEastAsia"/>
        </w:rPr>
      </w:pPr>
      <w:r>
        <w:rPr>
          <w:rFonts w:eastAsiaTheme="minorEastAsia"/>
        </w:rPr>
        <w:t>Where N = Number of Molecules</w:t>
      </w:r>
      <w:r w:rsidR="00515D44">
        <w:rPr>
          <w:rFonts w:eastAsiaTheme="minorEastAsia"/>
        </w:rPr>
        <w:t xml:space="preserve"> </w:t>
      </w:r>
    </w:p>
    <w:p w14:paraId="38F750E8" w14:textId="01B768B0" w:rsidR="000D2775" w:rsidRDefault="000D2775" w:rsidP="000D2775">
      <w:r>
        <w:t>To calculate N, rearrange ideal gas equation</w:t>
      </w:r>
    </w:p>
    <w:p w14:paraId="02E7A1D6" w14:textId="77777777" w:rsidR="000D2775" w:rsidRDefault="000D2775" w:rsidP="000D2775">
      <w:pPr>
        <w:rPr>
          <w:rFonts w:eastAsiaTheme="minorEastAsia"/>
        </w:rPr>
      </w:pPr>
      <m:oMathPara>
        <m:oMath>
          <m:r>
            <w:rPr>
              <w:rFonts w:ascii="Cambria Math" w:hAnsi="Cambria Math"/>
            </w:rPr>
            <m:t>P×V=n×Ru×T  →n=</m:t>
          </m:r>
          <m:f>
            <m:fPr>
              <m:ctrlPr>
                <w:rPr>
                  <w:rFonts w:ascii="Cambria Math" w:hAnsi="Cambria Math"/>
                  <w:i/>
                </w:rPr>
              </m:ctrlPr>
            </m:fPr>
            <m:num>
              <m:r>
                <w:rPr>
                  <w:rFonts w:ascii="Cambria Math" w:hAnsi="Cambria Math"/>
                </w:rPr>
                <m:t>P×V</m:t>
              </m:r>
            </m:num>
            <m:den>
              <m:r>
                <w:rPr>
                  <w:rFonts w:ascii="Cambria Math" w:hAnsi="Cambria Math"/>
                </w:rPr>
                <m:t>Ru×T</m:t>
              </m:r>
            </m:den>
          </m:f>
        </m:oMath>
      </m:oMathPara>
    </w:p>
    <w:p w14:paraId="0B384226" w14:textId="77777777" w:rsidR="000D2775" w:rsidRPr="002762F6" w:rsidRDefault="000D2775" w:rsidP="000D2775">
      <w:pPr>
        <w:rPr>
          <w:rFonts w:eastAsiaTheme="minorEastAsia"/>
        </w:rPr>
      </w:pPr>
      <m:oMathPara>
        <m:oMath>
          <m:r>
            <w:rPr>
              <w:rFonts w:ascii="Cambria Math" w:hAnsi="Cambria Math"/>
            </w:rPr>
            <m:t>V=Volumetric Efficiency ×Cylinder Volume</m:t>
          </m:r>
        </m:oMath>
      </m:oMathPara>
    </w:p>
    <w:p w14:paraId="407E8EA4" w14:textId="58586FCE" w:rsidR="000D2775" w:rsidRDefault="000D2775" w:rsidP="000D2775">
      <w:pPr>
        <w:pStyle w:val="Heading2"/>
      </w:pPr>
      <w:bookmarkStart w:id="45" w:name="_Toc503445947"/>
      <w:r>
        <w:t>Results</w:t>
      </w:r>
      <w:bookmarkEnd w:id="45"/>
    </w:p>
    <w:p w14:paraId="0FBA2979" w14:textId="77777777" w:rsidR="00A14710" w:rsidRDefault="00A14710" w:rsidP="00A14710">
      <w:pPr>
        <w:keepNext/>
        <w:jc w:val="center"/>
      </w:pPr>
      <w:r>
        <w:rPr>
          <w:noProof/>
        </w:rPr>
        <w:drawing>
          <wp:inline distT="0" distB="0" distL="0" distR="0" wp14:anchorId="271270FB" wp14:editId="325045D8">
            <wp:extent cx="2416175" cy="2406015"/>
            <wp:effectExtent l="0" t="0" r="3175" b="0"/>
            <wp:docPr id="19" name="Picture 19" descr="C:\Users\Phil\AppData\Local\Microsoft\Windows\INetCache\Content.Word\Screenshot 2018-01-11 09.58.3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Phil\AppData\Local\Microsoft\Windows\INetCache\Content.Word\Screenshot 2018-01-11 09.58.32.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416175" cy="2406015"/>
                    </a:xfrm>
                    <a:prstGeom prst="rect">
                      <a:avLst/>
                    </a:prstGeom>
                    <a:noFill/>
                    <a:ln>
                      <a:noFill/>
                    </a:ln>
                  </pic:spPr>
                </pic:pic>
              </a:graphicData>
            </a:graphic>
          </wp:inline>
        </w:drawing>
      </w:r>
    </w:p>
    <w:p w14:paraId="53C623A7" w14:textId="3587A625" w:rsidR="00A14710" w:rsidRDefault="00A14710" w:rsidP="00A14710">
      <w:pPr>
        <w:pStyle w:val="Caption"/>
        <w:jc w:val="center"/>
      </w:pPr>
      <w:bookmarkStart w:id="46" w:name="_Toc503445895"/>
      <w:r>
        <w:t xml:space="preserve">Figure </w:t>
      </w:r>
      <w:fldSimple w:instr=" SEQ Figure \* ARABIC ">
        <w:r w:rsidR="004E0ADF">
          <w:rPr>
            <w:noProof/>
          </w:rPr>
          <w:t>16</w:t>
        </w:r>
      </w:fldSimple>
      <w:r>
        <w:t>: Multiplying Constant Results</w:t>
      </w:r>
      <w:bookmarkEnd w:id="46"/>
    </w:p>
    <w:p w14:paraId="15AA16CD" w14:textId="16EDE3A2" w:rsidR="00C55A83" w:rsidRDefault="00C55A83" w:rsidP="00C55A83"/>
    <w:p w14:paraId="3F42730D" w14:textId="1560929F" w:rsidR="00C55A83" w:rsidRDefault="00C55A83" w:rsidP="00C55A83"/>
    <w:p w14:paraId="34E59D01" w14:textId="54630981" w:rsidR="00C55A83" w:rsidRDefault="00C55A83" w:rsidP="00C55A83"/>
    <w:p w14:paraId="76706B28" w14:textId="06B90059" w:rsidR="00C55A83" w:rsidRDefault="00C55A83" w:rsidP="00C55A83"/>
    <w:p w14:paraId="024EFB93" w14:textId="77777777" w:rsidR="00C55A83" w:rsidRPr="00C55A83" w:rsidRDefault="00C55A83" w:rsidP="00C55A83"/>
    <w:p w14:paraId="6336F38D" w14:textId="71BBEAFC" w:rsidR="004B79E6" w:rsidRDefault="792EE21C" w:rsidP="000D2775">
      <w:pPr>
        <w:pStyle w:val="Heading1"/>
      </w:pPr>
      <w:bookmarkStart w:id="47" w:name="_Toc503445948"/>
      <w:r>
        <w:lastRenderedPageBreak/>
        <w:t>N2 and O2 Concentrations</w:t>
      </w:r>
      <w:bookmarkEnd w:id="47"/>
    </w:p>
    <w:p w14:paraId="5132BCC2" w14:textId="58785621" w:rsidR="00AA3FB6" w:rsidRPr="00AA3FB6" w:rsidRDefault="00AA3FB6" w:rsidP="00AA3FB6">
      <w:pPr>
        <w:pStyle w:val="Heading2"/>
      </w:pPr>
      <w:bookmarkStart w:id="48" w:name="_Toc503445949"/>
      <w:r>
        <w:t>Method</w:t>
      </w:r>
      <w:bookmarkEnd w:id="48"/>
    </w:p>
    <w:p w14:paraId="4E2A474E" w14:textId="77777777" w:rsidR="004B79E6" w:rsidRDefault="004B79E6" w:rsidP="004B79E6">
      <w:r>
        <w:t>The concentration of N2 and O2 is calculated using the following equation:</w:t>
      </w:r>
    </w:p>
    <w:p w14:paraId="46FE686E" w14:textId="67E1BDA5" w:rsidR="004B79E6" w:rsidRPr="00511635" w:rsidRDefault="004B79E6" w:rsidP="004B79E6">
      <w:pPr>
        <w:rPr>
          <w:rFonts w:eastAsiaTheme="minorEastAsia"/>
        </w:rPr>
      </w:pPr>
      <m:oMathPara>
        <m:oMath>
          <m:r>
            <w:rPr>
              <w:rFonts w:ascii="Cambria Math" w:hAnsi="Cambria Math"/>
            </w:rPr>
            <m:t>Concentration N2 or O2=</m:t>
          </m:r>
          <m:f>
            <m:fPr>
              <m:ctrlPr>
                <w:rPr>
                  <w:rFonts w:ascii="Cambria Math" w:hAnsi="Cambria Math"/>
                  <w:i/>
                </w:rPr>
              </m:ctrlPr>
            </m:fPr>
            <m:num>
              <m:r>
                <w:rPr>
                  <w:rFonts w:ascii="Cambria Math" w:hAnsi="Cambria Math"/>
                </w:rPr>
                <m:t>Multiplying Constant ×N2 or O2 Quantity</m:t>
              </m:r>
            </m:num>
            <m:den>
              <m:r>
                <w:rPr>
                  <w:rFonts w:ascii="Cambria Math" w:hAnsi="Cambria Math"/>
                </w:rPr>
                <m:t>Volume Burnt</m:t>
              </m:r>
            </m:den>
          </m:f>
        </m:oMath>
      </m:oMathPara>
    </w:p>
    <w:p w14:paraId="5A353EF4" w14:textId="16E637A6" w:rsidR="00511635" w:rsidRDefault="00511635" w:rsidP="00511635">
      <w:pPr>
        <w:pStyle w:val="Heading2"/>
      </w:pPr>
      <w:bookmarkStart w:id="49" w:name="_Toc503445950"/>
      <w:r>
        <w:t>Results</w:t>
      </w:r>
      <w:bookmarkEnd w:id="49"/>
    </w:p>
    <w:p w14:paraId="0A4E648E" w14:textId="77777777" w:rsidR="003B5DC0" w:rsidRDefault="00677F8D" w:rsidP="003B5DC0">
      <w:pPr>
        <w:keepNext/>
        <w:jc w:val="center"/>
      </w:pPr>
      <w:r>
        <w:rPr>
          <w:noProof/>
        </w:rPr>
        <w:drawing>
          <wp:inline distT="0" distB="0" distL="0" distR="0" wp14:anchorId="4EA44AD7" wp14:editId="00920FC1">
            <wp:extent cx="2541466" cy="2250000"/>
            <wp:effectExtent l="0" t="0" r="0" b="0"/>
            <wp:docPr id="20" name="Picture 20" descr="C:\Users\Phil\AppData\Local\Microsoft\Windows\INetCache\Content.Word\Screenshot 2018-01-11 10.21.3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Phil\AppData\Local\Microsoft\Windows\INetCache\Content.Word\Screenshot 2018-01-11 10.21.34.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541466" cy="2250000"/>
                    </a:xfrm>
                    <a:prstGeom prst="rect">
                      <a:avLst/>
                    </a:prstGeom>
                    <a:noFill/>
                    <a:ln>
                      <a:noFill/>
                    </a:ln>
                  </pic:spPr>
                </pic:pic>
              </a:graphicData>
            </a:graphic>
          </wp:inline>
        </w:drawing>
      </w:r>
    </w:p>
    <w:p w14:paraId="18F188B7" w14:textId="52DA0001" w:rsidR="00677F8D" w:rsidRDefault="003B5DC0" w:rsidP="003B5DC0">
      <w:pPr>
        <w:pStyle w:val="Caption"/>
        <w:jc w:val="center"/>
      </w:pPr>
      <w:bookmarkStart w:id="50" w:name="_Toc503445896"/>
      <w:r>
        <w:t xml:space="preserve">Figure </w:t>
      </w:r>
      <w:fldSimple w:instr=" SEQ Figure \* ARABIC ">
        <w:r w:rsidR="004E0ADF">
          <w:rPr>
            <w:noProof/>
          </w:rPr>
          <w:t>17</w:t>
        </w:r>
      </w:fldSimple>
      <w:r>
        <w:t>: Nitrogen and Oxygen Concentrations</w:t>
      </w:r>
      <w:bookmarkEnd w:id="50"/>
    </w:p>
    <w:p w14:paraId="0470FEDA" w14:textId="77777777" w:rsidR="003B5DC0" w:rsidRDefault="00677F8D" w:rsidP="003B5DC0">
      <w:pPr>
        <w:keepNext/>
        <w:jc w:val="center"/>
      </w:pPr>
      <w:r>
        <w:rPr>
          <w:noProof/>
        </w:rPr>
        <w:drawing>
          <wp:inline distT="0" distB="0" distL="0" distR="0" wp14:anchorId="088D07EA" wp14:editId="5CA494B0">
            <wp:extent cx="4320000" cy="2232000"/>
            <wp:effectExtent l="0" t="0" r="4445" b="16510"/>
            <wp:docPr id="21" name="Chart 21">
              <a:extLst xmlns:a="http://schemas.openxmlformats.org/drawingml/2006/main">
                <a:ext uri="{FF2B5EF4-FFF2-40B4-BE49-F238E27FC236}">
                  <a16:creationId xmlns:a16="http://schemas.microsoft.com/office/drawing/2014/main" id="{B6AE7E67-FDB2-403F-86AB-CB0BABE79A2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2077C5F0" w14:textId="5E3A826E" w:rsidR="00677F8D" w:rsidRDefault="003B5DC0" w:rsidP="003B5DC0">
      <w:pPr>
        <w:pStyle w:val="Caption"/>
        <w:jc w:val="center"/>
      </w:pPr>
      <w:bookmarkStart w:id="51" w:name="_Toc503445897"/>
      <w:r>
        <w:t xml:space="preserve">Figure </w:t>
      </w:r>
      <w:fldSimple w:instr=" SEQ Figure \* ARABIC ">
        <w:r w:rsidR="004E0ADF">
          <w:rPr>
            <w:noProof/>
          </w:rPr>
          <w:t>18</w:t>
        </w:r>
      </w:fldSimple>
      <w:r>
        <w:t>: Nitrogen Concentration vs Fuel Equivalence Ratio</w:t>
      </w:r>
      <w:bookmarkEnd w:id="51"/>
    </w:p>
    <w:p w14:paraId="652523A0" w14:textId="77777777" w:rsidR="003B5DC0" w:rsidRDefault="00486612" w:rsidP="003B5DC0">
      <w:pPr>
        <w:keepNext/>
        <w:jc w:val="center"/>
      </w:pPr>
      <w:r>
        <w:rPr>
          <w:noProof/>
        </w:rPr>
        <w:lastRenderedPageBreak/>
        <w:drawing>
          <wp:inline distT="0" distB="0" distL="0" distR="0" wp14:anchorId="08FF0E03" wp14:editId="30E8FFCD">
            <wp:extent cx="4320000" cy="2232000"/>
            <wp:effectExtent l="0" t="0" r="4445" b="16510"/>
            <wp:docPr id="23" name="Chart 23">
              <a:extLst xmlns:a="http://schemas.openxmlformats.org/drawingml/2006/main">
                <a:ext uri="{FF2B5EF4-FFF2-40B4-BE49-F238E27FC236}">
                  <a16:creationId xmlns:a16="http://schemas.microsoft.com/office/drawing/2014/main" id="{0D2E743D-5610-4067-BCBF-3069E63C92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1BD9C4C1" w14:textId="2261D668" w:rsidR="00486612" w:rsidRDefault="003B5DC0" w:rsidP="003B5DC0">
      <w:pPr>
        <w:pStyle w:val="Caption"/>
        <w:jc w:val="center"/>
      </w:pPr>
      <w:bookmarkStart w:id="52" w:name="_Toc503445898"/>
      <w:r>
        <w:t xml:space="preserve">Figure </w:t>
      </w:r>
      <w:fldSimple w:instr=" SEQ Figure \* ARABIC ">
        <w:r w:rsidR="004E0ADF">
          <w:rPr>
            <w:noProof/>
          </w:rPr>
          <w:t>19</w:t>
        </w:r>
      </w:fldSimple>
      <w:r>
        <w:t>: Oxygen Concentration vs Fuel Equivalence Ratio</w:t>
      </w:r>
      <w:bookmarkEnd w:id="52"/>
    </w:p>
    <w:p w14:paraId="2FA4D4A0" w14:textId="742572BE" w:rsidR="003B5DC0" w:rsidRDefault="003B5DC0" w:rsidP="003B5DC0">
      <w:pPr>
        <w:pStyle w:val="Heading2"/>
      </w:pPr>
      <w:bookmarkStart w:id="53" w:name="_Toc503445951"/>
      <w:r>
        <w:t>Analysis</w:t>
      </w:r>
      <w:bookmarkEnd w:id="53"/>
    </w:p>
    <w:p w14:paraId="5BAFD044" w14:textId="43A95409" w:rsidR="003B5DC0" w:rsidRDefault="009F4EF1" w:rsidP="00BC71A7">
      <w:pPr>
        <w:spacing w:line="240" w:lineRule="auto"/>
      </w:pPr>
      <w:r>
        <w:t xml:space="preserve">Figure 17 shows that the </w:t>
      </w:r>
      <w:r w:rsidR="00BC71A7">
        <w:t>closer</w:t>
      </w:r>
      <w:r>
        <w:t xml:space="preserve"> the engine is run</w:t>
      </w:r>
      <w:r w:rsidR="00BC71A7">
        <w:t xml:space="preserve"> to stoichiometric</w:t>
      </w:r>
      <w:r>
        <w:t>, the</w:t>
      </w:r>
      <w:r w:rsidR="00BC71A7">
        <w:t xml:space="preserve"> lower the</w:t>
      </w:r>
      <w:r>
        <w:t xml:space="preserve"> concentrations of Nitrogen and Oxygen</w:t>
      </w:r>
      <w:r w:rsidR="00BC71A7">
        <w:t xml:space="preserve">. The increase in the concentration of Nitrogen is very small value of </w:t>
      </w:r>
      <w:r w:rsidR="00BC71A7" w:rsidRPr="00BC71A7">
        <w:rPr>
          <w:rFonts w:eastAsia="Times New Roman" w:cs="Times New Roman"/>
          <w:color w:val="000000"/>
          <w:lang w:eastAsia="en-GB"/>
        </w:rPr>
        <w:t>0.00084</w:t>
      </w:r>
      <w:r w:rsidR="00BC71A7">
        <w:rPr>
          <w:rFonts w:eastAsia="Times New Roman" w:cs="Times New Roman"/>
          <w:color w:val="000000"/>
          <w:lang w:eastAsia="en-GB"/>
        </w:rPr>
        <w:t xml:space="preserve"> Kmols/m^3 </w:t>
      </w:r>
      <w:r w:rsidR="00BC71A7">
        <w:t xml:space="preserve">from </w:t>
      </w:r>
      <w:r w:rsidR="00BC71A7">
        <w:rPr>
          <w:rFonts w:ascii="Calibri" w:eastAsiaTheme="minorEastAsia" w:hAnsi="Calibri" w:cs="Calibri"/>
        </w:rPr>
        <w:t>φ=1</w:t>
      </w:r>
      <w:r w:rsidR="00BC71A7">
        <w:t xml:space="preserve"> to </w:t>
      </w:r>
      <w:r w:rsidR="00BC71A7">
        <w:rPr>
          <w:rFonts w:ascii="Calibri" w:hAnsi="Calibri" w:cs="Calibri"/>
        </w:rPr>
        <w:t>φ=</w:t>
      </w:r>
      <w:r w:rsidR="00BC71A7">
        <w:t>0.6, the increase in the concentration of Oxygen is a fraction of that of the Nitrogen.</w:t>
      </w:r>
      <w:r w:rsidR="00AD4EEC">
        <w:t xml:space="preserve"> This is supported by Figures 18 and 19.</w:t>
      </w:r>
      <w:r w:rsidR="00C55C2C">
        <w:t xml:space="preserve"> The higher concentrations on Oxy</w:t>
      </w:r>
      <w:r w:rsidR="00310EF3">
        <w:t>g</w:t>
      </w:r>
      <w:r w:rsidR="00C55C2C">
        <w:t>en and Nitrogen at leaner fuel equivalence ratios also results in the formation of NOx.</w:t>
      </w:r>
    </w:p>
    <w:p w14:paraId="74D7DBF5" w14:textId="02890F97" w:rsidR="00C06824" w:rsidRDefault="00C06824">
      <w:pPr>
        <w:spacing w:line="259" w:lineRule="auto"/>
      </w:pPr>
      <w:r>
        <w:br w:type="page"/>
      </w:r>
    </w:p>
    <w:p w14:paraId="48560531" w14:textId="04D1EAC7" w:rsidR="00386F5B" w:rsidRDefault="792EE21C" w:rsidP="00386F5B">
      <w:pPr>
        <w:pStyle w:val="Heading1"/>
      </w:pPr>
      <w:bookmarkStart w:id="54" w:name="_Toc503445952"/>
      <w:r>
        <w:lastRenderedPageBreak/>
        <w:t>Zeldovich Model</w:t>
      </w:r>
      <w:bookmarkEnd w:id="54"/>
    </w:p>
    <w:p w14:paraId="04287B7C" w14:textId="453DA214" w:rsidR="00AD4EEC" w:rsidRPr="00AD4EEC" w:rsidRDefault="00D279E3" w:rsidP="00AD4EEC">
      <w:r>
        <w:t xml:space="preserve">The Zeldovich Model states the ways in which NO is formed </w:t>
      </w:r>
      <w:r w:rsidR="006E1E07">
        <w:t>during combustion</w:t>
      </w:r>
      <w:r>
        <w:t xml:space="preserve">. The </w:t>
      </w:r>
      <w:r w:rsidR="006E1E07">
        <w:t xml:space="preserve">main reactions </w:t>
      </w:r>
      <w:r>
        <w:t>are shown below:</w:t>
      </w:r>
    </w:p>
    <w:p w14:paraId="2EA67156" w14:textId="7D8BE658" w:rsidR="00D279E3" w:rsidRPr="00AD4EEC" w:rsidRDefault="00AD4EEC" w:rsidP="00AD4EEC">
      <w:pPr>
        <w:rPr>
          <w:rFonts w:eastAsiaTheme="majorEastAsia" w:cstheme="majorBidi"/>
        </w:rPr>
      </w:pPr>
      <m:oMathPara>
        <m:oMath>
          <m:r>
            <w:rPr>
              <w:rFonts w:ascii="Cambria Math" w:hAnsi="Cambria Math"/>
            </w:rPr>
            <m:t>O+</m:t>
          </m:r>
          <m:sSub>
            <m:sSubPr>
              <m:ctrlPr>
                <w:rPr>
                  <w:rFonts w:ascii="Cambria Math" w:hAnsi="Cambria Math"/>
                  <w:i/>
                </w:rPr>
              </m:ctrlPr>
            </m:sSubPr>
            <m:e>
              <m:r>
                <w:rPr>
                  <w:rFonts w:ascii="Cambria Math" w:hAnsi="Cambria Math"/>
                </w:rPr>
                <m:t>N</m:t>
              </m:r>
            </m:e>
            <m:sub>
              <m:r>
                <w:rPr>
                  <w:rFonts w:ascii="Cambria Math" w:hAnsi="Cambria Math"/>
                </w:rPr>
                <m:t>2</m:t>
              </m:r>
            </m:sub>
          </m:sSub>
          <m:r>
            <w:rPr>
              <w:rFonts w:ascii="Cambria Math" w:hAnsi="Cambria Math"/>
            </w:rPr>
            <m:t>↔NO+N</m:t>
          </m:r>
        </m:oMath>
      </m:oMathPara>
    </w:p>
    <w:p w14:paraId="669A8774" w14:textId="4452D6F5" w:rsidR="00AD4EEC" w:rsidRPr="00D279E3" w:rsidRDefault="00AD4EEC" w:rsidP="00AD4EEC">
      <w:pPr>
        <w:rPr>
          <w:rFonts w:eastAsiaTheme="majorEastAsia" w:cstheme="majorBidi"/>
        </w:rPr>
      </w:pPr>
      <m:oMathPara>
        <m:oMath>
          <m:r>
            <w:rPr>
              <w:rFonts w:ascii="Cambria Math" w:eastAsiaTheme="majorEastAsia" w:hAnsi="Cambria Math" w:cstheme="majorBidi"/>
            </w:rPr>
            <m:t>N+</m:t>
          </m:r>
          <m:sSub>
            <m:sSubPr>
              <m:ctrlPr>
                <w:rPr>
                  <w:rFonts w:ascii="Cambria Math" w:eastAsiaTheme="majorEastAsia" w:hAnsi="Cambria Math" w:cstheme="majorBidi"/>
                  <w:i/>
                </w:rPr>
              </m:ctrlPr>
            </m:sSubPr>
            <m:e>
              <m:r>
                <w:rPr>
                  <w:rFonts w:ascii="Cambria Math" w:eastAsiaTheme="majorEastAsia" w:hAnsi="Cambria Math" w:cstheme="majorBidi"/>
                </w:rPr>
                <m:t>O</m:t>
              </m:r>
            </m:e>
            <m:sub>
              <m:r>
                <w:rPr>
                  <w:rFonts w:ascii="Cambria Math" w:eastAsiaTheme="majorEastAsia" w:hAnsi="Cambria Math" w:cstheme="majorBidi"/>
                </w:rPr>
                <m:t>2</m:t>
              </m:r>
            </m:sub>
          </m:sSub>
          <m:r>
            <w:rPr>
              <w:rFonts w:ascii="Cambria Math" w:eastAsiaTheme="majorEastAsia" w:hAnsi="Cambria Math" w:cstheme="majorBidi"/>
            </w:rPr>
            <m:t>↔NO+O</m:t>
          </m:r>
        </m:oMath>
      </m:oMathPara>
    </w:p>
    <w:p w14:paraId="390D59C9" w14:textId="3A69A562" w:rsidR="00D279E3" w:rsidRPr="00AD4EEC" w:rsidRDefault="00D279E3" w:rsidP="00AD4EEC">
      <w:pPr>
        <w:rPr>
          <w:rFonts w:eastAsiaTheme="majorEastAsia" w:cstheme="majorBidi"/>
        </w:rPr>
      </w:pPr>
      <w:sdt>
        <w:sdtPr>
          <w:rPr>
            <w:rFonts w:eastAsiaTheme="majorEastAsia" w:cstheme="majorBidi"/>
          </w:rPr>
          <w:id w:val="1803268203"/>
          <w:citation/>
        </w:sdtPr>
        <w:sdtContent>
          <w:r>
            <w:rPr>
              <w:rFonts w:eastAsiaTheme="majorEastAsia" w:cstheme="majorBidi"/>
            </w:rPr>
            <w:fldChar w:fldCharType="begin"/>
          </w:r>
          <w:r>
            <w:rPr>
              <w:rFonts w:eastAsiaTheme="majorEastAsia" w:cstheme="majorBidi"/>
            </w:rPr>
            <w:instrText xml:space="preserve"> CITATION Col01 \l 2057 </w:instrText>
          </w:r>
          <w:r>
            <w:rPr>
              <w:rFonts w:eastAsiaTheme="majorEastAsia" w:cstheme="majorBidi"/>
            </w:rPr>
            <w:fldChar w:fldCharType="separate"/>
          </w:r>
          <w:r w:rsidRPr="00D279E3">
            <w:rPr>
              <w:rFonts w:eastAsiaTheme="majorEastAsia" w:cstheme="majorBidi"/>
              <w:noProof/>
            </w:rPr>
            <w:t>(Colin R Ferguson, 2001)</w:t>
          </w:r>
          <w:r>
            <w:rPr>
              <w:rFonts w:eastAsiaTheme="majorEastAsia" w:cstheme="majorBidi"/>
            </w:rPr>
            <w:fldChar w:fldCharType="end"/>
          </w:r>
        </w:sdtContent>
      </w:sdt>
    </w:p>
    <w:p w14:paraId="0375FE2D" w14:textId="78DBF0BC" w:rsidR="00386F5B" w:rsidRPr="00386F5B" w:rsidRDefault="00386F5B" w:rsidP="00386F5B">
      <w:pPr>
        <w:pStyle w:val="Heading2"/>
      </w:pPr>
      <w:bookmarkStart w:id="55" w:name="_Toc503445953"/>
      <w:r>
        <w:t>Method</w:t>
      </w:r>
      <w:bookmarkEnd w:id="55"/>
    </w:p>
    <w:p w14:paraId="3764D723" w14:textId="10D5B3F4" w:rsidR="004B79E6" w:rsidRDefault="004B79E6" w:rsidP="004B79E6">
      <w:r>
        <w:t>To work out the change in NOx quantity over</w:t>
      </w:r>
      <w:r w:rsidR="003D38CC">
        <w:t xml:space="preserve"> time</w:t>
      </w:r>
      <w:r>
        <w:t xml:space="preserve"> the following formula is used:</w:t>
      </w:r>
    </w:p>
    <w:p w14:paraId="69C4F789" w14:textId="1B51DF7F" w:rsidR="00D279E3" w:rsidRPr="0009213B" w:rsidRDefault="00D435E1" w:rsidP="004B79E6">
      <w:pPr>
        <w:rPr>
          <w:rFonts w:eastAsiaTheme="minorEastAsia"/>
        </w:rPr>
      </w:pPr>
      <m:oMathPara>
        <m:oMath>
          <m:f>
            <m:fPr>
              <m:ctrlPr>
                <w:rPr>
                  <w:rFonts w:ascii="Cambria Math" w:hAnsi="Cambria Math"/>
                  <w:i/>
                </w:rPr>
              </m:ctrlPr>
            </m:fPr>
            <m:num>
              <m:r>
                <w:rPr>
                  <w:rFonts w:ascii="Cambria Math" w:hAnsi="Cambria Math"/>
                </w:rPr>
                <m:t>d[NOx]</m:t>
              </m:r>
            </m:num>
            <m:den>
              <m:r>
                <w:rPr>
                  <w:rFonts w:ascii="Cambria Math" w:hAnsi="Cambria Math"/>
                </w:rPr>
                <m:t>dt</m:t>
              </m:r>
            </m:den>
          </m:f>
          <m:r>
            <w:rPr>
              <w:rFonts w:ascii="Cambria Math" w:hAnsi="Cambria Math"/>
            </w:rPr>
            <m:t>=</m:t>
          </m:r>
          <m:d>
            <m:dPr>
              <m:ctrlPr>
                <w:rPr>
                  <w:rFonts w:ascii="Cambria Math" w:hAnsi="Cambria Math"/>
                  <w:i/>
                </w:rPr>
              </m:ctrlPr>
            </m:dPr>
            <m:e>
              <m:r>
                <w:rPr>
                  <w:rFonts w:ascii="Cambria Math" w:hAnsi="Cambria Math"/>
                </w:rPr>
                <m:t>4.7×</m:t>
              </m:r>
              <m:sSup>
                <m:sSupPr>
                  <m:ctrlPr>
                    <w:rPr>
                      <w:rFonts w:ascii="Cambria Math" w:hAnsi="Cambria Math"/>
                      <w:i/>
                    </w:rPr>
                  </m:ctrlPr>
                </m:sSupPr>
                <m:e>
                  <m:r>
                    <w:rPr>
                      <w:rFonts w:ascii="Cambria Math" w:hAnsi="Cambria Math"/>
                    </w:rPr>
                    <m:t>10</m:t>
                  </m:r>
                </m:e>
                <m:sup>
                  <m:r>
                    <w:rPr>
                      <w:rFonts w:ascii="Cambria Math" w:hAnsi="Cambria Math"/>
                    </w:rPr>
                    <m:t>13</m:t>
                  </m:r>
                </m:sup>
              </m:sSup>
            </m:e>
          </m:d>
          <m:r>
            <w:rPr>
              <w:rFonts w:ascii="Cambria Math" w:hAnsi="Cambria Math"/>
            </w:rPr>
            <m:t>×[N2]×</m:t>
          </m:r>
          <m:sSup>
            <m:sSupPr>
              <m:ctrlPr>
                <w:rPr>
                  <w:rFonts w:ascii="Cambria Math" w:hAnsi="Cambria Math"/>
                  <w:i/>
                </w:rPr>
              </m:ctrlPr>
            </m:sSupPr>
            <m:e>
              <m:d>
                <m:dPr>
                  <m:begChr m:val="["/>
                  <m:endChr m:val="]"/>
                  <m:ctrlPr>
                    <w:rPr>
                      <w:rFonts w:ascii="Cambria Math" w:hAnsi="Cambria Math"/>
                      <w:i/>
                    </w:rPr>
                  </m:ctrlPr>
                </m:dPr>
                <m:e>
                  <m:r>
                    <w:rPr>
                      <w:rFonts w:ascii="Cambria Math" w:hAnsi="Cambria Math"/>
                    </w:rPr>
                    <m:t>O2</m:t>
                  </m:r>
                </m:e>
              </m:d>
            </m:e>
            <m:sup>
              <m:f>
                <m:fPr>
                  <m:ctrlPr>
                    <w:rPr>
                      <w:rFonts w:ascii="Cambria Math" w:hAnsi="Cambria Math"/>
                      <w:i/>
                    </w:rPr>
                  </m:ctrlPr>
                </m:fPr>
                <m:num>
                  <m:r>
                    <w:rPr>
                      <w:rFonts w:ascii="Cambria Math" w:hAnsi="Cambria Math"/>
                    </w:rPr>
                    <m:t>1</m:t>
                  </m:r>
                </m:num>
                <m:den>
                  <m:r>
                    <w:rPr>
                      <w:rFonts w:ascii="Cambria Math" w:hAnsi="Cambria Math"/>
                    </w:rPr>
                    <m:t>2</m:t>
                  </m:r>
                </m:den>
              </m:f>
            </m:sup>
          </m:sSup>
          <m:r>
            <w:rPr>
              <w:rFonts w:ascii="Cambria Math" w:eastAsiaTheme="minorEastAsia" w:hAnsi="Cambria Math"/>
            </w:rPr>
            <m:t>×Exp(</m:t>
          </m:r>
          <m:f>
            <m:fPr>
              <m:ctrlPr>
                <w:rPr>
                  <w:rFonts w:ascii="Cambria Math" w:eastAsiaTheme="minorEastAsia" w:hAnsi="Cambria Math"/>
                  <w:i/>
                </w:rPr>
              </m:ctrlPr>
            </m:fPr>
            <m:num>
              <m:r>
                <w:rPr>
                  <w:rFonts w:ascii="Cambria Math" w:eastAsiaTheme="minorEastAsia" w:hAnsi="Cambria Math"/>
                </w:rPr>
                <m:t>-67837</m:t>
              </m:r>
            </m:num>
            <m:den>
              <m:r>
                <w:rPr>
                  <w:rFonts w:ascii="Cambria Math" w:eastAsiaTheme="minorEastAsia" w:hAnsi="Cambria Math"/>
                </w:rPr>
                <m:t>T</m:t>
              </m:r>
            </m:den>
          </m:f>
          <m:r>
            <w:rPr>
              <w:rFonts w:ascii="Cambria Math" w:eastAsiaTheme="minorEastAsia" w:hAnsi="Cambria Math"/>
            </w:rPr>
            <m:t>)</m:t>
          </m:r>
        </m:oMath>
      </m:oMathPara>
    </w:p>
    <w:p w14:paraId="79270C06" w14:textId="77777777" w:rsidR="004B79E6" w:rsidRDefault="004B79E6" w:rsidP="004B79E6">
      <w:pPr>
        <w:rPr>
          <w:rFonts w:eastAsiaTheme="minorEastAsia"/>
        </w:rPr>
      </w:pPr>
      <w:r>
        <w:rPr>
          <w:rFonts w:eastAsiaTheme="minorEastAsia"/>
        </w:rPr>
        <w:t>Where:</w:t>
      </w:r>
    </w:p>
    <w:p w14:paraId="6A053950" w14:textId="195AA235" w:rsidR="004B79E6" w:rsidRDefault="004B79E6" w:rsidP="004B79E6">
      <w:pPr>
        <w:rPr>
          <w:rFonts w:eastAsiaTheme="minorEastAsia"/>
        </w:rPr>
      </w:pPr>
      <w:r>
        <w:rPr>
          <w:rFonts w:eastAsiaTheme="minorEastAsia"/>
        </w:rPr>
        <w:t>T = Flame Temperature</w:t>
      </w:r>
    </w:p>
    <w:p w14:paraId="450D7E6E" w14:textId="18E89904" w:rsidR="00D279E3" w:rsidRDefault="00D279E3" w:rsidP="004B79E6">
      <w:pPr>
        <w:rPr>
          <w:rFonts w:eastAsiaTheme="minorEastAsia"/>
        </w:rPr>
      </w:pPr>
      <w:sdt>
        <w:sdtPr>
          <w:rPr>
            <w:rFonts w:eastAsiaTheme="minorEastAsia"/>
          </w:rPr>
          <w:id w:val="308595418"/>
          <w:citation/>
        </w:sdtPr>
        <w:sdtContent>
          <w:r>
            <w:rPr>
              <w:rFonts w:eastAsiaTheme="minorEastAsia"/>
            </w:rPr>
            <w:fldChar w:fldCharType="begin"/>
          </w:r>
          <w:r>
            <w:rPr>
              <w:rFonts w:eastAsiaTheme="minorEastAsia"/>
            </w:rPr>
            <w:instrText xml:space="preserve"> CITATION Mcd17 \l 2057 </w:instrText>
          </w:r>
          <w:r>
            <w:rPr>
              <w:rFonts w:eastAsiaTheme="minorEastAsia"/>
            </w:rPr>
            <w:fldChar w:fldCharType="separate"/>
          </w:r>
          <w:r w:rsidRPr="00D279E3">
            <w:rPr>
              <w:rFonts w:eastAsiaTheme="minorEastAsia"/>
              <w:noProof/>
            </w:rPr>
            <w:t>(Mcdonald, 2017)</w:t>
          </w:r>
          <w:r>
            <w:rPr>
              <w:rFonts w:eastAsiaTheme="minorEastAsia"/>
            </w:rPr>
            <w:fldChar w:fldCharType="end"/>
          </w:r>
        </w:sdtContent>
      </w:sdt>
    </w:p>
    <w:p w14:paraId="4C2FBCD5" w14:textId="7B5C979C" w:rsidR="007064E4" w:rsidRDefault="00A14710" w:rsidP="00A14710">
      <w:pPr>
        <w:pStyle w:val="Heading2"/>
      </w:pPr>
      <w:bookmarkStart w:id="56" w:name="_Toc503445954"/>
      <w:r>
        <w:t>Results</w:t>
      </w:r>
      <w:bookmarkEnd w:id="56"/>
    </w:p>
    <w:p w14:paraId="33E50EB7" w14:textId="77777777" w:rsidR="003D38CC" w:rsidRDefault="00D279E3" w:rsidP="003D38CC">
      <w:pPr>
        <w:keepNext/>
        <w:jc w:val="center"/>
      </w:pPr>
      <w:r>
        <w:rPr>
          <w:noProof/>
        </w:rPr>
        <w:drawing>
          <wp:inline distT="0" distB="0" distL="0" distR="0" wp14:anchorId="55B35B2D" wp14:editId="5CBDAD41">
            <wp:extent cx="5586413" cy="1823726"/>
            <wp:effectExtent l="0" t="0" r="0" b="5080"/>
            <wp:docPr id="26" name="Picture 26" descr="C:\Users\Phil\AppData\Local\Microsoft\Windows\INetCache\Content.Word\Zeldovich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Users\Phil\AppData\Local\Microsoft\Windows\INetCache\Content.Word\Zeldovich 1.pn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640223" cy="1841293"/>
                    </a:xfrm>
                    <a:prstGeom prst="rect">
                      <a:avLst/>
                    </a:prstGeom>
                    <a:noFill/>
                    <a:ln>
                      <a:noFill/>
                    </a:ln>
                  </pic:spPr>
                </pic:pic>
              </a:graphicData>
            </a:graphic>
          </wp:inline>
        </w:drawing>
      </w:r>
    </w:p>
    <w:p w14:paraId="2A3148C3" w14:textId="23E2AFE9" w:rsidR="00D279E3" w:rsidRDefault="003D38CC" w:rsidP="003D38CC">
      <w:pPr>
        <w:pStyle w:val="Caption"/>
        <w:jc w:val="center"/>
      </w:pPr>
      <w:bookmarkStart w:id="57" w:name="_Toc503445899"/>
      <w:r>
        <w:t xml:space="preserve">Figure </w:t>
      </w:r>
      <w:fldSimple w:instr=" SEQ Figure \* ARABIC ">
        <w:r w:rsidR="004E0ADF">
          <w:rPr>
            <w:noProof/>
          </w:rPr>
          <w:t>20</w:t>
        </w:r>
      </w:fldSimple>
      <w:r>
        <w:t>: Zeldovich Model Results</w:t>
      </w:r>
      <w:bookmarkEnd w:id="57"/>
    </w:p>
    <w:p w14:paraId="1EA2D177" w14:textId="131BFE24" w:rsidR="006E1E07" w:rsidRDefault="00C55C2C" w:rsidP="00C55C2C">
      <w:pPr>
        <w:pStyle w:val="Heading2"/>
      </w:pPr>
      <w:bookmarkStart w:id="58" w:name="_Toc503445955"/>
      <w:r>
        <w:t>Analysis</w:t>
      </w:r>
      <w:bookmarkEnd w:id="58"/>
    </w:p>
    <w:p w14:paraId="33F15603" w14:textId="3FF14DD3" w:rsidR="00C55C2C" w:rsidRPr="00C55C2C" w:rsidRDefault="00C55C2C" w:rsidP="00C55C2C">
      <w:r>
        <w:t xml:space="preserve">From figure 20 it is possible to see that as crank angle increases as does the level of NOx. However it can be seen that NOx production peaks at </w:t>
      </w:r>
      <w:r>
        <w:rPr>
          <w:rFonts w:ascii="Calibri" w:hAnsi="Calibri" w:cs="Calibri"/>
        </w:rPr>
        <w:t>φ=</w:t>
      </w:r>
      <w:r>
        <w:t xml:space="preserve">0.97 and then begins to reduce the leaner the engine gets until it becomes negligible at </w:t>
      </w:r>
      <w:r>
        <w:rPr>
          <w:rFonts w:ascii="Calibri" w:hAnsi="Calibri" w:cs="Calibri"/>
        </w:rPr>
        <w:t>φ=</w:t>
      </w:r>
      <w:r>
        <w:t xml:space="preserve">0.6. This is due to the lower combustion temperatures produced when the engine is lean, meaning that the Nitrogen does disassociate. It is also worth noting that no NOx is formed when </w:t>
      </w:r>
      <w:r>
        <w:rPr>
          <w:rFonts w:ascii="Calibri" w:hAnsi="Calibri" w:cs="Calibri"/>
        </w:rPr>
        <w:t>φ=</w:t>
      </w:r>
      <w:r>
        <w:t>1.</w:t>
      </w:r>
    </w:p>
    <w:p w14:paraId="6574AB12" w14:textId="3C43B512" w:rsidR="004B79E6" w:rsidRDefault="792EE21C" w:rsidP="000D2775">
      <w:pPr>
        <w:pStyle w:val="Heading1"/>
      </w:pPr>
      <w:bookmarkStart w:id="59" w:name="_Toc503445956"/>
      <w:r>
        <w:lastRenderedPageBreak/>
        <w:t>Kmols of NOx per Degree</w:t>
      </w:r>
      <w:bookmarkEnd w:id="59"/>
    </w:p>
    <w:p w14:paraId="0C863F98" w14:textId="22D1F947" w:rsidR="00C55C2C" w:rsidRPr="00C55C2C" w:rsidRDefault="00C55C2C" w:rsidP="00C55C2C">
      <w:pPr>
        <w:pStyle w:val="Heading2"/>
      </w:pPr>
      <w:bookmarkStart w:id="60" w:name="_Toc503445957"/>
      <w:r>
        <w:t>Method</w:t>
      </w:r>
      <w:bookmarkEnd w:id="60"/>
    </w:p>
    <w:p w14:paraId="47D3B8CA" w14:textId="77777777" w:rsidR="004B79E6" w:rsidRDefault="004B79E6" w:rsidP="004B79E6">
      <w:r>
        <w:t>To work out the amount of Kmols of NOx per degree of crank angle the following equation is used:</w:t>
      </w:r>
    </w:p>
    <w:p w14:paraId="206502C3" w14:textId="77777777" w:rsidR="004B79E6" w:rsidRPr="00BC084C" w:rsidRDefault="004B79E6" w:rsidP="004B79E6">
      <m:oMathPara>
        <m:oMath>
          <m:r>
            <w:rPr>
              <w:rFonts w:ascii="Cambria Math" w:hAnsi="Cambria Math"/>
            </w:rPr>
            <m:t xml:space="preserve">Kmols NOx per Degree= </m:t>
          </m:r>
          <m:f>
            <m:fPr>
              <m:ctrlPr>
                <w:rPr>
                  <w:rFonts w:ascii="Cambria Math" w:hAnsi="Cambria Math"/>
                  <w:i/>
                </w:rPr>
              </m:ctrlPr>
            </m:fPr>
            <m:num>
              <m:r>
                <w:rPr>
                  <w:rFonts w:ascii="Cambria Math" w:hAnsi="Cambria Math"/>
                </w:rPr>
                <m:t>d[NO]</m:t>
              </m:r>
            </m:num>
            <m:den>
              <m:r>
                <w:rPr>
                  <w:rFonts w:ascii="Cambria Math" w:hAnsi="Cambria Math"/>
                </w:rPr>
                <m:t>dt</m:t>
              </m:r>
            </m:den>
          </m:f>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6 ×RPM</m:t>
              </m:r>
            </m:den>
          </m:f>
        </m:oMath>
      </m:oMathPara>
    </w:p>
    <w:p w14:paraId="5E27C376" w14:textId="7F596486" w:rsidR="004B79E6" w:rsidRDefault="00296DB4" w:rsidP="00296DB4">
      <w:pPr>
        <w:pStyle w:val="Heading2"/>
      </w:pPr>
      <w:bookmarkStart w:id="61" w:name="_Toc503445958"/>
      <w:r>
        <w:t>Results</w:t>
      </w:r>
      <w:bookmarkEnd w:id="61"/>
    </w:p>
    <w:p w14:paraId="65508C60" w14:textId="77777777" w:rsidR="00C55A83" w:rsidRDefault="00296DB4" w:rsidP="00C55A83">
      <w:pPr>
        <w:keepNext/>
      </w:pPr>
      <w:r>
        <w:rPr>
          <w:noProof/>
        </w:rPr>
        <w:drawing>
          <wp:inline distT="0" distB="0" distL="0" distR="0" wp14:anchorId="2583EDE7" wp14:editId="64986D94">
            <wp:extent cx="5731510" cy="1871246"/>
            <wp:effectExtent l="0" t="0" r="2540" b="0"/>
            <wp:docPr id="27" name="Picture 27" descr="C:\Users\Phil\AppData\Local\Microsoft\Windows\INetCache\Content.Word\Screenshot 2018-01-11 11.59.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Users\Phil\AppData\Local\Microsoft\Windows\INetCache\Content.Word\Screenshot 2018-01-11 11.59.19.pn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1871246"/>
                    </a:xfrm>
                    <a:prstGeom prst="rect">
                      <a:avLst/>
                    </a:prstGeom>
                    <a:noFill/>
                    <a:ln>
                      <a:noFill/>
                    </a:ln>
                  </pic:spPr>
                </pic:pic>
              </a:graphicData>
            </a:graphic>
          </wp:inline>
        </w:drawing>
      </w:r>
    </w:p>
    <w:p w14:paraId="2372697C" w14:textId="4017D0F3" w:rsidR="00296DB4" w:rsidRDefault="00C55A83" w:rsidP="00C55A83">
      <w:pPr>
        <w:pStyle w:val="Caption"/>
        <w:jc w:val="center"/>
      </w:pPr>
      <w:bookmarkStart w:id="62" w:name="_Toc503445900"/>
      <w:r>
        <w:t xml:space="preserve">Figure </w:t>
      </w:r>
      <w:fldSimple w:instr=" SEQ Figure \* ARABIC ">
        <w:r w:rsidR="004E0ADF">
          <w:rPr>
            <w:noProof/>
          </w:rPr>
          <w:t>21</w:t>
        </w:r>
      </w:fldSimple>
      <w:r>
        <w:t>: Kmols NOx per Degree Results</w:t>
      </w:r>
      <w:bookmarkEnd w:id="62"/>
    </w:p>
    <w:p w14:paraId="62A91304" w14:textId="5F9E4A98" w:rsidR="00C06824" w:rsidRDefault="00C06824">
      <w:pPr>
        <w:spacing w:line="259" w:lineRule="auto"/>
      </w:pPr>
      <w:r>
        <w:br w:type="page"/>
      </w:r>
    </w:p>
    <w:p w14:paraId="452DD6F1" w14:textId="559F331D" w:rsidR="004B79E6" w:rsidRDefault="792EE21C" w:rsidP="000D2775">
      <w:pPr>
        <w:pStyle w:val="Heading1"/>
      </w:pPr>
      <w:bookmarkStart w:id="63" w:name="_Toc503445959"/>
      <w:r>
        <w:lastRenderedPageBreak/>
        <w:t>NOx in Cylinder</w:t>
      </w:r>
      <w:bookmarkEnd w:id="63"/>
    </w:p>
    <w:p w14:paraId="5778BEFE" w14:textId="2AA9882C" w:rsidR="00C55A83" w:rsidRPr="00C55A83" w:rsidRDefault="00C55A83" w:rsidP="00C55A83">
      <w:pPr>
        <w:pStyle w:val="Heading2"/>
      </w:pPr>
      <w:bookmarkStart w:id="64" w:name="_Toc503445960"/>
      <w:r>
        <w:t>Method</w:t>
      </w:r>
      <w:bookmarkEnd w:id="64"/>
    </w:p>
    <w:p w14:paraId="0A9BA210" w14:textId="77777777" w:rsidR="004B79E6" w:rsidRDefault="004B79E6" w:rsidP="004B79E6">
      <w:r>
        <w:t>To calculate the amount of NOx in the cylinder the following equation is used:</w:t>
      </w:r>
    </w:p>
    <w:p w14:paraId="0FA4F05F" w14:textId="65D3C7F7" w:rsidR="004B79E6" w:rsidRPr="00C55A83" w:rsidRDefault="004B79E6" w:rsidP="004B79E6">
      <w:pPr>
        <w:rPr>
          <w:rFonts w:eastAsiaTheme="minorEastAsia"/>
        </w:rPr>
      </w:pPr>
      <m:oMathPara>
        <m:oMath>
          <m:r>
            <w:rPr>
              <w:rFonts w:ascii="Cambria Math" w:hAnsi="Cambria Math"/>
            </w:rPr>
            <m:t>NO</m:t>
          </m:r>
          <m:r>
            <w:rPr>
              <w:rFonts w:ascii="Cambria Math" w:hAnsi="Cambria Math"/>
            </w:rPr>
            <m:t>x</m:t>
          </m:r>
          <m:r>
            <w:rPr>
              <w:rFonts w:ascii="Cambria Math" w:hAnsi="Cambria Math"/>
            </w:rPr>
            <m:t xml:space="preserve"> in Cylinder=Kmols NOx per Degree × Volume Burnt</m:t>
          </m:r>
        </m:oMath>
      </m:oMathPara>
    </w:p>
    <w:p w14:paraId="3EBEC23B" w14:textId="65BCC658" w:rsidR="00C55A83" w:rsidRPr="00C55A83" w:rsidRDefault="00C55A83" w:rsidP="00C55A83">
      <w:pPr>
        <w:pStyle w:val="Heading2"/>
      </w:pPr>
      <w:bookmarkStart w:id="65" w:name="_Toc503445961"/>
      <w:r>
        <w:t>Results</w:t>
      </w:r>
      <w:bookmarkEnd w:id="65"/>
    </w:p>
    <w:p w14:paraId="55A4F221" w14:textId="77777777" w:rsidR="00C55A83" w:rsidRDefault="00C55A83" w:rsidP="00C55A83">
      <w:pPr>
        <w:keepNext/>
        <w:jc w:val="center"/>
      </w:pPr>
      <w:r>
        <w:rPr>
          <w:noProof/>
        </w:rPr>
        <w:drawing>
          <wp:inline distT="0" distB="0" distL="0" distR="0" wp14:anchorId="74986816" wp14:editId="163BA61E">
            <wp:extent cx="5731510" cy="1879406"/>
            <wp:effectExtent l="0" t="0" r="2540" b="6985"/>
            <wp:docPr id="28" name="Picture 28" descr="C:\Users\Phil\AppData\Local\Microsoft\Windows\INetCache\Content.Word\Screenshot 2018-01-11 12.03.2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C:\Users\Phil\AppData\Local\Microsoft\Windows\INetCache\Content.Word\Screenshot 2018-01-11 12.03.25.pn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1879406"/>
                    </a:xfrm>
                    <a:prstGeom prst="rect">
                      <a:avLst/>
                    </a:prstGeom>
                    <a:noFill/>
                    <a:ln>
                      <a:noFill/>
                    </a:ln>
                  </pic:spPr>
                </pic:pic>
              </a:graphicData>
            </a:graphic>
          </wp:inline>
        </w:drawing>
      </w:r>
    </w:p>
    <w:p w14:paraId="58B75C39" w14:textId="7161EA9E" w:rsidR="00C55A83" w:rsidRDefault="00C55A83" w:rsidP="00C55A83">
      <w:pPr>
        <w:pStyle w:val="Caption"/>
        <w:jc w:val="center"/>
      </w:pPr>
      <w:bookmarkStart w:id="66" w:name="_Toc503445901"/>
      <w:r>
        <w:t xml:space="preserve">Figure </w:t>
      </w:r>
      <w:fldSimple w:instr=" SEQ Figure \* ARABIC ">
        <w:r w:rsidR="004E0ADF">
          <w:rPr>
            <w:noProof/>
          </w:rPr>
          <w:t>22</w:t>
        </w:r>
      </w:fldSimple>
      <w:r>
        <w:t>:NOx in Cylinder Results</w:t>
      </w:r>
      <w:bookmarkEnd w:id="66"/>
    </w:p>
    <w:p w14:paraId="2B7F3A61" w14:textId="52108917" w:rsidR="00C06824" w:rsidRDefault="00C06824">
      <w:pPr>
        <w:spacing w:line="259" w:lineRule="auto"/>
      </w:pPr>
      <w:r>
        <w:br w:type="page"/>
      </w:r>
    </w:p>
    <w:p w14:paraId="45A61499" w14:textId="09F71619" w:rsidR="004B79E6" w:rsidRDefault="792EE21C" w:rsidP="000D2775">
      <w:pPr>
        <w:pStyle w:val="Heading1"/>
      </w:pPr>
      <w:bookmarkStart w:id="67" w:name="_Toc503445962"/>
      <w:r>
        <w:lastRenderedPageBreak/>
        <w:t>Total Kmols NOx made during combustion</w:t>
      </w:r>
      <w:bookmarkEnd w:id="67"/>
    </w:p>
    <w:p w14:paraId="67177E0B" w14:textId="6298170C" w:rsidR="00C55A83" w:rsidRPr="00C55A83" w:rsidRDefault="00C55A83" w:rsidP="00C55A83">
      <w:pPr>
        <w:pStyle w:val="Heading2"/>
      </w:pPr>
      <w:bookmarkStart w:id="68" w:name="_Toc503445963"/>
      <w:r>
        <w:t>Method</w:t>
      </w:r>
      <w:bookmarkEnd w:id="68"/>
    </w:p>
    <w:p w14:paraId="0F71123E" w14:textId="19BAC120" w:rsidR="004B79E6" w:rsidRDefault="004B79E6" w:rsidP="004B79E6">
      <w:r>
        <w:t>The total number of Kmols of NOx made during combustion is</w:t>
      </w:r>
      <w:r w:rsidR="00C55A83">
        <w:t xml:space="preserve"> worked out b</w:t>
      </w:r>
      <w:r w:rsidR="0006306C">
        <w:t>y</w:t>
      </w:r>
      <w:r w:rsidR="00C55A83">
        <w:t xml:space="preserve"> calculating</w:t>
      </w:r>
      <w:r>
        <w:t xml:space="preserve"> the </w:t>
      </w:r>
      <w:r w:rsidR="00C55A83">
        <w:t>sum of the Kmols NOx per Degree for each level of leanness.</w:t>
      </w:r>
    </w:p>
    <w:p w14:paraId="498CE96D" w14:textId="062A8DA3" w:rsidR="00C55A83" w:rsidRDefault="00C55A83" w:rsidP="00C55A83">
      <w:pPr>
        <w:pStyle w:val="Heading2"/>
      </w:pPr>
      <w:bookmarkStart w:id="69" w:name="_Toc503445964"/>
      <w:r>
        <w:t>Results</w:t>
      </w:r>
      <w:bookmarkEnd w:id="69"/>
    </w:p>
    <w:p w14:paraId="5668231B" w14:textId="77777777" w:rsidR="001B6D3D" w:rsidRDefault="001B6D3D" w:rsidP="001B6D3D">
      <w:pPr>
        <w:keepNext/>
        <w:jc w:val="center"/>
      </w:pPr>
      <w:r>
        <w:rPr>
          <w:noProof/>
        </w:rPr>
        <w:drawing>
          <wp:inline distT="0" distB="0" distL="0" distR="0" wp14:anchorId="26D9BCD7" wp14:editId="0BE84D97">
            <wp:extent cx="2786380" cy="2386330"/>
            <wp:effectExtent l="0" t="0" r="0" b="0"/>
            <wp:docPr id="29" name="Picture 29" descr="C:\Users\Phil\AppData\Local\Microsoft\Windows\INetCache\Content.Word\Screenshot 2018-01-11 12.19.3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C:\Users\Phil\AppData\Local\Microsoft\Windows\INetCache\Content.Word\Screenshot 2018-01-11 12.19.38.pn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786380" cy="2386330"/>
                    </a:xfrm>
                    <a:prstGeom prst="rect">
                      <a:avLst/>
                    </a:prstGeom>
                    <a:noFill/>
                    <a:ln>
                      <a:noFill/>
                    </a:ln>
                  </pic:spPr>
                </pic:pic>
              </a:graphicData>
            </a:graphic>
          </wp:inline>
        </w:drawing>
      </w:r>
    </w:p>
    <w:p w14:paraId="29884CA8" w14:textId="6EE11C1F" w:rsidR="001B6D3D" w:rsidRDefault="001B6D3D" w:rsidP="001B6D3D">
      <w:pPr>
        <w:pStyle w:val="Caption"/>
        <w:jc w:val="center"/>
      </w:pPr>
      <w:bookmarkStart w:id="70" w:name="_Toc503445902"/>
      <w:r>
        <w:t xml:space="preserve">Figure </w:t>
      </w:r>
      <w:fldSimple w:instr=" SEQ Figure \* ARABIC ">
        <w:r w:rsidR="004E0ADF">
          <w:rPr>
            <w:noProof/>
          </w:rPr>
          <w:t>23</w:t>
        </w:r>
      </w:fldSimple>
      <w:r>
        <w:t>: Total Kmols NOx made during Combustion</w:t>
      </w:r>
      <w:bookmarkEnd w:id="70"/>
    </w:p>
    <w:p w14:paraId="721FD5FD" w14:textId="0FCDFD43" w:rsidR="00C06824" w:rsidRDefault="00C06824">
      <w:pPr>
        <w:spacing w:line="259" w:lineRule="auto"/>
      </w:pPr>
      <w:r>
        <w:br w:type="page"/>
      </w:r>
    </w:p>
    <w:p w14:paraId="7FD59422" w14:textId="6159E610" w:rsidR="004B79E6" w:rsidRDefault="792EE21C" w:rsidP="000D2775">
      <w:pPr>
        <w:pStyle w:val="Heading1"/>
      </w:pPr>
      <w:bookmarkStart w:id="71" w:name="_Toc503445965"/>
      <w:r>
        <w:lastRenderedPageBreak/>
        <w:t>Total NOxx</w:t>
      </w:r>
      <w:bookmarkEnd w:id="71"/>
    </w:p>
    <w:p w14:paraId="50DBEBFF" w14:textId="30B48C2D" w:rsidR="0006306C" w:rsidRPr="0006306C" w:rsidRDefault="0006306C" w:rsidP="0006306C">
      <w:pPr>
        <w:pStyle w:val="Heading2"/>
      </w:pPr>
      <w:bookmarkStart w:id="72" w:name="_Toc503445966"/>
      <w:r>
        <w:t>Method</w:t>
      </w:r>
      <w:bookmarkEnd w:id="72"/>
    </w:p>
    <w:p w14:paraId="3FA0E4B9" w14:textId="708FEB46" w:rsidR="004B79E6" w:rsidRDefault="004B79E6" w:rsidP="004B79E6">
      <w:r>
        <w:t>The Total NOx is</w:t>
      </w:r>
      <w:r w:rsidR="0006306C">
        <w:t xml:space="preserve"> worked out by calculating</w:t>
      </w:r>
      <w:r>
        <w:t xml:space="preserve"> the sum of the NOx in the cylinder.</w:t>
      </w:r>
    </w:p>
    <w:p w14:paraId="5C41D656" w14:textId="572A4E30" w:rsidR="0006306C" w:rsidRDefault="0006306C" w:rsidP="0006306C">
      <w:pPr>
        <w:pStyle w:val="Heading2"/>
      </w:pPr>
      <w:bookmarkStart w:id="73" w:name="_Toc503445967"/>
      <w:r>
        <w:t>Results</w:t>
      </w:r>
      <w:bookmarkEnd w:id="73"/>
    </w:p>
    <w:p w14:paraId="718E0357" w14:textId="77777777" w:rsidR="0006306C" w:rsidRDefault="0006306C" w:rsidP="0006306C">
      <w:pPr>
        <w:keepNext/>
        <w:jc w:val="center"/>
      </w:pPr>
      <w:r>
        <w:rPr>
          <w:noProof/>
        </w:rPr>
        <w:drawing>
          <wp:inline distT="0" distB="0" distL="0" distR="0" wp14:anchorId="69B21928" wp14:editId="6E4AF278">
            <wp:extent cx="2121535" cy="2378710"/>
            <wp:effectExtent l="0" t="0" r="0" b="2540"/>
            <wp:docPr id="30" name="Picture 30" descr="C:\Users\Phil\AppData\Local\Microsoft\Windows\INetCache\Content.Word\Screenshot 2018-01-11 12.22.0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C:\Users\Phil\AppData\Local\Microsoft\Windows\INetCache\Content.Word\Screenshot 2018-01-11 12.22.07.pn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121535" cy="2378710"/>
                    </a:xfrm>
                    <a:prstGeom prst="rect">
                      <a:avLst/>
                    </a:prstGeom>
                    <a:noFill/>
                    <a:ln>
                      <a:noFill/>
                    </a:ln>
                  </pic:spPr>
                </pic:pic>
              </a:graphicData>
            </a:graphic>
          </wp:inline>
        </w:drawing>
      </w:r>
    </w:p>
    <w:p w14:paraId="0D067DD4" w14:textId="68101642" w:rsidR="0006306C" w:rsidRDefault="0006306C" w:rsidP="0006306C">
      <w:pPr>
        <w:pStyle w:val="Caption"/>
        <w:jc w:val="center"/>
      </w:pPr>
      <w:bookmarkStart w:id="74" w:name="_Toc503445903"/>
      <w:r>
        <w:t xml:space="preserve">Figure </w:t>
      </w:r>
      <w:fldSimple w:instr=" SEQ Figure \* ARABIC ">
        <w:r w:rsidR="004E0ADF">
          <w:rPr>
            <w:noProof/>
          </w:rPr>
          <w:t>24</w:t>
        </w:r>
      </w:fldSimple>
      <w:r>
        <w:t>: Total NOx Produced</w:t>
      </w:r>
      <w:bookmarkEnd w:id="74"/>
    </w:p>
    <w:p w14:paraId="30F09F35" w14:textId="417E448A" w:rsidR="00C06824" w:rsidRDefault="00C06824">
      <w:pPr>
        <w:spacing w:line="259" w:lineRule="auto"/>
      </w:pPr>
      <w:r>
        <w:br w:type="page"/>
      </w:r>
    </w:p>
    <w:p w14:paraId="1A73572A" w14:textId="528F8F60" w:rsidR="004B79E6" w:rsidRDefault="792EE21C" w:rsidP="000D2775">
      <w:pPr>
        <w:pStyle w:val="Heading1"/>
      </w:pPr>
      <w:bookmarkStart w:id="75" w:name="_Toc503445968"/>
      <w:r>
        <w:lastRenderedPageBreak/>
        <w:t>Kmols in Exhaust</w:t>
      </w:r>
      <w:bookmarkEnd w:id="75"/>
    </w:p>
    <w:p w14:paraId="687C2E70" w14:textId="23626F6A" w:rsidR="0006306C" w:rsidRPr="0006306C" w:rsidRDefault="0006306C" w:rsidP="0006306C">
      <w:pPr>
        <w:pStyle w:val="Heading2"/>
      </w:pPr>
      <w:bookmarkStart w:id="76" w:name="_Toc503445969"/>
      <w:r>
        <w:t>Method</w:t>
      </w:r>
      <w:bookmarkEnd w:id="76"/>
    </w:p>
    <w:p w14:paraId="55E3A473" w14:textId="77777777" w:rsidR="004B79E6" w:rsidRDefault="004B79E6" w:rsidP="004B79E6">
      <w:r>
        <w:t>The total Kmols in exhaust is worked out using the following formula:</w:t>
      </w:r>
    </w:p>
    <w:p w14:paraId="1928A07A" w14:textId="079621CC" w:rsidR="004B79E6" w:rsidRPr="0006306C" w:rsidRDefault="004B79E6" w:rsidP="004B79E6">
      <w:pPr>
        <w:rPr>
          <w:rFonts w:eastAsiaTheme="minorEastAsia"/>
        </w:rPr>
      </w:pPr>
      <m:oMathPara>
        <m:oMath>
          <m:r>
            <w:rPr>
              <w:rFonts w:ascii="Cambria Math" w:hAnsi="Cambria Math"/>
            </w:rPr>
            <m:t>Kmols Exhaust=Number of Kmols</m:t>
          </m:r>
          <m:d>
            <m:dPr>
              <m:ctrlPr>
                <w:rPr>
                  <w:rFonts w:ascii="Cambria Math" w:hAnsi="Cambria Math"/>
                  <w:i/>
                </w:rPr>
              </m:ctrlPr>
            </m:dPr>
            <m:e>
              <m:r>
                <w:rPr>
                  <w:rFonts w:ascii="Cambria Math" w:hAnsi="Cambria Math"/>
                </w:rPr>
                <m:t>Product</m:t>
              </m:r>
            </m:e>
          </m:d>
          <m:r>
            <w:rPr>
              <w:rFonts w:ascii="Cambria Math" w:hAnsi="Cambria Math"/>
            </w:rPr>
            <m:t xml:space="preserve"> ×Multiplying Constant</m:t>
          </m:r>
        </m:oMath>
      </m:oMathPara>
    </w:p>
    <w:p w14:paraId="259B327A" w14:textId="6C90A103" w:rsidR="0006306C" w:rsidRDefault="0006306C" w:rsidP="0006306C">
      <w:pPr>
        <w:pStyle w:val="Heading2"/>
      </w:pPr>
      <w:bookmarkStart w:id="77" w:name="_Toc503445970"/>
      <w:r>
        <w:t>Results</w:t>
      </w:r>
      <w:bookmarkEnd w:id="77"/>
    </w:p>
    <w:p w14:paraId="12756BB8" w14:textId="77777777" w:rsidR="0006306C" w:rsidRDefault="0006306C" w:rsidP="0006306C">
      <w:pPr>
        <w:keepNext/>
        <w:jc w:val="center"/>
      </w:pPr>
      <w:r>
        <w:rPr>
          <w:noProof/>
        </w:rPr>
        <w:drawing>
          <wp:inline distT="0" distB="0" distL="0" distR="0" wp14:anchorId="56DB897F" wp14:editId="00D0636C">
            <wp:extent cx="2486025" cy="2371725"/>
            <wp:effectExtent l="0" t="0" r="9525" b="9525"/>
            <wp:docPr id="31" name="Picture 31" descr="C:\Users\Phil\AppData\Local\Microsoft\Windows\INetCache\Content.Word\Screenshot 2018-01-11 12.26.0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C:\Users\Phil\AppData\Local\Microsoft\Windows\INetCache\Content.Word\Screenshot 2018-01-11 12.26.03.png"/>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486025" cy="2371725"/>
                    </a:xfrm>
                    <a:prstGeom prst="rect">
                      <a:avLst/>
                    </a:prstGeom>
                    <a:noFill/>
                    <a:ln>
                      <a:noFill/>
                    </a:ln>
                  </pic:spPr>
                </pic:pic>
              </a:graphicData>
            </a:graphic>
          </wp:inline>
        </w:drawing>
      </w:r>
    </w:p>
    <w:p w14:paraId="037DDB2B" w14:textId="77BC8BEF" w:rsidR="0006306C" w:rsidRDefault="0006306C" w:rsidP="0006306C">
      <w:pPr>
        <w:pStyle w:val="Caption"/>
        <w:jc w:val="center"/>
      </w:pPr>
      <w:bookmarkStart w:id="78" w:name="_Toc503445904"/>
      <w:r>
        <w:t xml:space="preserve">Figure </w:t>
      </w:r>
      <w:fldSimple w:instr=" SEQ Figure \* ARABIC ">
        <w:r w:rsidR="004E0ADF">
          <w:rPr>
            <w:noProof/>
          </w:rPr>
          <w:t>25</w:t>
        </w:r>
      </w:fldSimple>
      <w:r>
        <w:t>:Kmols in Exhaust Results</w:t>
      </w:r>
      <w:bookmarkEnd w:id="78"/>
    </w:p>
    <w:p w14:paraId="1255D8C7" w14:textId="04DFD549" w:rsidR="00C06824" w:rsidRDefault="00C06824">
      <w:pPr>
        <w:spacing w:line="259" w:lineRule="auto"/>
      </w:pPr>
      <w:r>
        <w:br w:type="page"/>
      </w:r>
    </w:p>
    <w:p w14:paraId="46A133D9" w14:textId="3EF6CD66" w:rsidR="004B79E6" w:rsidRDefault="792EE21C" w:rsidP="000D2775">
      <w:pPr>
        <w:pStyle w:val="Heading1"/>
      </w:pPr>
      <w:bookmarkStart w:id="79" w:name="_Toc503445971"/>
      <w:r>
        <w:lastRenderedPageBreak/>
        <w:t>NOx Parts per Million</w:t>
      </w:r>
      <w:bookmarkEnd w:id="79"/>
    </w:p>
    <w:p w14:paraId="1D328784" w14:textId="75CAE0A3" w:rsidR="00310EF3" w:rsidRPr="00310EF3" w:rsidRDefault="00310EF3" w:rsidP="00310EF3">
      <w:pPr>
        <w:pStyle w:val="Heading2"/>
      </w:pPr>
      <w:bookmarkStart w:id="80" w:name="_Toc503445972"/>
      <w:r>
        <w:t>Method</w:t>
      </w:r>
      <w:bookmarkEnd w:id="80"/>
    </w:p>
    <w:p w14:paraId="314EE945" w14:textId="77777777" w:rsidR="004B79E6" w:rsidRDefault="004B79E6" w:rsidP="004B79E6">
      <w:r>
        <w:t>To work out the number of NOx particles per million the following equation is used:</w:t>
      </w:r>
    </w:p>
    <w:p w14:paraId="3B57C2F3" w14:textId="4E94667A" w:rsidR="004B79E6" w:rsidRPr="00310EF3" w:rsidRDefault="004B79E6" w:rsidP="004B79E6">
      <w:pPr>
        <w:rPr>
          <w:rFonts w:eastAsiaTheme="minorEastAsia"/>
        </w:rPr>
      </w:pPr>
      <m:oMathPara>
        <m:oMath>
          <m:r>
            <w:rPr>
              <w:rFonts w:ascii="Cambria Math" w:hAnsi="Cambria Math"/>
            </w:rPr>
            <m:t>NOx PPM=</m:t>
          </m:r>
          <m:f>
            <m:fPr>
              <m:ctrlPr>
                <w:rPr>
                  <w:rFonts w:ascii="Cambria Math" w:hAnsi="Cambria Math"/>
                  <w:i/>
                </w:rPr>
              </m:ctrlPr>
            </m:fPr>
            <m:num>
              <m:r>
                <w:rPr>
                  <w:rFonts w:ascii="Cambria Math" w:hAnsi="Cambria Math"/>
                </w:rPr>
                <m:t>Total NOx</m:t>
              </m:r>
            </m:num>
            <m:den>
              <m:r>
                <w:rPr>
                  <w:rFonts w:ascii="Cambria Math" w:hAnsi="Cambria Math"/>
                </w:rPr>
                <m:t>Kmols in exhaust</m:t>
              </m:r>
            </m:den>
          </m:f>
          <m:r>
            <w:rPr>
              <w:rFonts w:ascii="Cambria Math" w:hAnsi="Cambria Math"/>
            </w:rPr>
            <m:t>×</m:t>
          </m:r>
          <m:sSup>
            <m:sSupPr>
              <m:ctrlPr>
                <w:rPr>
                  <w:rFonts w:ascii="Cambria Math" w:hAnsi="Cambria Math"/>
                  <w:i/>
                </w:rPr>
              </m:ctrlPr>
            </m:sSupPr>
            <m:e>
              <m:r>
                <w:rPr>
                  <w:rFonts w:ascii="Cambria Math" w:hAnsi="Cambria Math"/>
                </w:rPr>
                <m:t>10</m:t>
              </m:r>
            </m:e>
            <m:sup>
              <m:r>
                <w:rPr>
                  <w:rFonts w:ascii="Cambria Math" w:hAnsi="Cambria Math"/>
                </w:rPr>
                <m:t>6</m:t>
              </m:r>
            </m:sup>
          </m:sSup>
        </m:oMath>
      </m:oMathPara>
    </w:p>
    <w:p w14:paraId="4E6BEBE1" w14:textId="14970D82" w:rsidR="00310EF3" w:rsidRDefault="00310EF3" w:rsidP="00310EF3">
      <w:pPr>
        <w:pStyle w:val="Heading2"/>
      </w:pPr>
      <w:bookmarkStart w:id="81" w:name="_Toc503445973"/>
      <w:r>
        <w:t>Results</w:t>
      </w:r>
      <w:bookmarkEnd w:id="81"/>
    </w:p>
    <w:p w14:paraId="081FE577" w14:textId="77777777" w:rsidR="00310EF3" w:rsidRDefault="00310EF3" w:rsidP="00310EF3">
      <w:pPr>
        <w:keepNext/>
        <w:jc w:val="center"/>
      </w:pPr>
      <w:r>
        <w:rPr>
          <w:noProof/>
        </w:rPr>
        <w:drawing>
          <wp:inline distT="0" distB="0" distL="0" distR="0" wp14:anchorId="725313D9" wp14:editId="132B2BB2">
            <wp:extent cx="3072130" cy="2386330"/>
            <wp:effectExtent l="0" t="0" r="0" b="0"/>
            <wp:docPr id="32" name="Picture 32" descr="C:\Users\Phil\AppData\Local\Microsoft\Windows\INetCache\Content.Word\Screenshot 2018-01-11 12.46.2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C:\Users\Phil\AppData\Local\Microsoft\Windows\INetCache\Content.Word\Screenshot 2018-01-11 12.46.23.pn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072130" cy="2386330"/>
                    </a:xfrm>
                    <a:prstGeom prst="rect">
                      <a:avLst/>
                    </a:prstGeom>
                    <a:noFill/>
                    <a:ln>
                      <a:noFill/>
                    </a:ln>
                  </pic:spPr>
                </pic:pic>
              </a:graphicData>
            </a:graphic>
          </wp:inline>
        </w:drawing>
      </w:r>
    </w:p>
    <w:p w14:paraId="01EDF664" w14:textId="4B762A59" w:rsidR="00310EF3" w:rsidRDefault="00310EF3" w:rsidP="00310EF3">
      <w:pPr>
        <w:pStyle w:val="Caption"/>
        <w:jc w:val="center"/>
      </w:pPr>
      <w:bookmarkStart w:id="82" w:name="_Toc503445905"/>
      <w:r>
        <w:t xml:space="preserve">Figure </w:t>
      </w:r>
      <w:fldSimple w:instr=" SEQ Figure \* ARABIC ">
        <w:r w:rsidR="004E0ADF">
          <w:rPr>
            <w:noProof/>
          </w:rPr>
          <w:t>26</w:t>
        </w:r>
      </w:fldSimple>
      <w:r>
        <w:t>: NOx Parts per Million in Exhaust</w:t>
      </w:r>
      <w:bookmarkEnd w:id="82"/>
    </w:p>
    <w:p w14:paraId="617DEC1F" w14:textId="77777777" w:rsidR="00EF219D" w:rsidRDefault="00310EF3" w:rsidP="00EF219D">
      <w:pPr>
        <w:keepNext/>
        <w:jc w:val="center"/>
      </w:pPr>
      <w:r>
        <w:rPr>
          <w:noProof/>
        </w:rPr>
        <w:drawing>
          <wp:inline distT="0" distB="0" distL="0" distR="0" wp14:anchorId="1A69DDA5" wp14:editId="41AB4410">
            <wp:extent cx="5542002" cy="2731022"/>
            <wp:effectExtent l="0" t="0" r="1905" b="12700"/>
            <wp:docPr id="33" name="Chart 33">
              <a:extLst xmlns:a="http://schemas.openxmlformats.org/drawingml/2006/main">
                <a:ext uri="{FF2B5EF4-FFF2-40B4-BE49-F238E27FC236}">
                  <a16:creationId xmlns:a16="http://schemas.microsoft.com/office/drawing/2014/main" id="{E46ED529-5C62-48C5-95DA-A510F45476B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455EFC5A" w14:textId="743B1E83" w:rsidR="00310EF3" w:rsidRDefault="00EF219D" w:rsidP="00EF219D">
      <w:pPr>
        <w:pStyle w:val="Caption"/>
        <w:jc w:val="center"/>
      </w:pPr>
      <w:bookmarkStart w:id="83" w:name="_Toc503445906"/>
      <w:r>
        <w:t xml:space="preserve">Figure </w:t>
      </w:r>
      <w:fldSimple w:instr=" SEQ Figure \* ARABIC ">
        <w:r w:rsidR="004E0ADF">
          <w:rPr>
            <w:noProof/>
          </w:rPr>
          <w:t>27</w:t>
        </w:r>
      </w:fldSimple>
      <w:r>
        <w:t>: NOx PPM vs Fuel Equivalence Ratio</w:t>
      </w:r>
      <w:bookmarkEnd w:id="83"/>
    </w:p>
    <w:p w14:paraId="36EA6177" w14:textId="77777777" w:rsidR="00EF219D" w:rsidRDefault="00310EF3" w:rsidP="00EF219D">
      <w:pPr>
        <w:keepNext/>
        <w:jc w:val="center"/>
      </w:pPr>
      <w:r>
        <w:rPr>
          <w:noProof/>
        </w:rPr>
        <w:lastRenderedPageBreak/>
        <w:drawing>
          <wp:inline distT="0" distB="0" distL="0" distR="0" wp14:anchorId="2EF17103" wp14:editId="625EECFB">
            <wp:extent cx="5570200" cy="2760453"/>
            <wp:effectExtent l="0" t="0" r="12065" b="1905"/>
            <wp:docPr id="34" name="Chart 34">
              <a:extLst xmlns:a="http://schemas.openxmlformats.org/drawingml/2006/main">
                <a:ext uri="{FF2B5EF4-FFF2-40B4-BE49-F238E27FC236}">
                  <a16:creationId xmlns:a16="http://schemas.microsoft.com/office/drawing/2014/main" id="{42A552DB-4A35-4BF7-9CF5-D5255D4AB58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6988D446" w14:textId="2630E0F2" w:rsidR="00310EF3" w:rsidRDefault="00EF219D" w:rsidP="00EF219D">
      <w:pPr>
        <w:pStyle w:val="Caption"/>
        <w:jc w:val="center"/>
      </w:pPr>
      <w:bookmarkStart w:id="84" w:name="_Toc503445907"/>
      <w:r>
        <w:t xml:space="preserve">Figure </w:t>
      </w:r>
      <w:fldSimple w:instr=" SEQ Figure \* ARABIC ">
        <w:r w:rsidR="004E0ADF">
          <w:rPr>
            <w:noProof/>
          </w:rPr>
          <w:t>28</w:t>
        </w:r>
      </w:fldSimple>
      <w:r>
        <w:t xml:space="preserve">: NOx PPM vs Flame Temperature </w:t>
      </w:r>
      <w:r>
        <w:rPr>
          <w:rFonts w:ascii="Calibri" w:hAnsi="Calibri" w:cs="Calibri"/>
        </w:rPr>
        <w:t>φ</w:t>
      </w:r>
      <w:r>
        <w:t>=0.95</w:t>
      </w:r>
      <w:bookmarkEnd w:id="84"/>
    </w:p>
    <w:p w14:paraId="1BF0BB6A" w14:textId="77777777" w:rsidR="00EF219D" w:rsidRDefault="00EF219D" w:rsidP="00EF219D">
      <w:pPr>
        <w:keepNext/>
        <w:jc w:val="center"/>
      </w:pPr>
      <w:r>
        <w:rPr>
          <w:noProof/>
        </w:rPr>
        <w:drawing>
          <wp:inline distT="0" distB="0" distL="0" distR="0" wp14:anchorId="6E218868" wp14:editId="6EB64AD9">
            <wp:extent cx="5471612" cy="2698836"/>
            <wp:effectExtent l="0" t="0" r="15240" b="6350"/>
            <wp:docPr id="35" name="Chart 35">
              <a:extLst xmlns:a="http://schemas.openxmlformats.org/drawingml/2006/main">
                <a:ext uri="{FF2B5EF4-FFF2-40B4-BE49-F238E27FC236}">
                  <a16:creationId xmlns:a16="http://schemas.microsoft.com/office/drawing/2014/main" id="{56274816-465C-4570-8476-23DD0715F06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68AD8571" w14:textId="68D184AA" w:rsidR="00EF219D" w:rsidRDefault="00EF219D" w:rsidP="00EF219D">
      <w:pPr>
        <w:pStyle w:val="Caption"/>
        <w:jc w:val="center"/>
      </w:pPr>
      <w:bookmarkStart w:id="85" w:name="_Toc503445908"/>
      <w:r>
        <w:t xml:space="preserve">Figure </w:t>
      </w:r>
      <w:fldSimple w:instr=" SEQ Figure \* ARABIC ">
        <w:r w:rsidR="004E0ADF">
          <w:rPr>
            <w:noProof/>
          </w:rPr>
          <w:t>29</w:t>
        </w:r>
      </w:fldSimple>
      <w:r>
        <w:t>: NOx PPM vs Flame Temperature φ</w:t>
      </w:r>
      <w:r>
        <w:rPr>
          <w:rFonts w:ascii="Calibri" w:hAnsi="Calibri" w:cs="Calibri"/>
        </w:rPr>
        <w:t xml:space="preserve">= </w:t>
      </w:r>
      <w:r>
        <w:t>0.6</w:t>
      </w:r>
      <w:bookmarkEnd w:id="85"/>
    </w:p>
    <w:p w14:paraId="081492B3" w14:textId="25860DC7" w:rsidR="006456F8" w:rsidRDefault="006456F8" w:rsidP="006456F8">
      <w:pPr>
        <w:pStyle w:val="Heading2"/>
      </w:pPr>
      <w:bookmarkStart w:id="86" w:name="_Toc503445974"/>
      <w:r>
        <w:t>Analysis</w:t>
      </w:r>
      <w:bookmarkEnd w:id="86"/>
    </w:p>
    <w:p w14:paraId="22CB5F5E" w14:textId="66FC8CEB" w:rsidR="006456F8" w:rsidRPr="006456F8" w:rsidRDefault="007153BE" w:rsidP="006456F8">
      <w:r>
        <w:t xml:space="preserve">As can be seen from figure 26, at stoichiometric there is 0 NOx PPM created, however as the engine is run more lean, the NOx PPM rises to a peak at </w:t>
      </w:r>
      <w:r>
        <w:rPr>
          <w:rFonts w:ascii="Calibri" w:hAnsi="Calibri" w:cs="Calibri"/>
        </w:rPr>
        <w:t>φ=</w:t>
      </w:r>
      <w:r>
        <w:t xml:space="preserve">0.97, after this point the NOx PPM falls to negligible values at </w:t>
      </w:r>
      <w:r>
        <w:rPr>
          <w:rFonts w:ascii="Calibri" w:hAnsi="Calibri" w:cs="Calibri"/>
        </w:rPr>
        <w:t>φ=0.6, this is reinforced by figure 27. Figures 28 and 29 further show that as the engine is run leaner, the flame temperature drops and as a result, the NOx PPM is massively reduced.</w:t>
      </w:r>
    </w:p>
    <w:p w14:paraId="16415CF5" w14:textId="4F08B908" w:rsidR="00723896" w:rsidRDefault="00723896" w:rsidP="00723896">
      <w:pPr>
        <w:pStyle w:val="Heading1"/>
      </w:pPr>
      <w:bookmarkStart w:id="87" w:name="_Toc503445975"/>
      <w:r>
        <w:lastRenderedPageBreak/>
        <w:t>EGR</w:t>
      </w:r>
      <w:bookmarkEnd w:id="87"/>
    </w:p>
    <w:p w14:paraId="1CAF5095" w14:textId="678C2291" w:rsidR="00723896" w:rsidRDefault="00723896" w:rsidP="00723896">
      <w:pPr>
        <w:pStyle w:val="Heading2"/>
      </w:pPr>
      <w:bookmarkStart w:id="88" w:name="_Toc503445976"/>
      <w:r>
        <w:t>Method</w:t>
      </w:r>
      <w:bookmarkEnd w:id="88"/>
    </w:p>
    <w:p w14:paraId="06170DFD" w14:textId="652C92FF" w:rsidR="00597ABD" w:rsidRDefault="00682A35" w:rsidP="00597ABD">
      <w:r>
        <w:t>To</w:t>
      </w:r>
      <w:r w:rsidR="007153BE">
        <w:t xml:space="preserve"> factor EGR into the NOx model, the steps above are the same. The only difference comes when calculating the Enthalpy Released. To incorporate EGR the following formula is used: </w:t>
      </w:r>
    </w:p>
    <w:p w14:paraId="04BAD272" w14:textId="6AC9AE2D" w:rsidR="007153BE" w:rsidRPr="00007F34" w:rsidRDefault="007153BE" w:rsidP="007153BE">
      <w:pPr>
        <w:pStyle w:val="ListParagraph"/>
        <w:ind w:left="829"/>
        <w:jc w:val="center"/>
        <w:rPr>
          <w:rFonts w:eastAsiaTheme="minorEastAsia"/>
        </w:rPr>
      </w:pPr>
      <m:oMath>
        <m:r>
          <w:rPr>
            <w:rFonts w:ascii="Cambria Math" w:eastAsiaTheme="minorEastAsia" w:hAnsi="Cambria Math"/>
          </w:rPr>
          <m:t>ER=</m:t>
        </m:r>
        <m:d>
          <m:dPr>
            <m:ctrlPr>
              <w:rPr>
                <w:rFonts w:ascii="Cambria Math" w:eastAsiaTheme="minorEastAsia" w:hAnsi="Cambria Math"/>
                <w:i/>
              </w:rPr>
            </m:ctrlPr>
          </m:dPr>
          <m:e>
            <m:r>
              <w:rPr>
                <w:rFonts w:ascii="Cambria Math" w:eastAsiaTheme="minorEastAsia" w:hAnsi="Cambria Math"/>
              </w:rPr>
              <m:t>H2O E×H2O PQ+</m:t>
            </m:r>
            <m:d>
              <m:dPr>
                <m:ctrlPr>
                  <w:rPr>
                    <w:rFonts w:ascii="Cambria Math" w:eastAsiaTheme="minorEastAsia" w:hAnsi="Cambria Math"/>
                    <w:i/>
                  </w:rPr>
                </m:ctrlPr>
              </m:dPr>
              <m:e>
                <m:r>
                  <w:rPr>
                    <w:rFonts w:ascii="Cambria Math" w:eastAsiaTheme="minorEastAsia" w:hAnsi="Cambria Math"/>
                  </w:rPr>
                  <m:t>CO2 E×CO2 PQ</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O2 E×O2 PQ</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N2 E×O2 PQ</m:t>
                </m:r>
              </m:e>
            </m:d>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ER×EGR%</m:t>
            </m:r>
          </m:e>
        </m:d>
      </m:oMath>
      <w:r>
        <w:rPr>
          <w:rFonts w:eastAsiaTheme="minorEastAsia"/>
        </w:rPr>
        <w:t xml:space="preserve"> </w:t>
      </w:r>
    </w:p>
    <w:p w14:paraId="0E280B8D" w14:textId="77777777" w:rsidR="007153BE" w:rsidRPr="00007F34" w:rsidRDefault="007153BE" w:rsidP="007153BE">
      <w:pPr>
        <w:pStyle w:val="ListParagraph"/>
        <w:ind w:left="829"/>
        <w:jc w:val="center"/>
        <w:rPr>
          <w:rFonts w:eastAsiaTheme="minorEastAsia"/>
        </w:rPr>
      </w:pPr>
    </w:p>
    <w:p w14:paraId="314FD32D" w14:textId="77777777" w:rsidR="007153BE" w:rsidRDefault="007153BE" w:rsidP="007153BE">
      <w:pPr>
        <w:pStyle w:val="ListParagraph"/>
        <w:ind w:left="829"/>
        <w:rPr>
          <w:rFonts w:eastAsiaTheme="minorEastAsia"/>
        </w:rPr>
      </w:pPr>
      <w:r>
        <w:rPr>
          <w:rFonts w:eastAsiaTheme="minorEastAsia"/>
        </w:rPr>
        <w:t>Where:</w:t>
      </w:r>
    </w:p>
    <w:p w14:paraId="5E652C9A" w14:textId="77777777" w:rsidR="007153BE" w:rsidRDefault="007153BE" w:rsidP="007153BE">
      <w:pPr>
        <w:pStyle w:val="ListParagraph"/>
        <w:ind w:left="829"/>
        <w:rPr>
          <w:rFonts w:eastAsiaTheme="minorEastAsia"/>
        </w:rPr>
      </w:pPr>
      <w:r>
        <w:rPr>
          <w:rFonts w:eastAsiaTheme="minorEastAsia"/>
        </w:rPr>
        <w:t>ER = Enthalpy Released</w:t>
      </w:r>
    </w:p>
    <w:p w14:paraId="6A6D062E" w14:textId="77777777" w:rsidR="007153BE" w:rsidRDefault="007153BE" w:rsidP="007153BE">
      <w:pPr>
        <w:pStyle w:val="ListParagraph"/>
        <w:ind w:left="829"/>
        <w:rPr>
          <w:rFonts w:eastAsiaTheme="minorEastAsia"/>
        </w:rPr>
      </w:pPr>
      <w:r>
        <w:rPr>
          <w:rFonts w:eastAsiaTheme="minorEastAsia"/>
        </w:rPr>
        <w:t>E = Enthalpy</w:t>
      </w:r>
    </w:p>
    <w:p w14:paraId="739304AD" w14:textId="65CA83E9" w:rsidR="007153BE" w:rsidRDefault="007153BE" w:rsidP="007153BE">
      <w:pPr>
        <w:pStyle w:val="ListParagraph"/>
        <w:ind w:left="829"/>
        <w:rPr>
          <w:rFonts w:eastAsiaTheme="minorEastAsia"/>
        </w:rPr>
      </w:pPr>
      <w:r>
        <w:rPr>
          <w:rFonts w:eastAsiaTheme="minorEastAsia"/>
        </w:rPr>
        <w:t>PQ = Product Quantity</w:t>
      </w:r>
    </w:p>
    <w:p w14:paraId="2533611B" w14:textId="1614F6B8" w:rsidR="007153BE" w:rsidRPr="00007F34" w:rsidRDefault="007153BE" w:rsidP="007153BE">
      <w:pPr>
        <w:pStyle w:val="ListParagraph"/>
        <w:ind w:left="829"/>
        <w:rPr>
          <w:rFonts w:eastAsiaTheme="minorEastAsia"/>
        </w:rPr>
      </w:pPr>
      <w:r>
        <w:rPr>
          <w:rFonts w:eastAsiaTheme="minorEastAsia"/>
        </w:rPr>
        <w:t>EGR % = Percentage of EGR</w:t>
      </w:r>
    </w:p>
    <w:p w14:paraId="398A3BF5" w14:textId="76002695" w:rsidR="00723896" w:rsidRDefault="00723896" w:rsidP="00723896">
      <w:pPr>
        <w:pStyle w:val="Heading2"/>
      </w:pPr>
      <w:bookmarkStart w:id="89" w:name="_Toc503445977"/>
      <w:r>
        <w:t>Results</w:t>
      </w:r>
      <w:bookmarkEnd w:id="89"/>
    </w:p>
    <w:p w14:paraId="265A284D" w14:textId="77777777" w:rsidR="00682A35" w:rsidRDefault="008F2821" w:rsidP="00682A35">
      <w:pPr>
        <w:keepNext/>
        <w:jc w:val="center"/>
      </w:pPr>
      <w:r>
        <w:rPr>
          <w:noProof/>
        </w:rPr>
        <w:drawing>
          <wp:inline distT="0" distB="0" distL="0" distR="0" wp14:anchorId="2F33F42E" wp14:editId="5A3B98D8">
            <wp:extent cx="5731510" cy="3300386"/>
            <wp:effectExtent l="0" t="0" r="2540" b="0"/>
            <wp:docPr id="42" name="Picture 42" descr="C:\Users\Phil\AppData\Local\Microsoft\Windows\INetCache\Content.Word\Screenshot 2018-01-11 13.25.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C:\Users\Phil\AppData\Local\Microsoft\Windows\INetCache\Content.Word\Screenshot 2018-01-11 13.25.05.png"/>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3300386"/>
                    </a:xfrm>
                    <a:prstGeom prst="rect">
                      <a:avLst/>
                    </a:prstGeom>
                    <a:noFill/>
                    <a:ln>
                      <a:noFill/>
                    </a:ln>
                  </pic:spPr>
                </pic:pic>
              </a:graphicData>
            </a:graphic>
          </wp:inline>
        </w:drawing>
      </w:r>
    </w:p>
    <w:p w14:paraId="7ED51E22" w14:textId="237AE670" w:rsidR="008F2821" w:rsidRPr="008F2821" w:rsidRDefault="00682A35" w:rsidP="00682A35">
      <w:pPr>
        <w:pStyle w:val="Caption"/>
        <w:jc w:val="center"/>
      </w:pPr>
      <w:bookmarkStart w:id="90" w:name="_Toc503445909"/>
      <w:r>
        <w:t xml:space="preserve">Figure </w:t>
      </w:r>
      <w:fldSimple w:instr=" SEQ Figure \* ARABIC ">
        <w:r w:rsidR="004E0ADF">
          <w:rPr>
            <w:noProof/>
          </w:rPr>
          <w:t>30</w:t>
        </w:r>
      </w:fldSimple>
      <w:r>
        <w:t>: EGR Results φ=0.95</w:t>
      </w:r>
      <w:bookmarkEnd w:id="90"/>
    </w:p>
    <w:p w14:paraId="67BC707F" w14:textId="77777777" w:rsidR="00682A35" w:rsidRDefault="00597ABD" w:rsidP="00682A35">
      <w:pPr>
        <w:keepNext/>
        <w:jc w:val="center"/>
      </w:pPr>
      <w:r>
        <w:rPr>
          <w:noProof/>
        </w:rPr>
        <w:lastRenderedPageBreak/>
        <w:drawing>
          <wp:inline distT="0" distB="0" distL="0" distR="0" wp14:anchorId="58B32D5B" wp14:editId="626255B9">
            <wp:extent cx="5545550" cy="2755523"/>
            <wp:effectExtent l="0" t="0" r="17145" b="6985"/>
            <wp:docPr id="41" name="Chart 41">
              <a:extLst xmlns:a="http://schemas.openxmlformats.org/drawingml/2006/main">
                <a:ext uri="{FF2B5EF4-FFF2-40B4-BE49-F238E27FC236}">
                  <a16:creationId xmlns:a16="http://schemas.microsoft.com/office/drawing/2014/main" id="{F544E0D0-A6C8-4C39-9ADF-28089140526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0CAA543C" w14:textId="6CBA45CF" w:rsidR="00597ABD" w:rsidRPr="00597ABD" w:rsidRDefault="00682A35" w:rsidP="00682A35">
      <w:pPr>
        <w:pStyle w:val="Caption"/>
        <w:jc w:val="center"/>
      </w:pPr>
      <w:bookmarkStart w:id="91" w:name="_Toc503445910"/>
      <w:r>
        <w:t xml:space="preserve">Figure </w:t>
      </w:r>
      <w:fldSimple w:instr=" SEQ Figure \* ARABIC ">
        <w:r w:rsidR="004E0ADF">
          <w:rPr>
            <w:noProof/>
          </w:rPr>
          <w:t>31</w:t>
        </w:r>
      </w:fldSimple>
      <w:r>
        <w:t>: Flame Temperature vs Fuel Equivalence Ratio with EGR</w:t>
      </w:r>
      <w:bookmarkEnd w:id="91"/>
    </w:p>
    <w:p w14:paraId="006E2920" w14:textId="41B5687F" w:rsidR="00723896" w:rsidRDefault="00723896" w:rsidP="00597ABD">
      <w:pPr>
        <w:jc w:val="center"/>
      </w:pPr>
    </w:p>
    <w:p w14:paraId="4577FC0C" w14:textId="77777777" w:rsidR="00682A35" w:rsidRDefault="00597ABD" w:rsidP="00682A35">
      <w:pPr>
        <w:keepNext/>
        <w:jc w:val="center"/>
      </w:pPr>
      <w:r>
        <w:rPr>
          <w:noProof/>
        </w:rPr>
        <w:drawing>
          <wp:inline distT="0" distB="0" distL="0" distR="0" wp14:anchorId="51E42D84" wp14:editId="717F93D0">
            <wp:extent cx="5580000" cy="2624895"/>
            <wp:effectExtent l="0" t="0" r="1905" b="4445"/>
            <wp:docPr id="39" name="Chart 39">
              <a:extLst xmlns:a="http://schemas.openxmlformats.org/drawingml/2006/main">
                <a:ext uri="{FF2B5EF4-FFF2-40B4-BE49-F238E27FC236}">
                  <a16:creationId xmlns:a16="http://schemas.microsoft.com/office/drawing/2014/main" id="{AA91B67B-89AF-47B9-884B-89854CA31F1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5B92941B" w14:textId="2FF7EE7E" w:rsidR="00597ABD" w:rsidRDefault="00682A35" w:rsidP="00682A35">
      <w:pPr>
        <w:pStyle w:val="Caption"/>
        <w:jc w:val="center"/>
      </w:pPr>
      <w:bookmarkStart w:id="92" w:name="_Toc503445911"/>
      <w:r>
        <w:t xml:space="preserve">Figure </w:t>
      </w:r>
      <w:fldSimple w:instr=" SEQ Figure \* ARABIC ">
        <w:r w:rsidR="004E0ADF">
          <w:rPr>
            <w:noProof/>
          </w:rPr>
          <w:t>32</w:t>
        </w:r>
      </w:fldSimple>
      <w:r>
        <w:t>: NOx PPM vs EGR</w:t>
      </w:r>
      <w:bookmarkEnd w:id="92"/>
    </w:p>
    <w:p w14:paraId="0AA95B54" w14:textId="77777777" w:rsidR="00682A35" w:rsidRDefault="00597ABD" w:rsidP="00682A35">
      <w:pPr>
        <w:keepNext/>
        <w:jc w:val="center"/>
      </w:pPr>
      <w:r>
        <w:rPr>
          <w:noProof/>
        </w:rPr>
        <w:lastRenderedPageBreak/>
        <w:drawing>
          <wp:inline distT="0" distB="0" distL="0" distR="0" wp14:anchorId="317DF36A" wp14:editId="46568B32">
            <wp:extent cx="5555702" cy="2723231"/>
            <wp:effectExtent l="0" t="0" r="6985" b="1270"/>
            <wp:docPr id="40" name="Chart 40">
              <a:extLst xmlns:a="http://schemas.openxmlformats.org/drawingml/2006/main">
                <a:ext uri="{FF2B5EF4-FFF2-40B4-BE49-F238E27FC236}">
                  <a16:creationId xmlns:a16="http://schemas.microsoft.com/office/drawing/2014/main" id="{38076932-C092-44D4-85BD-F34F547074C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480961F4" w14:textId="1E62F1A0" w:rsidR="00597ABD" w:rsidRPr="00723896" w:rsidRDefault="00682A35" w:rsidP="00682A35">
      <w:pPr>
        <w:pStyle w:val="Caption"/>
        <w:jc w:val="center"/>
      </w:pPr>
      <w:bookmarkStart w:id="93" w:name="_Toc503445912"/>
      <w:r>
        <w:t xml:space="preserve">Figure </w:t>
      </w:r>
      <w:fldSimple w:instr=" SEQ Figure \* ARABIC ">
        <w:r w:rsidR="004E0ADF">
          <w:rPr>
            <w:noProof/>
          </w:rPr>
          <w:t>33</w:t>
        </w:r>
      </w:fldSimple>
      <w:r>
        <w:t>: NOx PPM vs Fuel Equivalence Ratio</w:t>
      </w:r>
      <w:bookmarkEnd w:id="93"/>
    </w:p>
    <w:p w14:paraId="236F3E23" w14:textId="77777777" w:rsidR="00682A35" w:rsidRDefault="00723896" w:rsidP="00682A35">
      <w:pPr>
        <w:keepNext/>
        <w:jc w:val="center"/>
      </w:pPr>
      <w:r>
        <w:rPr>
          <w:noProof/>
        </w:rPr>
        <w:drawing>
          <wp:inline distT="0" distB="0" distL="0" distR="0" wp14:anchorId="426EAB2C" wp14:editId="0126E817">
            <wp:extent cx="5580000" cy="3600000"/>
            <wp:effectExtent l="0" t="0" r="1905" b="635"/>
            <wp:docPr id="36" name="Chart 36">
              <a:extLst xmlns:a="http://schemas.openxmlformats.org/drawingml/2006/main">
                <a:ext uri="{FF2B5EF4-FFF2-40B4-BE49-F238E27FC236}">
                  <a16:creationId xmlns:a16="http://schemas.microsoft.com/office/drawing/2014/main" id="{84021ABF-E7A1-477C-90D9-D592891332C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1A34DEB8" w14:textId="525B8417" w:rsidR="00723896" w:rsidRDefault="00682A35" w:rsidP="00682A35">
      <w:pPr>
        <w:pStyle w:val="Caption"/>
        <w:jc w:val="center"/>
      </w:pPr>
      <w:bookmarkStart w:id="94" w:name="_Toc503445913"/>
      <w:r>
        <w:t xml:space="preserve">Figure </w:t>
      </w:r>
      <w:fldSimple w:instr=" SEQ Figure \* ARABIC ">
        <w:r w:rsidR="004E0ADF">
          <w:rPr>
            <w:noProof/>
          </w:rPr>
          <w:t>34</w:t>
        </w:r>
      </w:fldSimple>
      <w:r>
        <w:t>: NOx PPM vs EGR vs Fuel Equivalence Ratio</w:t>
      </w:r>
      <w:bookmarkEnd w:id="94"/>
    </w:p>
    <w:p w14:paraId="2948C426" w14:textId="14B03E5F" w:rsidR="00682A35" w:rsidRDefault="00682A35" w:rsidP="00682A35">
      <w:pPr>
        <w:pStyle w:val="Heading2"/>
      </w:pPr>
      <w:bookmarkStart w:id="95" w:name="_Toc503445978"/>
      <w:r>
        <w:t>Analysis</w:t>
      </w:r>
      <w:bookmarkEnd w:id="95"/>
    </w:p>
    <w:p w14:paraId="48558F3D" w14:textId="1A27A0A0" w:rsidR="00682A35" w:rsidRPr="00682A35" w:rsidRDefault="007153BE" w:rsidP="00682A35">
      <w:r>
        <w:t xml:space="preserve">As can be seen from </w:t>
      </w:r>
      <w:r w:rsidR="00AD3013">
        <w:t>F</w:t>
      </w:r>
      <w:r>
        <w:t xml:space="preserve">igure 30, the higher the percentage of EGR added into the cylinder the lower the </w:t>
      </w:r>
      <w:r w:rsidR="00D74B4E">
        <w:t xml:space="preserve">Flame Temperatures. This is due to the increased mass of the mixture within the cylinder. Due to the lower flame temperatures, there is less NOx created. </w:t>
      </w:r>
      <w:r w:rsidR="00AD3013">
        <w:t xml:space="preserve">Looking at Figure 33 it can be seen that even by adding 1% EGR there is a significant reduction in the NOx PPM and when 20% EGR is added the NOx PPM becomes almost neglible. </w:t>
      </w:r>
    </w:p>
    <w:p w14:paraId="10ADBFD0" w14:textId="08710112" w:rsidR="00244E6B" w:rsidRDefault="002762F6" w:rsidP="000D2775">
      <w:pPr>
        <w:pStyle w:val="Heading1"/>
      </w:pPr>
      <w:bookmarkStart w:id="96" w:name="_Toc503445979"/>
      <w:r>
        <w:lastRenderedPageBreak/>
        <w:t>Conclusion</w:t>
      </w:r>
      <w:bookmarkEnd w:id="96"/>
    </w:p>
    <w:p w14:paraId="677D766E" w14:textId="77777777" w:rsidR="005B688A" w:rsidRDefault="00AD3013" w:rsidP="00AD3013">
      <w:r>
        <w:t xml:space="preserve">From the data collected it becomes clear that by reducing the flame temperature within the engine, the NOx created can be greatly reduced to almost negligible quantities. This can be achieved by running the engine at a leanness below </w:t>
      </w:r>
      <w:r w:rsidR="005B688A">
        <w:t xml:space="preserve">0.8 or by running stoichiometrically. It was also discovered that by adding EGR further reduced the NOx produced greatly. </w:t>
      </w:r>
    </w:p>
    <w:p w14:paraId="60383565" w14:textId="4467B69E" w:rsidR="00C06824" w:rsidRDefault="005B688A" w:rsidP="00AD3013">
      <w:r>
        <w:t xml:space="preserve">Due to the assumptions made for this report, this model can only be used as a general guide as to what levels of NOx are produced. </w:t>
      </w:r>
      <w:r w:rsidR="00C06824">
        <w:t>In reality the cylinder pressure doesn’t increase in a linear way such as that assumed in this report. It is highly unlikely that the Air/Fuel mixture will be fully mixed, and so there would be areas of rich, lean and stoichiometric mixture within the cylinder, this would not only result in potentially higher levels of NOx produced at lean ratios by also would make the flame temperature not uniform.</w:t>
      </w:r>
    </w:p>
    <w:p w14:paraId="244A72EF" w14:textId="77777777" w:rsidR="00C06824" w:rsidRDefault="005B688A" w:rsidP="00C06824">
      <w:r>
        <w:t>There are many factors that haven’t been taken into account such as how adding high percentages of EGR or running very lean would effect engine performance and if it is practically possible. Also, other emissions such as soot have not been cons</w:t>
      </w:r>
      <w:r w:rsidR="00C06824">
        <w:t>idered and may cause problems.</w:t>
      </w:r>
    </w:p>
    <w:p w14:paraId="3668BE0B" w14:textId="77777777" w:rsidR="00C06824" w:rsidRDefault="00C06824">
      <w:pPr>
        <w:spacing w:line="259" w:lineRule="auto"/>
      </w:pPr>
      <w:r>
        <w:br w:type="page"/>
      </w:r>
    </w:p>
    <w:bookmarkStart w:id="97" w:name="_Toc503445980" w:displacedByCustomXml="next"/>
    <w:sdt>
      <w:sdtPr>
        <w:id w:val="1066079055"/>
        <w:docPartObj>
          <w:docPartGallery w:val="Bibliographies"/>
          <w:docPartUnique/>
        </w:docPartObj>
      </w:sdtPr>
      <w:sdtEndPr>
        <w:rPr>
          <w:rFonts w:eastAsiaTheme="minorHAnsi" w:cstheme="minorBidi"/>
          <w:color w:val="auto"/>
          <w:sz w:val="22"/>
          <w:szCs w:val="22"/>
        </w:rPr>
      </w:sdtEndPr>
      <w:sdtContent>
        <w:p w14:paraId="1E925E8A" w14:textId="08076BFA" w:rsidR="00C06824" w:rsidRDefault="00C06824">
          <w:pPr>
            <w:pStyle w:val="Heading1"/>
          </w:pPr>
          <w:r>
            <w:t>References</w:t>
          </w:r>
          <w:bookmarkEnd w:id="97"/>
        </w:p>
        <w:sdt>
          <w:sdtPr>
            <w:id w:val="-573587230"/>
            <w:bibliography/>
          </w:sdtPr>
          <w:sdtContent>
            <w:p w14:paraId="2B02D5BE" w14:textId="77777777" w:rsidR="00C06824" w:rsidRDefault="00C06824" w:rsidP="00C06824">
              <w:pPr>
                <w:pStyle w:val="Bibliography"/>
                <w:ind w:left="720" w:hanging="720"/>
                <w:rPr>
                  <w:noProof/>
                  <w:sz w:val="24"/>
                  <w:szCs w:val="24"/>
                </w:rPr>
              </w:pPr>
              <w:r>
                <w:fldChar w:fldCharType="begin"/>
              </w:r>
              <w:r>
                <w:instrText xml:space="preserve"> BIBLIOGRAPHY </w:instrText>
              </w:r>
              <w:r>
                <w:fldChar w:fldCharType="separate"/>
              </w:r>
              <w:r>
                <w:rPr>
                  <w:noProof/>
                </w:rPr>
                <w:t xml:space="preserve">Colin R Ferguson, A. T. (2001). Internal Combustion Engines. In A. T. Colin R Ferguson, </w:t>
              </w:r>
              <w:r>
                <w:rPr>
                  <w:i/>
                  <w:iCs/>
                  <w:noProof/>
                </w:rPr>
                <w:t>Internal Combustion Engines</w:t>
              </w:r>
              <w:r>
                <w:rPr>
                  <w:noProof/>
                </w:rPr>
                <w:t xml:space="preserve"> (p. 280). New York: John Wiley &amp; Sons, Inc.</w:t>
              </w:r>
            </w:p>
            <w:p w14:paraId="26CE9658" w14:textId="77777777" w:rsidR="00C06824" w:rsidRDefault="00C06824" w:rsidP="00C06824">
              <w:pPr>
                <w:pStyle w:val="Bibliography"/>
                <w:ind w:left="720" w:hanging="720"/>
                <w:rPr>
                  <w:noProof/>
                </w:rPr>
              </w:pPr>
              <w:r>
                <w:rPr>
                  <w:noProof/>
                </w:rPr>
                <w:t xml:space="preserve">Heywood, J. B. (1988). </w:t>
              </w:r>
              <w:r>
                <w:rPr>
                  <w:i/>
                  <w:iCs/>
                  <w:noProof/>
                </w:rPr>
                <w:t>Internal Combustion Engine Fundamentals</w:t>
              </w:r>
              <w:r>
                <w:rPr>
                  <w:noProof/>
                </w:rPr>
                <w:t xml:space="preserve"> (15th ed.). New Dehli: McGraw Hill Education (India) Private Limited.</w:t>
              </w:r>
            </w:p>
            <w:p w14:paraId="5E6A69E9" w14:textId="77777777" w:rsidR="00C06824" w:rsidRDefault="00C06824" w:rsidP="00C06824">
              <w:pPr>
                <w:pStyle w:val="Bibliography"/>
                <w:ind w:left="720" w:hanging="720"/>
                <w:rPr>
                  <w:noProof/>
                </w:rPr>
              </w:pPr>
              <w:r>
                <w:rPr>
                  <w:noProof/>
                </w:rPr>
                <w:t>Mcdonald, M. (2017). Powertrain and Sustainability.</w:t>
              </w:r>
            </w:p>
            <w:p w14:paraId="336DF579" w14:textId="77777777" w:rsidR="00C06824" w:rsidRDefault="00C06824" w:rsidP="00C06824">
              <w:pPr>
                <w:pStyle w:val="Bibliography"/>
                <w:ind w:left="720" w:hanging="720"/>
                <w:rPr>
                  <w:noProof/>
                </w:rPr>
              </w:pPr>
              <w:r>
                <w:rPr>
                  <w:noProof/>
                </w:rPr>
                <w:t xml:space="preserve">Robert Bosch GmbH. (2007). Automotive Handbook 7th Edition. In R. B. GmbH, </w:t>
              </w:r>
              <w:r>
                <w:rPr>
                  <w:i/>
                  <w:iCs/>
                  <w:noProof/>
                </w:rPr>
                <w:t>Automotive Handbook 7th Edition</w:t>
              </w:r>
              <w:r>
                <w:rPr>
                  <w:noProof/>
                </w:rPr>
                <w:t xml:space="preserve"> (p. 469). Postfach: Automotive Handbook 7th Edition.</w:t>
              </w:r>
            </w:p>
            <w:p w14:paraId="1C6EF707" w14:textId="77777777" w:rsidR="00C06824" w:rsidRDefault="00C06824" w:rsidP="00C06824">
              <w:pPr>
                <w:pStyle w:val="Bibliography"/>
                <w:ind w:left="720" w:hanging="720"/>
                <w:rPr>
                  <w:noProof/>
                </w:rPr>
              </w:pPr>
              <w:r>
                <w:rPr>
                  <w:noProof/>
                </w:rPr>
                <w:t xml:space="preserve">Turns, S. R. (2006). </w:t>
              </w:r>
              <w:r>
                <w:rPr>
                  <w:i/>
                  <w:iCs/>
                  <w:noProof/>
                </w:rPr>
                <w:t>Thermodynamics.</w:t>
              </w:r>
              <w:r>
                <w:rPr>
                  <w:noProof/>
                </w:rPr>
                <w:t xml:space="preserve"> Cambridge: Cambridge University Press.</w:t>
              </w:r>
            </w:p>
            <w:p w14:paraId="7041A6C7" w14:textId="06A1CB78" w:rsidR="00C06824" w:rsidRDefault="00C06824" w:rsidP="00C06824">
              <w:r>
                <w:rPr>
                  <w:b/>
                  <w:bCs/>
                  <w:noProof/>
                </w:rPr>
                <w:fldChar w:fldCharType="end"/>
              </w:r>
            </w:p>
          </w:sdtContent>
        </w:sdt>
      </w:sdtContent>
    </w:sdt>
    <w:p w14:paraId="19AD1097" w14:textId="09B5C8B0" w:rsidR="00C06824" w:rsidRDefault="00C06824">
      <w:pPr>
        <w:spacing w:line="259" w:lineRule="auto"/>
      </w:pPr>
      <w:r>
        <w:br w:type="page"/>
      </w:r>
    </w:p>
    <w:p w14:paraId="5D4295D7" w14:textId="07526CCF" w:rsidR="00D279E3" w:rsidRDefault="00D279E3" w:rsidP="00D279E3">
      <w:pPr>
        <w:pStyle w:val="Heading1"/>
      </w:pPr>
      <w:bookmarkStart w:id="98" w:name="_Toc503445981"/>
      <w:r>
        <w:lastRenderedPageBreak/>
        <w:t>Appendix</w:t>
      </w:r>
      <w:r w:rsidR="00020E50">
        <w:t xml:space="preserve"> 1</w:t>
      </w:r>
      <w:r>
        <w:t xml:space="preserve"> </w:t>
      </w:r>
      <w:r w:rsidR="00AB0D2B">
        <w:t xml:space="preserve">– EGR </w:t>
      </w:r>
      <w:r w:rsidR="00020E50">
        <w:t xml:space="preserve">Flame Temperature </w:t>
      </w:r>
      <w:r w:rsidR="00AB0D2B">
        <w:t>Results</w:t>
      </w:r>
      <w:bookmarkEnd w:id="98"/>
    </w:p>
    <w:p w14:paraId="1DA4DB4C" w14:textId="77777777" w:rsidR="00020E50" w:rsidRDefault="00020E50" w:rsidP="00020E50">
      <w:pPr>
        <w:keepNext/>
      </w:pPr>
      <w:r w:rsidRPr="00020E50">
        <w:drawing>
          <wp:inline distT="0" distB="0" distL="0" distR="0" wp14:anchorId="2DF31346" wp14:editId="3F29CE4F">
            <wp:extent cx="6237074" cy="2536031"/>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6249791" cy="2541202"/>
                    </a:xfrm>
                    <a:prstGeom prst="rect">
                      <a:avLst/>
                    </a:prstGeom>
                    <a:noFill/>
                    <a:ln>
                      <a:noFill/>
                    </a:ln>
                  </pic:spPr>
                </pic:pic>
              </a:graphicData>
            </a:graphic>
          </wp:inline>
        </w:drawing>
      </w:r>
    </w:p>
    <w:p w14:paraId="373D9C14" w14:textId="0CCDB796" w:rsidR="00AB0D2B" w:rsidRPr="00AB0D2B" w:rsidRDefault="00020E50" w:rsidP="00020E50">
      <w:pPr>
        <w:pStyle w:val="Caption"/>
        <w:jc w:val="center"/>
      </w:pPr>
      <w:bookmarkStart w:id="99" w:name="_Toc503445914"/>
      <w:r>
        <w:t xml:space="preserve">Figure </w:t>
      </w:r>
      <w:fldSimple w:instr=" SEQ Figure \* ARABIC ">
        <w:r w:rsidR="004E0ADF">
          <w:rPr>
            <w:noProof/>
          </w:rPr>
          <w:t>35</w:t>
        </w:r>
      </w:fldSimple>
      <w:r>
        <w:t>: EGR Flame Temperatures 1</w:t>
      </w:r>
      <w:bookmarkEnd w:id="99"/>
    </w:p>
    <w:p w14:paraId="041AF9AE" w14:textId="77777777" w:rsidR="00020E50" w:rsidRDefault="00020E50" w:rsidP="00020E50">
      <w:pPr>
        <w:keepNext/>
        <w:jc w:val="center"/>
      </w:pPr>
      <w:r w:rsidRPr="00020E50">
        <w:drawing>
          <wp:inline distT="0" distB="0" distL="0" distR="0" wp14:anchorId="55C9EBB0" wp14:editId="537B776D">
            <wp:extent cx="6153913" cy="2921794"/>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6162395" cy="2925821"/>
                    </a:xfrm>
                    <a:prstGeom prst="rect">
                      <a:avLst/>
                    </a:prstGeom>
                    <a:noFill/>
                    <a:ln>
                      <a:noFill/>
                    </a:ln>
                  </pic:spPr>
                </pic:pic>
              </a:graphicData>
            </a:graphic>
          </wp:inline>
        </w:drawing>
      </w:r>
    </w:p>
    <w:p w14:paraId="68EBF6A8" w14:textId="6E897021" w:rsidR="00D279E3" w:rsidRDefault="00020E50" w:rsidP="00020E50">
      <w:pPr>
        <w:pStyle w:val="Caption"/>
        <w:jc w:val="center"/>
      </w:pPr>
      <w:bookmarkStart w:id="100" w:name="_Toc503445915"/>
      <w:r>
        <w:t xml:space="preserve">Figure </w:t>
      </w:r>
      <w:fldSimple w:instr=" SEQ Figure \* ARABIC ">
        <w:r w:rsidR="004E0ADF">
          <w:rPr>
            <w:noProof/>
          </w:rPr>
          <w:t>36</w:t>
        </w:r>
      </w:fldSimple>
      <w:r>
        <w:t>: EGR Flame Temperature Results 2</w:t>
      </w:r>
      <w:bookmarkEnd w:id="100"/>
    </w:p>
    <w:p w14:paraId="4C99E0AA" w14:textId="0899AB13" w:rsidR="00020E50" w:rsidRDefault="00020E50">
      <w:pPr>
        <w:spacing w:line="259" w:lineRule="auto"/>
      </w:pPr>
      <w:r>
        <w:br w:type="page"/>
      </w:r>
    </w:p>
    <w:p w14:paraId="0A44A46A" w14:textId="49DC4248" w:rsidR="00020E50" w:rsidRDefault="00020E50" w:rsidP="00020E50">
      <w:pPr>
        <w:pStyle w:val="Heading1"/>
      </w:pPr>
      <w:bookmarkStart w:id="101" w:name="_Toc503445982"/>
      <w:r>
        <w:lastRenderedPageBreak/>
        <w:t>Appendix 2 – EGR PPM Results</w:t>
      </w:r>
      <w:bookmarkEnd w:id="101"/>
    </w:p>
    <w:p w14:paraId="5C8F4341" w14:textId="77777777" w:rsidR="004E0ADF" w:rsidRDefault="00020E50" w:rsidP="004E0ADF">
      <w:pPr>
        <w:keepNext/>
        <w:jc w:val="center"/>
      </w:pPr>
      <w:r w:rsidRPr="00020E50">
        <w:drawing>
          <wp:inline distT="0" distB="0" distL="0" distR="0" wp14:anchorId="04E26AB4" wp14:editId="447299C1">
            <wp:extent cx="5895963" cy="2400300"/>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902965" cy="2403150"/>
                    </a:xfrm>
                    <a:prstGeom prst="rect">
                      <a:avLst/>
                    </a:prstGeom>
                    <a:noFill/>
                    <a:ln>
                      <a:noFill/>
                    </a:ln>
                  </pic:spPr>
                </pic:pic>
              </a:graphicData>
            </a:graphic>
          </wp:inline>
        </w:drawing>
      </w:r>
    </w:p>
    <w:p w14:paraId="21E79442" w14:textId="38D4B3AF" w:rsidR="00020E50" w:rsidRDefault="004E0ADF" w:rsidP="004E0ADF">
      <w:pPr>
        <w:pStyle w:val="Caption"/>
        <w:jc w:val="center"/>
      </w:pPr>
      <w:bookmarkStart w:id="102" w:name="_Toc503445916"/>
      <w:r>
        <w:t xml:space="preserve">Figure </w:t>
      </w:r>
      <w:fldSimple w:instr=" SEQ Figure \* ARABIC ">
        <w:r>
          <w:rPr>
            <w:noProof/>
          </w:rPr>
          <w:t>37</w:t>
        </w:r>
      </w:fldSimple>
      <w:r>
        <w:t>: EGR PPM Results 1</w:t>
      </w:r>
      <w:bookmarkEnd w:id="102"/>
    </w:p>
    <w:p w14:paraId="791E3334" w14:textId="77777777" w:rsidR="004E0ADF" w:rsidRDefault="00020E50" w:rsidP="004E0ADF">
      <w:pPr>
        <w:keepNext/>
        <w:jc w:val="center"/>
      </w:pPr>
      <w:r w:rsidRPr="00020E50">
        <w:drawing>
          <wp:inline distT="0" distB="0" distL="0" distR="0" wp14:anchorId="259BC8E3" wp14:editId="7B339C2B">
            <wp:extent cx="5731510" cy="2724610"/>
            <wp:effectExtent l="0" t="0" r="254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1510" cy="2724610"/>
                    </a:xfrm>
                    <a:prstGeom prst="rect">
                      <a:avLst/>
                    </a:prstGeom>
                    <a:noFill/>
                    <a:ln>
                      <a:noFill/>
                    </a:ln>
                  </pic:spPr>
                </pic:pic>
              </a:graphicData>
            </a:graphic>
          </wp:inline>
        </w:drawing>
      </w:r>
    </w:p>
    <w:p w14:paraId="65DE439B" w14:textId="240DD541" w:rsidR="00020E50" w:rsidRDefault="004E0ADF" w:rsidP="004E0ADF">
      <w:pPr>
        <w:pStyle w:val="Caption"/>
        <w:jc w:val="center"/>
      </w:pPr>
      <w:bookmarkStart w:id="103" w:name="_Toc503445917"/>
      <w:r>
        <w:t xml:space="preserve">Figure </w:t>
      </w:r>
      <w:fldSimple w:instr=" SEQ Figure \* ARABIC ">
        <w:r>
          <w:rPr>
            <w:noProof/>
          </w:rPr>
          <w:t>38</w:t>
        </w:r>
      </w:fldSimple>
      <w:r>
        <w:t>: EGR PPM Results 2</w:t>
      </w:r>
      <w:bookmarkEnd w:id="103"/>
    </w:p>
    <w:p w14:paraId="41BAF5C1" w14:textId="77777777" w:rsidR="004E0ADF" w:rsidRPr="004E0ADF" w:rsidRDefault="004E0ADF" w:rsidP="004E0ADF"/>
    <w:sectPr w:rsidR="004E0ADF" w:rsidRPr="004E0ADF" w:rsidSect="00141C51">
      <w:pgSz w:w="11906" w:h="16838"/>
      <w:pgMar w:top="1440" w:right="1440" w:bottom="1440" w:left="1440" w:header="708" w:footer="708" w:gutter="0"/>
      <w:pgNumType w:fmt="lowerRoman"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3C47AA0" w14:textId="77777777" w:rsidR="009F47D0" w:rsidRDefault="009F47D0" w:rsidP="00141C51">
      <w:pPr>
        <w:spacing w:after="0" w:line="240" w:lineRule="auto"/>
      </w:pPr>
      <w:r>
        <w:separator/>
      </w:r>
    </w:p>
  </w:endnote>
  <w:endnote w:type="continuationSeparator" w:id="0">
    <w:p w14:paraId="045D72E5" w14:textId="77777777" w:rsidR="009F47D0" w:rsidRDefault="009F47D0" w:rsidP="00141C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A0002AEF" w:usb1="4000207B" w:usb2="00000000" w:usb3="00000000" w:csb0="000001FF" w:csb1="00000000"/>
  </w:font>
  <w:font w:name="Lucida Grande">
    <w:charset w:val="00"/>
    <w:family w:val="auto"/>
    <w:pitch w:val="variable"/>
    <w:sig w:usb0="00000003" w:usb1="00000000" w:usb2="00000000" w:usb3="00000000" w:csb0="00000001" w:csb1="00000000"/>
  </w:font>
  <w:font w:name="MS Mincho">
    <w:altName w:val="Yu Gothic"/>
    <w:panose1 w:val="02020609040205080304"/>
    <w:charset w:val="80"/>
    <w:family w:val="roman"/>
    <w:notTrueType/>
    <w:pitch w:val="fixed"/>
    <w:sig w:usb0="00000001" w:usb1="08070000" w:usb2="00000010" w:usb3="00000000" w:csb0="00020000"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19102749"/>
      <w:docPartObj>
        <w:docPartGallery w:val="Page Numbers (Bottom of Page)"/>
        <w:docPartUnique/>
      </w:docPartObj>
    </w:sdtPr>
    <w:sdtEndPr>
      <w:rPr>
        <w:noProof/>
      </w:rPr>
    </w:sdtEndPr>
    <w:sdtContent>
      <w:p w14:paraId="61E4CCD0" w14:textId="2FF42A60" w:rsidR="00AB0D2B" w:rsidRDefault="00AB0D2B">
        <w:pPr>
          <w:pStyle w:val="Footer"/>
          <w:jc w:val="right"/>
        </w:pPr>
        <w:r>
          <w:fldChar w:fldCharType="begin"/>
        </w:r>
        <w:r>
          <w:instrText xml:space="preserve"> PAGE   \* MERGEFORMAT </w:instrText>
        </w:r>
        <w:r>
          <w:fldChar w:fldCharType="separate"/>
        </w:r>
        <w:r w:rsidR="004E0ADF">
          <w:rPr>
            <w:noProof/>
          </w:rPr>
          <w:t>i</w:t>
        </w:r>
        <w:r>
          <w:rPr>
            <w:noProof/>
          </w:rPr>
          <w:fldChar w:fldCharType="end"/>
        </w:r>
      </w:p>
    </w:sdtContent>
  </w:sdt>
  <w:p w14:paraId="2192346F" w14:textId="77777777" w:rsidR="00AB0D2B" w:rsidRDefault="00AB0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A53DA55" w14:textId="77777777" w:rsidR="009F47D0" w:rsidRDefault="009F47D0" w:rsidP="00141C51">
      <w:pPr>
        <w:spacing w:after="0" w:line="240" w:lineRule="auto"/>
      </w:pPr>
      <w:r>
        <w:separator/>
      </w:r>
    </w:p>
  </w:footnote>
  <w:footnote w:type="continuationSeparator" w:id="0">
    <w:p w14:paraId="28CDD489" w14:textId="77777777" w:rsidR="009F47D0" w:rsidRDefault="009F47D0" w:rsidP="00141C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B10E75"/>
    <w:multiLevelType w:val="hybridMultilevel"/>
    <w:tmpl w:val="851AAA82"/>
    <w:lvl w:ilvl="0" w:tplc="08090001">
      <w:start w:val="1"/>
      <w:numFmt w:val="bullet"/>
      <w:lvlText w:val=""/>
      <w:lvlJc w:val="left"/>
      <w:pPr>
        <w:ind w:left="829" w:hanging="360"/>
      </w:pPr>
      <w:rPr>
        <w:rFonts w:ascii="Symbol" w:hAnsi="Symbol" w:hint="default"/>
      </w:rPr>
    </w:lvl>
    <w:lvl w:ilvl="1" w:tplc="08090003" w:tentative="1">
      <w:start w:val="1"/>
      <w:numFmt w:val="bullet"/>
      <w:lvlText w:val="o"/>
      <w:lvlJc w:val="left"/>
      <w:pPr>
        <w:ind w:left="1549" w:hanging="360"/>
      </w:pPr>
      <w:rPr>
        <w:rFonts w:ascii="Courier New" w:hAnsi="Courier New" w:cs="Courier New" w:hint="default"/>
      </w:rPr>
    </w:lvl>
    <w:lvl w:ilvl="2" w:tplc="08090005" w:tentative="1">
      <w:start w:val="1"/>
      <w:numFmt w:val="bullet"/>
      <w:lvlText w:val=""/>
      <w:lvlJc w:val="left"/>
      <w:pPr>
        <w:ind w:left="2269" w:hanging="360"/>
      </w:pPr>
      <w:rPr>
        <w:rFonts w:ascii="Wingdings" w:hAnsi="Wingdings" w:hint="default"/>
      </w:rPr>
    </w:lvl>
    <w:lvl w:ilvl="3" w:tplc="08090001" w:tentative="1">
      <w:start w:val="1"/>
      <w:numFmt w:val="bullet"/>
      <w:lvlText w:val=""/>
      <w:lvlJc w:val="left"/>
      <w:pPr>
        <w:ind w:left="2989" w:hanging="360"/>
      </w:pPr>
      <w:rPr>
        <w:rFonts w:ascii="Symbol" w:hAnsi="Symbol" w:hint="default"/>
      </w:rPr>
    </w:lvl>
    <w:lvl w:ilvl="4" w:tplc="08090003" w:tentative="1">
      <w:start w:val="1"/>
      <w:numFmt w:val="bullet"/>
      <w:lvlText w:val="o"/>
      <w:lvlJc w:val="left"/>
      <w:pPr>
        <w:ind w:left="3709" w:hanging="360"/>
      </w:pPr>
      <w:rPr>
        <w:rFonts w:ascii="Courier New" w:hAnsi="Courier New" w:cs="Courier New" w:hint="default"/>
      </w:rPr>
    </w:lvl>
    <w:lvl w:ilvl="5" w:tplc="08090005" w:tentative="1">
      <w:start w:val="1"/>
      <w:numFmt w:val="bullet"/>
      <w:lvlText w:val=""/>
      <w:lvlJc w:val="left"/>
      <w:pPr>
        <w:ind w:left="4429" w:hanging="360"/>
      </w:pPr>
      <w:rPr>
        <w:rFonts w:ascii="Wingdings" w:hAnsi="Wingdings" w:hint="default"/>
      </w:rPr>
    </w:lvl>
    <w:lvl w:ilvl="6" w:tplc="08090001" w:tentative="1">
      <w:start w:val="1"/>
      <w:numFmt w:val="bullet"/>
      <w:lvlText w:val=""/>
      <w:lvlJc w:val="left"/>
      <w:pPr>
        <w:ind w:left="5149" w:hanging="360"/>
      </w:pPr>
      <w:rPr>
        <w:rFonts w:ascii="Symbol" w:hAnsi="Symbol" w:hint="default"/>
      </w:rPr>
    </w:lvl>
    <w:lvl w:ilvl="7" w:tplc="08090003" w:tentative="1">
      <w:start w:val="1"/>
      <w:numFmt w:val="bullet"/>
      <w:lvlText w:val="o"/>
      <w:lvlJc w:val="left"/>
      <w:pPr>
        <w:ind w:left="5869" w:hanging="360"/>
      </w:pPr>
      <w:rPr>
        <w:rFonts w:ascii="Courier New" w:hAnsi="Courier New" w:cs="Courier New" w:hint="default"/>
      </w:rPr>
    </w:lvl>
    <w:lvl w:ilvl="8" w:tplc="08090005" w:tentative="1">
      <w:start w:val="1"/>
      <w:numFmt w:val="bullet"/>
      <w:lvlText w:val=""/>
      <w:lvlJc w:val="left"/>
      <w:pPr>
        <w:ind w:left="6589" w:hanging="360"/>
      </w:pPr>
      <w:rPr>
        <w:rFonts w:ascii="Wingdings" w:hAnsi="Wingdings" w:hint="default"/>
      </w:rPr>
    </w:lvl>
  </w:abstractNum>
  <w:abstractNum w:abstractNumId="1" w15:restartNumberingAfterBreak="0">
    <w:nsid w:val="305D0B27"/>
    <w:multiLevelType w:val="hybridMultilevel"/>
    <w:tmpl w:val="FB885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885C60"/>
    <w:multiLevelType w:val="hybridMultilevel"/>
    <w:tmpl w:val="3EE8A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F260BE"/>
    <w:multiLevelType w:val="hybridMultilevel"/>
    <w:tmpl w:val="5734D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825F5B"/>
    <w:multiLevelType w:val="hybridMultilevel"/>
    <w:tmpl w:val="E3061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D12E7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6A261126"/>
    <w:multiLevelType w:val="hybridMultilevel"/>
    <w:tmpl w:val="00CE2E02"/>
    <w:lvl w:ilvl="0" w:tplc="08090001">
      <w:start w:val="1"/>
      <w:numFmt w:val="bullet"/>
      <w:lvlText w:val=""/>
      <w:lvlJc w:val="left"/>
      <w:pPr>
        <w:ind w:left="16560" w:hanging="360"/>
      </w:pPr>
      <w:rPr>
        <w:rFonts w:ascii="Symbol" w:hAnsi="Symbol" w:hint="default"/>
      </w:rPr>
    </w:lvl>
    <w:lvl w:ilvl="1" w:tplc="08090003" w:tentative="1">
      <w:start w:val="1"/>
      <w:numFmt w:val="bullet"/>
      <w:lvlText w:val="o"/>
      <w:lvlJc w:val="left"/>
      <w:pPr>
        <w:ind w:left="17280" w:hanging="360"/>
      </w:pPr>
      <w:rPr>
        <w:rFonts w:ascii="Courier New" w:hAnsi="Courier New" w:cs="Courier New" w:hint="default"/>
      </w:rPr>
    </w:lvl>
    <w:lvl w:ilvl="2" w:tplc="08090005" w:tentative="1">
      <w:start w:val="1"/>
      <w:numFmt w:val="bullet"/>
      <w:lvlText w:val=""/>
      <w:lvlJc w:val="left"/>
      <w:pPr>
        <w:ind w:left="18000" w:hanging="360"/>
      </w:pPr>
      <w:rPr>
        <w:rFonts w:ascii="Wingdings" w:hAnsi="Wingdings" w:hint="default"/>
      </w:rPr>
    </w:lvl>
    <w:lvl w:ilvl="3" w:tplc="08090001" w:tentative="1">
      <w:start w:val="1"/>
      <w:numFmt w:val="bullet"/>
      <w:lvlText w:val=""/>
      <w:lvlJc w:val="left"/>
      <w:pPr>
        <w:ind w:left="18720" w:hanging="360"/>
      </w:pPr>
      <w:rPr>
        <w:rFonts w:ascii="Symbol" w:hAnsi="Symbol" w:hint="default"/>
      </w:rPr>
    </w:lvl>
    <w:lvl w:ilvl="4" w:tplc="08090003" w:tentative="1">
      <w:start w:val="1"/>
      <w:numFmt w:val="bullet"/>
      <w:lvlText w:val="o"/>
      <w:lvlJc w:val="left"/>
      <w:pPr>
        <w:ind w:left="19440" w:hanging="360"/>
      </w:pPr>
      <w:rPr>
        <w:rFonts w:ascii="Courier New" w:hAnsi="Courier New" w:cs="Courier New" w:hint="default"/>
      </w:rPr>
    </w:lvl>
    <w:lvl w:ilvl="5" w:tplc="08090005" w:tentative="1">
      <w:start w:val="1"/>
      <w:numFmt w:val="bullet"/>
      <w:lvlText w:val=""/>
      <w:lvlJc w:val="left"/>
      <w:pPr>
        <w:ind w:left="20160" w:hanging="360"/>
      </w:pPr>
      <w:rPr>
        <w:rFonts w:ascii="Wingdings" w:hAnsi="Wingdings" w:hint="default"/>
      </w:rPr>
    </w:lvl>
    <w:lvl w:ilvl="6" w:tplc="08090001" w:tentative="1">
      <w:start w:val="1"/>
      <w:numFmt w:val="bullet"/>
      <w:lvlText w:val=""/>
      <w:lvlJc w:val="left"/>
      <w:pPr>
        <w:ind w:left="20880" w:hanging="360"/>
      </w:pPr>
      <w:rPr>
        <w:rFonts w:ascii="Symbol" w:hAnsi="Symbol" w:hint="default"/>
      </w:rPr>
    </w:lvl>
    <w:lvl w:ilvl="7" w:tplc="08090003" w:tentative="1">
      <w:start w:val="1"/>
      <w:numFmt w:val="bullet"/>
      <w:lvlText w:val="o"/>
      <w:lvlJc w:val="left"/>
      <w:pPr>
        <w:ind w:left="21600" w:hanging="360"/>
      </w:pPr>
      <w:rPr>
        <w:rFonts w:ascii="Courier New" w:hAnsi="Courier New" w:cs="Courier New" w:hint="default"/>
      </w:rPr>
    </w:lvl>
    <w:lvl w:ilvl="8" w:tplc="08090005" w:tentative="1">
      <w:start w:val="1"/>
      <w:numFmt w:val="bullet"/>
      <w:lvlText w:val=""/>
      <w:lvlJc w:val="left"/>
      <w:pPr>
        <w:ind w:left="22320" w:hanging="360"/>
      </w:pPr>
      <w:rPr>
        <w:rFonts w:ascii="Wingdings" w:hAnsi="Wingdings" w:hint="default"/>
      </w:rPr>
    </w:lvl>
  </w:abstractNum>
  <w:num w:numId="1">
    <w:abstractNumId w:val="5"/>
  </w:num>
  <w:num w:numId="2">
    <w:abstractNumId w:val="4"/>
  </w:num>
  <w:num w:numId="3">
    <w:abstractNumId w:val="6"/>
  </w:num>
  <w:num w:numId="4">
    <w:abstractNumId w:val="2"/>
  </w:num>
  <w:num w:numId="5">
    <w:abstractNumId w:val="0"/>
  </w:num>
  <w:num w:numId="6">
    <w:abstractNumId w:val="1"/>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83890"/>
    <w:rsid w:val="00004AEB"/>
    <w:rsid w:val="00007F34"/>
    <w:rsid w:val="00010B6F"/>
    <w:rsid w:val="00015C2F"/>
    <w:rsid w:val="00016571"/>
    <w:rsid w:val="00020E50"/>
    <w:rsid w:val="000260A2"/>
    <w:rsid w:val="00041BD2"/>
    <w:rsid w:val="00042784"/>
    <w:rsid w:val="00046E77"/>
    <w:rsid w:val="00056CE8"/>
    <w:rsid w:val="0006306C"/>
    <w:rsid w:val="0009213B"/>
    <w:rsid w:val="000D2775"/>
    <w:rsid w:val="000F26BA"/>
    <w:rsid w:val="00141C51"/>
    <w:rsid w:val="001540E8"/>
    <w:rsid w:val="001768B7"/>
    <w:rsid w:val="001B6D3D"/>
    <w:rsid w:val="001C21A1"/>
    <w:rsid w:val="001E194B"/>
    <w:rsid w:val="001F7C8F"/>
    <w:rsid w:val="0020092B"/>
    <w:rsid w:val="00212EC1"/>
    <w:rsid w:val="00225896"/>
    <w:rsid w:val="00234483"/>
    <w:rsid w:val="00244ABB"/>
    <w:rsid w:val="00244E6B"/>
    <w:rsid w:val="002762F6"/>
    <w:rsid w:val="0029504D"/>
    <w:rsid w:val="00296DB4"/>
    <w:rsid w:val="002A6EA8"/>
    <w:rsid w:val="002B5D94"/>
    <w:rsid w:val="002D16E9"/>
    <w:rsid w:val="00310EF3"/>
    <w:rsid w:val="00311C03"/>
    <w:rsid w:val="00326D28"/>
    <w:rsid w:val="00347BFA"/>
    <w:rsid w:val="0036196F"/>
    <w:rsid w:val="0036726C"/>
    <w:rsid w:val="00386C44"/>
    <w:rsid w:val="00386F5B"/>
    <w:rsid w:val="00391ED5"/>
    <w:rsid w:val="003B5DC0"/>
    <w:rsid w:val="003D38CC"/>
    <w:rsid w:val="00424EE9"/>
    <w:rsid w:val="00425CE7"/>
    <w:rsid w:val="004363AE"/>
    <w:rsid w:val="00475C10"/>
    <w:rsid w:val="00483890"/>
    <w:rsid w:val="00486612"/>
    <w:rsid w:val="00486F9F"/>
    <w:rsid w:val="004A023D"/>
    <w:rsid w:val="004B6720"/>
    <w:rsid w:val="004B79E6"/>
    <w:rsid w:val="004E0ADF"/>
    <w:rsid w:val="00511635"/>
    <w:rsid w:val="00515D44"/>
    <w:rsid w:val="0052290F"/>
    <w:rsid w:val="005329BD"/>
    <w:rsid w:val="005658FB"/>
    <w:rsid w:val="00567B20"/>
    <w:rsid w:val="00597ABD"/>
    <w:rsid w:val="005B688A"/>
    <w:rsid w:val="005D09E2"/>
    <w:rsid w:val="006027CD"/>
    <w:rsid w:val="006050C1"/>
    <w:rsid w:val="006251F3"/>
    <w:rsid w:val="00636969"/>
    <w:rsid w:val="006414FE"/>
    <w:rsid w:val="006456F8"/>
    <w:rsid w:val="00663BEB"/>
    <w:rsid w:val="00677F8D"/>
    <w:rsid w:val="0068227A"/>
    <w:rsid w:val="00682A35"/>
    <w:rsid w:val="00685EF8"/>
    <w:rsid w:val="006B4611"/>
    <w:rsid w:val="006B7C29"/>
    <w:rsid w:val="006D7F5E"/>
    <w:rsid w:val="006E1E07"/>
    <w:rsid w:val="006E6F66"/>
    <w:rsid w:val="007064E4"/>
    <w:rsid w:val="007153BE"/>
    <w:rsid w:val="00723896"/>
    <w:rsid w:val="007407D3"/>
    <w:rsid w:val="00775200"/>
    <w:rsid w:val="0077548D"/>
    <w:rsid w:val="00796DA7"/>
    <w:rsid w:val="007B4AA8"/>
    <w:rsid w:val="00813870"/>
    <w:rsid w:val="0085434B"/>
    <w:rsid w:val="00890D91"/>
    <w:rsid w:val="008C50E2"/>
    <w:rsid w:val="008E537C"/>
    <w:rsid w:val="008E7F93"/>
    <w:rsid w:val="008F2821"/>
    <w:rsid w:val="0093543F"/>
    <w:rsid w:val="0093560B"/>
    <w:rsid w:val="00955939"/>
    <w:rsid w:val="0096699F"/>
    <w:rsid w:val="0096764D"/>
    <w:rsid w:val="00971917"/>
    <w:rsid w:val="009A71E5"/>
    <w:rsid w:val="009B2E9D"/>
    <w:rsid w:val="009D0933"/>
    <w:rsid w:val="009F47D0"/>
    <w:rsid w:val="009F4EF1"/>
    <w:rsid w:val="00A11E8E"/>
    <w:rsid w:val="00A14710"/>
    <w:rsid w:val="00A1664D"/>
    <w:rsid w:val="00A5361F"/>
    <w:rsid w:val="00AA3FB6"/>
    <w:rsid w:val="00AB0D2B"/>
    <w:rsid w:val="00AB209B"/>
    <w:rsid w:val="00AD3013"/>
    <w:rsid w:val="00AD4EEC"/>
    <w:rsid w:val="00AD7F97"/>
    <w:rsid w:val="00AE38E6"/>
    <w:rsid w:val="00B2554C"/>
    <w:rsid w:val="00B44FD6"/>
    <w:rsid w:val="00B61672"/>
    <w:rsid w:val="00B92D73"/>
    <w:rsid w:val="00BA521D"/>
    <w:rsid w:val="00BB004A"/>
    <w:rsid w:val="00BC084C"/>
    <w:rsid w:val="00BC71A7"/>
    <w:rsid w:val="00BF5C38"/>
    <w:rsid w:val="00BF74A5"/>
    <w:rsid w:val="00C06824"/>
    <w:rsid w:val="00C30E6E"/>
    <w:rsid w:val="00C36F08"/>
    <w:rsid w:val="00C44CB3"/>
    <w:rsid w:val="00C506A2"/>
    <w:rsid w:val="00C55A83"/>
    <w:rsid w:val="00C55C2C"/>
    <w:rsid w:val="00C57751"/>
    <w:rsid w:val="00C810B2"/>
    <w:rsid w:val="00CA3FF0"/>
    <w:rsid w:val="00CC1F8C"/>
    <w:rsid w:val="00CC779F"/>
    <w:rsid w:val="00D2452E"/>
    <w:rsid w:val="00D279E3"/>
    <w:rsid w:val="00D32622"/>
    <w:rsid w:val="00D33162"/>
    <w:rsid w:val="00D34B59"/>
    <w:rsid w:val="00D435E1"/>
    <w:rsid w:val="00D55348"/>
    <w:rsid w:val="00D61D1F"/>
    <w:rsid w:val="00D74B4E"/>
    <w:rsid w:val="00D87F97"/>
    <w:rsid w:val="00DA0A8A"/>
    <w:rsid w:val="00DB6AD3"/>
    <w:rsid w:val="00DF5B7F"/>
    <w:rsid w:val="00E42EB9"/>
    <w:rsid w:val="00E56F6C"/>
    <w:rsid w:val="00EC0063"/>
    <w:rsid w:val="00EF219D"/>
    <w:rsid w:val="00F524BB"/>
    <w:rsid w:val="00F60D6A"/>
    <w:rsid w:val="00FF6DF6"/>
    <w:rsid w:val="00FF7003"/>
    <w:rsid w:val="792EE21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007C00D"/>
  <w15:docId w15:val="{6511595F-3111-4119-9FB3-B5A6FE1CFC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D7F97"/>
    <w:pPr>
      <w:spacing w:line="360" w:lineRule="auto"/>
    </w:pPr>
    <w:rPr>
      <w:rFonts w:ascii="Times New Roman" w:hAnsi="Times New Roman"/>
    </w:rPr>
  </w:style>
  <w:style w:type="paragraph" w:styleId="Heading1">
    <w:name w:val="heading 1"/>
    <w:basedOn w:val="Normal"/>
    <w:next w:val="Normal"/>
    <w:link w:val="Heading1Char"/>
    <w:uiPriority w:val="9"/>
    <w:qFormat/>
    <w:rsid w:val="00141C51"/>
    <w:pPr>
      <w:keepNext/>
      <w:keepLines/>
      <w:numPr>
        <w:numId w:val="1"/>
      </w:numPr>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41C51"/>
    <w:pPr>
      <w:keepNext/>
      <w:keepLines/>
      <w:numPr>
        <w:ilvl w:val="1"/>
        <w:numId w:val="1"/>
      </w:numPr>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141C51"/>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141C51"/>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141C51"/>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141C51"/>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141C51"/>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141C5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41C5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41C51"/>
    <w:pPr>
      <w:spacing w:after="0" w:line="360" w:lineRule="auto"/>
    </w:pPr>
    <w:rPr>
      <w:rFonts w:ascii="Times New Roman" w:hAnsi="Times New Roman"/>
    </w:rPr>
  </w:style>
  <w:style w:type="character" w:customStyle="1" w:styleId="Heading1Char">
    <w:name w:val="Heading 1 Char"/>
    <w:basedOn w:val="DefaultParagraphFont"/>
    <w:link w:val="Heading1"/>
    <w:uiPriority w:val="9"/>
    <w:rsid w:val="00141C51"/>
    <w:rPr>
      <w:rFonts w:ascii="Times New Roman" w:eastAsiaTheme="majorEastAsia" w:hAnsi="Times New Roman" w:cstheme="majorBidi"/>
      <w:color w:val="2E74B5" w:themeColor="accent1" w:themeShade="BF"/>
      <w:sz w:val="32"/>
      <w:szCs w:val="32"/>
    </w:rPr>
  </w:style>
  <w:style w:type="character" w:customStyle="1" w:styleId="Heading2Char">
    <w:name w:val="Heading 2 Char"/>
    <w:basedOn w:val="DefaultParagraphFont"/>
    <w:link w:val="Heading2"/>
    <w:uiPriority w:val="9"/>
    <w:rsid w:val="00141C51"/>
    <w:rPr>
      <w:rFonts w:ascii="Times New Roman" w:eastAsiaTheme="majorEastAsia" w:hAnsi="Times New Roman"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141C51"/>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141C51"/>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141C51"/>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141C51"/>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141C51"/>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141C5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41C51"/>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141C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1C51"/>
    <w:rPr>
      <w:rFonts w:ascii="Times New Roman" w:hAnsi="Times New Roman"/>
    </w:rPr>
  </w:style>
  <w:style w:type="paragraph" w:styleId="Footer">
    <w:name w:val="footer"/>
    <w:basedOn w:val="Normal"/>
    <w:link w:val="FooterChar"/>
    <w:uiPriority w:val="99"/>
    <w:unhideWhenUsed/>
    <w:rsid w:val="00141C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1C51"/>
    <w:rPr>
      <w:rFonts w:ascii="Times New Roman" w:hAnsi="Times New Roman"/>
    </w:rPr>
  </w:style>
  <w:style w:type="paragraph" w:styleId="TOCHeading">
    <w:name w:val="TOC Heading"/>
    <w:basedOn w:val="Heading1"/>
    <w:next w:val="Normal"/>
    <w:uiPriority w:val="39"/>
    <w:unhideWhenUsed/>
    <w:qFormat/>
    <w:rsid w:val="00A5361F"/>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A5361F"/>
    <w:pPr>
      <w:spacing w:after="100"/>
    </w:pPr>
  </w:style>
  <w:style w:type="character" w:styleId="Hyperlink">
    <w:name w:val="Hyperlink"/>
    <w:basedOn w:val="DefaultParagraphFont"/>
    <w:uiPriority w:val="99"/>
    <w:unhideWhenUsed/>
    <w:rsid w:val="00A5361F"/>
    <w:rPr>
      <w:color w:val="0563C1" w:themeColor="hyperlink"/>
      <w:u w:val="single"/>
    </w:rPr>
  </w:style>
  <w:style w:type="paragraph" w:styleId="TOC2">
    <w:name w:val="toc 2"/>
    <w:basedOn w:val="Normal"/>
    <w:next w:val="Normal"/>
    <w:autoRedefine/>
    <w:uiPriority w:val="39"/>
    <w:unhideWhenUsed/>
    <w:rsid w:val="00A5361F"/>
    <w:pPr>
      <w:spacing w:after="100"/>
      <w:ind w:left="220"/>
    </w:pPr>
  </w:style>
  <w:style w:type="paragraph" w:styleId="ListParagraph">
    <w:name w:val="List Paragraph"/>
    <w:basedOn w:val="Normal"/>
    <w:uiPriority w:val="34"/>
    <w:qFormat/>
    <w:rsid w:val="00BA521D"/>
    <w:pPr>
      <w:ind w:left="720"/>
      <w:contextualSpacing/>
    </w:pPr>
  </w:style>
  <w:style w:type="paragraph" w:styleId="BalloonText">
    <w:name w:val="Balloon Text"/>
    <w:basedOn w:val="Normal"/>
    <w:link w:val="BalloonTextChar"/>
    <w:uiPriority w:val="99"/>
    <w:semiHidden/>
    <w:unhideWhenUsed/>
    <w:rsid w:val="00AB209B"/>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AB209B"/>
    <w:rPr>
      <w:rFonts w:ascii="Lucida Grande" w:hAnsi="Lucida Grande"/>
      <w:sz w:val="18"/>
      <w:szCs w:val="18"/>
    </w:rPr>
  </w:style>
  <w:style w:type="character" w:styleId="PlaceholderText">
    <w:name w:val="Placeholder Text"/>
    <w:basedOn w:val="DefaultParagraphFont"/>
    <w:uiPriority w:val="99"/>
    <w:semiHidden/>
    <w:rsid w:val="00CA3FF0"/>
    <w:rPr>
      <w:color w:val="808080"/>
    </w:rPr>
  </w:style>
  <w:style w:type="paragraph" w:styleId="Caption">
    <w:name w:val="caption"/>
    <w:basedOn w:val="Normal"/>
    <w:next w:val="Normal"/>
    <w:uiPriority w:val="35"/>
    <w:unhideWhenUsed/>
    <w:qFormat/>
    <w:rsid w:val="00D2452E"/>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C06824"/>
  </w:style>
  <w:style w:type="paragraph" w:styleId="TableofFigures">
    <w:name w:val="table of figures"/>
    <w:basedOn w:val="Normal"/>
    <w:next w:val="Normal"/>
    <w:uiPriority w:val="99"/>
    <w:unhideWhenUsed/>
    <w:rsid w:val="00C0682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574907">
      <w:bodyDiv w:val="1"/>
      <w:marLeft w:val="0"/>
      <w:marRight w:val="0"/>
      <w:marTop w:val="0"/>
      <w:marBottom w:val="0"/>
      <w:divBdr>
        <w:top w:val="none" w:sz="0" w:space="0" w:color="auto"/>
        <w:left w:val="none" w:sz="0" w:space="0" w:color="auto"/>
        <w:bottom w:val="none" w:sz="0" w:space="0" w:color="auto"/>
        <w:right w:val="none" w:sz="0" w:space="0" w:color="auto"/>
      </w:divBdr>
    </w:div>
    <w:div w:id="162473829">
      <w:bodyDiv w:val="1"/>
      <w:marLeft w:val="0"/>
      <w:marRight w:val="0"/>
      <w:marTop w:val="0"/>
      <w:marBottom w:val="0"/>
      <w:divBdr>
        <w:top w:val="none" w:sz="0" w:space="0" w:color="auto"/>
        <w:left w:val="none" w:sz="0" w:space="0" w:color="auto"/>
        <w:bottom w:val="none" w:sz="0" w:space="0" w:color="auto"/>
        <w:right w:val="none" w:sz="0" w:space="0" w:color="auto"/>
      </w:divBdr>
    </w:div>
    <w:div w:id="226232878">
      <w:bodyDiv w:val="1"/>
      <w:marLeft w:val="0"/>
      <w:marRight w:val="0"/>
      <w:marTop w:val="0"/>
      <w:marBottom w:val="0"/>
      <w:divBdr>
        <w:top w:val="none" w:sz="0" w:space="0" w:color="auto"/>
        <w:left w:val="none" w:sz="0" w:space="0" w:color="auto"/>
        <w:bottom w:val="none" w:sz="0" w:space="0" w:color="auto"/>
        <w:right w:val="none" w:sz="0" w:space="0" w:color="auto"/>
      </w:divBdr>
    </w:div>
    <w:div w:id="458424417">
      <w:bodyDiv w:val="1"/>
      <w:marLeft w:val="0"/>
      <w:marRight w:val="0"/>
      <w:marTop w:val="0"/>
      <w:marBottom w:val="0"/>
      <w:divBdr>
        <w:top w:val="none" w:sz="0" w:space="0" w:color="auto"/>
        <w:left w:val="none" w:sz="0" w:space="0" w:color="auto"/>
        <w:bottom w:val="none" w:sz="0" w:space="0" w:color="auto"/>
        <w:right w:val="none" w:sz="0" w:space="0" w:color="auto"/>
      </w:divBdr>
    </w:div>
    <w:div w:id="489717252">
      <w:bodyDiv w:val="1"/>
      <w:marLeft w:val="0"/>
      <w:marRight w:val="0"/>
      <w:marTop w:val="0"/>
      <w:marBottom w:val="0"/>
      <w:divBdr>
        <w:top w:val="none" w:sz="0" w:space="0" w:color="auto"/>
        <w:left w:val="none" w:sz="0" w:space="0" w:color="auto"/>
        <w:bottom w:val="none" w:sz="0" w:space="0" w:color="auto"/>
        <w:right w:val="none" w:sz="0" w:space="0" w:color="auto"/>
      </w:divBdr>
    </w:div>
    <w:div w:id="564610614">
      <w:bodyDiv w:val="1"/>
      <w:marLeft w:val="0"/>
      <w:marRight w:val="0"/>
      <w:marTop w:val="0"/>
      <w:marBottom w:val="0"/>
      <w:divBdr>
        <w:top w:val="none" w:sz="0" w:space="0" w:color="auto"/>
        <w:left w:val="none" w:sz="0" w:space="0" w:color="auto"/>
        <w:bottom w:val="none" w:sz="0" w:space="0" w:color="auto"/>
        <w:right w:val="none" w:sz="0" w:space="0" w:color="auto"/>
      </w:divBdr>
    </w:div>
    <w:div w:id="567619508">
      <w:bodyDiv w:val="1"/>
      <w:marLeft w:val="0"/>
      <w:marRight w:val="0"/>
      <w:marTop w:val="0"/>
      <w:marBottom w:val="0"/>
      <w:divBdr>
        <w:top w:val="none" w:sz="0" w:space="0" w:color="auto"/>
        <w:left w:val="none" w:sz="0" w:space="0" w:color="auto"/>
        <w:bottom w:val="none" w:sz="0" w:space="0" w:color="auto"/>
        <w:right w:val="none" w:sz="0" w:space="0" w:color="auto"/>
      </w:divBdr>
    </w:div>
    <w:div w:id="641733381">
      <w:bodyDiv w:val="1"/>
      <w:marLeft w:val="0"/>
      <w:marRight w:val="0"/>
      <w:marTop w:val="0"/>
      <w:marBottom w:val="0"/>
      <w:divBdr>
        <w:top w:val="none" w:sz="0" w:space="0" w:color="auto"/>
        <w:left w:val="none" w:sz="0" w:space="0" w:color="auto"/>
        <w:bottom w:val="none" w:sz="0" w:space="0" w:color="auto"/>
        <w:right w:val="none" w:sz="0" w:space="0" w:color="auto"/>
      </w:divBdr>
    </w:div>
    <w:div w:id="851457745">
      <w:bodyDiv w:val="1"/>
      <w:marLeft w:val="0"/>
      <w:marRight w:val="0"/>
      <w:marTop w:val="0"/>
      <w:marBottom w:val="0"/>
      <w:divBdr>
        <w:top w:val="none" w:sz="0" w:space="0" w:color="auto"/>
        <w:left w:val="none" w:sz="0" w:space="0" w:color="auto"/>
        <w:bottom w:val="none" w:sz="0" w:space="0" w:color="auto"/>
        <w:right w:val="none" w:sz="0" w:space="0" w:color="auto"/>
      </w:divBdr>
    </w:div>
    <w:div w:id="889077947">
      <w:bodyDiv w:val="1"/>
      <w:marLeft w:val="0"/>
      <w:marRight w:val="0"/>
      <w:marTop w:val="0"/>
      <w:marBottom w:val="0"/>
      <w:divBdr>
        <w:top w:val="none" w:sz="0" w:space="0" w:color="auto"/>
        <w:left w:val="none" w:sz="0" w:space="0" w:color="auto"/>
        <w:bottom w:val="none" w:sz="0" w:space="0" w:color="auto"/>
        <w:right w:val="none" w:sz="0" w:space="0" w:color="auto"/>
      </w:divBdr>
    </w:div>
    <w:div w:id="1097873873">
      <w:bodyDiv w:val="1"/>
      <w:marLeft w:val="0"/>
      <w:marRight w:val="0"/>
      <w:marTop w:val="0"/>
      <w:marBottom w:val="0"/>
      <w:divBdr>
        <w:top w:val="none" w:sz="0" w:space="0" w:color="auto"/>
        <w:left w:val="none" w:sz="0" w:space="0" w:color="auto"/>
        <w:bottom w:val="none" w:sz="0" w:space="0" w:color="auto"/>
        <w:right w:val="none" w:sz="0" w:space="0" w:color="auto"/>
      </w:divBdr>
    </w:div>
    <w:div w:id="1524125205">
      <w:bodyDiv w:val="1"/>
      <w:marLeft w:val="0"/>
      <w:marRight w:val="0"/>
      <w:marTop w:val="0"/>
      <w:marBottom w:val="0"/>
      <w:divBdr>
        <w:top w:val="none" w:sz="0" w:space="0" w:color="auto"/>
        <w:left w:val="none" w:sz="0" w:space="0" w:color="auto"/>
        <w:bottom w:val="none" w:sz="0" w:space="0" w:color="auto"/>
        <w:right w:val="none" w:sz="0" w:space="0" w:color="auto"/>
      </w:divBdr>
    </w:div>
    <w:div w:id="1557205714">
      <w:bodyDiv w:val="1"/>
      <w:marLeft w:val="0"/>
      <w:marRight w:val="0"/>
      <w:marTop w:val="0"/>
      <w:marBottom w:val="0"/>
      <w:divBdr>
        <w:top w:val="none" w:sz="0" w:space="0" w:color="auto"/>
        <w:left w:val="none" w:sz="0" w:space="0" w:color="auto"/>
        <w:bottom w:val="none" w:sz="0" w:space="0" w:color="auto"/>
        <w:right w:val="none" w:sz="0" w:space="0" w:color="auto"/>
      </w:divBdr>
    </w:div>
    <w:div w:id="1834030096">
      <w:bodyDiv w:val="1"/>
      <w:marLeft w:val="0"/>
      <w:marRight w:val="0"/>
      <w:marTop w:val="0"/>
      <w:marBottom w:val="0"/>
      <w:divBdr>
        <w:top w:val="none" w:sz="0" w:space="0" w:color="auto"/>
        <w:left w:val="none" w:sz="0" w:space="0" w:color="auto"/>
        <w:bottom w:val="none" w:sz="0" w:space="0" w:color="auto"/>
        <w:right w:val="none" w:sz="0" w:space="0" w:color="auto"/>
      </w:divBdr>
    </w:div>
    <w:div w:id="1923831109">
      <w:bodyDiv w:val="1"/>
      <w:marLeft w:val="0"/>
      <w:marRight w:val="0"/>
      <w:marTop w:val="0"/>
      <w:marBottom w:val="0"/>
      <w:divBdr>
        <w:top w:val="none" w:sz="0" w:space="0" w:color="auto"/>
        <w:left w:val="none" w:sz="0" w:space="0" w:color="auto"/>
        <w:bottom w:val="none" w:sz="0" w:space="0" w:color="auto"/>
        <w:right w:val="none" w:sz="0" w:space="0" w:color="auto"/>
      </w:divBdr>
    </w:div>
    <w:div w:id="2003585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6.png"/><Relationship Id="rId26" Type="http://schemas.openxmlformats.org/officeDocument/2006/relationships/chart" Target="charts/chart7.xml"/><Relationship Id="rId39" Type="http://schemas.openxmlformats.org/officeDocument/2006/relationships/chart" Target="charts/chart12.xml"/><Relationship Id="rId3" Type="http://schemas.openxmlformats.org/officeDocument/2006/relationships/styles" Target="styles.xml"/><Relationship Id="rId21" Type="http://schemas.openxmlformats.org/officeDocument/2006/relationships/chart" Target="charts/chart5.xml"/><Relationship Id="rId34" Type="http://schemas.openxmlformats.org/officeDocument/2006/relationships/image" Target="media/image18.png"/><Relationship Id="rId42" Type="http://schemas.openxmlformats.org/officeDocument/2006/relationships/chart" Target="charts/chart15.xml"/><Relationship Id="rId47"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chart" Target="charts/chart4.xml"/><Relationship Id="rId25" Type="http://schemas.openxmlformats.org/officeDocument/2006/relationships/image" Target="media/image11.png"/><Relationship Id="rId33" Type="http://schemas.openxmlformats.org/officeDocument/2006/relationships/image" Target="media/image17.png"/><Relationship Id="rId38" Type="http://schemas.openxmlformats.org/officeDocument/2006/relationships/image" Target="media/image19.png"/><Relationship Id="rId46" Type="http://schemas.openxmlformats.org/officeDocument/2006/relationships/image" Target="media/image23.emf"/><Relationship Id="rId2" Type="http://schemas.openxmlformats.org/officeDocument/2006/relationships/numbering" Target="numbering.xml"/><Relationship Id="rId16" Type="http://schemas.openxmlformats.org/officeDocument/2006/relationships/chart" Target="charts/chart3.xml"/><Relationship Id="rId20" Type="http://schemas.openxmlformats.org/officeDocument/2006/relationships/image" Target="media/image8.png"/><Relationship Id="rId29" Type="http://schemas.openxmlformats.org/officeDocument/2006/relationships/image" Target="media/image13.png"/><Relationship Id="rId41" Type="http://schemas.openxmlformats.org/officeDocument/2006/relationships/chart" Target="charts/chart1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0.png"/><Relationship Id="rId32" Type="http://schemas.openxmlformats.org/officeDocument/2006/relationships/image" Target="media/image16.png"/><Relationship Id="rId37" Type="http://schemas.openxmlformats.org/officeDocument/2006/relationships/chart" Target="charts/chart11.xml"/><Relationship Id="rId40" Type="http://schemas.openxmlformats.org/officeDocument/2006/relationships/chart" Target="charts/chart13.xml"/><Relationship Id="rId45" Type="http://schemas.openxmlformats.org/officeDocument/2006/relationships/image" Target="media/image22.emf"/><Relationship Id="rId5" Type="http://schemas.openxmlformats.org/officeDocument/2006/relationships/webSettings" Target="webSettings.xml"/><Relationship Id="rId15" Type="http://schemas.openxmlformats.org/officeDocument/2006/relationships/chart" Target="charts/chart2.xml"/><Relationship Id="rId23" Type="http://schemas.openxmlformats.org/officeDocument/2006/relationships/chart" Target="charts/chart6.xml"/><Relationship Id="rId28" Type="http://schemas.openxmlformats.org/officeDocument/2006/relationships/image" Target="media/image12.png"/><Relationship Id="rId36" Type="http://schemas.openxmlformats.org/officeDocument/2006/relationships/chart" Target="charts/chart10.xml"/><Relationship Id="rId49"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7.png"/><Relationship Id="rId31" Type="http://schemas.openxmlformats.org/officeDocument/2006/relationships/image" Target="media/image15.png"/><Relationship Id="rId44" Type="http://schemas.openxmlformats.org/officeDocument/2006/relationships/image" Target="media/image21.emf"/><Relationship Id="rId4" Type="http://schemas.openxmlformats.org/officeDocument/2006/relationships/settings" Target="settings.xml"/><Relationship Id="rId9" Type="http://schemas.openxmlformats.org/officeDocument/2006/relationships/image" Target="media/image1.emf"/><Relationship Id="rId14" Type="http://schemas.openxmlformats.org/officeDocument/2006/relationships/chart" Target="charts/chart1.xml"/><Relationship Id="rId22" Type="http://schemas.openxmlformats.org/officeDocument/2006/relationships/image" Target="media/image9.png"/><Relationship Id="rId27" Type="http://schemas.openxmlformats.org/officeDocument/2006/relationships/chart" Target="charts/chart8.xml"/><Relationship Id="rId30" Type="http://schemas.openxmlformats.org/officeDocument/2006/relationships/image" Target="media/image14.png"/><Relationship Id="rId35" Type="http://schemas.openxmlformats.org/officeDocument/2006/relationships/chart" Target="charts/chart9.xml"/><Relationship Id="rId43" Type="http://schemas.openxmlformats.org/officeDocument/2006/relationships/image" Target="media/image20.emf"/><Relationship Id="rId48" Type="http://schemas.openxmlformats.org/officeDocument/2006/relationships/glossaryDocument" Target="glossary/document.xml"/><Relationship Id="rId8"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Phil\Dropbox\University\Year%203\Powertrain%20and%20Sustainability\Assignment%202.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Phil\Dropbox\University\Year%203\Powertrain%20and%20Sustainability\Assignment%202.xlsx" TargetMode="External"/></Relationships>
</file>

<file path=word/charts/_rels/chart3.xml.rels><?xml version="1.0" encoding="UTF-8" standalone="yes"?>
<Relationships xmlns="http://schemas.openxmlformats.org/package/2006/relationships"><Relationship Id="rId3" Type="http://schemas.openxmlformats.org/officeDocument/2006/relationships/oleObject" Target="file:///C:\Users\Phil\Dropbox\University\Year%203\Powertrain%20and%20Sustainability\Assignment%202.xlsx" TargetMode="External"/><Relationship Id="rId2" Type="http://schemas.microsoft.com/office/2011/relationships/chartColorStyle" Target="colors1.xml"/><Relationship Id="rId1" Type="http://schemas.microsoft.com/office/2011/relationships/chartStyle" Target="style1.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Phil\Dropbox\University\Year%203\Powertrain%20and%20Sustainability\Assignment%202.xlsx" TargetMode="External"/><Relationship Id="rId2" Type="http://schemas.microsoft.com/office/2011/relationships/chartColorStyle" Target="colors2.xml"/><Relationship Id="rId1" Type="http://schemas.microsoft.com/office/2011/relationships/chartStyle" Target="style2.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Phil\Dropbox\University\Year%203\Powertrain%20and%20Sustainability\Assignment%202.xlsx" TargetMode="External"/><Relationship Id="rId2" Type="http://schemas.microsoft.com/office/2011/relationships/chartColorStyle" Target="colors3.xml"/><Relationship Id="rId1" Type="http://schemas.microsoft.com/office/2011/relationships/chartStyle" Target="style3.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Phil\Dropbox\University\Year%203\Powertrain%20and%20Sustainability\Assignment%202.xlsx" TargetMode="External"/><Relationship Id="rId2" Type="http://schemas.microsoft.com/office/2011/relationships/chartColorStyle" Target="colors4.xml"/><Relationship Id="rId1" Type="http://schemas.microsoft.com/office/2011/relationships/chartStyle" Target="style4.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Phil\Dropbox\University\Year%203\Powertrain%20and%20Sustainability\Assignment%202.xlsx" TargetMode="External"/><Relationship Id="rId2" Type="http://schemas.microsoft.com/office/2011/relationships/chartColorStyle" Target="colors5.xml"/><Relationship Id="rId1" Type="http://schemas.microsoft.com/office/2011/relationships/chartStyle" Target="style5.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Phil\Dropbox\University\Year%203\Powertrain%20and%20Sustainability\Assignment%202.xlsx" TargetMode="External"/><Relationship Id="rId2" Type="http://schemas.microsoft.com/office/2011/relationships/chartColorStyle" Target="colors6.xml"/><Relationship Id="rId1" Type="http://schemas.microsoft.com/office/2011/relationships/chartStyle" Target="style6.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Phil\Dropbox\University\Year%203\Powertrain%20and%20Sustainability\Assignment%202.xlsx" TargetMode="External"/><Relationship Id="rId2" Type="http://schemas.microsoft.com/office/2011/relationships/chartColorStyle" Target="colors7.xml"/><Relationship Id="rId1" Type="http://schemas.microsoft.com/office/2011/relationships/chartStyle" Target="style7.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Phil\Dropbox\University\Year%203\Powertrain%20and%20Sustainability\Assignment%202.xlsx" TargetMode="External"/><Relationship Id="rId2" Type="http://schemas.microsoft.com/office/2011/relationships/chartColorStyle" Target="colors8.xml"/><Relationship Id="rId1" Type="http://schemas.microsoft.com/office/2011/relationships/chartStyle" Target="style8.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Phil\Dropbox\University\Year%203\Powertrain%20and%20Sustainability\Assignment%202.xlsx" TargetMode="External"/><Relationship Id="rId2" Type="http://schemas.microsoft.com/office/2011/relationships/chartColorStyle" Target="colors9.xml"/><Relationship Id="rId1" Type="http://schemas.microsoft.com/office/2011/relationships/chartStyle" Target="style9.xml"/></Relationships>
</file>

<file path=word/charts/_rels/chart12.xml.rels><?xml version="1.0" encoding="UTF-8" standalone="yes"?>
<Relationships xmlns="http://schemas.openxmlformats.org/package/2006/relationships"><Relationship Id="rId3" Type="http://schemas.openxmlformats.org/officeDocument/2006/relationships/oleObject" Target="file:///C:\Users\Phil\Dropbox\University\Year%203\Powertrain%20and%20Sustainability\Assignment%202.xlsx" TargetMode="External"/><Relationship Id="rId2" Type="http://schemas.microsoft.com/office/2011/relationships/chartColorStyle" Target="colors10.xml"/><Relationship Id="rId1" Type="http://schemas.microsoft.com/office/2011/relationships/chartStyle" Target="style10.xml"/></Relationships>
</file>

<file path=word/charts/_rels/chart13.xml.rels><?xml version="1.0" encoding="UTF-8" standalone="yes"?>
<Relationships xmlns="http://schemas.openxmlformats.org/package/2006/relationships"><Relationship Id="rId3" Type="http://schemas.openxmlformats.org/officeDocument/2006/relationships/oleObject" Target="file:///C:\Users\Phil\Dropbox\University\Year%203\Powertrain%20and%20Sustainability\Assignment%202.xlsx" TargetMode="External"/><Relationship Id="rId2" Type="http://schemas.microsoft.com/office/2011/relationships/chartColorStyle" Target="colors11.xml"/><Relationship Id="rId1" Type="http://schemas.microsoft.com/office/2011/relationships/chartStyle" Target="style11.xml"/></Relationships>
</file>

<file path=word/charts/_rels/chart14.xml.rels><?xml version="1.0" encoding="UTF-8" standalone="yes"?>
<Relationships xmlns="http://schemas.openxmlformats.org/package/2006/relationships"><Relationship Id="rId3" Type="http://schemas.openxmlformats.org/officeDocument/2006/relationships/oleObject" Target="file:///C:\Users\Phil\Dropbox\University\Year%203\Powertrain%20and%20Sustainability\Assignment%202.xlsx" TargetMode="External"/><Relationship Id="rId2" Type="http://schemas.microsoft.com/office/2011/relationships/chartColorStyle" Target="colors12.xml"/><Relationship Id="rId1" Type="http://schemas.microsoft.com/office/2011/relationships/chartStyle" Target="style12.xml"/></Relationships>
</file>

<file path=word/charts/_rels/chart15.xml.rels><?xml version="1.0" encoding="UTF-8" standalone="yes"?>
<Relationships xmlns="http://schemas.openxmlformats.org/package/2006/relationships"><Relationship Id="rId1" Type="http://schemas.openxmlformats.org/officeDocument/2006/relationships/oleObject" Target="file:///C:\Users\Phil\Dropbox\University\Year%203\Powertrain%20and%20Sustainability\Assignment%202.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H2O</a:t>
            </a:r>
            <a:r>
              <a:rPr lang="en-GB" baseline="0"/>
              <a:t> Temperature vs Change in Enthalpy</a:t>
            </a:r>
            <a:endParaRPr lang="en-GB"/>
          </a:p>
        </c:rich>
      </c:tx>
      <c:layout>
        <c:manualLayout>
          <c:xMode val="edge"/>
          <c:yMode val="edge"/>
          <c:x val="0.32220373348616538"/>
          <c:y val="0"/>
        </c:manualLayout>
      </c:layout>
      <c:overlay val="0"/>
      <c:spPr>
        <a:noFill/>
        <a:ln>
          <a:noFill/>
        </a:ln>
        <a:effectLst/>
      </c:spPr>
    </c:title>
    <c:autoTitleDeleted val="0"/>
    <c:plotArea>
      <c:layout>
        <c:manualLayout>
          <c:layoutTarget val="inner"/>
          <c:xMode val="edge"/>
          <c:yMode val="edge"/>
          <c:x val="7.5541842024281783E-2"/>
          <c:y val="0.40668844193286002"/>
          <c:w val="0.89389764469342914"/>
          <c:h val="0.46224049603318246"/>
        </c:manualLayout>
      </c:layout>
      <c:scatterChart>
        <c:scatterStyle val="smoothMarker"/>
        <c:varyColors val="0"/>
        <c:ser>
          <c:idx val="1"/>
          <c:order val="0"/>
          <c:tx>
            <c:v>H2O</c:v>
          </c:tx>
          <c:marker>
            <c:symbol val="none"/>
          </c:marker>
          <c:xVal>
            <c:numRef>
              <c:f>'NASA Tables'!$A$6:$A$55</c:f>
              <c:numCache>
                <c:formatCode>General</c:formatCode>
                <c:ptCount val="50"/>
                <c:pt idx="0">
                  <c:v>200</c:v>
                </c:pt>
                <c:pt idx="1">
                  <c:v>298</c:v>
                </c:pt>
                <c:pt idx="2">
                  <c:v>300</c:v>
                </c:pt>
                <c:pt idx="3">
                  <c:v>400</c:v>
                </c:pt>
                <c:pt idx="4">
                  <c:v>500</c:v>
                </c:pt>
                <c:pt idx="5">
                  <c:v>600</c:v>
                </c:pt>
                <c:pt idx="6">
                  <c:v>700</c:v>
                </c:pt>
                <c:pt idx="7">
                  <c:v>800</c:v>
                </c:pt>
                <c:pt idx="8">
                  <c:v>900</c:v>
                </c:pt>
                <c:pt idx="9">
                  <c:v>1000</c:v>
                </c:pt>
                <c:pt idx="10">
                  <c:v>1100</c:v>
                </c:pt>
                <c:pt idx="11">
                  <c:v>1200</c:v>
                </c:pt>
                <c:pt idx="12">
                  <c:v>1300</c:v>
                </c:pt>
                <c:pt idx="13">
                  <c:v>1400</c:v>
                </c:pt>
                <c:pt idx="14">
                  <c:v>1500</c:v>
                </c:pt>
                <c:pt idx="15">
                  <c:v>1600</c:v>
                </c:pt>
                <c:pt idx="16">
                  <c:v>1700</c:v>
                </c:pt>
                <c:pt idx="17">
                  <c:v>1800</c:v>
                </c:pt>
                <c:pt idx="18">
                  <c:v>1900</c:v>
                </c:pt>
                <c:pt idx="19">
                  <c:v>2000</c:v>
                </c:pt>
                <c:pt idx="20">
                  <c:v>2100</c:v>
                </c:pt>
                <c:pt idx="21">
                  <c:v>2200</c:v>
                </c:pt>
                <c:pt idx="22">
                  <c:v>2300</c:v>
                </c:pt>
                <c:pt idx="23">
                  <c:v>2400</c:v>
                </c:pt>
                <c:pt idx="24">
                  <c:v>2500</c:v>
                </c:pt>
                <c:pt idx="25">
                  <c:v>2600</c:v>
                </c:pt>
                <c:pt idx="26">
                  <c:v>2700</c:v>
                </c:pt>
                <c:pt idx="27">
                  <c:v>2800</c:v>
                </c:pt>
                <c:pt idx="28">
                  <c:v>2900</c:v>
                </c:pt>
                <c:pt idx="29">
                  <c:v>3000</c:v>
                </c:pt>
                <c:pt idx="30">
                  <c:v>3100</c:v>
                </c:pt>
                <c:pt idx="31">
                  <c:v>3200</c:v>
                </c:pt>
                <c:pt idx="32">
                  <c:v>3300</c:v>
                </c:pt>
                <c:pt idx="33">
                  <c:v>3400</c:v>
                </c:pt>
                <c:pt idx="34">
                  <c:v>3500</c:v>
                </c:pt>
                <c:pt idx="35">
                  <c:v>3600</c:v>
                </c:pt>
                <c:pt idx="36">
                  <c:v>3700</c:v>
                </c:pt>
                <c:pt idx="37">
                  <c:v>3800</c:v>
                </c:pt>
                <c:pt idx="38">
                  <c:v>3900</c:v>
                </c:pt>
                <c:pt idx="39">
                  <c:v>4000</c:v>
                </c:pt>
                <c:pt idx="40">
                  <c:v>4100</c:v>
                </c:pt>
                <c:pt idx="41">
                  <c:v>4200</c:v>
                </c:pt>
                <c:pt idx="42">
                  <c:v>4300</c:v>
                </c:pt>
                <c:pt idx="43">
                  <c:v>4400</c:v>
                </c:pt>
                <c:pt idx="44">
                  <c:v>4500</c:v>
                </c:pt>
                <c:pt idx="45">
                  <c:v>4600</c:v>
                </c:pt>
                <c:pt idx="46">
                  <c:v>4700</c:v>
                </c:pt>
                <c:pt idx="47">
                  <c:v>4800</c:v>
                </c:pt>
                <c:pt idx="48">
                  <c:v>4900</c:v>
                </c:pt>
                <c:pt idx="49">
                  <c:v>5000</c:v>
                </c:pt>
              </c:numCache>
            </c:numRef>
          </c:xVal>
          <c:yVal>
            <c:numRef>
              <c:f>'NASA Tables'!$D$6:$D$55</c:f>
              <c:numCache>
                <c:formatCode>General</c:formatCode>
                <c:ptCount val="50"/>
                <c:pt idx="0">
                  <c:v>-3.2269999999999999</c:v>
                </c:pt>
                <c:pt idx="1">
                  <c:v>0</c:v>
                </c:pt>
                <c:pt idx="2">
                  <c:v>6.2E-2</c:v>
                </c:pt>
                <c:pt idx="3">
                  <c:v>3.4580000000000002</c:v>
                </c:pt>
                <c:pt idx="4">
                  <c:v>6.9470000000000001</c:v>
                </c:pt>
                <c:pt idx="5">
                  <c:v>10.528</c:v>
                </c:pt>
                <c:pt idx="6">
                  <c:v>14.209</c:v>
                </c:pt>
                <c:pt idx="7">
                  <c:v>18.004999999999999</c:v>
                </c:pt>
                <c:pt idx="8">
                  <c:v>21.93</c:v>
                </c:pt>
                <c:pt idx="9">
                  <c:v>25.992999999999999</c:v>
                </c:pt>
                <c:pt idx="10">
                  <c:v>30.191099999999999</c:v>
                </c:pt>
                <c:pt idx="11">
                  <c:v>34.518000000000001</c:v>
                </c:pt>
                <c:pt idx="12">
                  <c:v>38.963000000000001</c:v>
                </c:pt>
                <c:pt idx="13">
                  <c:v>43.52</c:v>
                </c:pt>
                <c:pt idx="14">
                  <c:v>48.180999999999997</c:v>
                </c:pt>
                <c:pt idx="15">
                  <c:v>52.939</c:v>
                </c:pt>
                <c:pt idx="16">
                  <c:v>57.786000000000001</c:v>
                </c:pt>
                <c:pt idx="17">
                  <c:v>62.716999999999999</c:v>
                </c:pt>
                <c:pt idx="18">
                  <c:v>67.724999999999994</c:v>
                </c:pt>
                <c:pt idx="19">
                  <c:v>72.805000000000007</c:v>
                </c:pt>
                <c:pt idx="20">
                  <c:v>77.951999999999998</c:v>
                </c:pt>
                <c:pt idx="21">
                  <c:v>83.16</c:v>
                </c:pt>
                <c:pt idx="22">
                  <c:v>88.426000000000002</c:v>
                </c:pt>
                <c:pt idx="23">
                  <c:v>93.744</c:v>
                </c:pt>
                <c:pt idx="24">
                  <c:v>99.111999999999995</c:v>
                </c:pt>
                <c:pt idx="25">
                  <c:v>104.524</c:v>
                </c:pt>
                <c:pt idx="26">
                  <c:v>109.979</c:v>
                </c:pt>
                <c:pt idx="27">
                  <c:v>115.47199999999999</c:v>
                </c:pt>
                <c:pt idx="28">
                  <c:v>121.001</c:v>
                </c:pt>
                <c:pt idx="29">
                  <c:v>126.563</c:v>
                </c:pt>
                <c:pt idx="30">
                  <c:v>132.15600000000001</c:v>
                </c:pt>
                <c:pt idx="31">
                  <c:v>137.77699999999999</c:v>
                </c:pt>
                <c:pt idx="32">
                  <c:v>143.42599999999999</c:v>
                </c:pt>
                <c:pt idx="33">
                  <c:v>149.09899999999999</c:v>
                </c:pt>
                <c:pt idx="34">
                  <c:v>154.79499999999999</c:v>
                </c:pt>
                <c:pt idx="35">
                  <c:v>160.51400000000001</c:v>
                </c:pt>
                <c:pt idx="36">
                  <c:v>166.25200000000001</c:v>
                </c:pt>
                <c:pt idx="37">
                  <c:v>172.011</c:v>
                </c:pt>
                <c:pt idx="38">
                  <c:v>177.78700000000001</c:v>
                </c:pt>
                <c:pt idx="39">
                  <c:v>183.58199999999999</c:v>
                </c:pt>
                <c:pt idx="40">
                  <c:v>189.392</c:v>
                </c:pt>
                <c:pt idx="41">
                  <c:v>195.21899999999999</c:v>
                </c:pt>
                <c:pt idx="42">
                  <c:v>201.06100000000001</c:v>
                </c:pt>
                <c:pt idx="43">
                  <c:v>206.91800000000001</c:v>
                </c:pt>
                <c:pt idx="44">
                  <c:v>212.79</c:v>
                </c:pt>
                <c:pt idx="45">
                  <c:v>218.67400000000001</c:v>
                </c:pt>
                <c:pt idx="46">
                  <c:v>224.57300000000001</c:v>
                </c:pt>
                <c:pt idx="47">
                  <c:v>230.48400000000001</c:v>
                </c:pt>
                <c:pt idx="48">
                  <c:v>236.40700000000001</c:v>
                </c:pt>
                <c:pt idx="49">
                  <c:v>242.34299999999999</c:v>
                </c:pt>
              </c:numCache>
            </c:numRef>
          </c:yVal>
          <c:smooth val="1"/>
          <c:extLst>
            <c:ext xmlns:c16="http://schemas.microsoft.com/office/drawing/2014/chart" uri="{C3380CC4-5D6E-409C-BE32-E72D297353CC}">
              <c16:uniqueId val="{00000000-EECD-4B6F-BC19-F3F2DA983070}"/>
            </c:ext>
          </c:extLst>
        </c:ser>
        <c:ser>
          <c:idx val="0"/>
          <c:order val="1"/>
          <c:tx>
            <c:v>H2O</c:v>
          </c:tx>
          <c:spPr>
            <a:ln w="19050" cap="rnd">
              <a:solidFill>
                <a:schemeClr val="accent1"/>
              </a:solidFill>
              <a:round/>
            </a:ln>
            <a:effectLst/>
          </c:spPr>
          <c:marker>
            <c:symbol val="none"/>
          </c:marker>
          <c:trendline>
            <c:trendlineType val="poly"/>
            <c:order val="6"/>
            <c:forward val="30"/>
            <c:backward val="30"/>
            <c:dispRSqr val="0"/>
            <c:dispEq val="1"/>
            <c:trendlineLbl>
              <c:layout>
                <c:manualLayout>
                  <c:x val="9.577758782571287E-2"/>
                  <c:y val="-0.347196824842541"/>
                </c:manualLayout>
              </c:layout>
              <c:numFmt formatCode="#,##0.000000000000000000000000000000" sourceLinked="0"/>
            </c:trendlineLbl>
          </c:trendline>
          <c:xVal>
            <c:numRef>
              <c:f>'NASA Tables'!$A$6:$A$55</c:f>
              <c:numCache>
                <c:formatCode>General</c:formatCode>
                <c:ptCount val="50"/>
                <c:pt idx="0">
                  <c:v>200</c:v>
                </c:pt>
                <c:pt idx="1">
                  <c:v>298</c:v>
                </c:pt>
                <c:pt idx="2">
                  <c:v>300</c:v>
                </c:pt>
                <c:pt idx="3">
                  <c:v>400</c:v>
                </c:pt>
                <c:pt idx="4">
                  <c:v>500</c:v>
                </c:pt>
                <c:pt idx="5">
                  <c:v>600</c:v>
                </c:pt>
                <c:pt idx="6">
                  <c:v>700</c:v>
                </c:pt>
                <c:pt idx="7">
                  <c:v>800</c:v>
                </c:pt>
                <c:pt idx="8">
                  <c:v>900</c:v>
                </c:pt>
                <c:pt idx="9">
                  <c:v>1000</c:v>
                </c:pt>
                <c:pt idx="10">
                  <c:v>1100</c:v>
                </c:pt>
                <c:pt idx="11">
                  <c:v>1200</c:v>
                </c:pt>
                <c:pt idx="12">
                  <c:v>1300</c:v>
                </c:pt>
                <c:pt idx="13">
                  <c:v>1400</c:v>
                </c:pt>
                <c:pt idx="14">
                  <c:v>1500</c:v>
                </c:pt>
                <c:pt idx="15">
                  <c:v>1600</c:v>
                </c:pt>
                <c:pt idx="16">
                  <c:v>1700</c:v>
                </c:pt>
                <c:pt idx="17">
                  <c:v>1800</c:v>
                </c:pt>
                <c:pt idx="18">
                  <c:v>1900</c:v>
                </c:pt>
                <c:pt idx="19">
                  <c:v>2000</c:v>
                </c:pt>
                <c:pt idx="20">
                  <c:v>2100</c:v>
                </c:pt>
                <c:pt idx="21">
                  <c:v>2200</c:v>
                </c:pt>
                <c:pt idx="22">
                  <c:v>2300</c:v>
                </c:pt>
                <c:pt idx="23">
                  <c:v>2400</c:v>
                </c:pt>
                <c:pt idx="24">
                  <c:v>2500</c:v>
                </c:pt>
                <c:pt idx="25">
                  <c:v>2600</c:v>
                </c:pt>
                <c:pt idx="26">
                  <c:v>2700</c:v>
                </c:pt>
                <c:pt idx="27">
                  <c:v>2800</c:v>
                </c:pt>
                <c:pt idx="28">
                  <c:v>2900</c:v>
                </c:pt>
                <c:pt idx="29">
                  <c:v>3000</c:v>
                </c:pt>
                <c:pt idx="30">
                  <c:v>3100</c:v>
                </c:pt>
                <c:pt idx="31">
                  <c:v>3200</c:v>
                </c:pt>
                <c:pt idx="32">
                  <c:v>3300</c:v>
                </c:pt>
                <c:pt idx="33">
                  <c:v>3400</c:v>
                </c:pt>
                <c:pt idx="34">
                  <c:v>3500</c:v>
                </c:pt>
                <c:pt idx="35">
                  <c:v>3600</c:v>
                </c:pt>
                <c:pt idx="36">
                  <c:v>3700</c:v>
                </c:pt>
                <c:pt idx="37">
                  <c:v>3800</c:v>
                </c:pt>
                <c:pt idx="38">
                  <c:v>3900</c:v>
                </c:pt>
                <c:pt idx="39">
                  <c:v>4000</c:v>
                </c:pt>
                <c:pt idx="40">
                  <c:v>4100</c:v>
                </c:pt>
                <c:pt idx="41">
                  <c:v>4200</c:v>
                </c:pt>
                <c:pt idx="42">
                  <c:v>4300</c:v>
                </c:pt>
                <c:pt idx="43">
                  <c:v>4400</c:v>
                </c:pt>
                <c:pt idx="44">
                  <c:v>4500</c:v>
                </c:pt>
                <c:pt idx="45">
                  <c:v>4600</c:v>
                </c:pt>
                <c:pt idx="46">
                  <c:v>4700</c:v>
                </c:pt>
                <c:pt idx="47">
                  <c:v>4800</c:v>
                </c:pt>
                <c:pt idx="48">
                  <c:v>4900</c:v>
                </c:pt>
                <c:pt idx="49">
                  <c:v>5000</c:v>
                </c:pt>
              </c:numCache>
            </c:numRef>
          </c:xVal>
          <c:yVal>
            <c:numRef>
              <c:f>'NASA Tables'!$D$6:$D$55</c:f>
              <c:numCache>
                <c:formatCode>General</c:formatCode>
                <c:ptCount val="50"/>
                <c:pt idx="0">
                  <c:v>-3.2269999999999999</c:v>
                </c:pt>
                <c:pt idx="1">
                  <c:v>0</c:v>
                </c:pt>
                <c:pt idx="2">
                  <c:v>6.2E-2</c:v>
                </c:pt>
                <c:pt idx="3">
                  <c:v>3.4580000000000002</c:v>
                </c:pt>
                <c:pt idx="4">
                  <c:v>6.9470000000000001</c:v>
                </c:pt>
                <c:pt idx="5">
                  <c:v>10.528</c:v>
                </c:pt>
                <c:pt idx="6">
                  <c:v>14.209</c:v>
                </c:pt>
                <c:pt idx="7">
                  <c:v>18.004999999999999</c:v>
                </c:pt>
                <c:pt idx="8">
                  <c:v>21.93</c:v>
                </c:pt>
                <c:pt idx="9">
                  <c:v>25.992999999999999</c:v>
                </c:pt>
                <c:pt idx="10">
                  <c:v>30.191099999999999</c:v>
                </c:pt>
                <c:pt idx="11">
                  <c:v>34.518000000000001</c:v>
                </c:pt>
                <c:pt idx="12">
                  <c:v>38.963000000000001</c:v>
                </c:pt>
                <c:pt idx="13">
                  <c:v>43.52</c:v>
                </c:pt>
                <c:pt idx="14">
                  <c:v>48.180999999999997</c:v>
                </c:pt>
                <c:pt idx="15">
                  <c:v>52.939</c:v>
                </c:pt>
                <c:pt idx="16">
                  <c:v>57.786000000000001</c:v>
                </c:pt>
                <c:pt idx="17">
                  <c:v>62.716999999999999</c:v>
                </c:pt>
                <c:pt idx="18">
                  <c:v>67.724999999999994</c:v>
                </c:pt>
                <c:pt idx="19">
                  <c:v>72.805000000000007</c:v>
                </c:pt>
                <c:pt idx="20">
                  <c:v>77.951999999999998</c:v>
                </c:pt>
                <c:pt idx="21">
                  <c:v>83.16</c:v>
                </c:pt>
                <c:pt idx="22">
                  <c:v>88.426000000000002</c:v>
                </c:pt>
                <c:pt idx="23">
                  <c:v>93.744</c:v>
                </c:pt>
                <c:pt idx="24">
                  <c:v>99.111999999999995</c:v>
                </c:pt>
                <c:pt idx="25">
                  <c:v>104.524</c:v>
                </c:pt>
                <c:pt idx="26">
                  <c:v>109.979</c:v>
                </c:pt>
                <c:pt idx="27">
                  <c:v>115.47199999999999</c:v>
                </c:pt>
                <c:pt idx="28">
                  <c:v>121.001</c:v>
                </c:pt>
                <c:pt idx="29">
                  <c:v>126.563</c:v>
                </c:pt>
                <c:pt idx="30">
                  <c:v>132.15600000000001</c:v>
                </c:pt>
                <c:pt idx="31">
                  <c:v>137.77699999999999</c:v>
                </c:pt>
                <c:pt idx="32">
                  <c:v>143.42599999999999</c:v>
                </c:pt>
                <c:pt idx="33">
                  <c:v>149.09899999999999</c:v>
                </c:pt>
                <c:pt idx="34">
                  <c:v>154.79499999999999</c:v>
                </c:pt>
                <c:pt idx="35">
                  <c:v>160.51400000000001</c:v>
                </c:pt>
                <c:pt idx="36">
                  <c:v>166.25200000000001</c:v>
                </c:pt>
                <c:pt idx="37">
                  <c:v>172.011</c:v>
                </c:pt>
                <c:pt idx="38">
                  <c:v>177.78700000000001</c:v>
                </c:pt>
                <c:pt idx="39">
                  <c:v>183.58199999999999</c:v>
                </c:pt>
                <c:pt idx="40">
                  <c:v>189.392</c:v>
                </c:pt>
                <c:pt idx="41">
                  <c:v>195.21899999999999</c:v>
                </c:pt>
                <c:pt idx="42">
                  <c:v>201.06100000000001</c:v>
                </c:pt>
                <c:pt idx="43">
                  <c:v>206.91800000000001</c:v>
                </c:pt>
                <c:pt idx="44">
                  <c:v>212.79</c:v>
                </c:pt>
                <c:pt idx="45">
                  <c:v>218.67400000000001</c:v>
                </c:pt>
                <c:pt idx="46">
                  <c:v>224.57300000000001</c:v>
                </c:pt>
                <c:pt idx="47">
                  <c:v>230.48400000000001</c:v>
                </c:pt>
                <c:pt idx="48">
                  <c:v>236.40700000000001</c:v>
                </c:pt>
                <c:pt idx="49">
                  <c:v>242.34299999999999</c:v>
                </c:pt>
              </c:numCache>
            </c:numRef>
          </c:yVal>
          <c:smooth val="1"/>
          <c:extLst>
            <c:ext xmlns:c16="http://schemas.microsoft.com/office/drawing/2014/chart" uri="{C3380CC4-5D6E-409C-BE32-E72D297353CC}">
              <c16:uniqueId val="{00000002-EECD-4B6F-BC19-F3F2DA983070}"/>
            </c:ext>
          </c:extLst>
        </c:ser>
        <c:dLbls>
          <c:showLegendKey val="0"/>
          <c:showVal val="0"/>
          <c:showCatName val="0"/>
          <c:showSerName val="0"/>
          <c:showPercent val="0"/>
          <c:showBubbleSize val="0"/>
        </c:dLbls>
        <c:axId val="228295768"/>
        <c:axId val="228296424"/>
      </c:scatterChart>
      <c:valAx>
        <c:axId val="22829576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a:t>
                </a:r>
                <a:r>
                  <a:rPr lang="en-GB" baseline="0"/>
                  <a:t> (Kelvin)</a:t>
                </a:r>
                <a:endParaRPr lang="en-GB"/>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8296424"/>
        <c:crosses val="autoZero"/>
        <c:crossBetween val="midCat"/>
      </c:valAx>
      <c:valAx>
        <c:axId val="2282964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Enthalpy Change (MJ/Kmol)</a:t>
                </a:r>
              </a:p>
            </c:rich>
          </c:tx>
          <c:layout>
            <c:manualLayout>
              <c:xMode val="edge"/>
              <c:yMode val="edge"/>
              <c:x val="2.055287226389888E-3"/>
              <c:y val="0.29852186540500719"/>
            </c:manualLayout>
          </c:layout>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8295768"/>
        <c:crosses val="autoZero"/>
        <c:crossBetween val="midCat"/>
      </c:valAx>
    </c:plotArea>
    <c:plotVisOnly val="1"/>
    <c:dispBlanksAs val="gap"/>
    <c:showDLblsOverMax val="0"/>
  </c:chart>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CO2</a:t>
            </a:r>
            <a:r>
              <a:rPr lang="en-GB" baseline="0"/>
              <a:t> Temperature vs Change in Enthalpy</a:t>
            </a:r>
            <a:endParaRPr lang="en-GB"/>
          </a:p>
        </c:rich>
      </c:tx>
      <c:overlay val="0"/>
      <c:spPr>
        <a:noFill/>
        <a:ln>
          <a:noFill/>
        </a:ln>
        <a:effectLst/>
      </c:spPr>
    </c:title>
    <c:autoTitleDeleted val="0"/>
    <c:plotArea>
      <c:layout>
        <c:manualLayout>
          <c:layoutTarget val="inner"/>
          <c:xMode val="edge"/>
          <c:yMode val="edge"/>
          <c:x val="0.10630818108728245"/>
          <c:y val="0.44010854816824968"/>
          <c:w val="0.85313139153644513"/>
          <c:h val="0.41766600070513576"/>
        </c:manualLayout>
      </c:layout>
      <c:scatterChart>
        <c:scatterStyle val="smoothMarker"/>
        <c:varyColors val="0"/>
        <c:ser>
          <c:idx val="1"/>
          <c:order val="0"/>
          <c:tx>
            <c:v>CO2</c:v>
          </c:tx>
          <c:marker>
            <c:symbol val="none"/>
          </c:marker>
          <c:trendline>
            <c:trendlineType val="poly"/>
            <c:order val="6"/>
            <c:dispRSqr val="0"/>
            <c:dispEq val="1"/>
            <c:trendlineLbl>
              <c:layout>
                <c:manualLayout>
                  <c:x val="6.9060856355761702E-2"/>
                  <c:y val="-0.32613297150610582"/>
                </c:manualLayout>
              </c:layout>
              <c:numFmt formatCode="#,##0.000000000000000000000000000000" sourceLinked="0"/>
            </c:trendlineLbl>
          </c:trendline>
          <c:xVal>
            <c:numRef>
              <c:f>'NASA Tables'!$A$6:$A$55</c:f>
              <c:numCache>
                <c:formatCode>General</c:formatCode>
                <c:ptCount val="50"/>
                <c:pt idx="0">
                  <c:v>200</c:v>
                </c:pt>
                <c:pt idx="1">
                  <c:v>298</c:v>
                </c:pt>
                <c:pt idx="2">
                  <c:v>300</c:v>
                </c:pt>
                <c:pt idx="3">
                  <c:v>400</c:v>
                </c:pt>
                <c:pt idx="4">
                  <c:v>500</c:v>
                </c:pt>
                <c:pt idx="5">
                  <c:v>600</c:v>
                </c:pt>
                <c:pt idx="6">
                  <c:v>700</c:v>
                </c:pt>
                <c:pt idx="7">
                  <c:v>800</c:v>
                </c:pt>
                <c:pt idx="8">
                  <c:v>900</c:v>
                </c:pt>
                <c:pt idx="9">
                  <c:v>1000</c:v>
                </c:pt>
                <c:pt idx="10">
                  <c:v>1100</c:v>
                </c:pt>
                <c:pt idx="11">
                  <c:v>1200</c:v>
                </c:pt>
                <c:pt idx="12">
                  <c:v>1300</c:v>
                </c:pt>
                <c:pt idx="13">
                  <c:v>1400</c:v>
                </c:pt>
                <c:pt idx="14">
                  <c:v>1500</c:v>
                </c:pt>
                <c:pt idx="15">
                  <c:v>1600</c:v>
                </c:pt>
                <c:pt idx="16">
                  <c:v>1700</c:v>
                </c:pt>
                <c:pt idx="17">
                  <c:v>1800</c:v>
                </c:pt>
                <c:pt idx="18">
                  <c:v>1900</c:v>
                </c:pt>
                <c:pt idx="19">
                  <c:v>2000</c:v>
                </c:pt>
                <c:pt idx="20">
                  <c:v>2100</c:v>
                </c:pt>
                <c:pt idx="21">
                  <c:v>2200</c:v>
                </c:pt>
                <c:pt idx="22">
                  <c:v>2300</c:v>
                </c:pt>
                <c:pt idx="23">
                  <c:v>2400</c:v>
                </c:pt>
                <c:pt idx="24">
                  <c:v>2500</c:v>
                </c:pt>
                <c:pt idx="25">
                  <c:v>2600</c:v>
                </c:pt>
                <c:pt idx="26">
                  <c:v>2700</c:v>
                </c:pt>
                <c:pt idx="27">
                  <c:v>2800</c:v>
                </c:pt>
                <c:pt idx="28">
                  <c:v>2900</c:v>
                </c:pt>
                <c:pt idx="29">
                  <c:v>3000</c:v>
                </c:pt>
                <c:pt idx="30">
                  <c:v>3100</c:v>
                </c:pt>
                <c:pt idx="31">
                  <c:v>3200</c:v>
                </c:pt>
                <c:pt idx="32">
                  <c:v>3300</c:v>
                </c:pt>
                <c:pt idx="33">
                  <c:v>3400</c:v>
                </c:pt>
                <c:pt idx="34">
                  <c:v>3500</c:v>
                </c:pt>
                <c:pt idx="35">
                  <c:v>3600</c:v>
                </c:pt>
                <c:pt idx="36">
                  <c:v>3700</c:v>
                </c:pt>
                <c:pt idx="37">
                  <c:v>3800</c:v>
                </c:pt>
                <c:pt idx="38">
                  <c:v>3900</c:v>
                </c:pt>
                <c:pt idx="39">
                  <c:v>4000</c:v>
                </c:pt>
                <c:pt idx="40">
                  <c:v>4100</c:v>
                </c:pt>
                <c:pt idx="41">
                  <c:v>4200</c:v>
                </c:pt>
                <c:pt idx="42">
                  <c:v>4300</c:v>
                </c:pt>
                <c:pt idx="43">
                  <c:v>4400</c:v>
                </c:pt>
                <c:pt idx="44">
                  <c:v>4500</c:v>
                </c:pt>
                <c:pt idx="45">
                  <c:v>4600</c:v>
                </c:pt>
                <c:pt idx="46">
                  <c:v>4700</c:v>
                </c:pt>
                <c:pt idx="47">
                  <c:v>4800</c:v>
                </c:pt>
                <c:pt idx="48">
                  <c:v>4900</c:v>
                </c:pt>
                <c:pt idx="49">
                  <c:v>5000</c:v>
                </c:pt>
              </c:numCache>
            </c:numRef>
          </c:xVal>
          <c:yVal>
            <c:numRef>
              <c:f>'NASA Tables'!$G$6:$G$55</c:f>
              <c:numCache>
                <c:formatCode>General</c:formatCode>
                <c:ptCount val="50"/>
                <c:pt idx="0">
                  <c:v>-3.423</c:v>
                </c:pt>
                <c:pt idx="1">
                  <c:v>0</c:v>
                </c:pt>
                <c:pt idx="2">
                  <c:v>6.9000000000000006E-2</c:v>
                </c:pt>
                <c:pt idx="3">
                  <c:v>4.0030000000000001</c:v>
                </c:pt>
                <c:pt idx="4">
                  <c:v>8.3010000000000002</c:v>
                </c:pt>
                <c:pt idx="5">
                  <c:v>12.898999999999999</c:v>
                </c:pt>
                <c:pt idx="6">
                  <c:v>17.748999999999999</c:v>
                </c:pt>
                <c:pt idx="7">
                  <c:v>22.81</c:v>
                </c:pt>
                <c:pt idx="8">
                  <c:v>28.047000000000001</c:v>
                </c:pt>
                <c:pt idx="9">
                  <c:v>33.424999999999997</c:v>
                </c:pt>
                <c:pt idx="10">
                  <c:v>38.911000000000001</c:v>
                </c:pt>
                <c:pt idx="11">
                  <c:v>44.488</c:v>
                </c:pt>
                <c:pt idx="12">
                  <c:v>50.149000000000001</c:v>
                </c:pt>
                <c:pt idx="13">
                  <c:v>55.881999999999998</c:v>
                </c:pt>
                <c:pt idx="14">
                  <c:v>61.680999999999997</c:v>
                </c:pt>
                <c:pt idx="15">
                  <c:v>67.537999999999997</c:v>
                </c:pt>
                <c:pt idx="16">
                  <c:v>73.445999999999998</c:v>
                </c:pt>
                <c:pt idx="17">
                  <c:v>79.399000000000001</c:v>
                </c:pt>
                <c:pt idx="18">
                  <c:v>85.391999999999996</c:v>
                </c:pt>
                <c:pt idx="19">
                  <c:v>91.42</c:v>
                </c:pt>
                <c:pt idx="20">
                  <c:v>97.477000000000004</c:v>
                </c:pt>
                <c:pt idx="21">
                  <c:v>103.562</c:v>
                </c:pt>
                <c:pt idx="22">
                  <c:v>109.67</c:v>
                </c:pt>
                <c:pt idx="23">
                  <c:v>115.798</c:v>
                </c:pt>
                <c:pt idx="24">
                  <c:v>121.944</c:v>
                </c:pt>
                <c:pt idx="25">
                  <c:v>128.107</c:v>
                </c:pt>
                <c:pt idx="26">
                  <c:v>134.28399999999999</c:v>
                </c:pt>
                <c:pt idx="27">
                  <c:v>140.47399999999999</c:v>
                </c:pt>
                <c:pt idx="28">
                  <c:v>146.67699999999999</c:v>
                </c:pt>
                <c:pt idx="29">
                  <c:v>152.89099999999999</c:v>
                </c:pt>
                <c:pt idx="30">
                  <c:v>159.11600000000001</c:v>
                </c:pt>
                <c:pt idx="31">
                  <c:v>165.351</c:v>
                </c:pt>
                <c:pt idx="32">
                  <c:v>171.59700000000001</c:v>
                </c:pt>
                <c:pt idx="33">
                  <c:v>177.85300000000001</c:v>
                </c:pt>
                <c:pt idx="34">
                  <c:v>184.12</c:v>
                </c:pt>
                <c:pt idx="35">
                  <c:v>190.39699999999999</c:v>
                </c:pt>
                <c:pt idx="36">
                  <c:v>196.685</c:v>
                </c:pt>
                <c:pt idx="37">
                  <c:v>202.983</c:v>
                </c:pt>
                <c:pt idx="38">
                  <c:v>209.29300000000001</c:v>
                </c:pt>
                <c:pt idx="39">
                  <c:v>215.613</c:v>
                </c:pt>
                <c:pt idx="40">
                  <c:v>221.94499999999999</c:v>
                </c:pt>
                <c:pt idx="41">
                  <c:v>228.28700000000001</c:v>
                </c:pt>
                <c:pt idx="42">
                  <c:v>234.64</c:v>
                </c:pt>
                <c:pt idx="43">
                  <c:v>241.00200000000001</c:v>
                </c:pt>
                <c:pt idx="44">
                  <c:v>247.37299999999999</c:v>
                </c:pt>
                <c:pt idx="45">
                  <c:v>253.75200000000001</c:v>
                </c:pt>
                <c:pt idx="46">
                  <c:v>260.13799999999998</c:v>
                </c:pt>
                <c:pt idx="47">
                  <c:v>266.52800000000002</c:v>
                </c:pt>
                <c:pt idx="48">
                  <c:v>272.92</c:v>
                </c:pt>
                <c:pt idx="49">
                  <c:v>279.31299999999999</c:v>
                </c:pt>
              </c:numCache>
            </c:numRef>
          </c:yVal>
          <c:smooth val="1"/>
          <c:extLst>
            <c:ext xmlns:c16="http://schemas.microsoft.com/office/drawing/2014/chart" uri="{C3380CC4-5D6E-409C-BE32-E72D297353CC}">
              <c16:uniqueId val="{00000001-D47B-45CB-8E04-8DAC7B2FCFD1}"/>
            </c:ext>
          </c:extLst>
        </c:ser>
        <c:dLbls>
          <c:showLegendKey val="0"/>
          <c:showVal val="0"/>
          <c:showCatName val="0"/>
          <c:showSerName val="0"/>
          <c:showPercent val="0"/>
          <c:showBubbleSize val="0"/>
        </c:dLbls>
        <c:axId val="228295768"/>
        <c:axId val="228296424"/>
      </c:scatterChart>
      <c:valAx>
        <c:axId val="22829576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a:t>
                </a:r>
                <a:r>
                  <a:rPr lang="en-GB" baseline="0"/>
                  <a:t> (Kelvin)</a:t>
                </a:r>
                <a:endParaRPr lang="en-GB"/>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8296424"/>
        <c:crosses val="autoZero"/>
        <c:crossBetween val="midCat"/>
      </c:valAx>
      <c:valAx>
        <c:axId val="2282964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Enthalpy Change (MJ/Kmol)</a:t>
                </a:r>
              </a:p>
            </c:rich>
          </c:tx>
          <c:layout>
            <c:manualLayout>
              <c:xMode val="edge"/>
              <c:yMode val="edge"/>
              <c:x val="2.8222961395020663E-2"/>
              <c:y val="0.28814111261872455"/>
            </c:manualLayout>
          </c:layout>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8295768"/>
        <c:crosses val="autoZero"/>
        <c:crossBetween val="midCat"/>
      </c:valAx>
    </c:plotArea>
    <c:plotVisOnly val="1"/>
    <c:dispBlanksAs val="gap"/>
    <c:showDLblsOverMax val="0"/>
  </c:chart>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O2</a:t>
            </a:r>
            <a:r>
              <a:rPr lang="en-GB" baseline="0"/>
              <a:t> Temperature vs Change in Enthalpy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02604036454923"/>
          <c:y val="0.44553595658073275"/>
          <c:w val="0.85313139153644513"/>
          <c:h val="0.41223859229265269"/>
        </c:manualLayout>
      </c:layout>
      <c:scatterChart>
        <c:scatterStyle val="smoothMarker"/>
        <c:varyColors val="0"/>
        <c:ser>
          <c:idx val="1"/>
          <c:order val="0"/>
          <c:tx>
            <c:v>O2</c:v>
          </c:tx>
          <c:spPr>
            <a:ln w="19050" cap="rnd" cmpd="sng" algn="ctr">
              <a:solidFill>
                <a:schemeClr val="accent4"/>
              </a:solidFill>
              <a:prstDash val="solid"/>
              <a:round/>
            </a:ln>
            <a:effectLst/>
          </c:spPr>
          <c:marker>
            <c:symbol val="none"/>
          </c:marker>
          <c:trendline>
            <c:spPr>
              <a:ln w="6350" cap="rnd" cmpd="sng" algn="ctr">
                <a:solidFill>
                  <a:schemeClr val="tx1"/>
                </a:solidFill>
                <a:prstDash val="solid"/>
                <a:round/>
              </a:ln>
              <a:effectLst/>
            </c:spPr>
            <c:trendlineType val="poly"/>
            <c:order val="6"/>
            <c:dispRSqr val="0"/>
            <c:dispEq val="1"/>
            <c:trendlineLbl>
              <c:layout>
                <c:manualLayout>
                  <c:x val="7.9140485425411938E-2"/>
                  <c:y val="-0.3207055630936228"/>
                </c:manualLayout>
              </c:layout>
              <c:numFmt formatCode="#,##0.000000000000000000000000000000" sourceLinked="0"/>
              <c:spPr>
                <a:noFill/>
                <a:ln>
                  <a:noFill/>
                </a:ln>
                <a:effectLst/>
              </c:spPr>
              <c:txPr>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trendlineLbl>
          </c:trendline>
          <c:xVal>
            <c:numRef>
              <c:f>'NASA Tables'!$A$6:$A$55</c:f>
              <c:numCache>
                <c:formatCode>General</c:formatCode>
                <c:ptCount val="50"/>
                <c:pt idx="0">
                  <c:v>200</c:v>
                </c:pt>
                <c:pt idx="1">
                  <c:v>298</c:v>
                </c:pt>
                <c:pt idx="2">
                  <c:v>300</c:v>
                </c:pt>
                <c:pt idx="3">
                  <c:v>400</c:v>
                </c:pt>
                <c:pt idx="4">
                  <c:v>500</c:v>
                </c:pt>
                <c:pt idx="5">
                  <c:v>600</c:v>
                </c:pt>
                <c:pt idx="6">
                  <c:v>700</c:v>
                </c:pt>
                <c:pt idx="7">
                  <c:v>800</c:v>
                </c:pt>
                <c:pt idx="8">
                  <c:v>900</c:v>
                </c:pt>
                <c:pt idx="9">
                  <c:v>1000</c:v>
                </c:pt>
                <c:pt idx="10">
                  <c:v>1100</c:v>
                </c:pt>
                <c:pt idx="11">
                  <c:v>1200</c:v>
                </c:pt>
                <c:pt idx="12">
                  <c:v>1300</c:v>
                </c:pt>
                <c:pt idx="13">
                  <c:v>1400</c:v>
                </c:pt>
                <c:pt idx="14">
                  <c:v>1500</c:v>
                </c:pt>
                <c:pt idx="15">
                  <c:v>1600</c:v>
                </c:pt>
                <c:pt idx="16">
                  <c:v>1700</c:v>
                </c:pt>
                <c:pt idx="17">
                  <c:v>1800</c:v>
                </c:pt>
                <c:pt idx="18">
                  <c:v>1900</c:v>
                </c:pt>
                <c:pt idx="19">
                  <c:v>2000</c:v>
                </c:pt>
                <c:pt idx="20">
                  <c:v>2100</c:v>
                </c:pt>
                <c:pt idx="21">
                  <c:v>2200</c:v>
                </c:pt>
                <c:pt idx="22">
                  <c:v>2300</c:v>
                </c:pt>
                <c:pt idx="23">
                  <c:v>2400</c:v>
                </c:pt>
                <c:pt idx="24">
                  <c:v>2500</c:v>
                </c:pt>
                <c:pt idx="25">
                  <c:v>2600</c:v>
                </c:pt>
                <c:pt idx="26">
                  <c:v>2700</c:v>
                </c:pt>
                <c:pt idx="27">
                  <c:v>2800</c:v>
                </c:pt>
                <c:pt idx="28">
                  <c:v>2900</c:v>
                </c:pt>
                <c:pt idx="29">
                  <c:v>3000</c:v>
                </c:pt>
                <c:pt idx="30">
                  <c:v>3100</c:v>
                </c:pt>
                <c:pt idx="31">
                  <c:v>3200</c:v>
                </c:pt>
                <c:pt idx="32">
                  <c:v>3300</c:v>
                </c:pt>
                <c:pt idx="33">
                  <c:v>3400</c:v>
                </c:pt>
                <c:pt idx="34">
                  <c:v>3500</c:v>
                </c:pt>
                <c:pt idx="35">
                  <c:v>3600</c:v>
                </c:pt>
                <c:pt idx="36">
                  <c:v>3700</c:v>
                </c:pt>
                <c:pt idx="37">
                  <c:v>3800</c:v>
                </c:pt>
                <c:pt idx="38">
                  <c:v>3900</c:v>
                </c:pt>
                <c:pt idx="39">
                  <c:v>4000</c:v>
                </c:pt>
                <c:pt idx="40">
                  <c:v>4100</c:v>
                </c:pt>
                <c:pt idx="41">
                  <c:v>4200</c:v>
                </c:pt>
                <c:pt idx="42">
                  <c:v>4300</c:v>
                </c:pt>
                <c:pt idx="43">
                  <c:v>4400</c:v>
                </c:pt>
                <c:pt idx="44">
                  <c:v>4500</c:v>
                </c:pt>
                <c:pt idx="45">
                  <c:v>4600</c:v>
                </c:pt>
                <c:pt idx="46">
                  <c:v>4700</c:v>
                </c:pt>
                <c:pt idx="47">
                  <c:v>4800</c:v>
                </c:pt>
                <c:pt idx="48">
                  <c:v>4900</c:v>
                </c:pt>
                <c:pt idx="49">
                  <c:v>5000</c:v>
                </c:pt>
              </c:numCache>
            </c:numRef>
          </c:xVal>
          <c:yVal>
            <c:numRef>
              <c:f>'NASA Tables'!$J$6:$J$55</c:f>
              <c:numCache>
                <c:formatCode>General</c:formatCode>
                <c:ptCount val="50"/>
                <c:pt idx="0">
                  <c:v>-2.8359999999999999</c:v>
                </c:pt>
                <c:pt idx="1">
                  <c:v>0</c:v>
                </c:pt>
                <c:pt idx="2">
                  <c:v>5.3999999999999999E-2</c:v>
                </c:pt>
                <c:pt idx="3">
                  <c:v>3.0310000000000001</c:v>
                </c:pt>
                <c:pt idx="4">
                  <c:v>6.0970000000000004</c:v>
                </c:pt>
                <c:pt idx="5">
                  <c:v>9.2539999999999996</c:v>
                </c:pt>
                <c:pt idx="6">
                  <c:v>12.503</c:v>
                </c:pt>
                <c:pt idx="7">
                  <c:v>15.837999999999999</c:v>
                </c:pt>
                <c:pt idx="8">
                  <c:v>19.25</c:v>
                </c:pt>
                <c:pt idx="9">
                  <c:v>22.721</c:v>
                </c:pt>
                <c:pt idx="10">
                  <c:v>26.231999999999999</c:v>
                </c:pt>
                <c:pt idx="11">
                  <c:v>29.774999999999999</c:v>
                </c:pt>
                <c:pt idx="12">
                  <c:v>33.35</c:v>
                </c:pt>
                <c:pt idx="13">
                  <c:v>36.954999999999998</c:v>
                </c:pt>
                <c:pt idx="14">
                  <c:v>40.590000000000003</c:v>
                </c:pt>
                <c:pt idx="15">
                  <c:v>44.253</c:v>
                </c:pt>
                <c:pt idx="16">
                  <c:v>47.942999999999998</c:v>
                </c:pt>
                <c:pt idx="17">
                  <c:v>51.66</c:v>
                </c:pt>
                <c:pt idx="18">
                  <c:v>55.402000000000001</c:v>
                </c:pt>
                <c:pt idx="19">
                  <c:v>59.168999999999997</c:v>
                </c:pt>
                <c:pt idx="20">
                  <c:v>62.959000000000003</c:v>
                </c:pt>
                <c:pt idx="21">
                  <c:v>66.772999999999996</c:v>
                </c:pt>
                <c:pt idx="22">
                  <c:v>70.608999999999995</c:v>
                </c:pt>
                <c:pt idx="23">
                  <c:v>74.466999999999999</c:v>
                </c:pt>
                <c:pt idx="24">
                  <c:v>78.346000000000004</c:v>
                </c:pt>
                <c:pt idx="25">
                  <c:v>82.245000000000005</c:v>
                </c:pt>
                <c:pt idx="26">
                  <c:v>86.164000000000001</c:v>
                </c:pt>
                <c:pt idx="27">
                  <c:v>90.102999999999994</c:v>
                </c:pt>
                <c:pt idx="28">
                  <c:v>94.06</c:v>
                </c:pt>
                <c:pt idx="29">
                  <c:v>98.036000000000001</c:v>
                </c:pt>
                <c:pt idx="30">
                  <c:v>102.029</c:v>
                </c:pt>
                <c:pt idx="31">
                  <c:v>106.04</c:v>
                </c:pt>
                <c:pt idx="32">
                  <c:v>110.068</c:v>
                </c:pt>
                <c:pt idx="33">
                  <c:v>114.11199999999999</c:v>
                </c:pt>
                <c:pt idx="34">
                  <c:v>118.173</c:v>
                </c:pt>
                <c:pt idx="35">
                  <c:v>122.249</c:v>
                </c:pt>
                <c:pt idx="36">
                  <c:v>126.34099999999999</c:v>
                </c:pt>
                <c:pt idx="37">
                  <c:v>130.44800000000001</c:v>
                </c:pt>
                <c:pt idx="38">
                  <c:v>134.57</c:v>
                </c:pt>
                <c:pt idx="39">
                  <c:v>138.70500000000001</c:v>
                </c:pt>
                <c:pt idx="40">
                  <c:v>142.85499999999999</c:v>
                </c:pt>
                <c:pt idx="41">
                  <c:v>147.01900000000001</c:v>
                </c:pt>
                <c:pt idx="42">
                  <c:v>151.19499999999999</c:v>
                </c:pt>
                <c:pt idx="43">
                  <c:v>155.38399999999999</c:v>
                </c:pt>
                <c:pt idx="44">
                  <c:v>159.58600000000001</c:v>
                </c:pt>
                <c:pt idx="45">
                  <c:v>163.80000000000001</c:v>
                </c:pt>
                <c:pt idx="46">
                  <c:v>168.02600000000001</c:v>
                </c:pt>
                <c:pt idx="47">
                  <c:v>172.262</c:v>
                </c:pt>
                <c:pt idx="48">
                  <c:v>176.51</c:v>
                </c:pt>
                <c:pt idx="49">
                  <c:v>180.767</c:v>
                </c:pt>
              </c:numCache>
            </c:numRef>
          </c:yVal>
          <c:smooth val="1"/>
          <c:extLst>
            <c:ext xmlns:c16="http://schemas.microsoft.com/office/drawing/2014/chart" uri="{C3380CC4-5D6E-409C-BE32-E72D297353CC}">
              <c16:uniqueId val="{00000001-46AD-4078-B1A9-D2B005D567E5}"/>
            </c:ext>
          </c:extLst>
        </c:ser>
        <c:dLbls>
          <c:showLegendKey val="0"/>
          <c:showVal val="0"/>
          <c:showCatName val="0"/>
          <c:showSerName val="0"/>
          <c:showPercent val="0"/>
          <c:showBubbleSize val="0"/>
        </c:dLbls>
        <c:axId val="228295768"/>
        <c:axId val="228296424"/>
      </c:scatterChart>
      <c:valAx>
        <c:axId val="228295768"/>
        <c:scaling>
          <c:orientation val="minMax"/>
        </c:scaling>
        <c:delete val="0"/>
        <c:axPos val="b"/>
        <c:majorGridlines>
          <c:spPr>
            <a:ln w="9525" cap="flat" cmpd="sng" algn="ctr">
              <a:solidFill>
                <a:schemeClr val="tx1">
                  <a:lumMod val="15000"/>
                  <a:lumOff val="85000"/>
                </a:schemeClr>
              </a:solidFill>
              <a:prstDash val="solid"/>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a:t>
                </a:r>
                <a:r>
                  <a:rPr lang="en-GB" baseline="0"/>
                  <a:t> (Kelvin)</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prstDash val="solid"/>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8296424"/>
        <c:crosses val="autoZero"/>
        <c:crossBetween val="midCat"/>
      </c:valAx>
      <c:valAx>
        <c:axId val="228296424"/>
        <c:scaling>
          <c:orientation val="minMax"/>
        </c:scaling>
        <c:delete val="0"/>
        <c:axPos val="l"/>
        <c:majorGridlines>
          <c:spPr>
            <a:ln w="9525" cap="flat" cmpd="sng" algn="ctr">
              <a:solidFill>
                <a:schemeClr val="tx1">
                  <a:lumMod val="15000"/>
                  <a:lumOff val="85000"/>
                </a:schemeClr>
              </a:solidFill>
              <a:prstDash val="solid"/>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Enthalpy Change (MJ/Kmol)</a:t>
                </a:r>
              </a:p>
            </c:rich>
          </c:tx>
          <c:layout>
            <c:manualLayout>
              <c:xMode val="edge"/>
              <c:yMode val="edge"/>
              <c:x val="2.217518395323052E-2"/>
              <c:y val="0.31527815468113973"/>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prstDash val="solid"/>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8295768"/>
        <c:crosses val="autoZero"/>
        <c:crossBetween val="midCat"/>
      </c:valAx>
      <c:spPr>
        <a:solidFill>
          <a:schemeClr val="bg1"/>
        </a:solidFill>
        <a:ln>
          <a:noFill/>
        </a:ln>
        <a:effectLst/>
      </c:spPr>
    </c:plotArea>
    <c:plotVisOnly val="1"/>
    <c:dispBlanksAs val="gap"/>
    <c:showDLblsOverMax val="0"/>
  </c:chart>
  <c:spPr>
    <a:solidFill>
      <a:schemeClr val="bg1"/>
    </a:solidFill>
    <a:ln w="6350" cap="flat" cmpd="sng" algn="ctr">
      <a:solidFill>
        <a:schemeClr val="tx1">
          <a:tint val="75000"/>
        </a:schemeClr>
      </a:solidFill>
      <a:prstDash val="solid"/>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N2</a:t>
            </a:r>
            <a:r>
              <a:rPr lang="en-GB" baseline="0"/>
              <a:t> Temperature vs Change in Enthalpy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02604036454923"/>
          <c:y val="0.44010854816824968"/>
          <c:w val="0.8591791689782351"/>
          <c:h val="0.41766600070513576"/>
        </c:manualLayout>
      </c:layout>
      <c:scatterChart>
        <c:scatterStyle val="smoothMarker"/>
        <c:varyColors val="0"/>
        <c:ser>
          <c:idx val="1"/>
          <c:order val="0"/>
          <c:tx>
            <c:v>N2</c:v>
          </c:tx>
          <c:spPr>
            <a:ln w="19050" cap="rnd" cmpd="sng" algn="ctr">
              <a:solidFill>
                <a:schemeClr val="accent5"/>
              </a:solidFill>
              <a:prstDash val="solid"/>
              <a:round/>
            </a:ln>
            <a:effectLst/>
          </c:spPr>
          <c:marker>
            <c:symbol val="none"/>
          </c:marker>
          <c:trendline>
            <c:spPr>
              <a:ln w="6350" cap="rnd" cmpd="sng" algn="ctr">
                <a:solidFill>
                  <a:schemeClr val="tx1"/>
                </a:solidFill>
                <a:prstDash val="solid"/>
                <a:round/>
              </a:ln>
              <a:effectLst/>
            </c:spPr>
            <c:trendlineType val="poly"/>
            <c:order val="6"/>
            <c:dispRSqr val="0"/>
            <c:dispEq val="1"/>
            <c:trendlineLbl>
              <c:layout>
                <c:manualLayout>
                  <c:x val="0.1064764394623034"/>
                  <c:y val="-0.3369877883310719"/>
                </c:manualLayout>
              </c:layout>
              <c:numFmt formatCode="#,##0.000000000000000000000000000000" sourceLinked="0"/>
              <c:spPr>
                <a:noFill/>
                <a:ln>
                  <a:noFill/>
                </a:ln>
                <a:effectLst/>
              </c:spPr>
              <c:txPr>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trendlineLbl>
          </c:trendline>
          <c:xVal>
            <c:numRef>
              <c:f>'NASA Tables'!$A$6:$A$55</c:f>
              <c:numCache>
                <c:formatCode>General</c:formatCode>
                <c:ptCount val="50"/>
                <c:pt idx="0">
                  <c:v>200</c:v>
                </c:pt>
                <c:pt idx="1">
                  <c:v>298</c:v>
                </c:pt>
                <c:pt idx="2">
                  <c:v>300</c:v>
                </c:pt>
                <c:pt idx="3">
                  <c:v>400</c:v>
                </c:pt>
                <c:pt idx="4">
                  <c:v>500</c:v>
                </c:pt>
                <c:pt idx="5">
                  <c:v>600</c:v>
                </c:pt>
                <c:pt idx="6">
                  <c:v>700</c:v>
                </c:pt>
                <c:pt idx="7">
                  <c:v>800</c:v>
                </c:pt>
                <c:pt idx="8">
                  <c:v>900</c:v>
                </c:pt>
                <c:pt idx="9">
                  <c:v>1000</c:v>
                </c:pt>
                <c:pt idx="10">
                  <c:v>1100</c:v>
                </c:pt>
                <c:pt idx="11">
                  <c:v>1200</c:v>
                </c:pt>
                <c:pt idx="12">
                  <c:v>1300</c:v>
                </c:pt>
                <c:pt idx="13">
                  <c:v>1400</c:v>
                </c:pt>
                <c:pt idx="14">
                  <c:v>1500</c:v>
                </c:pt>
                <c:pt idx="15">
                  <c:v>1600</c:v>
                </c:pt>
                <c:pt idx="16">
                  <c:v>1700</c:v>
                </c:pt>
                <c:pt idx="17">
                  <c:v>1800</c:v>
                </c:pt>
                <c:pt idx="18">
                  <c:v>1900</c:v>
                </c:pt>
                <c:pt idx="19">
                  <c:v>2000</c:v>
                </c:pt>
                <c:pt idx="20">
                  <c:v>2100</c:v>
                </c:pt>
                <c:pt idx="21">
                  <c:v>2200</c:v>
                </c:pt>
                <c:pt idx="22">
                  <c:v>2300</c:v>
                </c:pt>
                <c:pt idx="23">
                  <c:v>2400</c:v>
                </c:pt>
                <c:pt idx="24">
                  <c:v>2500</c:v>
                </c:pt>
                <c:pt idx="25">
                  <c:v>2600</c:v>
                </c:pt>
                <c:pt idx="26">
                  <c:v>2700</c:v>
                </c:pt>
                <c:pt idx="27">
                  <c:v>2800</c:v>
                </c:pt>
                <c:pt idx="28">
                  <c:v>2900</c:v>
                </c:pt>
                <c:pt idx="29">
                  <c:v>3000</c:v>
                </c:pt>
                <c:pt idx="30">
                  <c:v>3100</c:v>
                </c:pt>
                <c:pt idx="31">
                  <c:v>3200</c:v>
                </c:pt>
                <c:pt idx="32">
                  <c:v>3300</c:v>
                </c:pt>
                <c:pt idx="33">
                  <c:v>3400</c:v>
                </c:pt>
                <c:pt idx="34">
                  <c:v>3500</c:v>
                </c:pt>
                <c:pt idx="35">
                  <c:v>3600</c:v>
                </c:pt>
                <c:pt idx="36">
                  <c:v>3700</c:v>
                </c:pt>
                <c:pt idx="37">
                  <c:v>3800</c:v>
                </c:pt>
                <c:pt idx="38">
                  <c:v>3900</c:v>
                </c:pt>
                <c:pt idx="39">
                  <c:v>4000</c:v>
                </c:pt>
                <c:pt idx="40">
                  <c:v>4100</c:v>
                </c:pt>
                <c:pt idx="41">
                  <c:v>4200</c:v>
                </c:pt>
                <c:pt idx="42">
                  <c:v>4300</c:v>
                </c:pt>
                <c:pt idx="43">
                  <c:v>4400</c:v>
                </c:pt>
                <c:pt idx="44">
                  <c:v>4500</c:v>
                </c:pt>
                <c:pt idx="45">
                  <c:v>4600</c:v>
                </c:pt>
                <c:pt idx="46">
                  <c:v>4700</c:v>
                </c:pt>
                <c:pt idx="47">
                  <c:v>4800</c:v>
                </c:pt>
                <c:pt idx="48">
                  <c:v>4900</c:v>
                </c:pt>
                <c:pt idx="49">
                  <c:v>5000</c:v>
                </c:pt>
              </c:numCache>
            </c:numRef>
          </c:xVal>
          <c:yVal>
            <c:numRef>
              <c:f>'NASA Tables'!$M$6:$M$55</c:f>
              <c:numCache>
                <c:formatCode>General</c:formatCode>
                <c:ptCount val="50"/>
                <c:pt idx="0">
                  <c:v>-2.8410000000000002</c:v>
                </c:pt>
                <c:pt idx="1">
                  <c:v>0</c:v>
                </c:pt>
                <c:pt idx="2">
                  <c:v>5.3999999999999999E-2</c:v>
                </c:pt>
                <c:pt idx="3">
                  <c:v>2.9729999999999999</c:v>
                </c:pt>
                <c:pt idx="4">
                  <c:v>5.92</c:v>
                </c:pt>
                <c:pt idx="5">
                  <c:v>8.9049999999999994</c:v>
                </c:pt>
                <c:pt idx="6">
                  <c:v>11.942</c:v>
                </c:pt>
                <c:pt idx="7">
                  <c:v>15.045999999999999</c:v>
                </c:pt>
                <c:pt idx="8">
                  <c:v>18.222000000000001</c:v>
                </c:pt>
                <c:pt idx="9">
                  <c:v>21.468</c:v>
                </c:pt>
                <c:pt idx="10">
                  <c:v>24.77</c:v>
                </c:pt>
                <c:pt idx="11">
                  <c:v>28.117999999999999</c:v>
                </c:pt>
                <c:pt idx="12">
                  <c:v>31.51</c:v>
                </c:pt>
                <c:pt idx="13">
                  <c:v>34.939</c:v>
                </c:pt>
                <c:pt idx="14">
                  <c:v>38.404000000000003</c:v>
                </c:pt>
                <c:pt idx="15">
                  <c:v>41.899000000000001</c:v>
                </c:pt>
                <c:pt idx="16">
                  <c:v>45.423000000000002</c:v>
                </c:pt>
                <c:pt idx="17">
                  <c:v>48.970999999999997</c:v>
                </c:pt>
                <c:pt idx="18">
                  <c:v>52.540999999999997</c:v>
                </c:pt>
                <c:pt idx="19">
                  <c:v>56.13</c:v>
                </c:pt>
                <c:pt idx="20">
                  <c:v>59.738</c:v>
                </c:pt>
                <c:pt idx="21">
                  <c:v>63.36</c:v>
                </c:pt>
                <c:pt idx="22">
                  <c:v>66.997</c:v>
                </c:pt>
                <c:pt idx="23">
                  <c:v>70.644999999999996</c:v>
                </c:pt>
                <c:pt idx="24">
                  <c:v>74.305000000000007</c:v>
                </c:pt>
                <c:pt idx="25">
                  <c:v>77.974000000000004</c:v>
                </c:pt>
                <c:pt idx="26">
                  <c:v>81.652000000000001</c:v>
                </c:pt>
                <c:pt idx="27">
                  <c:v>85.337999999999994</c:v>
                </c:pt>
                <c:pt idx="28">
                  <c:v>89.031000000000006</c:v>
                </c:pt>
                <c:pt idx="29">
                  <c:v>92.73</c:v>
                </c:pt>
                <c:pt idx="30">
                  <c:v>96.436000000000007</c:v>
                </c:pt>
                <c:pt idx="31">
                  <c:v>100.148</c:v>
                </c:pt>
                <c:pt idx="32">
                  <c:v>103.86499999999999</c:v>
                </c:pt>
                <c:pt idx="33">
                  <c:v>107.587</c:v>
                </c:pt>
                <c:pt idx="34">
                  <c:v>111.315</c:v>
                </c:pt>
                <c:pt idx="35">
                  <c:v>115.048</c:v>
                </c:pt>
                <c:pt idx="36">
                  <c:v>118.786</c:v>
                </c:pt>
                <c:pt idx="37">
                  <c:v>122.52800000000001</c:v>
                </c:pt>
                <c:pt idx="38">
                  <c:v>126.276</c:v>
                </c:pt>
                <c:pt idx="39">
                  <c:v>130.02799999999999</c:v>
                </c:pt>
                <c:pt idx="40">
                  <c:v>133.786</c:v>
                </c:pt>
                <c:pt idx="41">
                  <c:v>137.548</c:v>
                </c:pt>
                <c:pt idx="42">
                  <c:v>141.31399999999999</c:v>
                </c:pt>
                <c:pt idx="43">
                  <c:v>145.08500000000001</c:v>
                </c:pt>
                <c:pt idx="44">
                  <c:v>148.86000000000001</c:v>
                </c:pt>
                <c:pt idx="45">
                  <c:v>152.63900000000001</c:v>
                </c:pt>
                <c:pt idx="46">
                  <c:v>156.41999999999999</c:v>
                </c:pt>
                <c:pt idx="47">
                  <c:v>160.20500000000001</c:v>
                </c:pt>
                <c:pt idx="48">
                  <c:v>163.99100000000001</c:v>
                </c:pt>
                <c:pt idx="49">
                  <c:v>167.77799999999999</c:v>
                </c:pt>
              </c:numCache>
            </c:numRef>
          </c:yVal>
          <c:smooth val="1"/>
          <c:extLst>
            <c:ext xmlns:c16="http://schemas.microsoft.com/office/drawing/2014/chart" uri="{C3380CC4-5D6E-409C-BE32-E72D297353CC}">
              <c16:uniqueId val="{00000001-DB7B-4244-8139-4CE8FA2286AB}"/>
            </c:ext>
          </c:extLst>
        </c:ser>
        <c:dLbls>
          <c:showLegendKey val="0"/>
          <c:showVal val="0"/>
          <c:showCatName val="0"/>
          <c:showSerName val="0"/>
          <c:showPercent val="0"/>
          <c:showBubbleSize val="0"/>
        </c:dLbls>
        <c:axId val="228295768"/>
        <c:axId val="228296424"/>
      </c:scatterChart>
      <c:valAx>
        <c:axId val="228295768"/>
        <c:scaling>
          <c:orientation val="minMax"/>
        </c:scaling>
        <c:delete val="0"/>
        <c:axPos val="b"/>
        <c:majorGridlines>
          <c:spPr>
            <a:ln w="9525" cap="flat" cmpd="sng" algn="ctr">
              <a:solidFill>
                <a:schemeClr val="tx1">
                  <a:lumMod val="15000"/>
                  <a:lumOff val="85000"/>
                </a:schemeClr>
              </a:solidFill>
              <a:prstDash val="solid"/>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a:t>
                </a:r>
                <a:r>
                  <a:rPr lang="en-GB" baseline="0"/>
                  <a:t> (Kelvin)</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prstDash val="solid"/>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8296424"/>
        <c:crosses val="autoZero"/>
        <c:crossBetween val="midCat"/>
      </c:valAx>
      <c:valAx>
        <c:axId val="228296424"/>
        <c:scaling>
          <c:orientation val="minMax"/>
        </c:scaling>
        <c:delete val="0"/>
        <c:axPos val="l"/>
        <c:majorGridlines>
          <c:spPr>
            <a:ln w="9525" cap="flat" cmpd="sng" algn="ctr">
              <a:solidFill>
                <a:schemeClr val="tx1">
                  <a:lumMod val="15000"/>
                  <a:lumOff val="85000"/>
                </a:schemeClr>
              </a:solidFill>
              <a:prstDash val="solid"/>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Enthalpy Change (MJ/Kmol)</a:t>
                </a:r>
              </a:p>
            </c:rich>
          </c:tx>
          <c:layout>
            <c:manualLayout>
              <c:xMode val="edge"/>
              <c:yMode val="edge"/>
              <c:x val="2.6207035581090617E-2"/>
              <c:y val="0.30985074626865672"/>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prstDash val="solid"/>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8295768"/>
        <c:crosses val="autoZero"/>
        <c:crossBetween val="midCat"/>
      </c:valAx>
      <c:spPr>
        <a:solidFill>
          <a:schemeClr val="bg1"/>
        </a:solidFill>
        <a:ln>
          <a:noFill/>
        </a:ln>
        <a:effectLst/>
      </c:spPr>
    </c:plotArea>
    <c:plotVisOnly val="1"/>
    <c:dispBlanksAs val="gap"/>
    <c:showDLblsOverMax val="0"/>
  </c:chart>
  <c:spPr>
    <a:solidFill>
      <a:schemeClr val="bg1"/>
    </a:solidFill>
    <a:ln w="6350" cap="flat" cmpd="sng" algn="ctr">
      <a:solidFill>
        <a:schemeClr val="tx1">
          <a:tint val="75000"/>
        </a:schemeClr>
      </a:solidFill>
      <a:prstDash val="solid"/>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Flame Temperature Vs Fuel Equivalence Ratio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Flame Temperature Vs Fuel Equivalence</c:v>
          </c:tx>
          <c:spPr>
            <a:ln w="19050" cap="rnd">
              <a:solidFill>
                <a:schemeClr val="accent1"/>
              </a:solidFill>
              <a:round/>
            </a:ln>
            <a:effectLst/>
          </c:spPr>
          <c:marker>
            <c:symbol val="none"/>
          </c:marker>
          <c:xVal>
            <c:numRef>
              <c:f>NOx!$A$3:$A$15</c:f>
              <c:numCache>
                <c:formatCode>General</c:formatCode>
                <c:ptCount val="13"/>
                <c:pt idx="0">
                  <c:v>1</c:v>
                </c:pt>
                <c:pt idx="1">
                  <c:v>0.99</c:v>
                </c:pt>
                <c:pt idx="2">
                  <c:v>0.98</c:v>
                </c:pt>
                <c:pt idx="3">
                  <c:v>0.97</c:v>
                </c:pt>
                <c:pt idx="4">
                  <c:v>0.96</c:v>
                </c:pt>
                <c:pt idx="5">
                  <c:v>0.95</c:v>
                </c:pt>
                <c:pt idx="6">
                  <c:v>0.9</c:v>
                </c:pt>
                <c:pt idx="7">
                  <c:v>0.85</c:v>
                </c:pt>
                <c:pt idx="8">
                  <c:v>0.8</c:v>
                </c:pt>
                <c:pt idx="9">
                  <c:v>0.75</c:v>
                </c:pt>
                <c:pt idx="10">
                  <c:v>0.7</c:v>
                </c:pt>
                <c:pt idx="11">
                  <c:v>0.65</c:v>
                </c:pt>
                <c:pt idx="12">
                  <c:v>0.6</c:v>
                </c:pt>
              </c:numCache>
            </c:numRef>
          </c:xVal>
          <c:yVal>
            <c:numRef>
              <c:f>NOx!$O$3:$O$15</c:f>
              <c:numCache>
                <c:formatCode>General</c:formatCode>
                <c:ptCount val="13"/>
                <c:pt idx="0">
                  <c:v>2409.3967965228139</c:v>
                </c:pt>
                <c:pt idx="1">
                  <c:v>2392.6171300993269</c:v>
                </c:pt>
                <c:pt idx="2">
                  <c:v>2375.3109035947036</c:v>
                </c:pt>
                <c:pt idx="3">
                  <c:v>2357.5033882769567</c:v>
                </c:pt>
                <c:pt idx="4">
                  <c:v>2339.2444547915652</c:v>
                </c:pt>
                <c:pt idx="5">
                  <c:v>2320.5795429637337</c:v>
                </c:pt>
                <c:pt idx="6">
                  <c:v>2234.6797700826078</c:v>
                </c:pt>
                <c:pt idx="7">
                  <c:v>2161.3815937595582</c:v>
                </c:pt>
                <c:pt idx="8">
                  <c:v>2055.8610941117313</c:v>
                </c:pt>
                <c:pt idx="9">
                  <c:v>1963.1323169799364</c:v>
                </c:pt>
                <c:pt idx="10">
                  <c:v>1868.2557439454129</c:v>
                </c:pt>
                <c:pt idx="11">
                  <c:v>1771.2777698980781</c:v>
                </c:pt>
                <c:pt idx="12">
                  <c:v>1672.2294949728116</c:v>
                </c:pt>
              </c:numCache>
            </c:numRef>
          </c:yVal>
          <c:smooth val="1"/>
          <c:extLst>
            <c:ext xmlns:c16="http://schemas.microsoft.com/office/drawing/2014/chart" uri="{C3380CC4-5D6E-409C-BE32-E72D297353CC}">
              <c16:uniqueId val="{00000000-2771-4C0B-80EE-2515FDD97530}"/>
            </c:ext>
          </c:extLst>
        </c:ser>
        <c:dLbls>
          <c:showLegendKey val="0"/>
          <c:showVal val="0"/>
          <c:showCatName val="0"/>
          <c:showSerName val="0"/>
          <c:showPercent val="0"/>
          <c:showBubbleSize val="0"/>
        </c:dLbls>
        <c:axId val="442872032"/>
        <c:axId val="442873672"/>
      </c:scatterChart>
      <c:valAx>
        <c:axId val="442872032"/>
        <c:scaling>
          <c:orientation val="minMax"/>
          <c:min val="0.55000000000000004"/>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Fuel Equivalence</a:t>
                </a:r>
                <a:r>
                  <a:rPr lang="en-GB" baseline="0"/>
                  <a:t> Ratio</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2873672"/>
        <c:crosses val="autoZero"/>
        <c:crossBetween val="midCat"/>
      </c:valAx>
      <c:valAx>
        <c:axId val="442873672"/>
        <c:scaling>
          <c:orientation val="minMax"/>
          <c:min val="16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Flame Temperature</a:t>
                </a:r>
                <a:r>
                  <a:rPr lang="en-GB" baseline="0"/>
                  <a:t> (K)</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287203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Crank Angle vs Flame</a:t>
            </a:r>
            <a:r>
              <a:rPr lang="en-GB" baseline="0"/>
              <a:t> Temperature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1</c:v>
          </c:tx>
          <c:spPr>
            <a:ln w="19050" cap="rnd">
              <a:solidFill>
                <a:schemeClr val="accent1"/>
              </a:solidFill>
              <a:round/>
            </a:ln>
            <a:effectLst/>
          </c:spPr>
          <c:marker>
            <c:symbol val="none"/>
          </c:marker>
          <c:xVal>
            <c:numRef>
              <c:f>NOx!$A$20:$A$40</c:f>
              <c:numCache>
                <c:formatCode>General</c:formatCode>
                <c:ptCount val="2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numCache>
            </c:numRef>
          </c:xVal>
          <c:yVal>
            <c:numRef>
              <c:f>NOx!$C$20:$C$40</c:f>
              <c:numCache>
                <c:formatCode>General</c:formatCode>
                <c:ptCount val="21"/>
                <c:pt idx="0">
                  <c:v>2409.3967965228139</c:v>
                </c:pt>
                <c:pt idx="1">
                  <c:v>2483.734689028704</c:v>
                </c:pt>
                <c:pt idx="2">
                  <c:v>2548.3730358240105</c:v>
                </c:pt>
                <c:pt idx="3">
                  <c:v>2605.7234758028962</c:v>
                </c:pt>
                <c:pt idx="4">
                  <c:v>2657.3805140225336</c:v>
                </c:pt>
                <c:pt idx="5">
                  <c:v>2704.4564634150393</c:v>
                </c:pt>
                <c:pt idx="6">
                  <c:v>2747.7598627061238</c:v>
                </c:pt>
                <c:pt idx="7">
                  <c:v>2787.8979265042026</c:v>
                </c:pt>
                <c:pt idx="8">
                  <c:v>2825.3389276166909</c:v>
                </c:pt>
                <c:pt idx="9">
                  <c:v>2860.4520176473934</c:v>
                </c:pt>
                <c:pt idx="10">
                  <c:v>2893.533652626923</c:v>
                </c:pt>
                <c:pt idx="11">
                  <c:v>2924.8257099775378</c:v>
                </c:pt>
                <c:pt idx="12">
                  <c:v>2954.5282581800448</c:v>
                </c:pt>
                <c:pt idx="13">
                  <c:v>2982.8087749071474</c:v>
                </c:pt>
                <c:pt idx="14">
                  <c:v>3009.8089412060153</c:v>
                </c:pt>
                <c:pt idx="15">
                  <c:v>3035.6497414883675</c:v>
                </c:pt>
                <c:pt idx="16">
                  <c:v>3060.435354295113</c:v>
                </c:pt>
                <c:pt idx="17">
                  <c:v>3084.2561637553963</c:v>
                </c:pt>
                <c:pt idx="18">
                  <c:v>3107.1911209071031</c:v>
                </c:pt>
                <c:pt idx="19">
                  <c:v>3129.3096170613603</c:v>
                </c:pt>
                <c:pt idx="20">
                  <c:v>3150.67298593637</c:v>
                </c:pt>
              </c:numCache>
            </c:numRef>
          </c:yVal>
          <c:smooth val="1"/>
          <c:extLst>
            <c:ext xmlns:c16="http://schemas.microsoft.com/office/drawing/2014/chart" uri="{C3380CC4-5D6E-409C-BE32-E72D297353CC}">
              <c16:uniqueId val="{00000000-EEDD-4230-8542-CB45B86F73C7}"/>
            </c:ext>
          </c:extLst>
        </c:ser>
        <c:ser>
          <c:idx val="1"/>
          <c:order val="1"/>
          <c:tx>
            <c:v>0.95</c:v>
          </c:tx>
          <c:spPr>
            <a:ln w="19050" cap="rnd">
              <a:solidFill>
                <a:schemeClr val="accent2"/>
              </a:solidFill>
              <a:round/>
            </a:ln>
            <a:effectLst/>
          </c:spPr>
          <c:marker>
            <c:symbol val="none"/>
          </c:marker>
          <c:xVal>
            <c:numRef>
              <c:f>NOx!$A$20:$A$40</c:f>
              <c:numCache>
                <c:formatCode>General</c:formatCode>
                <c:ptCount val="2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numCache>
            </c:numRef>
          </c:xVal>
          <c:yVal>
            <c:numRef>
              <c:f>NOx!$H$20:$H$40</c:f>
              <c:numCache>
                <c:formatCode>General</c:formatCode>
                <c:ptCount val="21"/>
                <c:pt idx="0">
                  <c:v>2320.5795429637337</c:v>
                </c:pt>
                <c:pt idx="1">
                  <c:v>2392.1771282453128</c:v>
                </c:pt>
                <c:pt idx="2">
                  <c:v>2454.4327207988754</c:v>
                </c:pt>
                <c:pt idx="3">
                  <c:v>2509.6690596148969</c:v>
                </c:pt>
                <c:pt idx="4">
                  <c:v>2559.4218717359995</c:v>
                </c:pt>
                <c:pt idx="5">
                  <c:v>2604.7624670599007</c:v>
                </c:pt>
                <c:pt idx="6">
                  <c:v>2646.4695792635462</c:v>
                </c:pt>
                <c:pt idx="7">
                  <c:v>2685.1280392890667</c:v>
                </c:pt>
                <c:pt idx="8">
                  <c:v>2721.1888580695654</c:v>
                </c:pt>
                <c:pt idx="9">
                  <c:v>2755.007579225452</c:v>
                </c:pt>
                <c:pt idx="10">
                  <c:v>2786.8697305705855</c:v>
                </c:pt>
                <c:pt idx="11">
                  <c:v>2817.0082732339947</c:v>
                </c:pt>
                <c:pt idx="12">
                  <c:v>2845.6159006003568</c:v>
                </c:pt>
                <c:pt idx="13">
                  <c:v>2872.8539166365986</c:v>
                </c:pt>
                <c:pt idx="14">
                  <c:v>2898.8587796214733</c:v>
                </c:pt>
                <c:pt idx="15">
                  <c:v>2923.7470141354306</c:v>
                </c:pt>
                <c:pt idx="16">
                  <c:v>2947.6189584005519</c:v>
                </c:pt>
                <c:pt idx="17">
                  <c:v>2970.5616647286029</c:v>
                </c:pt>
                <c:pt idx="18">
                  <c:v>2992.6511737965197</c:v>
                </c:pt>
                <c:pt idx="19">
                  <c:v>3013.9543189533347</c:v>
                </c:pt>
                <c:pt idx="20">
                  <c:v>3034.5301729810653</c:v>
                </c:pt>
              </c:numCache>
            </c:numRef>
          </c:yVal>
          <c:smooth val="1"/>
          <c:extLst>
            <c:ext xmlns:c16="http://schemas.microsoft.com/office/drawing/2014/chart" uri="{C3380CC4-5D6E-409C-BE32-E72D297353CC}">
              <c16:uniqueId val="{00000001-EEDD-4230-8542-CB45B86F73C7}"/>
            </c:ext>
          </c:extLst>
        </c:ser>
        <c:ser>
          <c:idx val="2"/>
          <c:order val="2"/>
          <c:tx>
            <c:v>0.6</c:v>
          </c:tx>
          <c:spPr>
            <a:ln w="19050" cap="rnd">
              <a:solidFill>
                <a:schemeClr val="accent3"/>
              </a:solidFill>
              <a:round/>
            </a:ln>
            <a:effectLst/>
          </c:spPr>
          <c:marker>
            <c:symbol val="none"/>
          </c:marker>
          <c:xVal>
            <c:numRef>
              <c:f>NOx!$A$20:$A$40</c:f>
              <c:numCache>
                <c:formatCode>General</c:formatCode>
                <c:ptCount val="2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numCache>
            </c:numRef>
          </c:xVal>
          <c:yVal>
            <c:numRef>
              <c:f>NOx!$O$20:$O$40</c:f>
              <c:numCache>
                <c:formatCode>General</c:formatCode>
                <c:ptCount val="21"/>
                <c:pt idx="0">
                  <c:v>1672.2294949728116</c:v>
                </c:pt>
                <c:pt idx="1">
                  <c:v>1723.8233281769849</c:v>
                </c:pt>
                <c:pt idx="2">
                  <c:v>1768.6852414049704</c:v>
                </c:pt>
                <c:pt idx="3">
                  <c:v>1808.4890202681138</c:v>
                </c:pt>
                <c:pt idx="4">
                  <c:v>1844.3413228271943</c:v>
                </c:pt>
                <c:pt idx="5">
                  <c:v>1877.0141441705302</c:v>
                </c:pt>
                <c:pt idx="6">
                  <c:v>1907.0686464557666</c:v>
                </c:pt>
                <c:pt idx="7">
                  <c:v>1934.9262638690186</c:v>
                </c:pt>
                <c:pt idx="8">
                  <c:v>1960.9119987516956</c:v>
                </c:pt>
                <c:pt idx="9">
                  <c:v>1985.2820588819802</c:v>
                </c:pt>
                <c:pt idx="10">
                  <c:v>2008.2421980481524</c:v>
                </c:pt>
                <c:pt idx="11">
                  <c:v>2029.9602900351581</c:v>
                </c:pt>
                <c:pt idx="12">
                  <c:v>2050.5751913464596</c:v>
                </c:pt>
                <c:pt idx="13">
                  <c:v>2070.2031390022312</c:v>
                </c:pt>
                <c:pt idx="14">
                  <c:v>2088.9424660069394</c:v>
                </c:pt>
                <c:pt idx="15">
                  <c:v>2106.8771409713177</c:v>
                </c:pt>
                <c:pt idx="16">
                  <c:v>2124.0794684776179</c:v>
                </c:pt>
                <c:pt idx="17">
                  <c:v>2140.6121791673227</c:v>
                </c:pt>
                <c:pt idx="18">
                  <c:v>2156.530068603538</c:v>
                </c:pt>
                <c:pt idx="19">
                  <c:v>2171.8812974700204</c:v>
                </c:pt>
                <c:pt idx="20">
                  <c:v>2186.7084341194641</c:v>
                </c:pt>
              </c:numCache>
            </c:numRef>
          </c:yVal>
          <c:smooth val="1"/>
          <c:extLst>
            <c:ext xmlns:c16="http://schemas.microsoft.com/office/drawing/2014/chart" uri="{C3380CC4-5D6E-409C-BE32-E72D297353CC}">
              <c16:uniqueId val="{00000002-EEDD-4230-8542-CB45B86F73C7}"/>
            </c:ext>
          </c:extLst>
        </c:ser>
        <c:dLbls>
          <c:showLegendKey val="0"/>
          <c:showVal val="0"/>
          <c:showCatName val="0"/>
          <c:showSerName val="0"/>
          <c:showPercent val="0"/>
          <c:showBubbleSize val="0"/>
        </c:dLbls>
        <c:axId val="500519144"/>
        <c:axId val="500519800"/>
      </c:scatterChart>
      <c:valAx>
        <c:axId val="500519144"/>
        <c:scaling>
          <c:orientation val="minMax"/>
          <c:max val="21"/>
          <c:min val="0"/>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 (Degrees)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0519800"/>
        <c:crosses val="autoZero"/>
        <c:crossBetween val="midCat"/>
      </c:valAx>
      <c:valAx>
        <c:axId val="5005198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Flame Temperature (K)</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051914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Nitrogen</a:t>
            </a:r>
            <a:r>
              <a:rPr lang="en-GB" baseline="0"/>
              <a:t> </a:t>
            </a:r>
            <a:r>
              <a:rPr lang="en-GB"/>
              <a:t>Concentration</a:t>
            </a:r>
            <a:r>
              <a:rPr lang="en-GB" baseline="0"/>
              <a:t> vs Fuel Equivalence Ratio</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Nitrogen Concentration</c:v>
          </c:tx>
          <c:spPr>
            <a:ln w="19050" cap="rnd">
              <a:solidFill>
                <a:schemeClr val="accent1"/>
              </a:solidFill>
              <a:round/>
            </a:ln>
            <a:effectLst/>
          </c:spPr>
          <c:marker>
            <c:symbol val="none"/>
          </c:marker>
          <c:xVal>
            <c:numRef>
              <c:f>NOx!$A$3:$A$15</c:f>
              <c:numCache>
                <c:formatCode>General</c:formatCode>
                <c:ptCount val="13"/>
                <c:pt idx="0">
                  <c:v>1</c:v>
                </c:pt>
                <c:pt idx="1">
                  <c:v>0.99</c:v>
                </c:pt>
                <c:pt idx="2">
                  <c:v>0.98</c:v>
                </c:pt>
                <c:pt idx="3">
                  <c:v>0.97</c:v>
                </c:pt>
                <c:pt idx="4">
                  <c:v>0.96</c:v>
                </c:pt>
                <c:pt idx="5">
                  <c:v>0.95</c:v>
                </c:pt>
                <c:pt idx="6">
                  <c:v>0.9</c:v>
                </c:pt>
                <c:pt idx="7">
                  <c:v>0.85</c:v>
                </c:pt>
                <c:pt idx="8">
                  <c:v>0.8</c:v>
                </c:pt>
                <c:pt idx="9">
                  <c:v>0.75</c:v>
                </c:pt>
                <c:pt idx="10">
                  <c:v>0.7</c:v>
                </c:pt>
                <c:pt idx="11">
                  <c:v>0.65</c:v>
                </c:pt>
                <c:pt idx="12">
                  <c:v>0.6</c:v>
                </c:pt>
              </c:numCache>
            </c:numRef>
          </c:xVal>
          <c:yVal>
            <c:numRef>
              <c:f>NOx!$S$3:$S$15</c:f>
              <c:numCache>
                <c:formatCode>General</c:formatCode>
                <c:ptCount val="13"/>
                <c:pt idx="0">
                  <c:v>0.12753235329604043</c:v>
                </c:pt>
                <c:pt idx="1">
                  <c:v>0.1275534365086865</c:v>
                </c:pt>
                <c:pt idx="2">
                  <c:v>0.12757452669329442</c:v>
                </c:pt>
                <c:pt idx="3">
                  <c:v>0.1275956238533231</c:v>
                </c:pt>
                <c:pt idx="4">
                  <c:v>0.12761672799223367</c:v>
                </c:pt>
                <c:pt idx="5">
                  <c:v>0.12763783911348958</c:v>
                </c:pt>
                <c:pt idx="6">
                  <c:v>0.12774349957633188</c:v>
                </c:pt>
                <c:pt idx="7">
                  <c:v>0.12784933511864865</c:v>
                </c:pt>
                <c:pt idx="8">
                  <c:v>0.12795534617596097</c:v>
                </c:pt>
                <c:pt idx="9">
                  <c:v>0.12806153318523561</c:v>
                </c:pt>
                <c:pt idx="10">
                  <c:v>0.12816789658489114</c:v>
                </c:pt>
                <c:pt idx="11">
                  <c:v>0.12827443681480374</c:v>
                </c:pt>
                <c:pt idx="12">
                  <c:v>0.12838115431631356</c:v>
                </c:pt>
              </c:numCache>
            </c:numRef>
          </c:yVal>
          <c:smooth val="1"/>
          <c:extLst>
            <c:ext xmlns:c16="http://schemas.microsoft.com/office/drawing/2014/chart" uri="{C3380CC4-5D6E-409C-BE32-E72D297353CC}">
              <c16:uniqueId val="{00000000-6FEA-45A2-854D-1488CA175053}"/>
            </c:ext>
          </c:extLst>
        </c:ser>
        <c:dLbls>
          <c:showLegendKey val="0"/>
          <c:showVal val="0"/>
          <c:showCatName val="0"/>
          <c:showSerName val="0"/>
          <c:showPercent val="0"/>
          <c:showBubbleSize val="0"/>
        </c:dLbls>
        <c:axId val="611248816"/>
        <c:axId val="611252752"/>
        <c:extLst>
          <c:ext xmlns:c15="http://schemas.microsoft.com/office/drawing/2012/chart" uri="{02D57815-91ED-43cb-92C2-25804820EDAC}">
            <c15:filteredScatterSeries>
              <c15:ser>
                <c:idx val="1"/>
                <c:order val="1"/>
                <c:tx>
                  <c:v>Oxygen Concentration</c:v>
                </c:tx>
                <c:spPr>
                  <a:ln w="19050" cap="rnd">
                    <a:solidFill>
                      <a:schemeClr val="accent2"/>
                    </a:solidFill>
                    <a:round/>
                  </a:ln>
                  <a:effectLst/>
                </c:spPr>
                <c:marker>
                  <c:symbol val="none"/>
                </c:marker>
                <c:xVal>
                  <c:numRef>
                    <c:extLst>
                      <c:ext uri="{02D57815-91ED-43cb-92C2-25804820EDAC}">
                        <c15:formulaRef>
                          <c15:sqref>NOx!$A$3:$A$15</c15:sqref>
                        </c15:formulaRef>
                      </c:ext>
                    </c:extLst>
                    <c:numCache>
                      <c:formatCode>General</c:formatCode>
                      <c:ptCount val="13"/>
                      <c:pt idx="0">
                        <c:v>1</c:v>
                      </c:pt>
                      <c:pt idx="1">
                        <c:v>0.99</c:v>
                      </c:pt>
                      <c:pt idx="2">
                        <c:v>0.98</c:v>
                      </c:pt>
                      <c:pt idx="3">
                        <c:v>0.97</c:v>
                      </c:pt>
                      <c:pt idx="4">
                        <c:v>0.96</c:v>
                      </c:pt>
                      <c:pt idx="5">
                        <c:v>0.95</c:v>
                      </c:pt>
                      <c:pt idx="6">
                        <c:v>0.9</c:v>
                      </c:pt>
                      <c:pt idx="7">
                        <c:v>0.85</c:v>
                      </c:pt>
                      <c:pt idx="8">
                        <c:v>0.8</c:v>
                      </c:pt>
                      <c:pt idx="9">
                        <c:v>0.75</c:v>
                      </c:pt>
                      <c:pt idx="10">
                        <c:v>0.7</c:v>
                      </c:pt>
                      <c:pt idx="11">
                        <c:v>0.65</c:v>
                      </c:pt>
                      <c:pt idx="12">
                        <c:v>0.6</c:v>
                      </c:pt>
                    </c:numCache>
                  </c:numRef>
                </c:xVal>
                <c:yVal>
                  <c:numRef>
                    <c:extLst>
                      <c:ext uri="{02D57815-91ED-43cb-92C2-25804820EDAC}">
                        <c15:formulaRef>
                          <c15:sqref>NOx!$T$3:$T$15</c15:sqref>
                        </c15:formulaRef>
                      </c:ext>
                    </c:extLst>
                    <c:numCache>
                      <c:formatCode>General</c:formatCode>
                      <c:ptCount val="13"/>
                      <c:pt idx="0">
                        <c:v>0</c:v>
                      </c:pt>
                      <c:pt idx="1">
                        <c:v>3.3923786305501726E-4</c:v>
                      </c:pt>
                      <c:pt idx="2">
                        <c:v>6.7858790794305551E-4</c:v>
                      </c:pt>
                      <c:pt idx="3">
                        <c:v>1.0180501903190671E-3</c:v>
                      </c:pt>
                      <c:pt idx="4">
                        <c:v>1.357624765874826E-3</c:v>
                      </c:pt>
                      <c:pt idx="5">
                        <c:v>1.6973116903389574E-3</c:v>
                      </c:pt>
                      <c:pt idx="6">
                        <c:v>3.3974334993705294E-3</c:v>
                      </c:pt>
                      <c:pt idx="7">
                        <c:v>5.100372411648217E-3</c:v>
                      </c:pt>
                      <c:pt idx="8">
                        <c:v>6.8061354348915408E-3</c:v>
                      </c:pt>
                      <c:pt idx="9">
                        <c:v>8.5147296000821545E-3</c:v>
                      </c:pt>
                      <c:pt idx="10">
                        <c:v>1.0226161961560462E-2</c:v>
                      </c:pt>
                      <c:pt idx="11">
                        <c:v>1.1940439597122689E-2</c:v>
                      </c:pt>
                      <c:pt idx="12">
                        <c:v>1.3657569608118465E-2</c:v>
                      </c:pt>
                    </c:numCache>
                  </c:numRef>
                </c:yVal>
                <c:smooth val="1"/>
                <c:extLst>
                  <c:ext xmlns:c16="http://schemas.microsoft.com/office/drawing/2014/chart" uri="{C3380CC4-5D6E-409C-BE32-E72D297353CC}">
                    <c16:uniqueId val="{00000001-6FEA-45A2-854D-1488CA175053}"/>
                  </c:ext>
                </c:extLst>
              </c15:ser>
            </c15:filteredScatterSeries>
          </c:ext>
        </c:extLst>
      </c:scatterChart>
      <c:valAx>
        <c:axId val="611248816"/>
        <c:scaling>
          <c:orientation val="minMax"/>
          <c:min val="0.55000000000000004"/>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Fuel Equivalence Ratio</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1252752"/>
        <c:crosses val="autoZero"/>
        <c:crossBetween val="midCat"/>
      </c:valAx>
      <c:valAx>
        <c:axId val="6112527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Concentration (Kmols/m^3)</a:t>
                </a:r>
              </a:p>
            </c:rich>
          </c:tx>
          <c:layout>
            <c:manualLayout>
              <c:xMode val="edge"/>
              <c:yMode val="edge"/>
              <c:x val="2.3519035719535498E-2"/>
              <c:y val="0.20022766078542972"/>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124881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Oxygen</a:t>
            </a:r>
            <a:r>
              <a:rPr lang="en-GB" baseline="0"/>
              <a:t> Concentration vs Fuel Equivalence Ratio</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NOx!$A$3:$A$15</c:f>
              <c:numCache>
                <c:formatCode>General</c:formatCode>
                <c:ptCount val="13"/>
                <c:pt idx="0">
                  <c:v>1</c:v>
                </c:pt>
                <c:pt idx="1">
                  <c:v>0.99</c:v>
                </c:pt>
                <c:pt idx="2">
                  <c:v>0.98</c:v>
                </c:pt>
                <c:pt idx="3">
                  <c:v>0.97</c:v>
                </c:pt>
                <c:pt idx="4">
                  <c:v>0.96</c:v>
                </c:pt>
                <c:pt idx="5">
                  <c:v>0.95</c:v>
                </c:pt>
                <c:pt idx="6">
                  <c:v>0.9</c:v>
                </c:pt>
                <c:pt idx="7">
                  <c:v>0.85</c:v>
                </c:pt>
                <c:pt idx="8">
                  <c:v>0.8</c:v>
                </c:pt>
                <c:pt idx="9">
                  <c:v>0.75</c:v>
                </c:pt>
                <c:pt idx="10">
                  <c:v>0.7</c:v>
                </c:pt>
                <c:pt idx="11">
                  <c:v>0.65</c:v>
                </c:pt>
                <c:pt idx="12">
                  <c:v>0.6</c:v>
                </c:pt>
              </c:numCache>
            </c:numRef>
          </c:xVal>
          <c:yVal>
            <c:numRef>
              <c:f>NOx!$T$3:$T$15</c:f>
              <c:numCache>
                <c:formatCode>General</c:formatCode>
                <c:ptCount val="13"/>
                <c:pt idx="0">
                  <c:v>0</c:v>
                </c:pt>
                <c:pt idx="1">
                  <c:v>3.3923786305501726E-4</c:v>
                </c:pt>
                <c:pt idx="2">
                  <c:v>6.7858790794305551E-4</c:v>
                </c:pt>
                <c:pt idx="3">
                  <c:v>1.0180501903190671E-3</c:v>
                </c:pt>
                <c:pt idx="4">
                  <c:v>1.357624765874826E-3</c:v>
                </c:pt>
                <c:pt idx="5">
                  <c:v>1.6973116903389574E-3</c:v>
                </c:pt>
                <c:pt idx="6">
                  <c:v>3.3974334993705294E-3</c:v>
                </c:pt>
                <c:pt idx="7">
                  <c:v>5.100372411648217E-3</c:v>
                </c:pt>
                <c:pt idx="8">
                  <c:v>6.8061354348915408E-3</c:v>
                </c:pt>
                <c:pt idx="9">
                  <c:v>8.5147296000821545E-3</c:v>
                </c:pt>
                <c:pt idx="10">
                  <c:v>1.0226161961560462E-2</c:v>
                </c:pt>
                <c:pt idx="11">
                  <c:v>1.1940439597122689E-2</c:v>
                </c:pt>
                <c:pt idx="12">
                  <c:v>1.3657569608118465E-2</c:v>
                </c:pt>
              </c:numCache>
            </c:numRef>
          </c:yVal>
          <c:smooth val="1"/>
          <c:extLst>
            <c:ext xmlns:c16="http://schemas.microsoft.com/office/drawing/2014/chart" uri="{C3380CC4-5D6E-409C-BE32-E72D297353CC}">
              <c16:uniqueId val="{00000000-5FF3-49AE-864A-A50406A905C7}"/>
            </c:ext>
          </c:extLst>
        </c:ser>
        <c:dLbls>
          <c:showLegendKey val="0"/>
          <c:showVal val="0"/>
          <c:showCatName val="0"/>
          <c:showSerName val="0"/>
          <c:showPercent val="0"/>
          <c:showBubbleSize val="0"/>
        </c:dLbls>
        <c:axId val="554454720"/>
        <c:axId val="554446848"/>
      </c:scatterChart>
      <c:valAx>
        <c:axId val="554454720"/>
        <c:scaling>
          <c:orientation val="minMax"/>
          <c:min val="0.55000000000000004"/>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Fuel Equivalence</a:t>
                </a:r>
                <a:r>
                  <a:rPr lang="en-GB" baseline="0"/>
                  <a:t> Ratio</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4446848"/>
        <c:crosses val="autoZero"/>
        <c:crossBetween val="midCat"/>
      </c:valAx>
      <c:valAx>
        <c:axId val="5544468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Oxygen</a:t>
                </a:r>
                <a:r>
                  <a:rPr lang="en-GB" baseline="0"/>
                  <a:t> Concentration (Kmols/m^3)</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445472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NOx PPM</a:t>
            </a:r>
            <a:r>
              <a:rPr lang="en-GB" baseline="0"/>
              <a:t> vs Fuel Equivalence Ratio</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NOx!$A$3:$A$15</c:f>
              <c:numCache>
                <c:formatCode>General</c:formatCode>
                <c:ptCount val="13"/>
                <c:pt idx="0">
                  <c:v>1</c:v>
                </c:pt>
                <c:pt idx="1">
                  <c:v>0.99</c:v>
                </c:pt>
                <c:pt idx="2">
                  <c:v>0.98</c:v>
                </c:pt>
                <c:pt idx="3">
                  <c:v>0.97</c:v>
                </c:pt>
                <c:pt idx="4">
                  <c:v>0.96</c:v>
                </c:pt>
                <c:pt idx="5">
                  <c:v>0.95</c:v>
                </c:pt>
                <c:pt idx="6">
                  <c:v>0.9</c:v>
                </c:pt>
                <c:pt idx="7">
                  <c:v>0.85</c:v>
                </c:pt>
                <c:pt idx="8">
                  <c:v>0.8</c:v>
                </c:pt>
                <c:pt idx="9">
                  <c:v>0.75</c:v>
                </c:pt>
                <c:pt idx="10">
                  <c:v>0.7</c:v>
                </c:pt>
                <c:pt idx="11">
                  <c:v>0.65</c:v>
                </c:pt>
                <c:pt idx="12">
                  <c:v>0.6</c:v>
                </c:pt>
              </c:numCache>
            </c:numRef>
          </c:xVal>
          <c:yVal>
            <c:numRef>
              <c:f>NOx!$X$3:$X$15</c:f>
              <c:numCache>
                <c:formatCode>General</c:formatCode>
                <c:ptCount val="13"/>
                <c:pt idx="0">
                  <c:v>0</c:v>
                </c:pt>
                <c:pt idx="1">
                  <c:v>130622.35242512744</c:v>
                </c:pt>
                <c:pt idx="2">
                  <c:v>157060.9057978651</c:v>
                </c:pt>
                <c:pt idx="3">
                  <c:v>162378.23339136568</c:v>
                </c:pt>
                <c:pt idx="4">
                  <c:v>157175.24684647808</c:v>
                </c:pt>
                <c:pt idx="5">
                  <c:v>146312.03990590977</c:v>
                </c:pt>
                <c:pt idx="6">
                  <c:v>85666.19550831824</c:v>
                </c:pt>
                <c:pt idx="7">
                  <c:v>46822.172096324553</c:v>
                </c:pt>
                <c:pt idx="8">
                  <c:v>15283.040236455183</c:v>
                </c:pt>
                <c:pt idx="9">
                  <c:v>5040.3475255154235</c:v>
                </c:pt>
                <c:pt idx="10">
                  <c:v>1398.1587504569231</c:v>
                </c:pt>
                <c:pt idx="11">
                  <c:v>319.04958350564129</c:v>
                </c:pt>
                <c:pt idx="12">
                  <c:v>57.961838120070908</c:v>
                </c:pt>
              </c:numCache>
            </c:numRef>
          </c:yVal>
          <c:smooth val="1"/>
          <c:extLst>
            <c:ext xmlns:c16="http://schemas.microsoft.com/office/drawing/2014/chart" uri="{C3380CC4-5D6E-409C-BE32-E72D297353CC}">
              <c16:uniqueId val="{00000000-A271-4B93-9CE8-FF99AD322622}"/>
            </c:ext>
          </c:extLst>
        </c:ser>
        <c:dLbls>
          <c:showLegendKey val="0"/>
          <c:showVal val="0"/>
          <c:showCatName val="0"/>
          <c:showSerName val="0"/>
          <c:showPercent val="0"/>
          <c:showBubbleSize val="0"/>
        </c:dLbls>
        <c:axId val="664930832"/>
        <c:axId val="664928864"/>
      </c:scatterChart>
      <c:valAx>
        <c:axId val="664930832"/>
        <c:scaling>
          <c:orientation val="minMax"/>
          <c:min val="0.55000000000000004"/>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Fuel Equivalence Ratio</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4928864"/>
        <c:crosses val="autoZero"/>
        <c:crossBetween val="midCat"/>
      </c:valAx>
      <c:valAx>
        <c:axId val="6649288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NOx PPM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493083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NOx PPM  vs</a:t>
            </a:r>
            <a:r>
              <a:rPr lang="en-GB" baseline="0"/>
              <a:t> Flame Temperature </a:t>
            </a:r>
            <a:endParaRPr lang="el-G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φ 0.95</c:v>
          </c:tx>
          <c:spPr>
            <a:ln w="19050" cap="rnd">
              <a:solidFill>
                <a:schemeClr val="accent1"/>
              </a:solidFill>
              <a:round/>
            </a:ln>
            <a:effectLst/>
          </c:spPr>
          <c:marker>
            <c:symbol val="none"/>
          </c:marker>
          <c:xVal>
            <c:numRef>
              <c:f>EGR!$N$70:$N$99</c:f>
              <c:numCache>
                <c:formatCode>General</c:formatCode>
                <c:ptCount val="30"/>
                <c:pt idx="0">
                  <c:v>133283.7650278247</c:v>
                </c:pt>
                <c:pt idx="1">
                  <c:v>111410.93579822089</c:v>
                </c:pt>
                <c:pt idx="2">
                  <c:v>93188.75170262577</c:v>
                </c:pt>
                <c:pt idx="3">
                  <c:v>77997.586285470592</c:v>
                </c:pt>
                <c:pt idx="4">
                  <c:v>65324.765468026031</c:v>
                </c:pt>
                <c:pt idx="5">
                  <c:v>54745.778144935699</c:v>
                </c:pt>
                <c:pt idx="6">
                  <c:v>45908.87194534381</c:v>
                </c:pt>
                <c:pt idx="7">
                  <c:v>38522.368492674825</c:v>
                </c:pt>
                <c:pt idx="8">
                  <c:v>32344.239997908378</c:v>
                </c:pt>
                <c:pt idx="9">
                  <c:v>27173.510271633964</c:v>
                </c:pt>
                <c:pt idx="10">
                  <c:v>22843.189396275877</c:v>
                </c:pt>
                <c:pt idx="11">
                  <c:v>19214.420540264142</c:v>
                </c:pt>
                <c:pt idx="12">
                  <c:v>16171.669239893452</c:v>
                </c:pt>
                <c:pt idx="13">
                  <c:v>13618.735482959555</c:v>
                </c:pt>
                <c:pt idx="14">
                  <c:v>11475.475782255638</c:v>
                </c:pt>
                <c:pt idx="15">
                  <c:v>9675.0704928766208</c:v>
                </c:pt>
                <c:pt idx="16">
                  <c:v>8161.7768165115294</c:v>
                </c:pt>
                <c:pt idx="17">
                  <c:v>6889.0604075849133</c:v>
                </c:pt>
                <c:pt idx="18">
                  <c:v>5818.0540841746924</c:v>
                </c:pt>
                <c:pt idx="19">
                  <c:v>4916.2696817347587</c:v>
                </c:pt>
                <c:pt idx="20">
                  <c:v>4156.5364743079335</c:v>
                </c:pt>
                <c:pt idx="21">
                  <c:v>3516.1168695402762</c:v>
                </c:pt>
                <c:pt idx="22">
                  <c:v>2975.9699135437663</c:v>
                </c:pt>
                <c:pt idx="23">
                  <c:v>2520.1437729806789</c:v>
                </c:pt>
                <c:pt idx="24">
                  <c:v>2135.2637619240509</c:v>
                </c:pt>
                <c:pt idx="25">
                  <c:v>1810.1106667496726</c:v>
                </c:pt>
                <c:pt idx="26">
                  <c:v>1535.2678106073417</c:v>
                </c:pt>
                <c:pt idx="27">
                  <c:v>1302.8263485512828</c:v>
                </c:pt>
                <c:pt idx="28">
                  <c:v>1106.140964402749</c:v>
                </c:pt>
                <c:pt idx="29">
                  <c:v>939.62366028047347</c:v>
                </c:pt>
              </c:numCache>
            </c:numRef>
          </c:xVal>
          <c:yVal>
            <c:numRef>
              <c:f>EGR!$N$36:$N$65</c:f>
              <c:numCache>
                <c:formatCode>General</c:formatCode>
                <c:ptCount val="30"/>
                <c:pt idx="0">
                  <c:v>2311.2299518634536</c:v>
                </c:pt>
                <c:pt idx="1">
                  <c:v>2293.4665952712453</c:v>
                </c:pt>
                <c:pt idx="2">
                  <c:v>2276.0343477863767</c:v>
                </c:pt>
                <c:pt idx="3">
                  <c:v>2258.9237368119866</c:v>
                </c:pt>
                <c:pt idx="4">
                  <c:v>2242.12566846044</c:v>
                </c:pt>
                <c:pt idx="5">
                  <c:v>2225.631384972191</c:v>
                </c:pt>
                <c:pt idx="6">
                  <c:v>2209.4324630157721</c:v>
                </c:pt>
                <c:pt idx="7">
                  <c:v>2193.5207846691537</c:v>
                </c:pt>
                <c:pt idx="8">
                  <c:v>2177.8885364381858</c:v>
                </c:pt>
                <c:pt idx="9">
                  <c:v>2162.5281738702197</c:v>
                </c:pt>
                <c:pt idx="10">
                  <c:v>2147.4324478801873</c:v>
                </c:pt>
                <c:pt idx="11">
                  <c:v>2132.5943532616379</c:v>
                </c:pt>
                <c:pt idx="12">
                  <c:v>2118.0071432877194</c:v>
                </c:pt>
                <c:pt idx="13">
                  <c:v>2103.6642831237882</c:v>
                </c:pt>
                <c:pt idx="14">
                  <c:v>2089.559501595159</c:v>
                </c:pt>
                <c:pt idx="15">
                  <c:v>2075.686722954078</c:v>
                </c:pt>
                <c:pt idx="16">
                  <c:v>2062.0400857356767</c:v>
                </c:pt>
                <c:pt idx="17">
                  <c:v>2048.6139090424076</c:v>
                </c:pt>
                <c:pt idx="18">
                  <c:v>2035.4027350557596</c:v>
                </c:pt>
                <c:pt idx="19">
                  <c:v>2022.4012657988058</c:v>
                </c:pt>
                <c:pt idx="20">
                  <c:v>2009.6043838711175</c:v>
                </c:pt>
                <c:pt idx="21">
                  <c:v>1997.0071471386125</c:v>
                </c:pt>
                <c:pt idx="22">
                  <c:v>1984.6047445783934</c:v>
                </c:pt>
                <c:pt idx="23">
                  <c:v>1972.3925643900609</c:v>
                </c:pt>
                <c:pt idx="24">
                  <c:v>1960.3661132234686</c:v>
                </c:pt>
                <c:pt idx="25">
                  <c:v>1948.5210463011779</c:v>
                </c:pt>
                <c:pt idx="26">
                  <c:v>1936.853162198734</c:v>
                </c:pt>
                <c:pt idx="27">
                  <c:v>1925.3583722812893</c:v>
                </c:pt>
                <c:pt idx="28">
                  <c:v>1914.0327454615428</c:v>
                </c:pt>
                <c:pt idx="29">
                  <c:v>1902.8724328806593</c:v>
                </c:pt>
              </c:numCache>
            </c:numRef>
          </c:yVal>
          <c:smooth val="1"/>
          <c:extLst>
            <c:ext xmlns:c16="http://schemas.microsoft.com/office/drawing/2014/chart" uri="{C3380CC4-5D6E-409C-BE32-E72D297353CC}">
              <c16:uniqueId val="{00000000-0AB8-45EA-9E1D-C6FEA109EC6A}"/>
            </c:ext>
          </c:extLst>
        </c:ser>
        <c:dLbls>
          <c:showLegendKey val="0"/>
          <c:showVal val="0"/>
          <c:showCatName val="0"/>
          <c:showSerName val="0"/>
          <c:showPercent val="0"/>
          <c:showBubbleSize val="0"/>
        </c:dLbls>
        <c:axId val="72013224"/>
        <c:axId val="72015848"/>
      </c:scatterChart>
      <c:valAx>
        <c:axId val="7201322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NOx PPM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015848"/>
        <c:crosses val="autoZero"/>
        <c:crossBetween val="midCat"/>
      </c:valAx>
      <c:valAx>
        <c:axId val="72015848"/>
        <c:scaling>
          <c:orientation val="minMax"/>
          <c:min val="18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Flame  Temperature (K)</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01322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NOx PPM  vs</a:t>
            </a:r>
            <a:r>
              <a:rPr lang="en-GB" baseline="0"/>
              <a:t> Flame Temperature </a:t>
            </a:r>
            <a:endParaRPr lang="el-G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φ 0.6</c:v>
          </c:tx>
          <c:spPr>
            <a:ln w="19050" cap="rnd">
              <a:solidFill>
                <a:schemeClr val="accent1"/>
              </a:solidFill>
              <a:round/>
            </a:ln>
            <a:effectLst/>
          </c:spPr>
          <c:marker>
            <c:symbol val="none"/>
          </c:marker>
          <c:xVal>
            <c:numRef>
              <c:f>EGR!$U$70:$U$99</c:f>
              <c:numCache>
                <c:formatCode>General</c:formatCode>
                <c:ptCount val="30"/>
                <c:pt idx="0">
                  <c:v>98.097761458547751</c:v>
                </c:pt>
                <c:pt idx="1">
                  <c:v>77.923164110192289</c:v>
                </c:pt>
                <c:pt idx="2">
                  <c:v>61.955802836629928</c:v>
                </c:pt>
                <c:pt idx="3">
                  <c:v>49.306178196954555</c:v>
                </c:pt>
                <c:pt idx="4">
                  <c:v>39.27539512799666</c:v>
                </c:pt>
                <c:pt idx="5">
                  <c:v>31.31377728407832</c:v>
                </c:pt>
                <c:pt idx="6">
                  <c:v>24.988628873111413</c:v>
                </c:pt>
                <c:pt idx="7">
                  <c:v>19.95893552470752</c:v>
                </c:pt>
                <c:pt idx="8">
                  <c:v>15.955730564488885</c:v>
                </c:pt>
                <c:pt idx="9">
                  <c:v>12.766641255856381</c:v>
                </c:pt>
                <c:pt idx="10">
                  <c:v>10.223830231946037</c:v>
                </c:pt>
                <c:pt idx="11">
                  <c:v>8.1945341955489628</c:v>
                </c:pt>
                <c:pt idx="12">
                  <c:v>6.5736248076613935</c:v>
                </c:pt>
                <c:pt idx="13">
                  <c:v>5.2777915252287766</c:v>
                </c:pt>
                <c:pt idx="14">
                  <c:v>4.2409481723530353</c:v>
                </c:pt>
                <c:pt idx="15">
                  <c:v>3.4106234737647374</c:v>
                </c:pt>
                <c:pt idx="16">
                  <c:v>2.7451205056489121</c:v>
                </c:pt>
                <c:pt idx="17">
                  <c:v>2.211276106441411</c:v>
                </c:pt>
                <c:pt idx="18">
                  <c:v>1.7826869330628408</c:v>
                </c:pt>
                <c:pt idx="19">
                  <c:v>1.4383177838857597</c:v>
                </c:pt>
                <c:pt idx="20">
                  <c:v>1.1613933532283536</c:v>
                </c:pt>
                <c:pt idx="21">
                  <c:v>0.93852451534817005</c:v>
                </c:pt>
                <c:pt idx="22">
                  <c:v>0.75901583454720434</c:v>
                </c:pt>
                <c:pt idx="23">
                  <c:v>0.61431618388610421</c:v>
                </c:pt>
                <c:pt idx="24">
                  <c:v>0.4975842854507424</c:v>
                </c:pt>
                <c:pt idx="25">
                  <c:v>0.40334034690544363</c:v>
                </c:pt>
                <c:pt idx="26">
                  <c:v>0.32719354254810212</c:v>
                </c:pt>
                <c:pt idx="27">
                  <c:v>0.26562142615958745</c:v>
                </c:pt>
                <c:pt idx="28">
                  <c:v>0.21579639332116721</c:v>
                </c:pt>
                <c:pt idx="29">
                  <c:v>0.17544678999416477</c:v>
                </c:pt>
              </c:numCache>
            </c:numRef>
          </c:xVal>
          <c:yVal>
            <c:numRef>
              <c:f>EGR!$U$36:$U$65</c:f>
              <c:numCache>
                <c:formatCode>General</c:formatCode>
                <c:ptCount val="30"/>
                <c:pt idx="0">
                  <c:v>1700.4073697514568</c:v>
                </c:pt>
                <c:pt idx="1">
                  <c:v>1687.9627857554765</c:v>
                </c:pt>
                <c:pt idx="2">
                  <c:v>1675.7467940606175</c:v>
                </c:pt>
                <c:pt idx="3">
                  <c:v>1663.7529961285211</c:v>
                </c:pt>
                <c:pt idx="4">
                  <c:v>1651.9752139346442</c:v>
                </c:pt>
                <c:pt idx="5">
                  <c:v>1640.4074757676226</c:v>
                </c:pt>
                <c:pt idx="6">
                  <c:v>1629.0440904654677</c:v>
                </c:pt>
                <c:pt idx="7">
                  <c:v>1617.8795096402521</c:v>
                </c:pt>
                <c:pt idx="8">
                  <c:v>1606.9084324390324</c:v>
                </c:pt>
                <c:pt idx="9">
                  <c:v>1596.125726752153</c:v>
                </c:pt>
                <c:pt idx="10">
                  <c:v>1585.526446321152</c:v>
                </c:pt>
                <c:pt idx="11">
                  <c:v>1575.1058422704641</c:v>
                </c:pt>
                <c:pt idx="12">
                  <c:v>1564.8592896677669</c:v>
                </c:pt>
                <c:pt idx="13">
                  <c:v>1554.7823537276763</c:v>
                </c:pt>
                <c:pt idx="14">
                  <c:v>1544.870751142056</c:v>
                </c:pt>
                <c:pt idx="15">
                  <c:v>1535.1203301060129</c:v>
                </c:pt>
                <c:pt idx="16">
                  <c:v>1525.52708127713</c:v>
                </c:pt>
                <c:pt idx="17">
                  <c:v>1516.0871583465575</c:v>
                </c:pt>
                <c:pt idx="18">
                  <c:v>1506.7967899361736</c:v>
                </c:pt>
                <c:pt idx="19">
                  <c:v>1497.6523708981363</c:v>
                </c:pt>
                <c:pt idx="20">
                  <c:v>1488.6504025034878</c:v>
                </c:pt>
                <c:pt idx="21">
                  <c:v>1479.7874964255684</c:v>
                </c:pt>
                <c:pt idx="22">
                  <c:v>1471.0603724476728</c:v>
                </c:pt>
                <c:pt idx="23">
                  <c:v>1462.4658354448634</c:v>
                </c:pt>
                <c:pt idx="24">
                  <c:v>1454.0008507465102</c:v>
                </c:pt>
                <c:pt idx="25">
                  <c:v>1445.6623880533289</c:v>
                </c:pt>
                <c:pt idx="26">
                  <c:v>1437.4475973250881</c:v>
                </c:pt>
                <c:pt idx="27">
                  <c:v>1429.3536711398481</c:v>
                </c:pt>
                <c:pt idx="28">
                  <c:v>1421.3778921978335</c:v>
                </c:pt>
                <c:pt idx="29">
                  <c:v>1413.5176299937521</c:v>
                </c:pt>
              </c:numCache>
            </c:numRef>
          </c:yVal>
          <c:smooth val="1"/>
          <c:extLst>
            <c:ext xmlns:c16="http://schemas.microsoft.com/office/drawing/2014/chart" uri="{C3380CC4-5D6E-409C-BE32-E72D297353CC}">
              <c16:uniqueId val="{00000000-20BA-4646-913A-F8C2CAD33014}"/>
            </c:ext>
          </c:extLst>
        </c:ser>
        <c:dLbls>
          <c:showLegendKey val="0"/>
          <c:showVal val="0"/>
          <c:showCatName val="0"/>
          <c:showSerName val="0"/>
          <c:showPercent val="0"/>
          <c:showBubbleSize val="0"/>
        </c:dLbls>
        <c:axId val="72013224"/>
        <c:axId val="72015848"/>
      </c:scatterChart>
      <c:valAx>
        <c:axId val="72013224"/>
        <c:scaling>
          <c:orientation val="minMax"/>
          <c:max val="110"/>
          <c:min val="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NOx PPM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015848"/>
        <c:crosses val="autoZero"/>
        <c:crossBetween val="midCat"/>
      </c:valAx>
      <c:valAx>
        <c:axId val="72015848"/>
        <c:scaling>
          <c:orientation val="minMax"/>
          <c:min val="13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Flame Temperature</a:t>
                </a:r>
                <a:r>
                  <a:rPr lang="en-GB" baseline="0"/>
                  <a:t> (K)</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01322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Flame Temperature</a:t>
            </a:r>
            <a:r>
              <a:rPr lang="en-GB" baseline="0"/>
              <a:t> vs Fuel Equivalence Ratio with EGR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1% EGR</c:v>
          </c:tx>
          <c:spPr>
            <a:ln w="19050" cap="rnd">
              <a:solidFill>
                <a:schemeClr val="accent1"/>
              </a:solidFill>
              <a:round/>
            </a:ln>
            <a:effectLst/>
          </c:spPr>
          <c:marker>
            <c:symbol val="none"/>
          </c:marker>
          <c:xVal>
            <c:numRef>
              <c:f>EGR!$I$35:$U$35</c:f>
              <c:numCache>
                <c:formatCode>General</c:formatCode>
                <c:ptCount val="13"/>
                <c:pt idx="0">
                  <c:v>1</c:v>
                </c:pt>
                <c:pt idx="1">
                  <c:v>0.99</c:v>
                </c:pt>
                <c:pt idx="2">
                  <c:v>0.98</c:v>
                </c:pt>
                <c:pt idx="3">
                  <c:v>0.97</c:v>
                </c:pt>
                <c:pt idx="4">
                  <c:v>0.96</c:v>
                </c:pt>
                <c:pt idx="5">
                  <c:v>0.95</c:v>
                </c:pt>
                <c:pt idx="6">
                  <c:v>0.9</c:v>
                </c:pt>
                <c:pt idx="7">
                  <c:v>0.85</c:v>
                </c:pt>
                <c:pt idx="8">
                  <c:v>0.8</c:v>
                </c:pt>
                <c:pt idx="9">
                  <c:v>0.75</c:v>
                </c:pt>
                <c:pt idx="10">
                  <c:v>0.7</c:v>
                </c:pt>
                <c:pt idx="11">
                  <c:v>0.65</c:v>
                </c:pt>
                <c:pt idx="12">
                  <c:v>0.6</c:v>
                </c:pt>
              </c:numCache>
            </c:numRef>
          </c:xVal>
          <c:yVal>
            <c:numRef>
              <c:f>EGR!$I$36:$U$36</c:f>
              <c:numCache>
                <c:formatCode>General</c:formatCode>
                <c:ptCount val="13"/>
                <c:pt idx="0">
                  <c:v>2390.7120853200399</c:v>
                </c:pt>
                <c:pt idx="1">
                  <c:v>2374.9522034030301</c:v>
                </c:pt>
                <c:pt idx="2">
                  <c:v>2359.1246499483327</c:v>
                </c:pt>
                <c:pt idx="3">
                  <c:v>2343.2288310281915</c:v>
                </c:pt>
                <c:pt idx="4">
                  <c:v>2327.2641385536726</c:v>
                </c:pt>
                <c:pt idx="5">
                  <c:v>2311.2299518634536</c:v>
                </c:pt>
                <c:pt idx="6">
                  <c:v>2229.9940633240935</c:v>
                </c:pt>
                <c:pt idx="7">
                  <c:v>2146.9207859630387</c:v>
                </c:pt>
                <c:pt idx="8">
                  <c:v>2061.9181207600586</c:v>
                </c:pt>
                <c:pt idx="9">
                  <c:v>1974.8844907024859</c:v>
                </c:pt>
                <c:pt idx="10">
                  <c:v>1885.7073546834524</c:v>
                </c:pt>
                <c:pt idx="11">
                  <c:v>1794.2615639106496</c:v>
                </c:pt>
                <c:pt idx="12">
                  <c:v>1700.4073697514568</c:v>
                </c:pt>
              </c:numCache>
            </c:numRef>
          </c:yVal>
          <c:smooth val="1"/>
          <c:extLst>
            <c:ext xmlns:c16="http://schemas.microsoft.com/office/drawing/2014/chart" uri="{C3380CC4-5D6E-409C-BE32-E72D297353CC}">
              <c16:uniqueId val="{00000000-6078-4DBB-B73A-62CD9402DA29}"/>
            </c:ext>
          </c:extLst>
        </c:ser>
        <c:ser>
          <c:idx val="1"/>
          <c:order val="1"/>
          <c:tx>
            <c:v>10% EGR</c:v>
          </c:tx>
          <c:spPr>
            <a:ln w="19050" cap="rnd">
              <a:solidFill>
                <a:schemeClr val="accent2"/>
              </a:solidFill>
              <a:round/>
            </a:ln>
            <a:effectLst/>
          </c:spPr>
          <c:marker>
            <c:symbol val="none"/>
          </c:marker>
          <c:xVal>
            <c:numRef>
              <c:f>EGR!$I$35:$U$35</c:f>
              <c:numCache>
                <c:formatCode>General</c:formatCode>
                <c:ptCount val="13"/>
                <c:pt idx="0">
                  <c:v>1</c:v>
                </c:pt>
                <c:pt idx="1">
                  <c:v>0.99</c:v>
                </c:pt>
                <c:pt idx="2">
                  <c:v>0.98</c:v>
                </c:pt>
                <c:pt idx="3">
                  <c:v>0.97</c:v>
                </c:pt>
                <c:pt idx="4">
                  <c:v>0.96</c:v>
                </c:pt>
                <c:pt idx="5">
                  <c:v>0.95</c:v>
                </c:pt>
                <c:pt idx="6">
                  <c:v>0.9</c:v>
                </c:pt>
                <c:pt idx="7">
                  <c:v>0.85</c:v>
                </c:pt>
                <c:pt idx="8">
                  <c:v>0.8</c:v>
                </c:pt>
                <c:pt idx="9">
                  <c:v>0.75</c:v>
                </c:pt>
                <c:pt idx="10">
                  <c:v>0.7</c:v>
                </c:pt>
                <c:pt idx="11">
                  <c:v>0.65</c:v>
                </c:pt>
                <c:pt idx="12">
                  <c:v>0.6</c:v>
                </c:pt>
              </c:numCache>
            </c:numRef>
          </c:xVal>
          <c:yVal>
            <c:numRef>
              <c:f>EGR!$I$45:$U$45</c:f>
              <c:numCache>
                <c:formatCode>General</c:formatCode>
                <c:ptCount val="13"/>
                <c:pt idx="0">
                  <c:v>2236.1477302310946</c:v>
                </c:pt>
                <c:pt idx="1">
                  <c:v>2221.5519381365839</c:v>
                </c:pt>
                <c:pt idx="2">
                  <c:v>2206.8926629482648</c:v>
                </c:pt>
                <c:pt idx="3">
                  <c:v>2192.1693270027204</c:v>
                </c:pt>
                <c:pt idx="4">
                  <c:v>2177.3813580777423</c:v>
                </c:pt>
                <c:pt idx="5">
                  <c:v>2162.5281738702197</c:v>
                </c:pt>
                <c:pt idx="6">
                  <c:v>2087.2627658563883</c:v>
                </c:pt>
                <c:pt idx="7">
                  <c:v>2010.2728842868844</c:v>
                </c:pt>
                <c:pt idx="8">
                  <c:v>1931.4725042897217</c:v>
                </c:pt>
                <c:pt idx="9">
                  <c:v>1850.7672071084542</c:v>
                </c:pt>
                <c:pt idx="10">
                  <c:v>1768.053008396626</c:v>
                </c:pt>
                <c:pt idx="11">
                  <c:v>1683.2149902201718</c:v>
                </c:pt>
                <c:pt idx="12">
                  <c:v>1596.125726752153</c:v>
                </c:pt>
              </c:numCache>
            </c:numRef>
          </c:yVal>
          <c:smooth val="1"/>
          <c:extLst>
            <c:ext xmlns:c16="http://schemas.microsoft.com/office/drawing/2014/chart" uri="{C3380CC4-5D6E-409C-BE32-E72D297353CC}">
              <c16:uniqueId val="{00000001-6078-4DBB-B73A-62CD9402DA29}"/>
            </c:ext>
          </c:extLst>
        </c:ser>
        <c:ser>
          <c:idx val="2"/>
          <c:order val="2"/>
          <c:tx>
            <c:v>20% EGR</c:v>
          </c:tx>
          <c:spPr>
            <a:ln w="19050" cap="rnd">
              <a:solidFill>
                <a:schemeClr val="accent3"/>
              </a:solidFill>
              <a:round/>
            </a:ln>
            <a:effectLst/>
          </c:spPr>
          <c:marker>
            <c:symbol val="none"/>
          </c:marker>
          <c:xVal>
            <c:numRef>
              <c:f>EGR!$I$35:$U$35</c:f>
              <c:numCache>
                <c:formatCode>General</c:formatCode>
                <c:ptCount val="13"/>
                <c:pt idx="0">
                  <c:v>1</c:v>
                </c:pt>
                <c:pt idx="1">
                  <c:v>0.99</c:v>
                </c:pt>
                <c:pt idx="2">
                  <c:v>0.98</c:v>
                </c:pt>
                <c:pt idx="3">
                  <c:v>0.97</c:v>
                </c:pt>
                <c:pt idx="4">
                  <c:v>0.96</c:v>
                </c:pt>
                <c:pt idx="5">
                  <c:v>0.95</c:v>
                </c:pt>
                <c:pt idx="6">
                  <c:v>0.9</c:v>
                </c:pt>
                <c:pt idx="7">
                  <c:v>0.85</c:v>
                </c:pt>
                <c:pt idx="8">
                  <c:v>0.8</c:v>
                </c:pt>
                <c:pt idx="9">
                  <c:v>0.75</c:v>
                </c:pt>
                <c:pt idx="10">
                  <c:v>0.7</c:v>
                </c:pt>
                <c:pt idx="11">
                  <c:v>0.65</c:v>
                </c:pt>
                <c:pt idx="12">
                  <c:v>0.6</c:v>
                </c:pt>
              </c:numCache>
            </c:numRef>
          </c:xVal>
          <c:yVal>
            <c:numRef>
              <c:f>EGR!$I$55:$U$55</c:f>
              <c:numCache>
                <c:formatCode>General</c:formatCode>
                <c:ptCount val="13"/>
                <c:pt idx="0">
                  <c:v>2090.5435703486824</c:v>
                </c:pt>
                <c:pt idx="1">
                  <c:v>2077.0351124429117</c:v>
                </c:pt>
                <c:pt idx="2">
                  <c:v>2063.4671769954484</c:v>
                </c:pt>
                <c:pt idx="3">
                  <c:v>2049.8392572929097</c:v>
                </c:pt>
                <c:pt idx="4">
                  <c:v>2036.1508025934652</c:v>
                </c:pt>
                <c:pt idx="5">
                  <c:v>2022.4012657988058</c:v>
                </c:pt>
                <c:pt idx="6">
                  <c:v>1952.7176516527447</c:v>
                </c:pt>
                <c:pt idx="7">
                  <c:v>1881.419651317254</c:v>
                </c:pt>
                <c:pt idx="8">
                  <c:v>1808.4277082916979</c:v>
                </c:pt>
                <c:pt idx="9">
                  <c:v>1733.6549545936734</c:v>
                </c:pt>
                <c:pt idx="10">
                  <c:v>1657.0062713982002</c:v>
                </c:pt>
                <c:pt idx="11">
                  <c:v>1578.3771278835191</c:v>
                </c:pt>
                <c:pt idx="12">
                  <c:v>1497.6523708981363</c:v>
                </c:pt>
              </c:numCache>
            </c:numRef>
          </c:yVal>
          <c:smooth val="1"/>
          <c:extLst>
            <c:ext xmlns:c16="http://schemas.microsoft.com/office/drawing/2014/chart" uri="{C3380CC4-5D6E-409C-BE32-E72D297353CC}">
              <c16:uniqueId val="{00000002-6078-4DBB-B73A-62CD9402DA29}"/>
            </c:ext>
          </c:extLst>
        </c:ser>
        <c:ser>
          <c:idx val="3"/>
          <c:order val="3"/>
          <c:tx>
            <c:v>0% EGR</c:v>
          </c:tx>
          <c:spPr>
            <a:ln w="19050" cap="rnd">
              <a:solidFill>
                <a:schemeClr val="accent4"/>
              </a:solidFill>
              <a:round/>
            </a:ln>
            <a:effectLst/>
          </c:spPr>
          <c:marker>
            <c:symbol val="none"/>
          </c:marker>
          <c:xVal>
            <c:numRef>
              <c:f>NOx!$A$3:$A$15</c:f>
              <c:numCache>
                <c:formatCode>General</c:formatCode>
                <c:ptCount val="13"/>
                <c:pt idx="0">
                  <c:v>1</c:v>
                </c:pt>
                <c:pt idx="1">
                  <c:v>0.99</c:v>
                </c:pt>
                <c:pt idx="2">
                  <c:v>0.98</c:v>
                </c:pt>
                <c:pt idx="3">
                  <c:v>0.97</c:v>
                </c:pt>
                <c:pt idx="4">
                  <c:v>0.96</c:v>
                </c:pt>
                <c:pt idx="5">
                  <c:v>0.95</c:v>
                </c:pt>
                <c:pt idx="6">
                  <c:v>0.9</c:v>
                </c:pt>
                <c:pt idx="7">
                  <c:v>0.85</c:v>
                </c:pt>
                <c:pt idx="8">
                  <c:v>0.8</c:v>
                </c:pt>
                <c:pt idx="9">
                  <c:v>0.75</c:v>
                </c:pt>
                <c:pt idx="10">
                  <c:v>0.7</c:v>
                </c:pt>
                <c:pt idx="11">
                  <c:v>0.65</c:v>
                </c:pt>
                <c:pt idx="12">
                  <c:v>0.6</c:v>
                </c:pt>
              </c:numCache>
            </c:numRef>
          </c:xVal>
          <c:yVal>
            <c:numRef>
              <c:f>NOx!$O$3:$O$15</c:f>
              <c:numCache>
                <c:formatCode>General</c:formatCode>
                <c:ptCount val="13"/>
                <c:pt idx="0">
                  <c:v>2409.3967965228139</c:v>
                </c:pt>
                <c:pt idx="1">
                  <c:v>2392.6171300993269</c:v>
                </c:pt>
                <c:pt idx="2">
                  <c:v>2375.3109035947036</c:v>
                </c:pt>
                <c:pt idx="3">
                  <c:v>2357.5033882769567</c:v>
                </c:pt>
                <c:pt idx="4">
                  <c:v>2339.2444547915652</c:v>
                </c:pt>
                <c:pt idx="5">
                  <c:v>2320.5795429637337</c:v>
                </c:pt>
                <c:pt idx="6">
                  <c:v>2234.6797700826078</c:v>
                </c:pt>
                <c:pt idx="7">
                  <c:v>2161.3815937595582</c:v>
                </c:pt>
                <c:pt idx="8">
                  <c:v>2055.8610941117313</c:v>
                </c:pt>
                <c:pt idx="9">
                  <c:v>1963.1323169799364</c:v>
                </c:pt>
                <c:pt idx="10">
                  <c:v>1868.2557439454129</c:v>
                </c:pt>
                <c:pt idx="11">
                  <c:v>1771.2777698980781</c:v>
                </c:pt>
                <c:pt idx="12">
                  <c:v>1672.2294949728116</c:v>
                </c:pt>
              </c:numCache>
            </c:numRef>
          </c:yVal>
          <c:smooth val="1"/>
          <c:extLst>
            <c:ext xmlns:c16="http://schemas.microsoft.com/office/drawing/2014/chart" uri="{C3380CC4-5D6E-409C-BE32-E72D297353CC}">
              <c16:uniqueId val="{00000003-6078-4DBB-B73A-62CD9402DA29}"/>
            </c:ext>
          </c:extLst>
        </c:ser>
        <c:dLbls>
          <c:showLegendKey val="0"/>
          <c:showVal val="0"/>
          <c:showCatName val="0"/>
          <c:showSerName val="0"/>
          <c:showPercent val="0"/>
          <c:showBubbleSize val="0"/>
        </c:dLbls>
        <c:axId val="552784936"/>
        <c:axId val="552785592"/>
      </c:scatterChart>
      <c:valAx>
        <c:axId val="552784936"/>
        <c:scaling>
          <c:orientation val="minMax"/>
          <c:min val="0.55000000000000004"/>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Fuel Equivalence</a:t>
                </a:r>
                <a:r>
                  <a:rPr lang="en-GB" baseline="0"/>
                  <a:t> Ratio</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2785592"/>
        <c:crosses val="autoZero"/>
        <c:crossBetween val="midCat"/>
      </c:valAx>
      <c:valAx>
        <c:axId val="552785592"/>
        <c:scaling>
          <c:orientation val="minMax"/>
          <c:max val="2500"/>
          <c:min val="14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Flame Temperature</a:t>
                </a:r>
                <a:r>
                  <a:rPr lang="en-GB" baseline="0"/>
                  <a:t> (K)</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278493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NOx</a:t>
            </a:r>
            <a:r>
              <a:rPr lang="en-GB" baseline="0"/>
              <a:t> PPM vs EGR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φ 0.95</c:v>
          </c:tx>
          <c:spPr>
            <a:ln w="19050" cap="rnd">
              <a:solidFill>
                <a:schemeClr val="accent1"/>
              </a:solidFill>
              <a:round/>
            </a:ln>
            <a:effectLst/>
          </c:spPr>
          <c:marker>
            <c:symbol val="none"/>
          </c:marker>
          <c:xVal>
            <c:numRef>
              <c:f>EGR!$H$70:$H$99</c:f>
              <c:numCache>
                <c:formatCode>General</c:formatCode>
                <c:ptCount val="30"/>
                <c:pt idx="0">
                  <c:v>0.01</c:v>
                </c:pt>
                <c:pt idx="1">
                  <c:v>0.02</c:v>
                </c:pt>
                <c:pt idx="2">
                  <c:v>0.03</c:v>
                </c:pt>
                <c:pt idx="3">
                  <c:v>0.04</c:v>
                </c:pt>
                <c:pt idx="4">
                  <c:v>0.05</c:v>
                </c:pt>
                <c:pt idx="5">
                  <c:v>0.06</c:v>
                </c:pt>
                <c:pt idx="6">
                  <c:v>7.0000000000000007E-2</c:v>
                </c:pt>
                <c:pt idx="7">
                  <c:v>0.08</c:v>
                </c:pt>
                <c:pt idx="8">
                  <c:v>0.09</c:v>
                </c:pt>
                <c:pt idx="9">
                  <c:v>0.1</c:v>
                </c:pt>
                <c:pt idx="10">
                  <c:v>0.11</c:v>
                </c:pt>
                <c:pt idx="11">
                  <c:v>0.12</c:v>
                </c:pt>
                <c:pt idx="12">
                  <c:v>0.13</c:v>
                </c:pt>
                <c:pt idx="13">
                  <c:v>0.14000000000000001</c:v>
                </c:pt>
                <c:pt idx="14">
                  <c:v>0.15</c:v>
                </c:pt>
                <c:pt idx="15">
                  <c:v>0.16</c:v>
                </c:pt>
                <c:pt idx="16">
                  <c:v>0.17</c:v>
                </c:pt>
                <c:pt idx="17">
                  <c:v>0.18</c:v>
                </c:pt>
                <c:pt idx="18">
                  <c:v>0.19</c:v>
                </c:pt>
                <c:pt idx="19">
                  <c:v>0.2</c:v>
                </c:pt>
                <c:pt idx="20">
                  <c:v>0.21</c:v>
                </c:pt>
                <c:pt idx="21">
                  <c:v>0.22</c:v>
                </c:pt>
                <c:pt idx="22">
                  <c:v>0.23</c:v>
                </c:pt>
                <c:pt idx="23">
                  <c:v>0.24</c:v>
                </c:pt>
                <c:pt idx="24">
                  <c:v>0.25</c:v>
                </c:pt>
                <c:pt idx="25">
                  <c:v>0.26</c:v>
                </c:pt>
                <c:pt idx="26">
                  <c:v>0.27</c:v>
                </c:pt>
                <c:pt idx="27">
                  <c:v>0.28000000000000003</c:v>
                </c:pt>
                <c:pt idx="28">
                  <c:v>0.28999999999999998</c:v>
                </c:pt>
                <c:pt idx="29">
                  <c:v>0.3</c:v>
                </c:pt>
              </c:numCache>
            </c:numRef>
          </c:xVal>
          <c:yVal>
            <c:numRef>
              <c:f>EGR!$N$70:$N$99</c:f>
              <c:numCache>
                <c:formatCode>General</c:formatCode>
                <c:ptCount val="30"/>
                <c:pt idx="0">
                  <c:v>133283.7650278247</c:v>
                </c:pt>
                <c:pt idx="1">
                  <c:v>111410.93579822089</c:v>
                </c:pt>
                <c:pt idx="2">
                  <c:v>93188.75170262577</c:v>
                </c:pt>
                <c:pt idx="3">
                  <c:v>77997.586285470592</c:v>
                </c:pt>
                <c:pt idx="4">
                  <c:v>65324.765468026031</c:v>
                </c:pt>
                <c:pt idx="5">
                  <c:v>54745.778144935699</c:v>
                </c:pt>
                <c:pt idx="6">
                  <c:v>45908.87194534381</c:v>
                </c:pt>
                <c:pt idx="7">
                  <c:v>38522.368492674825</c:v>
                </c:pt>
                <c:pt idx="8">
                  <c:v>32344.239997908378</c:v>
                </c:pt>
                <c:pt idx="9">
                  <c:v>27173.510271633964</c:v>
                </c:pt>
                <c:pt idx="10">
                  <c:v>22843.189396275877</c:v>
                </c:pt>
                <c:pt idx="11">
                  <c:v>19214.420540264142</c:v>
                </c:pt>
                <c:pt idx="12">
                  <c:v>16171.669239893452</c:v>
                </c:pt>
                <c:pt idx="13">
                  <c:v>13618.735482959555</c:v>
                </c:pt>
                <c:pt idx="14">
                  <c:v>11475.475782255638</c:v>
                </c:pt>
                <c:pt idx="15">
                  <c:v>9675.0704928766208</c:v>
                </c:pt>
                <c:pt idx="16">
                  <c:v>8161.7768165115294</c:v>
                </c:pt>
                <c:pt idx="17">
                  <c:v>6889.0604075849133</c:v>
                </c:pt>
                <c:pt idx="18">
                  <c:v>5818.0540841746924</c:v>
                </c:pt>
                <c:pt idx="19">
                  <c:v>4916.2696817347587</c:v>
                </c:pt>
                <c:pt idx="20">
                  <c:v>4156.5364743079335</c:v>
                </c:pt>
                <c:pt idx="21">
                  <c:v>3516.1168695402762</c:v>
                </c:pt>
                <c:pt idx="22">
                  <c:v>2975.9699135437663</c:v>
                </c:pt>
                <c:pt idx="23">
                  <c:v>2520.1437729806789</c:v>
                </c:pt>
                <c:pt idx="24">
                  <c:v>2135.2637619240509</c:v>
                </c:pt>
                <c:pt idx="25">
                  <c:v>1810.1106667496726</c:v>
                </c:pt>
                <c:pt idx="26">
                  <c:v>1535.2678106073417</c:v>
                </c:pt>
                <c:pt idx="27">
                  <c:v>1302.8263485512828</c:v>
                </c:pt>
                <c:pt idx="28">
                  <c:v>1106.140964402749</c:v>
                </c:pt>
                <c:pt idx="29">
                  <c:v>939.62366028047347</c:v>
                </c:pt>
              </c:numCache>
            </c:numRef>
          </c:yVal>
          <c:smooth val="1"/>
          <c:extLst>
            <c:ext xmlns:c16="http://schemas.microsoft.com/office/drawing/2014/chart" uri="{C3380CC4-5D6E-409C-BE32-E72D297353CC}">
              <c16:uniqueId val="{00000000-1913-426B-9C1E-66D99F262474}"/>
            </c:ext>
          </c:extLst>
        </c:ser>
        <c:ser>
          <c:idx val="1"/>
          <c:order val="1"/>
          <c:tx>
            <c:v>φ 0.6</c:v>
          </c:tx>
          <c:spPr>
            <a:ln w="19050" cap="rnd">
              <a:solidFill>
                <a:schemeClr val="accent2"/>
              </a:solidFill>
              <a:round/>
            </a:ln>
            <a:effectLst/>
          </c:spPr>
          <c:marker>
            <c:symbol val="none"/>
          </c:marker>
          <c:xVal>
            <c:numRef>
              <c:f>EGR!$H$70:$H$99</c:f>
              <c:numCache>
                <c:formatCode>General</c:formatCode>
                <c:ptCount val="30"/>
                <c:pt idx="0">
                  <c:v>0.01</c:v>
                </c:pt>
                <c:pt idx="1">
                  <c:v>0.02</c:v>
                </c:pt>
                <c:pt idx="2">
                  <c:v>0.03</c:v>
                </c:pt>
                <c:pt idx="3">
                  <c:v>0.04</c:v>
                </c:pt>
                <c:pt idx="4">
                  <c:v>0.05</c:v>
                </c:pt>
                <c:pt idx="5">
                  <c:v>0.06</c:v>
                </c:pt>
                <c:pt idx="6">
                  <c:v>7.0000000000000007E-2</c:v>
                </c:pt>
                <c:pt idx="7">
                  <c:v>0.08</c:v>
                </c:pt>
                <c:pt idx="8">
                  <c:v>0.09</c:v>
                </c:pt>
                <c:pt idx="9">
                  <c:v>0.1</c:v>
                </c:pt>
                <c:pt idx="10">
                  <c:v>0.11</c:v>
                </c:pt>
                <c:pt idx="11">
                  <c:v>0.12</c:v>
                </c:pt>
                <c:pt idx="12">
                  <c:v>0.13</c:v>
                </c:pt>
                <c:pt idx="13">
                  <c:v>0.14000000000000001</c:v>
                </c:pt>
                <c:pt idx="14">
                  <c:v>0.15</c:v>
                </c:pt>
                <c:pt idx="15">
                  <c:v>0.16</c:v>
                </c:pt>
                <c:pt idx="16">
                  <c:v>0.17</c:v>
                </c:pt>
                <c:pt idx="17">
                  <c:v>0.18</c:v>
                </c:pt>
                <c:pt idx="18">
                  <c:v>0.19</c:v>
                </c:pt>
                <c:pt idx="19">
                  <c:v>0.2</c:v>
                </c:pt>
                <c:pt idx="20">
                  <c:v>0.21</c:v>
                </c:pt>
                <c:pt idx="21">
                  <c:v>0.22</c:v>
                </c:pt>
                <c:pt idx="22">
                  <c:v>0.23</c:v>
                </c:pt>
                <c:pt idx="23">
                  <c:v>0.24</c:v>
                </c:pt>
                <c:pt idx="24">
                  <c:v>0.25</c:v>
                </c:pt>
                <c:pt idx="25">
                  <c:v>0.26</c:v>
                </c:pt>
                <c:pt idx="26">
                  <c:v>0.27</c:v>
                </c:pt>
                <c:pt idx="27">
                  <c:v>0.28000000000000003</c:v>
                </c:pt>
                <c:pt idx="28">
                  <c:v>0.28999999999999998</c:v>
                </c:pt>
                <c:pt idx="29">
                  <c:v>0.3</c:v>
                </c:pt>
              </c:numCache>
            </c:numRef>
          </c:xVal>
          <c:yVal>
            <c:numRef>
              <c:f>EGR!$U$70:$U$99</c:f>
              <c:numCache>
                <c:formatCode>General</c:formatCode>
                <c:ptCount val="30"/>
                <c:pt idx="0">
                  <c:v>98.097761458547751</c:v>
                </c:pt>
                <c:pt idx="1">
                  <c:v>77.923164110192289</c:v>
                </c:pt>
                <c:pt idx="2">
                  <c:v>61.955802836629928</c:v>
                </c:pt>
                <c:pt idx="3">
                  <c:v>49.306178196954555</c:v>
                </c:pt>
                <c:pt idx="4">
                  <c:v>39.27539512799666</c:v>
                </c:pt>
                <c:pt idx="5">
                  <c:v>31.31377728407832</c:v>
                </c:pt>
                <c:pt idx="6">
                  <c:v>24.988628873111413</c:v>
                </c:pt>
                <c:pt idx="7">
                  <c:v>19.95893552470752</c:v>
                </c:pt>
                <c:pt idx="8">
                  <c:v>15.955730564488885</c:v>
                </c:pt>
                <c:pt idx="9">
                  <c:v>12.766641255856381</c:v>
                </c:pt>
                <c:pt idx="10">
                  <c:v>10.223830231946037</c:v>
                </c:pt>
                <c:pt idx="11">
                  <c:v>8.1945341955489628</c:v>
                </c:pt>
                <c:pt idx="12">
                  <c:v>6.5736248076613935</c:v>
                </c:pt>
                <c:pt idx="13">
                  <c:v>5.2777915252287766</c:v>
                </c:pt>
                <c:pt idx="14">
                  <c:v>4.2409481723530353</c:v>
                </c:pt>
                <c:pt idx="15">
                  <c:v>3.4106234737647374</c:v>
                </c:pt>
                <c:pt idx="16">
                  <c:v>2.7451205056489121</c:v>
                </c:pt>
                <c:pt idx="17">
                  <c:v>2.211276106441411</c:v>
                </c:pt>
                <c:pt idx="18">
                  <c:v>1.7826869330628408</c:v>
                </c:pt>
                <c:pt idx="19">
                  <c:v>1.4383177838857597</c:v>
                </c:pt>
                <c:pt idx="20">
                  <c:v>1.1613933532283536</c:v>
                </c:pt>
                <c:pt idx="21">
                  <c:v>0.93852451534817005</c:v>
                </c:pt>
                <c:pt idx="22">
                  <c:v>0.75901583454720434</c:v>
                </c:pt>
                <c:pt idx="23">
                  <c:v>0.61431618388610421</c:v>
                </c:pt>
                <c:pt idx="24">
                  <c:v>0.4975842854507424</c:v>
                </c:pt>
                <c:pt idx="25">
                  <c:v>0.40334034690544363</c:v>
                </c:pt>
                <c:pt idx="26">
                  <c:v>0.32719354254810212</c:v>
                </c:pt>
                <c:pt idx="27">
                  <c:v>0.26562142615958745</c:v>
                </c:pt>
                <c:pt idx="28">
                  <c:v>0.21579639332116721</c:v>
                </c:pt>
                <c:pt idx="29">
                  <c:v>0.17544678999416477</c:v>
                </c:pt>
              </c:numCache>
            </c:numRef>
          </c:yVal>
          <c:smooth val="1"/>
          <c:extLst>
            <c:ext xmlns:c16="http://schemas.microsoft.com/office/drawing/2014/chart" uri="{C3380CC4-5D6E-409C-BE32-E72D297353CC}">
              <c16:uniqueId val="{00000001-1913-426B-9C1E-66D99F262474}"/>
            </c:ext>
          </c:extLst>
        </c:ser>
        <c:ser>
          <c:idx val="2"/>
          <c:order val="2"/>
          <c:tx>
            <c:v>φ 0.75</c:v>
          </c:tx>
          <c:spPr>
            <a:ln w="19050" cap="rnd">
              <a:solidFill>
                <a:schemeClr val="accent3"/>
              </a:solidFill>
              <a:round/>
            </a:ln>
            <a:effectLst/>
          </c:spPr>
          <c:marker>
            <c:symbol val="none"/>
          </c:marker>
          <c:xVal>
            <c:numRef>
              <c:f>EGR!$H$70:$H$99</c:f>
              <c:numCache>
                <c:formatCode>General</c:formatCode>
                <c:ptCount val="30"/>
                <c:pt idx="0">
                  <c:v>0.01</c:v>
                </c:pt>
                <c:pt idx="1">
                  <c:v>0.02</c:v>
                </c:pt>
                <c:pt idx="2">
                  <c:v>0.03</c:v>
                </c:pt>
                <c:pt idx="3">
                  <c:v>0.04</c:v>
                </c:pt>
                <c:pt idx="4">
                  <c:v>0.05</c:v>
                </c:pt>
                <c:pt idx="5">
                  <c:v>0.06</c:v>
                </c:pt>
                <c:pt idx="6">
                  <c:v>7.0000000000000007E-2</c:v>
                </c:pt>
                <c:pt idx="7">
                  <c:v>0.08</c:v>
                </c:pt>
                <c:pt idx="8">
                  <c:v>0.09</c:v>
                </c:pt>
                <c:pt idx="9">
                  <c:v>0.1</c:v>
                </c:pt>
                <c:pt idx="10">
                  <c:v>0.11</c:v>
                </c:pt>
                <c:pt idx="11">
                  <c:v>0.12</c:v>
                </c:pt>
                <c:pt idx="12">
                  <c:v>0.13</c:v>
                </c:pt>
                <c:pt idx="13">
                  <c:v>0.14000000000000001</c:v>
                </c:pt>
                <c:pt idx="14">
                  <c:v>0.15</c:v>
                </c:pt>
                <c:pt idx="15">
                  <c:v>0.16</c:v>
                </c:pt>
                <c:pt idx="16">
                  <c:v>0.17</c:v>
                </c:pt>
                <c:pt idx="17">
                  <c:v>0.18</c:v>
                </c:pt>
                <c:pt idx="18">
                  <c:v>0.19</c:v>
                </c:pt>
                <c:pt idx="19">
                  <c:v>0.2</c:v>
                </c:pt>
                <c:pt idx="20">
                  <c:v>0.21</c:v>
                </c:pt>
                <c:pt idx="21">
                  <c:v>0.22</c:v>
                </c:pt>
                <c:pt idx="22">
                  <c:v>0.23</c:v>
                </c:pt>
                <c:pt idx="23">
                  <c:v>0.24</c:v>
                </c:pt>
                <c:pt idx="24">
                  <c:v>0.25</c:v>
                </c:pt>
                <c:pt idx="25">
                  <c:v>0.26</c:v>
                </c:pt>
                <c:pt idx="26">
                  <c:v>0.27</c:v>
                </c:pt>
                <c:pt idx="27">
                  <c:v>0.28000000000000003</c:v>
                </c:pt>
                <c:pt idx="28">
                  <c:v>0.28999999999999998</c:v>
                </c:pt>
                <c:pt idx="29">
                  <c:v>0.3</c:v>
                </c:pt>
              </c:numCache>
            </c:numRef>
          </c:xVal>
          <c:yVal>
            <c:numRef>
              <c:f>EGR!$R$70:$R$99</c:f>
              <c:numCache>
                <c:formatCode>General</c:formatCode>
                <c:ptCount val="30"/>
                <c:pt idx="0">
                  <c:v>5923.8945510368267</c:v>
                </c:pt>
                <c:pt idx="1">
                  <c:v>4830.8854895362801</c:v>
                </c:pt>
                <c:pt idx="2">
                  <c:v>3942.634346244603</c:v>
                </c:pt>
                <c:pt idx="3">
                  <c:v>3220.2016840086412</c:v>
                </c:pt>
                <c:pt idx="4">
                  <c:v>2632.1634747311959</c:v>
                </c:pt>
                <c:pt idx="5">
                  <c:v>2153.1405725896802</c:v>
                </c:pt>
                <c:pt idx="6">
                  <c:v>1762.6185456911221</c:v>
                </c:pt>
                <c:pt idx="7">
                  <c:v>1444.000178620252</c:v>
                </c:pt>
                <c:pt idx="8">
                  <c:v>1183.8480961760106</c:v>
                </c:pt>
                <c:pt idx="9">
                  <c:v>971.27302846748762</c:v>
                </c:pt>
                <c:pt idx="10">
                  <c:v>797.44391102609393</c:v>
                </c:pt>
                <c:pt idx="11">
                  <c:v>655.19315096004505</c:v>
                </c:pt>
                <c:pt idx="12">
                  <c:v>538.69873370646383</c:v>
                </c:pt>
                <c:pt idx="13">
                  <c:v>443.22785192169061</c:v>
                </c:pt>
                <c:pt idx="14">
                  <c:v>364.93014117479805</c:v>
                </c:pt>
                <c:pt idx="15">
                  <c:v>300.67073186199855</c:v>
                </c:pt>
                <c:pt idx="16">
                  <c:v>247.89544872788599</c:v>
                </c:pt>
                <c:pt idx="17">
                  <c:v>204.52160009727706</c:v>
                </c:pt>
                <c:pt idx="18">
                  <c:v>168.84974941131145</c:v>
                </c:pt>
                <c:pt idx="19">
                  <c:v>139.49210727706955</c:v>
                </c:pt>
                <c:pt idx="20">
                  <c:v>115.31460062808296</c:v>
                </c:pt>
                <c:pt idx="21">
                  <c:v>95.38974999412433</c:v>
                </c:pt>
                <c:pt idx="22">
                  <c:v>78.95863929360074</c:v>
                </c:pt>
                <c:pt idx="23">
                  <c:v>65.399655382707621</c:v>
                </c:pt>
                <c:pt idx="24">
                  <c:v>54.203441865310658</c:v>
                </c:pt>
                <c:pt idx="25">
                  <c:v>44.952260519221042</c:v>
                </c:pt>
                <c:pt idx="26">
                  <c:v>37.303289744709971</c:v>
                </c:pt>
                <c:pt idx="27">
                  <c:v>30.975000091771928</c:v>
                </c:pt>
                <c:pt idx="28">
                  <c:v>25.73606254043645</c:v>
                </c:pt>
                <c:pt idx="29">
                  <c:v>21.396215619255724</c:v>
                </c:pt>
              </c:numCache>
            </c:numRef>
          </c:yVal>
          <c:smooth val="1"/>
          <c:extLst>
            <c:ext xmlns:c16="http://schemas.microsoft.com/office/drawing/2014/chart" uri="{C3380CC4-5D6E-409C-BE32-E72D297353CC}">
              <c16:uniqueId val="{00000002-1913-426B-9C1E-66D99F262474}"/>
            </c:ext>
          </c:extLst>
        </c:ser>
        <c:ser>
          <c:idx val="3"/>
          <c:order val="3"/>
          <c:tx>
            <c:v>φ 0.85</c:v>
          </c:tx>
          <c:spPr>
            <a:ln w="19050" cap="rnd">
              <a:solidFill>
                <a:schemeClr val="accent4"/>
              </a:solidFill>
              <a:round/>
            </a:ln>
            <a:effectLst/>
          </c:spPr>
          <c:marker>
            <c:symbol val="none"/>
          </c:marker>
          <c:xVal>
            <c:numRef>
              <c:f>EGR!$H$70:$H$99</c:f>
              <c:numCache>
                <c:formatCode>General</c:formatCode>
                <c:ptCount val="30"/>
                <c:pt idx="0">
                  <c:v>0.01</c:v>
                </c:pt>
                <c:pt idx="1">
                  <c:v>0.02</c:v>
                </c:pt>
                <c:pt idx="2">
                  <c:v>0.03</c:v>
                </c:pt>
                <c:pt idx="3">
                  <c:v>0.04</c:v>
                </c:pt>
                <c:pt idx="4">
                  <c:v>0.05</c:v>
                </c:pt>
                <c:pt idx="5">
                  <c:v>0.06</c:v>
                </c:pt>
                <c:pt idx="6">
                  <c:v>7.0000000000000007E-2</c:v>
                </c:pt>
                <c:pt idx="7">
                  <c:v>0.08</c:v>
                </c:pt>
                <c:pt idx="8">
                  <c:v>0.09</c:v>
                </c:pt>
                <c:pt idx="9">
                  <c:v>0.1</c:v>
                </c:pt>
                <c:pt idx="10">
                  <c:v>0.11</c:v>
                </c:pt>
                <c:pt idx="11">
                  <c:v>0.12</c:v>
                </c:pt>
                <c:pt idx="12">
                  <c:v>0.13</c:v>
                </c:pt>
                <c:pt idx="13">
                  <c:v>0.14000000000000001</c:v>
                </c:pt>
                <c:pt idx="14">
                  <c:v>0.15</c:v>
                </c:pt>
                <c:pt idx="15">
                  <c:v>0.16</c:v>
                </c:pt>
                <c:pt idx="16">
                  <c:v>0.17</c:v>
                </c:pt>
                <c:pt idx="17">
                  <c:v>0.18</c:v>
                </c:pt>
                <c:pt idx="18">
                  <c:v>0.19</c:v>
                </c:pt>
                <c:pt idx="19">
                  <c:v>0.2</c:v>
                </c:pt>
                <c:pt idx="20">
                  <c:v>0.21</c:v>
                </c:pt>
                <c:pt idx="21">
                  <c:v>0.22</c:v>
                </c:pt>
                <c:pt idx="22">
                  <c:v>0.23</c:v>
                </c:pt>
                <c:pt idx="23">
                  <c:v>0.24</c:v>
                </c:pt>
                <c:pt idx="24">
                  <c:v>0.25</c:v>
                </c:pt>
                <c:pt idx="25">
                  <c:v>0.26</c:v>
                </c:pt>
                <c:pt idx="26">
                  <c:v>0.27</c:v>
                </c:pt>
                <c:pt idx="27">
                  <c:v>0.28000000000000003</c:v>
                </c:pt>
                <c:pt idx="28">
                  <c:v>0.28999999999999998</c:v>
                </c:pt>
                <c:pt idx="29">
                  <c:v>0.3</c:v>
                </c:pt>
              </c:numCache>
            </c:numRef>
          </c:xVal>
          <c:yVal>
            <c:numRef>
              <c:f>EGR!$P$70:$P$99</c:f>
              <c:numCache>
                <c:formatCode>General</c:formatCode>
                <c:ptCount val="30"/>
                <c:pt idx="0">
                  <c:v>39644.097615399362</c:v>
                </c:pt>
                <c:pt idx="1">
                  <c:v>32768.572614784302</c:v>
                </c:pt>
                <c:pt idx="2">
                  <c:v>27104.784819752338</c:v>
                </c:pt>
                <c:pt idx="3">
                  <c:v>22435.746810559693</c:v>
                </c:pt>
                <c:pt idx="4">
                  <c:v>18583.944956933577</c:v>
                </c:pt>
                <c:pt idx="5">
                  <c:v>15404.052025859499</c:v>
                </c:pt>
                <c:pt idx="6">
                  <c:v>12776.990185421544</c:v>
                </c:pt>
                <c:pt idx="7">
                  <c:v>10605.120961764624</c:v>
                </c:pt>
                <c:pt idx="8">
                  <c:v>8808.3209913569153</c:v>
                </c:pt>
                <c:pt idx="9">
                  <c:v>7320.7937040420711</c:v>
                </c:pt>
                <c:pt idx="10">
                  <c:v>6088.4650115799768</c:v>
                </c:pt>
                <c:pt idx="11">
                  <c:v>5066.8642529611698</c:v>
                </c:pt>
                <c:pt idx="12">
                  <c:v>4219.3904880638729</c:v>
                </c:pt>
                <c:pt idx="13">
                  <c:v>3515.8997653966226</c:v>
                </c:pt>
                <c:pt idx="14">
                  <c:v>2931.5468910017044</c:v>
                </c:pt>
                <c:pt idx="15">
                  <c:v>2445.8407959851361</c:v>
                </c:pt>
                <c:pt idx="16">
                  <c:v>2041.8695723525104</c:v>
                </c:pt>
                <c:pt idx="17">
                  <c:v>1705.6646535527536</c:v>
                </c:pt>
                <c:pt idx="18">
                  <c:v>1425.6823101118616</c:v>
                </c:pt>
                <c:pt idx="19">
                  <c:v>1192.3750002284855</c:v>
                </c:pt>
                <c:pt idx="20">
                  <c:v>997.84153743561876</c:v>
                </c:pt>
                <c:pt idx="21">
                  <c:v>835.5387635684765</c:v>
                </c:pt>
                <c:pt idx="22">
                  <c:v>700.04428201609335</c:v>
                </c:pt>
                <c:pt idx="23">
                  <c:v>586.86225038806037</c:v>
                </c:pt>
                <c:pt idx="24">
                  <c:v>492.26203475017218</c:v>
                </c:pt>
                <c:pt idx="25">
                  <c:v>413.14625673824679</c:v>
                </c:pt>
                <c:pt idx="26">
                  <c:v>346.94170112808712</c:v>
                </c:pt>
                <c:pt idx="27">
                  <c:v>291.50921046736619</c:v>
                </c:pt>
                <c:pt idx="28">
                  <c:v>245.06936778372784</c:v>
                </c:pt>
                <c:pt idx="29">
                  <c:v>206.14119264828889</c:v>
                </c:pt>
              </c:numCache>
            </c:numRef>
          </c:yVal>
          <c:smooth val="1"/>
          <c:extLst>
            <c:ext xmlns:c16="http://schemas.microsoft.com/office/drawing/2014/chart" uri="{C3380CC4-5D6E-409C-BE32-E72D297353CC}">
              <c16:uniqueId val="{00000003-1913-426B-9C1E-66D99F262474}"/>
            </c:ext>
          </c:extLst>
        </c:ser>
        <c:dLbls>
          <c:showLegendKey val="0"/>
          <c:showVal val="0"/>
          <c:showCatName val="0"/>
          <c:showSerName val="0"/>
          <c:showPercent val="0"/>
          <c:showBubbleSize val="0"/>
        </c:dLbls>
        <c:axId val="511331608"/>
        <c:axId val="511330296"/>
      </c:scatterChart>
      <c:valAx>
        <c:axId val="5113316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EGR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1330296"/>
        <c:crosses val="autoZero"/>
        <c:crossBetween val="midCat"/>
      </c:valAx>
      <c:valAx>
        <c:axId val="5113302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NOx</a:t>
                </a:r>
                <a:r>
                  <a:rPr lang="en-GB" baseline="0"/>
                  <a:t> PPM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1331608"/>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NOx PPM vs Fuel Equivalence</a:t>
            </a:r>
            <a:r>
              <a:rPr lang="en-GB" baseline="0"/>
              <a:t> Ratio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1% EGR</c:v>
          </c:tx>
          <c:spPr>
            <a:ln w="19050" cap="rnd">
              <a:solidFill>
                <a:schemeClr val="accent1"/>
              </a:solidFill>
              <a:round/>
            </a:ln>
            <a:effectLst/>
          </c:spPr>
          <c:marker>
            <c:symbol val="none"/>
          </c:marker>
          <c:xVal>
            <c:numRef>
              <c:f>EGR!$I$69:$U$69</c:f>
              <c:numCache>
                <c:formatCode>General</c:formatCode>
                <c:ptCount val="13"/>
                <c:pt idx="0">
                  <c:v>1</c:v>
                </c:pt>
                <c:pt idx="1">
                  <c:v>0.99</c:v>
                </c:pt>
                <c:pt idx="2">
                  <c:v>0.98</c:v>
                </c:pt>
                <c:pt idx="3">
                  <c:v>0.97</c:v>
                </c:pt>
                <c:pt idx="4">
                  <c:v>0.96</c:v>
                </c:pt>
                <c:pt idx="5">
                  <c:v>0.95</c:v>
                </c:pt>
                <c:pt idx="6">
                  <c:v>0.9</c:v>
                </c:pt>
                <c:pt idx="7">
                  <c:v>0.85</c:v>
                </c:pt>
                <c:pt idx="8">
                  <c:v>0.8</c:v>
                </c:pt>
                <c:pt idx="9">
                  <c:v>0.75</c:v>
                </c:pt>
                <c:pt idx="10">
                  <c:v>0.7</c:v>
                </c:pt>
                <c:pt idx="11">
                  <c:v>0.65</c:v>
                </c:pt>
                <c:pt idx="12">
                  <c:v>0.6</c:v>
                </c:pt>
              </c:numCache>
            </c:numRef>
          </c:xVal>
          <c:yVal>
            <c:numRef>
              <c:f>EGR!$I$70:$U$70</c:f>
              <c:numCache>
                <c:formatCode>General</c:formatCode>
                <c:ptCount val="13"/>
                <c:pt idx="0">
                  <c:v>0</c:v>
                </c:pt>
                <c:pt idx="1">
                  <c:v>110594.40851341127</c:v>
                </c:pt>
                <c:pt idx="2">
                  <c:v>134560.19223940303</c:v>
                </c:pt>
                <c:pt idx="3">
                  <c:v>141405.55592646924</c:v>
                </c:pt>
                <c:pt idx="4">
                  <c:v>139715.25350985039</c:v>
                </c:pt>
                <c:pt idx="5">
                  <c:v>133283.7650278247</c:v>
                </c:pt>
                <c:pt idx="6">
                  <c:v>81467.29505726372</c:v>
                </c:pt>
                <c:pt idx="7">
                  <c:v>39644.097615399362</c:v>
                </c:pt>
                <c:pt idx="8">
                  <c:v>16493.4216764296</c:v>
                </c:pt>
                <c:pt idx="9">
                  <c:v>5923.8945510368267</c:v>
                </c:pt>
                <c:pt idx="10">
                  <c:v>1819.9538402249002</c:v>
                </c:pt>
                <c:pt idx="11">
                  <c:v>468.62761575524831</c:v>
                </c:pt>
                <c:pt idx="12">
                  <c:v>98.097761458547751</c:v>
                </c:pt>
              </c:numCache>
            </c:numRef>
          </c:yVal>
          <c:smooth val="1"/>
          <c:extLst>
            <c:ext xmlns:c16="http://schemas.microsoft.com/office/drawing/2014/chart" uri="{C3380CC4-5D6E-409C-BE32-E72D297353CC}">
              <c16:uniqueId val="{00000000-1620-4A64-94E5-2D4AF9F54AE8}"/>
            </c:ext>
          </c:extLst>
        </c:ser>
        <c:ser>
          <c:idx val="1"/>
          <c:order val="1"/>
          <c:tx>
            <c:v>10% EGR</c:v>
          </c:tx>
          <c:spPr>
            <a:ln w="19050" cap="rnd">
              <a:solidFill>
                <a:schemeClr val="accent2"/>
              </a:solidFill>
              <a:round/>
            </a:ln>
            <a:effectLst/>
          </c:spPr>
          <c:marker>
            <c:symbol val="none"/>
          </c:marker>
          <c:xVal>
            <c:numRef>
              <c:f>EGR!$I$69:$U$69</c:f>
              <c:numCache>
                <c:formatCode>General</c:formatCode>
                <c:ptCount val="13"/>
                <c:pt idx="0">
                  <c:v>1</c:v>
                </c:pt>
                <c:pt idx="1">
                  <c:v>0.99</c:v>
                </c:pt>
                <c:pt idx="2">
                  <c:v>0.98</c:v>
                </c:pt>
                <c:pt idx="3">
                  <c:v>0.97</c:v>
                </c:pt>
                <c:pt idx="4">
                  <c:v>0.96</c:v>
                </c:pt>
                <c:pt idx="5">
                  <c:v>0.95</c:v>
                </c:pt>
                <c:pt idx="6">
                  <c:v>0.9</c:v>
                </c:pt>
                <c:pt idx="7">
                  <c:v>0.85</c:v>
                </c:pt>
                <c:pt idx="8">
                  <c:v>0.8</c:v>
                </c:pt>
                <c:pt idx="9">
                  <c:v>0.75</c:v>
                </c:pt>
                <c:pt idx="10">
                  <c:v>0.7</c:v>
                </c:pt>
                <c:pt idx="11">
                  <c:v>0.65</c:v>
                </c:pt>
                <c:pt idx="12">
                  <c:v>0.6</c:v>
                </c:pt>
              </c:numCache>
            </c:numRef>
          </c:xVal>
          <c:yVal>
            <c:numRef>
              <c:f>EGR!$H$79:$U$79</c:f>
              <c:numCache>
                <c:formatCode>General</c:formatCode>
                <c:ptCount val="14"/>
                <c:pt idx="0">
                  <c:v>0.1</c:v>
                </c:pt>
                <c:pt idx="1">
                  <c:v>0</c:v>
                </c:pt>
                <c:pt idx="2">
                  <c:v>23353.281044396794</c:v>
                </c:pt>
                <c:pt idx="3">
                  <c:v>28171.693339475762</c:v>
                </c:pt>
                <c:pt idx="4">
                  <c:v>29348.327783199195</c:v>
                </c:pt>
                <c:pt idx="5">
                  <c:v>28742.108131952369</c:v>
                </c:pt>
                <c:pt idx="6">
                  <c:v>27173.510271633964</c:v>
                </c:pt>
                <c:pt idx="7">
                  <c:v>15841.52539515752</c:v>
                </c:pt>
                <c:pt idx="8">
                  <c:v>7320.7937040420711</c:v>
                </c:pt>
                <c:pt idx="9">
                  <c:v>2878.0946496952315</c:v>
                </c:pt>
                <c:pt idx="10">
                  <c:v>971.27302846748762</c:v>
                </c:pt>
                <c:pt idx="11">
                  <c:v>278.52977176387918</c:v>
                </c:pt>
                <c:pt idx="12">
                  <c:v>66.43359869301888</c:v>
                </c:pt>
                <c:pt idx="13">
                  <c:v>12.766641255856381</c:v>
                </c:pt>
              </c:numCache>
            </c:numRef>
          </c:yVal>
          <c:smooth val="1"/>
          <c:extLst>
            <c:ext xmlns:c16="http://schemas.microsoft.com/office/drawing/2014/chart" uri="{C3380CC4-5D6E-409C-BE32-E72D297353CC}">
              <c16:uniqueId val="{00000001-1620-4A64-94E5-2D4AF9F54AE8}"/>
            </c:ext>
          </c:extLst>
        </c:ser>
        <c:ser>
          <c:idx val="2"/>
          <c:order val="2"/>
          <c:tx>
            <c:v>20% EGR</c:v>
          </c:tx>
          <c:spPr>
            <a:ln w="19050" cap="rnd">
              <a:solidFill>
                <a:schemeClr val="accent3"/>
              </a:solidFill>
              <a:round/>
            </a:ln>
            <a:effectLst/>
          </c:spPr>
          <c:marker>
            <c:symbol val="none"/>
          </c:marker>
          <c:xVal>
            <c:numRef>
              <c:f>EGR!$I$69:$U$69</c:f>
              <c:numCache>
                <c:formatCode>General</c:formatCode>
                <c:ptCount val="13"/>
                <c:pt idx="0">
                  <c:v>1</c:v>
                </c:pt>
                <c:pt idx="1">
                  <c:v>0.99</c:v>
                </c:pt>
                <c:pt idx="2">
                  <c:v>0.98</c:v>
                </c:pt>
                <c:pt idx="3">
                  <c:v>0.97</c:v>
                </c:pt>
                <c:pt idx="4">
                  <c:v>0.96</c:v>
                </c:pt>
                <c:pt idx="5">
                  <c:v>0.95</c:v>
                </c:pt>
                <c:pt idx="6">
                  <c:v>0.9</c:v>
                </c:pt>
                <c:pt idx="7">
                  <c:v>0.85</c:v>
                </c:pt>
                <c:pt idx="8">
                  <c:v>0.8</c:v>
                </c:pt>
                <c:pt idx="9">
                  <c:v>0.75</c:v>
                </c:pt>
                <c:pt idx="10">
                  <c:v>0.7</c:v>
                </c:pt>
                <c:pt idx="11">
                  <c:v>0.65</c:v>
                </c:pt>
                <c:pt idx="12">
                  <c:v>0.6</c:v>
                </c:pt>
              </c:numCache>
            </c:numRef>
          </c:xVal>
          <c:yVal>
            <c:numRef>
              <c:f>EGR!$H$89:$U$89</c:f>
              <c:numCache>
                <c:formatCode>General</c:formatCode>
                <c:ptCount val="14"/>
                <c:pt idx="0">
                  <c:v>0.2</c:v>
                </c:pt>
                <c:pt idx="1">
                  <c:v>0</c:v>
                </c:pt>
                <c:pt idx="2">
                  <c:v>4385.7942927523936</c:v>
                </c:pt>
                <c:pt idx="3">
                  <c:v>5242.744237498363</c:v>
                </c:pt>
                <c:pt idx="4">
                  <c:v>5411.4076381527948</c:v>
                </c:pt>
                <c:pt idx="5">
                  <c:v>5250.018166830605</c:v>
                </c:pt>
                <c:pt idx="6">
                  <c:v>4916.2696817347587</c:v>
                </c:pt>
                <c:pt idx="7">
                  <c:v>2725.5380001334042</c:v>
                </c:pt>
                <c:pt idx="8">
                  <c:v>1192.3750002284855</c:v>
                </c:pt>
                <c:pt idx="9">
                  <c:v>441.48799882622205</c:v>
                </c:pt>
                <c:pt idx="10">
                  <c:v>139.49210727706955</c:v>
                </c:pt>
                <c:pt idx="11">
                  <c:v>37.198478133077707</c:v>
                </c:pt>
                <c:pt idx="12">
                  <c:v>8.1861482363196352</c:v>
                </c:pt>
                <c:pt idx="13">
                  <c:v>1.4383177838857597</c:v>
                </c:pt>
              </c:numCache>
            </c:numRef>
          </c:yVal>
          <c:smooth val="1"/>
          <c:extLst>
            <c:ext xmlns:c16="http://schemas.microsoft.com/office/drawing/2014/chart" uri="{C3380CC4-5D6E-409C-BE32-E72D297353CC}">
              <c16:uniqueId val="{00000002-1620-4A64-94E5-2D4AF9F54AE8}"/>
            </c:ext>
          </c:extLst>
        </c:ser>
        <c:ser>
          <c:idx val="3"/>
          <c:order val="3"/>
          <c:tx>
            <c:v>0% EGR</c:v>
          </c:tx>
          <c:spPr>
            <a:ln w="19050" cap="rnd">
              <a:solidFill>
                <a:schemeClr val="accent4"/>
              </a:solidFill>
              <a:round/>
            </a:ln>
            <a:effectLst/>
          </c:spPr>
          <c:marker>
            <c:symbol val="none"/>
          </c:marker>
          <c:xVal>
            <c:numRef>
              <c:f>EGR!$I$69:$U$69</c:f>
              <c:numCache>
                <c:formatCode>General</c:formatCode>
                <c:ptCount val="13"/>
                <c:pt idx="0">
                  <c:v>1</c:v>
                </c:pt>
                <c:pt idx="1">
                  <c:v>0.99</c:v>
                </c:pt>
                <c:pt idx="2">
                  <c:v>0.98</c:v>
                </c:pt>
                <c:pt idx="3">
                  <c:v>0.97</c:v>
                </c:pt>
                <c:pt idx="4">
                  <c:v>0.96</c:v>
                </c:pt>
                <c:pt idx="5">
                  <c:v>0.95</c:v>
                </c:pt>
                <c:pt idx="6">
                  <c:v>0.9</c:v>
                </c:pt>
                <c:pt idx="7">
                  <c:v>0.85</c:v>
                </c:pt>
                <c:pt idx="8">
                  <c:v>0.8</c:v>
                </c:pt>
                <c:pt idx="9">
                  <c:v>0.75</c:v>
                </c:pt>
                <c:pt idx="10">
                  <c:v>0.7</c:v>
                </c:pt>
                <c:pt idx="11">
                  <c:v>0.65</c:v>
                </c:pt>
                <c:pt idx="12">
                  <c:v>0.6</c:v>
                </c:pt>
              </c:numCache>
            </c:numRef>
          </c:xVal>
          <c:yVal>
            <c:numRef>
              <c:f>NOx!$X$3:$X$15</c:f>
              <c:numCache>
                <c:formatCode>General</c:formatCode>
                <c:ptCount val="13"/>
                <c:pt idx="0">
                  <c:v>0</c:v>
                </c:pt>
                <c:pt idx="1">
                  <c:v>130622.35242512744</c:v>
                </c:pt>
                <c:pt idx="2">
                  <c:v>157060.9057978651</c:v>
                </c:pt>
                <c:pt idx="3">
                  <c:v>162378.23339136568</c:v>
                </c:pt>
                <c:pt idx="4">
                  <c:v>157175.24684647808</c:v>
                </c:pt>
                <c:pt idx="5">
                  <c:v>146312.03990590977</c:v>
                </c:pt>
                <c:pt idx="6">
                  <c:v>85666.19550831824</c:v>
                </c:pt>
                <c:pt idx="7">
                  <c:v>46822.172096324553</c:v>
                </c:pt>
                <c:pt idx="8">
                  <c:v>15283.040236455183</c:v>
                </c:pt>
                <c:pt idx="9">
                  <c:v>5040.3475255154235</c:v>
                </c:pt>
                <c:pt idx="10">
                  <c:v>1398.1587504569231</c:v>
                </c:pt>
                <c:pt idx="11">
                  <c:v>319.04958350564129</c:v>
                </c:pt>
                <c:pt idx="12">
                  <c:v>57.961838120070908</c:v>
                </c:pt>
              </c:numCache>
            </c:numRef>
          </c:yVal>
          <c:smooth val="1"/>
          <c:extLst>
            <c:ext xmlns:c16="http://schemas.microsoft.com/office/drawing/2014/chart" uri="{C3380CC4-5D6E-409C-BE32-E72D297353CC}">
              <c16:uniqueId val="{00000003-1620-4A64-94E5-2D4AF9F54AE8}"/>
            </c:ext>
          </c:extLst>
        </c:ser>
        <c:dLbls>
          <c:showLegendKey val="0"/>
          <c:showVal val="0"/>
          <c:showCatName val="0"/>
          <c:showSerName val="0"/>
          <c:showPercent val="0"/>
          <c:showBubbleSize val="0"/>
        </c:dLbls>
        <c:axId val="495492560"/>
        <c:axId val="495494200"/>
      </c:scatterChart>
      <c:valAx>
        <c:axId val="495492560"/>
        <c:scaling>
          <c:orientation val="minMax"/>
          <c:min val="0.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Fuel Equivalence Ratio</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5494200"/>
        <c:crosses val="autoZero"/>
        <c:crossBetween val="midCat"/>
      </c:valAx>
      <c:valAx>
        <c:axId val="495494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NOx PPM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549256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NOx PPM vs EGR</a:t>
            </a:r>
            <a:r>
              <a:rPr lang="en-GB" baseline="0"/>
              <a:t> vs Fuel Equivalence Ratio</a:t>
            </a:r>
            <a:endParaRPr lang="en-GB"/>
          </a:p>
        </c:rich>
      </c:tx>
      <c:overlay val="0"/>
      <c:spPr>
        <a:noFill/>
        <a:ln>
          <a:noFill/>
        </a:ln>
        <a:effectLst/>
      </c:spPr>
    </c:title>
    <c:autoTitleDeleted val="0"/>
    <c:view3D>
      <c:rotX val="30"/>
      <c:rotY val="30"/>
      <c:rAngAx val="0"/>
      <c:perspective val="8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6.3963421319425923E-2"/>
          <c:y val="0.12023963700357412"/>
          <c:w val="0.87229893294541927"/>
          <c:h val="0.8115710080985864"/>
        </c:manualLayout>
      </c:layout>
      <c:surface3DChart>
        <c:wireframe val="0"/>
        <c:ser>
          <c:idx val="0"/>
          <c:order val="0"/>
          <c:tx>
            <c:v>1</c:v>
          </c:tx>
          <c:spPr>
            <a:solidFill>
              <a:schemeClr val="accent1"/>
            </a:solidFill>
            <a:ln/>
            <a:effectLst/>
            <a:sp3d/>
          </c:spPr>
          <c:cat>
            <c:numRef>
              <c:f>EGR!$H$70:$H$99</c:f>
              <c:numCache>
                <c:formatCode>General</c:formatCode>
                <c:ptCount val="30"/>
                <c:pt idx="0">
                  <c:v>0.01</c:v>
                </c:pt>
                <c:pt idx="1">
                  <c:v>0.02</c:v>
                </c:pt>
                <c:pt idx="2">
                  <c:v>0.03</c:v>
                </c:pt>
                <c:pt idx="3">
                  <c:v>0.04</c:v>
                </c:pt>
                <c:pt idx="4">
                  <c:v>0.05</c:v>
                </c:pt>
                <c:pt idx="5">
                  <c:v>0.06</c:v>
                </c:pt>
                <c:pt idx="6">
                  <c:v>7.0000000000000007E-2</c:v>
                </c:pt>
                <c:pt idx="7">
                  <c:v>0.08</c:v>
                </c:pt>
                <c:pt idx="8">
                  <c:v>0.09</c:v>
                </c:pt>
                <c:pt idx="9">
                  <c:v>0.1</c:v>
                </c:pt>
                <c:pt idx="10">
                  <c:v>0.11</c:v>
                </c:pt>
                <c:pt idx="11">
                  <c:v>0.12</c:v>
                </c:pt>
                <c:pt idx="12">
                  <c:v>0.13</c:v>
                </c:pt>
                <c:pt idx="13">
                  <c:v>0.14000000000000001</c:v>
                </c:pt>
                <c:pt idx="14">
                  <c:v>0.15</c:v>
                </c:pt>
                <c:pt idx="15">
                  <c:v>0.16</c:v>
                </c:pt>
                <c:pt idx="16">
                  <c:v>0.17</c:v>
                </c:pt>
                <c:pt idx="17">
                  <c:v>0.18</c:v>
                </c:pt>
                <c:pt idx="18">
                  <c:v>0.19</c:v>
                </c:pt>
                <c:pt idx="19">
                  <c:v>0.2</c:v>
                </c:pt>
                <c:pt idx="20">
                  <c:v>0.21</c:v>
                </c:pt>
                <c:pt idx="21">
                  <c:v>0.22</c:v>
                </c:pt>
                <c:pt idx="22">
                  <c:v>0.23</c:v>
                </c:pt>
                <c:pt idx="23">
                  <c:v>0.24</c:v>
                </c:pt>
                <c:pt idx="24">
                  <c:v>0.25</c:v>
                </c:pt>
                <c:pt idx="25">
                  <c:v>0.26</c:v>
                </c:pt>
                <c:pt idx="26">
                  <c:v>0.27</c:v>
                </c:pt>
                <c:pt idx="27">
                  <c:v>0.28000000000000003</c:v>
                </c:pt>
                <c:pt idx="28">
                  <c:v>0.28999999999999998</c:v>
                </c:pt>
                <c:pt idx="29">
                  <c:v>0.3</c:v>
                </c:pt>
              </c:numCache>
            </c:numRef>
          </c:cat>
          <c:val>
            <c:numRef>
              <c:f>EGR!$I$70:$I$99</c:f>
              <c:numCache>
                <c:formatCode>General</c:formatCode>
                <c:ptCount val="30"/>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numCache>
            </c:numRef>
          </c:val>
          <c:extLst>
            <c:ext xmlns:c16="http://schemas.microsoft.com/office/drawing/2014/chart" uri="{C3380CC4-5D6E-409C-BE32-E72D297353CC}">
              <c16:uniqueId val="{00000000-A257-4778-9AE8-B51EA2CA5E99}"/>
            </c:ext>
          </c:extLst>
        </c:ser>
        <c:ser>
          <c:idx val="1"/>
          <c:order val="1"/>
          <c:tx>
            <c:v>0.99</c:v>
          </c:tx>
          <c:spPr>
            <a:solidFill>
              <a:schemeClr val="accent2"/>
            </a:solidFill>
            <a:ln/>
            <a:effectLst/>
            <a:sp3d/>
          </c:spPr>
          <c:cat>
            <c:numRef>
              <c:f>EGR!$H$70:$H$99</c:f>
              <c:numCache>
                <c:formatCode>General</c:formatCode>
                <c:ptCount val="30"/>
                <c:pt idx="0">
                  <c:v>0.01</c:v>
                </c:pt>
                <c:pt idx="1">
                  <c:v>0.02</c:v>
                </c:pt>
                <c:pt idx="2">
                  <c:v>0.03</c:v>
                </c:pt>
                <c:pt idx="3">
                  <c:v>0.04</c:v>
                </c:pt>
                <c:pt idx="4">
                  <c:v>0.05</c:v>
                </c:pt>
                <c:pt idx="5">
                  <c:v>0.06</c:v>
                </c:pt>
                <c:pt idx="6">
                  <c:v>7.0000000000000007E-2</c:v>
                </c:pt>
                <c:pt idx="7">
                  <c:v>0.08</c:v>
                </c:pt>
                <c:pt idx="8">
                  <c:v>0.09</c:v>
                </c:pt>
                <c:pt idx="9">
                  <c:v>0.1</c:v>
                </c:pt>
                <c:pt idx="10">
                  <c:v>0.11</c:v>
                </c:pt>
                <c:pt idx="11">
                  <c:v>0.12</c:v>
                </c:pt>
                <c:pt idx="12">
                  <c:v>0.13</c:v>
                </c:pt>
                <c:pt idx="13">
                  <c:v>0.14000000000000001</c:v>
                </c:pt>
                <c:pt idx="14">
                  <c:v>0.15</c:v>
                </c:pt>
                <c:pt idx="15">
                  <c:v>0.16</c:v>
                </c:pt>
                <c:pt idx="16">
                  <c:v>0.17</c:v>
                </c:pt>
                <c:pt idx="17">
                  <c:v>0.18</c:v>
                </c:pt>
                <c:pt idx="18">
                  <c:v>0.19</c:v>
                </c:pt>
                <c:pt idx="19">
                  <c:v>0.2</c:v>
                </c:pt>
                <c:pt idx="20">
                  <c:v>0.21</c:v>
                </c:pt>
                <c:pt idx="21">
                  <c:v>0.22</c:v>
                </c:pt>
                <c:pt idx="22">
                  <c:v>0.23</c:v>
                </c:pt>
                <c:pt idx="23">
                  <c:v>0.24</c:v>
                </c:pt>
                <c:pt idx="24">
                  <c:v>0.25</c:v>
                </c:pt>
                <c:pt idx="25">
                  <c:v>0.26</c:v>
                </c:pt>
                <c:pt idx="26">
                  <c:v>0.27</c:v>
                </c:pt>
                <c:pt idx="27">
                  <c:v>0.28000000000000003</c:v>
                </c:pt>
                <c:pt idx="28">
                  <c:v>0.28999999999999998</c:v>
                </c:pt>
                <c:pt idx="29">
                  <c:v>0.3</c:v>
                </c:pt>
              </c:numCache>
            </c:numRef>
          </c:cat>
          <c:val>
            <c:numRef>
              <c:f>EGR!$J$70:$J$99</c:f>
              <c:numCache>
                <c:formatCode>General</c:formatCode>
                <c:ptCount val="30"/>
                <c:pt idx="0">
                  <c:v>110594.40851341127</c:v>
                </c:pt>
                <c:pt idx="1">
                  <c:v>92813.371702177668</c:v>
                </c:pt>
                <c:pt idx="2">
                  <c:v>77940.751183302084</c:v>
                </c:pt>
                <c:pt idx="3">
                  <c:v>65492.616552553518</c:v>
                </c:pt>
                <c:pt idx="4">
                  <c:v>55066.929308086852</c:v>
                </c:pt>
                <c:pt idx="5">
                  <c:v>46329.473000560072</c:v>
                </c:pt>
                <c:pt idx="6">
                  <c:v>39002.195085309635</c:v>
                </c:pt>
                <c:pt idx="7">
                  <c:v>32853.612701288097</c:v>
                </c:pt>
                <c:pt idx="8">
                  <c:v>27690.893810159945</c:v>
                </c:pt>
                <c:pt idx="9">
                  <c:v>23353.281044396794</c:v>
                </c:pt>
                <c:pt idx="10">
                  <c:v>19706.675315111337</c:v>
                </c:pt>
                <c:pt idx="11">
                  <c:v>16639.133625087787</c:v>
                </c:pt>
                <c:pt idx="12">
                  <c:v>14057.157762425239</c:v>
                </c:pt>
                <c:pt idx="13">
                  <c:v>11882.59571733863</c:v>
                </c:pt>
                <c:pt idx="14">
                  <c:v>10050.083337982069</c:v>
                </c:pt>
                <c:pt idx="15">
                  <c:v>8504.9199344431509</c:v>
                </c:pt>
                <c:pt idx="16">
                  <c:v>7201.2952453938051</c:v>
                </c:pt>
                <c:pt idx="17">
                  <c:v>6100.825219372844</c:v>
                </c:pt>
                <c:pt idx="18">
                  <c:v>5171.3250412188481</c:v>
                </c:pt>
                <c:pt idx="19">
                  <c:v>4385.7942927523936</c:v>
                </c:pt>
                <c:pt idx="20">
                  <c:v>3721.5646551743353</c:v>
                </c:pt>
                <c:pt idx="21">
                  <c:v>3159.5970596150391</c:v>
                </c:pt>
                <c:pt idx="22">
                  <c:v>2683.8890257509993</c:v>
                </c:pt>
                <c:pt idx="23">
                  <c:v>2280.9828167669425</c:v>
                </c:pt>
                <c:pt idx="24">
                  <c:v>1939.5553068769525</c:v>
                </c:pt>
                <c:pt idx="25">
                  <c:v>1650.0720934252126</c:v>
                </c:pt>
                <c:pt idx="26">
                  <c:v>1404.5020106888187</c:v>
                </c:pt>
                <c:pt idx="27">
                  <c:v>1196.0755310911516</c:v>
                </c:pt>
                <c:pt idx="28">
                  <c:v>1019.0832591850043</c:v>
                </c:pt>
                <c:pt idx="29">
                  <c:v>868.70795603049146</c:v>
                </c:pt>
              </c:numCache>
            </c:numRef>
          </c:val>
          <c:extLst>
            <c:ext xmlns:c16="http://schemas.microsoft.com/office/drawing/2014/chart" uri="{C3380CC4-5D6E-409C-BE32-E72D297353CC}">
              <c16:uniqueId val="{00000001-A257-4778-9AE8-B51EA2CA5E99}"/>
            </c:ext>
          </c:extLst>
        </c:ser>
        <c:ser>
          <c:idx val="2"/>
          <c:order val="2"/>
          <c:tx>
            <c:v>0.98</c:v>
          </c:tx>
          <c:spPr>
            <a:solidFill>
              <a:schemeClr val="accent3"/>
            </a:solidFill>
            <a:ln/>
            <a:effectLst/>
            <a:sp3d/>
          </c:spPr>
          <c:cat>
            <c:numRef>
              <c:f>EGR!$H$70:$H$99</c:f>
              <c:numCache>
                <c:formatCode>General</c:formatCode>
                <c:ptCount val="30"/>
                <c:pt idx="0">
                  <c:v>0.01</c:v>
                </c:pt>
                <c:pt idx="1">
                  <c:v>0.02</c:v>
                </c:pt>
                <c:pt idx="2">
                  <c:v>0.03</c:v>
                </c:pt>
                <c:pt idx="3">
                  <c:v>0.04</c:v>
                </c:pt>
                <c:pt idx="4">
                  <c:v>0.05</c:v>
                </c:pt>
                <c:pt idx="5">
                  <c:v>0.06</c:v>
                </c:pt>
                <c:pt idx="6">
                  <c:v>7.0000000000000007E-2</c:v>
                </c:pt>
                <c:pt idx="7">
                  <c:v>0.08</c:v>
                </c:pt>
                <c:pt idx="8">
                  <c:v>0.09</c:v>
                </c:pt>
                <c:pt idx="9">
                  <c:v>0.1</c:v>
                </c:pt>
                <c:pt idx="10">
                  <c:v>0.11</c:v>
                </c:pt>
                <c:pt idx="11">
                  <c:v>0.12</c:v>
                </c:pt>
                <c:pt idx="12">
                  <c:v>0.13</c:v>
                </c:pt>
                <c:pt idx="13">
                  <c:v>0.14000000000000001</c:v>
                </c:pt>
                <c:pt idx="14">
                  <c:v>0.15</c:v>
                </c:pt>
                <c:pt idx="15">
                  <c:v>0.16</c:v>
                </c:pt>
                <c:pt idx="16">
                  <c:v>0.17</c:v>
                </c:pt>
                <c:pt idx="17">
                  <c:v>0.18</c:v>
                </c:pt>
                <c:pt idx="18">
                  <c:v>0.19</c:v>
                </c:pt>
                <c:pt idx="19">
                  <c:v>0.2</c:v>
                </c:pt>
                <c:pt idx="20">
                  <c:v>0.21</c:v>
                </c:pt>
                <c:pt idx="21">
                  <c:v>0.22</c:v>
                </c:pt>
                <c:pt idx="22">
                  <c:v>0.23</c:v>
                </c:pt>
                <c:pt idx="23">
                  <c:v>0.24</c:v>
                </c:pt>
                <c:pt idx="24">
                  <c:v>0.25</c:v>
                </c:pt>
                <c:pt idx="25">
                  <c:v>0.26</c:v>
                </c:pt>
                <c:pt idx="26">
                  <c:v>0.27</c:v>
                </c:pt>
                <c:pt idx="27">
                  <c:v>0.28000000000000003</c:v>
                </c:pt>
                <c:pt idx="28">
                  <c:v>0.28999999999999998</c:v>
                </c:pt>
                <c:pt idx="29">
                  <c:v>0.3</c:v>
                </c:pt>
              </c:numCache>
            </c:numRef>
          </c:cat>
          <c:val>
            <c:numRef>
              <c:f>EGR!$K$70:$K$99</c:f>
              <c:numCache>
                <c:formatCode>General</c:formatCode>
                <c:ptCount val="30"/>
                <c:pt idx="0">
                  <c:v>134560.19223940303</c:v>
                </c:pt>
                <c:pt idx="1">
                  <c:v>112816.56694814751</c:v>
                </c:pt>
                <c:pt idx="2">
                  <c:v>94647.216139501441</c:v>
                </c:pt>
                <c:pt idx="3">
                  <c:v>79454.502986646694</c:v>
                </c:pt>
                <c:pt idx="4">
                  <c:v>66742.42834917031</c:v>
                </c:pt>
                <c:pt idx="5">
                  <c:v>56099.039495370373</c:v>
                </c:pt>
                <c:pt idx="6">
                  <c:v>47181.961022152711</c:v>
                </c:pt>
                <c:pt idx="7">
                  <c:v>39706.432790438281</c:v>
                </c:pt>
                <c:pt idx="8">
                  <c:v>33435.468676691096</c:v>
                </c:pt>
                <c:pt idx="9">
                  <c:v>28171.693339475762</c:v>
                </c:pt>
                <c:pt idx="10">
                  <c:v>23750.612485928414</c:v>
                </c:pt>
                <c:pt idx="11">
                  <c:v>20035.05272964594</c:v>
                </c:pt>
                <c:pt idx="12">
                  <c:v>16910.53780767414</c:v>
                </c:pt>
                <c:pt idx="13">
                  <c:v>14281.477438081403</c:v>
                </c:pt>
                <c:pt idx="14">
                  <c:v>12067.997739476044</c:v>
                </c:pt>
                <c:pt idx="15">
                  <c:v>10203.314603002675</c:v>
                </c:pt>
                <c:pt idx="16">
                  <c:v>8631.5526255717868</c:v>
                </c:pt>
                <c:pt idx="17">
                  <c:v>7305.9358504126958</c:v>
                </c:pt>
                <c:pt idx="18">
                  <c:v>6187.2813037244614</c:v>
                </c:pt>
                <c:pt idx="19">
                  <c:v>5242.744237498363</c:v>
                </c:pt>
                <c:pt idx="20">
                  <c:v>4444.7785773917449</c:v>
                </c:pt>
                <c:pt idx="21">
                  <c:v>3770.2667111647365</c:v>
                </c:pt>
                <c:pt idx="22">
                  <c:v>3199.7969013332809</c:v>
                </c:pt>
                <c:pt idx="23">
                  <c:v>2717.0588269838181</c:v>
                </c:pt>
                <c:pt idx="24">
                  <c:v>2308.3410961817317</c:v>
                </c:pt>
                <c:pt idx="25">
                  <c:v>1962.1090699655217</c:v>
                </c:pt>
                <c:pt idx="26">
                  <c:v>1668.6553408042475</c:v>
                </c:pt>
                <c:pt idx="27">
                  <c:v>1419.804328387047</c:v>
                </c:pt>
                <c:pt idx="28">
                  <c:v>1208.667413991099</c:v>
                </c:pt>
                <c:pt idx="29">
                  <c:v>1029.437041706582</c:v>
                </c:pt>
              </c:numCache>
            </c:numRef>
          </c:val>
          <c:extLst>
            <c:ext xmlns:c16="http://schemas.microsoft.com/office/drawing/2014/chart" uri="{C3380CC4-5D6E-409C-BE32-E72D297353CC}">
              <c16:uniqueId val="{00000002-A257-4778-9AE8-B51EA2CA5E99}"/>
            </c:ext>
          </c:extLst>
        </c:ser>
        <c:ser>
          <c:idx val="3"/>
          <c:order val="3"/>
          <c:tx>
            <c:v>0.97</c:v>
          </c:tx>
          <c:spPr>
            <a:solidFill>
              <a:schemeClr val="accent4"/>
            </a:solidFill>
            <a:ln/>
            <a:effectLst/>
            <a:sp3d/>
          </c:spPr>
          <c:cat>
            <c:numRef>
              <c:f>EGR!$H$70:$H$99</c:f>
              <c:numCache>
                <c:formatCode>General</c:formatCode>
                <c:ptCount val="30"/>
                <c:pt idx="0">
                  <c:v>0.01</c:v>
                </c:pt>
                <c:pt idx="1">
                  <c:v>0.02</c:v>
                </c:pt>
                <c:pt idx="2">
                  <c:v>0.03</c:v>
                </c:pt>
                <c:pt idx="3">
                  <c:v>0.04</c:v>
                </c:pt>
                <c:pt idx="4">
                  <c:v>0.05</c:v>
                </c:pt>
                <c:pt idx="5">
                  <c:v>0.06</c:v>
                </c:pt>
                <c:pt idx="6">
                  <c:v>7.0000000000000007E-2</c:v>
                </c:pt>
                <c:pt idx="7">
                  <c:v>0.08</c:v>
                </c:pt>
                <c:pt idx="8">
                  <c:v>0.09</c:v>
                </c:pt>
                <c:pt idx="9">
                  <c:v>0.1</c:v>
                </c:pt>
                <c:pt idx="10">
                  <c:v>0.11</c:v>
                </c:pt>
                <c:pt idx="11">
                  <c:v>0.12</c:v>
                </c:pt>
                <c:pt idx="12">
                  <c:v>0.13</c:v>
                </c:pt>
                <c:pt idx="13">
                  <c:v>0.14000000000000001</c:v>
                </c:pt>
                <c:pt idx="14">
                  <c:v>0.15</c:v>
                </c:pt>
                <c:pt idx="15">
                  <c:v>0.16</c:v>
                </c:pt>
                <c:pt idx="16">
                  <c:v>0.17</c:v>
                </c:pt>
                <c:pt idx="17">
                  <c:v>0.18</c:v>
                </c:pt>
                <c:pt idx="18">
                  <c:v>0.19</c:v>
                </c:pt>
                <c:pt idx="19">
                  <c:v>0.2</c:v>
                </c:pt>
                <c:pt idx="20">
                  <c:v>0.21</c:v>
                </c:pt>
                <c:pt idx="21">
                  <c:v>0.22</c:v>
                </c:pt>
                <c:pt idx="22">
                  <c:v>0.23</c:v>
                </c:pt>
                <c:pt idx="23">
                  <c:v>0.24</c:v>
                </c:pt>
                <c:pt idx="24">
                  <c:v>0.25</c:v>
                </c:pt>
                <c:pt idx="25">
                  <c:v>0.26</c:v>
                </c:pt>
                <c:pt idx="26">
                  <c:v>0.27</c:v>
                </c:pt>
                <c:pt idx="27">
                  <c:v>0.28000000000000003</c:v>
                </c:pt>
                <c:pt idx="28">
                  <c:v>0.28999999999999998</c:v>
                </c:pt>
                <c:pt idx="29">
                  <c:v>0.3</c:v>
                </c:pt>
              </c:numCache>
            </c:numRef>
          </c:cat>
          <c:val>
            <c:numRef>
              <c:f>EGR!$L$70:$L$99</c:f>
              <c:numCache>
                <c:formatCode>General</c:formatCode>
                <c:ptCount val="30"/>
                <c:pt idx="0">
                  <c:v>141405.55592646924</c:v>
                </c:pt>
                <c:pt idx="1">
                  <c:v>118438.99016045967</c:v>
                </c:pt>
                <c:pt idx="2">
                  <c:v>99266.722716800083</c:v>
                </c:pt>
                <c:pt idx="3">
                  <c:v>83251.195447536011</c:v>
                </c:pt>
                <c:pt idx="4">
                  <c:v>69863.783232904665</c:v>
                </c:pt>
                <c:pt idx="5">
                  <c:v>58665.887213431808</c:v>
                </c:pt>
                <c:pt idx="6">
                  <c:v>49293.348123676682</c:v>
                </c:pt>
                <c:pt idx="7">
                  <c:v>41443.583418996524</c:v>
                </c:pt>
                <c:pt idx="8">
                  <c:v>34865.017028191221</c:v>
                </c:pt>
                <c:pt idx="9">
                  <c:v>29348.327783199195</c:v>
                </c:pt>
                <c:pt idx="10">
                  <c:v>24719.239058270898</c:v>
                </c:pt>
                <c:pt idx="11">
                  <c:v>20832.55319889828</c:v>
                </c:pt>
                <c:pt idx="12">
                  <c:v>17567.220528735914</c:v>
                </c:pt>
                <c:pt idx="13">
                  <c:v>14822.252111824078</c:v>
                </c:pt>
                <c:pt idx="14">
                  <c:v>12513.349391419955</c:v>
                </c:pt>
                <c:pt idx="15">
                  <c:v>10570.090224205118</c:v>
                </c:pt>
                <c:pt idx="16">
                  <c:v>8933.6146974813819</c:v>
                </c:pt>
                <c:pt idx="17">
                  <c:v>7554.6928352690011</c:v>
                </c:pt>
                <c:pt idx="18">
                  <c:v>6392.1251653518066</c:v>
                </c:pt>
                <c:pt idx="19">
                  <c:v>5411.4076381527948</c:v>
                </c:pt>
                <c:pt idx="20">
                  <c:v>4583.6306518539368</c:v>
                </c:pt>
                <c:pt idx="21">
                  <c:v>3884.5543655932261</c:v>
                </c:pt>
                <c:pt idx="22">
                  <c:v>3293.8424930000756</c:v>
                </c:pt>
                <c:pt idx="23">
                  <c:v>2794.425446779263</c:v>
                </c:pt>
                <c:pt idx="24">
                  <c:v>2371.9641809439731</c:v>
                </c:pt>
                <c:pt idx="25">
                  <c:v>2014.4091248079608</c:v>
                </c:pt>
                <c:pt idx="26">
                  <c:v>1711.6273749481652</c:v>
                </c:pt>
                <c:pt idx="27">
                  <c:v>1455.0929348708901</c:v>
                </c:pt>
                <c:pt idx="28">
                  <c:v>1237.6287474843439</c:v>
                </c:pt>
                <c:pt idx="29">
                  <c:v>1053.1888555031555</c:v>
                </c:pt>
              </c:numCache>
            </c:numRef>
          </c:val>
          <c:extLst>
            <c:ext xmlns:c16="http://schemas.microsoft.com/office/drawing/2014/chart" uri="{C3380CC4-5D6E-409C-BE32-E72D297353CC}">
              <c16:uniqueId val="{00000003-A257-4778-9AE8-B51EA2CA5E99}"/>
            </c:ext>
          </c:extLst>
        </c:ser>
        <c:ser>
          <c:idx val="4"/>
          <c:order val="4"/>
          <c:tx>
            <c:v>0.96</c:v>
          </c:tx>
          <c:spPr>
            <a:solidFill>
              <a:schemeClr val="accent5"/>
            </a:solidFill>
            <a:ln/>
            <a:effectLst/>
            <a:sp3d/>
          </c:spPr>
          <c:cat>
            <c:numRef>
              <c:f>EGR!$H$70:$H$99</c:f>
              <c:numCache>
                <c:formatCode>General</c:formatCode>
                <c:ptCount val="30"/>
                <c:pt idx="0">
                  <c:v>0.01</c:v>
                </c:pt>
                <c:pt idx="1">
                  <c:v>0.02</c:v>
                </c:pt>
                <c:pt idx="2">
                  <c:v>0.03</c:v>
                </c:pt>
                <c:pt idx="3">
                  <c:v>0.04</c:v>
                </c:pt>
                <c:pt idx="4">
                  <c:v>0.05</c:v>
                </c:pt>
                <c:pt idx="5">
                  <c:v>0.06</c:v>
                </c:pt>
                <c:pt idx="6">
                  <c:v>7.0000000000000007E-2</c:v>
                </c:pt>
                <c:pt idx="7">
                  <c:v>0.08</c:v>
                </c:pt>
                <c:pt idx="8">
                  <c:v>0.09</c:v>
                </c:pt>
                <c:pt idx="9">
                  <c:v>0.1</c:v>
                </c:pt>
                <c:pt idx="10">
                  <c:v>0.11</c:v>
                </c:pt>
                <c:pt idx="11">
                  <c:v>0.12</c:v>
                </c:pt>
                <c:pt idx="12">
                  <c:v>0.13</c:v>
                </c:pt>
                <c:pt idx="13">
                  <c:v>0.14000000000000001</c:v>
                </c:pt>
                <c:pt idx="14">
                  <c:v>0.15</c:v>
                </c:pt>
                <c:pt idx="15">
                  <c:v>0.16</c:v>
                </c:pt>
                <c:pt idx="16">
                  <c:v>0.17</c:v>
                </c:pt>
                <c:pt idx="17">
                  <c:v>0.18</c:v>
                </c:pt>
                <c:pt idx="18">
                  <c:v>0.19</c:v>
                </c:pt>
                <c:pt idx="19">
                  <c:v>0.2</c:v>
                </c:pt>
                <c:pt idx="20">
                  <c:v>0.21</c:v>
                </c:pt>
                <c:pt idx="21">
                  <c:v>0.22</c:v>
                </c:pt>
                <c:pt idx="22">
                  <c:v>0.23</c:v>
                </c:pt>
                <c:pt idx="23">
                  <c:v>0.24</c:v>
                </c:pt>
                <c:pt idx="24">
                  <c:v>0.25</c:v>
                </c:pt>
                <c:pt idx="25">
                  <c:v>0.26</c:v>
                </c:pt>
                <c:pt idx="26">
                  <c:v>0.27</c:v>
                </c:pt>
                <c:pt idx="27">
                  <c:v>0.28000000000000003</c:v>
                </c:pt>
                <c:pt idx="28">
                  <c:v>0.28999999999999998</c:v>
                </c:pt>
                <c:pt idx="29">
                  <c:v>0.3</c:v>
                </c:pt>
              </c:numCache>
            </c:numRef>
          </c:cat>
          <c:val>
            <c:numRef>
              <c:f>EGR!$M$70:$M$99</c:f>
              <c:numCache>
                <c:formatCode>General</c:formatCode>
                <c:ptCount val="30"/>
                <c:pt idx="0">
                  <c:v>139715.25350985039</c:v>
                </c:pt>
                <c:pt idx="1">
                  <c:v>116906.01794635983</c:v>
                </c:pt>
                <c:pt idx="2">
                  <c:v>97884.252152179804</c:v>
                </c:pt>
                <c:pt idx="3">
                  <c:v>82010.347601765272</c:v>
                </c:pt>
                <c:pt idx="4">
                  <c:v>68754.54289110683</c:v>
                </c:pt>
                <c:pt idx="5">
                  <c:v>57677.730795873002</c:v>
                </c:pt>
                <c:pt idx="6">
                  <c:v>48415.678122695637</c:v>
                </c:pt>
                <c:pt idx="7">
                  <c:v>40666.071506283151</c:v>
                </c:pt>
                <c:pt idx="8">
                  <c:v>34177.792121594211</c:v>
                </c:pt>
                <c:pt idx="9">
                  <c:v>28742.108131952369</c:v>
                </c:pt>
                <c:pt idx="10">
                  <c:v>24185.410505906308</c:v>
                </c:pt>
                <c:pt idx="11">
                  <c:v>20363.193309313618</c:v>
                </c:pt>
                <c:pt idx="12">
                  <c:v>17155.102926332056</c:v>
                </c:pt>
                <c:pt idx="13">
                  <c:v>14460.8335883204</c:v>
                </c:pt>
                <c:pt idx="14">
                  <c:v>12196.727896549475</c:v>
                </c:pt>
                <c:pt idx="15">
                  <c:v>10292.97644334315</c:v>
                </c:pt>
                <c:pt idx="16">
                  <c:v>8691.2825430253179</c:v>
                </c:pt>
                <c:pt idx="17">
                  <c:v>7342.9341420429728</c:v>
                </c:pt>
                <c:pt idx="18">
                  <c:v>6207.2043192507317</c:v>
                </c:pt>
                <c:pt idx="19">
                  <c:v>5250.018166830605</c:v>
                </c:pt>
                <c:pt idx="20">
                  <c:v>4442.8504219022543</c:v>
                </c:pt>
                <c:pt idx="21">
                  <c:v>3761.8073033945252</c:v>
                </c:pt>
                <c:pt idx="22">
                  <c:v>3186.862134264728</c:v>
                </c:pt>
                <c:pt idx="23">
                  <c:v>2701.2182776515115</c:v>
                </c:pt>
                <c:pt idx="24">
                  <c:v>2290.7820481967874</c:v>
                </c:pt>
                <c:pt idx="25">
                  <c:v>1943.7191884824499</c:v>
                </c:pt>
                <c:pt idx="26">
                  <c:v>1650.0874343274065</c:v>
                </c:pt>
                <c:pt idx="27">
                  <c:v>1401.5288038316796</c:v>
                </c:pt>
                <c:pt idx="28">
                  <c:v>1191.0142237946723</c:v>
                </c:pt>
                <c:pt idx="29">
                  <c:v>1012.6274341202781</c:v>
                </c:pt>
              </c:numCache>
            </c:numRef>
          </c:val>
          <c:extLst>
            <c:ext xmlns:c16="http://schemas.microsoft.com/office/drawing/2014/chart" uri="{C3380CC4-5D6E-409C-BE32-E72D297353CC}">
              <c16:uniqueId val="{00000004-A257-4778-9AE8-B51EA2CA5E99}"/>
            </c:ext>
          </c:extLst>
        </c:ser>
        <c:ser>
          <c:idx val="5"/>
          <c:order val="5"/>
          <c:tx>
            <c:v>0.95</c:v>
          </c:tx>
          <c:spPr>
            <a:solidFill>
              <a:schemeClr val="accent6"/>
            </a:solidFill>
            <a:ln/>
            <a:effectLst/>
            <a:sp3d/>
          </c:spPr>
          <c:cat>
            <c:numRef>
              <c:f>EGR!$H$70:$H$99</c:f>
              <c:numCache>
                <c:formatCode>General</c:formatCode>
                <c:ptCount val="30"/>
                <c:pt idx="0">
                  <c:v>0.01</c:v>
                </c:pt>
                <c:pt idx="1">
                  <c:v>0.02</c:v>
                </c:pt>
                <c:pt idx="2">
                  <c:v>0.03</c:v>
                </c:pt>
                <c:pt idx="3">
                  <c:v>0.04</c:v>
                </c:pt>
                <c:pt idx="4">
                  <c:v>0.05</c:v>
                </c:pt>
                <c:pt idx="5">
                  <c:v>0.06</c:v>
                </c:pt>
                <c:pt idx="6">
                  <c:v>7.0000000000000007E-2</c:v>
                </c:pt>
                <c:pt idx="7">
                  <c:v>0.08</c:v>
                </c:pt>
                <c:pt idx="8">
                  <c:v>0.09</c:v>
                </c:pt>
                <c:pt idx="9">
                  <c:v>0.1</c:v>
                </c:pt>
                <c:pt idx="10">
                  <c:v>0.11</c:v>
                </c:pt>
                <c:pt idx="11">
                  <c:v>0.12</c:v>
                </c:pt>
                <c:pt idx="12">
                  <c:v>0.13</c:v>
                </c:pt>
                <c:pt idx="13">
                  <c:v>0.14000000000000001</c:v>
                </c:pt>
                <c:pt idx="14">
                  <c:v>0.15</c:v>
                </c:pt>
                <c:pt idx="15">
                  <c:v>0.16</c:v>
                </c:pt>
                <c:pt idx="16">
                  <c:v>0.17</c:v>
                </c:pt>
                <c:pt idx="17">
                  <c:v>0.18</c:v>
                </c:pt>
                <c:pt idx="18">
                  <c:v>0.19</c:v>
                </c:pt>
                <c:pt idx="19">
                  <c:v>0.2</c:v>
                </c:pt>
                <c:pt idx="20">
                  <c:v>0.21</c:v>
                </c:pt>
                <c:pt idx="21">
                  <c:v>0.22</c:v>
                </c:pt>
                <c:pt idx="22">
                  <c:v>0.23</c:v>
                </c:pt>
                <c:pt idx="23">
                  <c:v>0.24</c:v>
                </c:pt>
                <c:pt idx="24">
                  <c:v>0.25</c:v>
                </c:pt>
                <c:pt idx="25">
                  <c:v>0.26</c:v>
                </c:pt>
                <c:pt idx="26">
                  <c:v>0.27</c:v>
                </c:pt>
                <c:pt idx="27">
                  <c:v>0.28000000000000003</c:v>
                </c:pt>
                <c:pt idx="28">
                  <c:v>0.28999999999999998</c:v>
                </c:pt>
                <c:pt idx="29">
                  <c:v>0.3</c:v>
                </c:pt>
              </c:numCache>
            </c:numRef>
          </c:cat>
          <c:val>
            <c:numRef>
              <c:f>EGR!$N$70:$N$99</c:f>
              <c:numCache>
                <c:formatCode>General</c:formatCode>
                <c:ptCount val="30"/>
                <c:pt idx="0">
                  <c:v>133283.7650278247</c:v>
                </c:pt>
                <c:pt idx="1">
                  <c:v>111410.93579822089</c:v>
                </c:pt>
                <c:pt idx="2">
                  <c:v>93188.75170262577</c:v>
                </c:pt>
                <c:pt idx="3">
                  <c:v>77997.586285470592</c:v>
                </c:pt>
                <c:pt idx="4">
                  <c:v>65324.765468026031</c:v>
                </c:pt>
                <c:pt idx="5">
                  <c:v>54745.778144935699</c:v>
                </c:pt>
                <c:pt idx="6">
                  <c:v>45908.87194534381</c:v>
                </c:pt>
                <c:pt idx="7">
                  <c:v>38522.368492674825</c:v>
                </c:pt>
                <c:pt idx="8">
                  <c:v>32344.239997908378</c:v>
                </c:pt>
                <c:pt idx="9">
                  <c:v>27173.510271633964</c:v>
                </c:pt>
                <c:pt idx="10">
                  <c:v>22843.189396275877</c:v>
                </c:pt>
                <c:pt idx="11">
                  <c:v>19214.420540264142</c:v>
                </c:pt>
                <c:pt idx="12">
                  <c:v>16171.669239893452</c:v>
                </c:pt>
                <c:pt idx="13">
                  <c:v>13618.735482959555</c:v>
                </c:pt>
                <c:pt idx="14">
                  <c:v>11475.475782255638</c:v>
                </c:pt>
                <c:pt idx="15">
                  <c:v>9675.0704928766208</c:v>
                </c:pt>
                <c:pt idx="16">
                  <c:v>8161.7768165115294</c:v>
                </c:pt>
                <c:pt idx="17">
                  <c:v>6889.0604075849133</c:v>
                </c:pt>
                <c:pt idx="18">
                  <c:v>5818.0540841746924</c:v>
                </c:pt>
                <c:pt idx="19">
                  <c:v>4916.2696817347587</c:v>
                </c:pt>
                <c:pt idx="20">
                  <c:v>4156.5364743079335</c:v>
                </c:pt>
                <c:pt idx="21">
                  <c:v>3516.1168695402762</c:v>
                </c:pt>
                <c:pt idx="22">
                  <c:v>2975.9699135437663</c:v>
                </c:pt>
                <c:pt idx="23">
                  <c:v>2520.1437729806789</c:v>
                </c:pt>
                <c:pt idx="24">
                  <c:v>2135.2637619240509</c:v>
                </c:pt>
                <c:pt idx="25">
                  <c:v>1810.1106667496726</c:v>
                </c:pt>
                <c:pt idx="26">
                  <c:v>1535.2678106073417</c:v>
                </c:pt>
                <c:pt idx="27">
                  <c:v>1302.8263485512828</c:v>
                </c:pt>
                <c:pt idx="28">
                  <c:v>1106.140964402749</c:v>
                </c:pt>
                <c:pt idx="29">
                  <c:v>939.62366028047347</c:v>
                </c:pt>
              </c:numCache>
            </c:numRef>
          </c:val>
          <c:extLst>
            <c:ext xmlns:c16="http://schemas.microsoft.com/office/drawing/2014/chart" uri="{C3380CC4-5D6E-409C-BE32-E72D297353CC}">
              <c16:uniqueId val="{00000005-A257-4778-9AE8-B51EA2CA5E99}"/>
            </c:ext>
          </c:extLst>
        </c:ser>
        <c:ser>
          <c:idx val="6"/>
          <c:order val="6"/>
          <c:tx>
            <c:v>0.9</c:v>
          </c:tx>
          <c:spPr>
            <a:solidFill>
              <a:schemeClr val="accent1">
                <a:lumMod val="60000"/>
              </a:schemeClr>
            </a:solidFill>
            <a:ln/>
            <a:effectLst/>
            <a:sp3d/>
          </c:spPr>
          <c:cat>
            <c:numRef>
              <c:f>EGR!$H$70:$H$99</c:f>
              <c:numCache>
                <c:formatCode>General</c:formatCode>
                <c:ptCount val="30"/>
                <c:pt idx="0">
                  <c:v>0.01</c:v>
                </c:pt>
                <c:pt idx="1">
                  <c:v>0.02</c:v>
                </c:pt>
                <c:pt idx="2">
                  <c:v>0.03</c:v>
                </c:pt>
                <c:pt idx="3">
                  <c:v>0.04</c:v>
                </c:pt>
                <c:pt idx="4">
                  <c:v>0.05</c:v>
                </c:pt>
                <c:pt idx="5">
                  <c:v>0.06</c:v>
                </c:pt>
                <c:pt idx="6">
                  <c:v>7.0000000000000007E-2</c:v>
                </c:pt>
                <c:pt idx="7">
                  <c:v>0.08</c:v>
                </c:pt>
                <c:pt idx="8">
                  <c:v>0.09</c:v>
                </c:pt>
                <c:pt idx="9">
                  <c:v>0.1</c:v>
                </c:pt>
                <c:pt idx="10">
                  <c:v>0.11</c:v>
                </c:pt>
                <c:pt idx="11">
                  <c:v>0.12</c:v>
                </c:pt>
                <c:pt idx="12">
                  <c:v>0.13</c:v>
                </c:pt>
                <c:pt idx="13">
                  <c:v>0.14000000000000001</c:v>
                </c:pt>
                <c:pt idx="14">
                  <c:v>0.15</c:v>
                </c:pt>
                <c:pt idx="15">
                  <c:v>0.16</c:v>
                </c:pt>
                <c:pt idx="16">
                  <c:v>0.17</c:v>
                </c:pt>
                <c:pt idx="17">
                  <c:v>0.18</c:v>
                </c:pt>
                <c:pt idx="18">
                  <c:v>0.19</c:v>
                </c:pt>
                <c:pt idx="19">
                  <c:v>0.2</c:v>
                </c:pt>
                <c:pt idx="20">
                  <c:v>0.21</c:v>
                </c:pt>
                <c:pt idx="21">
                  <c:v>0.22</c:v>
                </c:pt>
                <c:pt idx="22">
                  <c:v>0.23</c:v>
                </c:pt>
                <c:pt idx="23">
                  <c:v>0.24</c:v>
                </c:pt>
                <c:pt idx="24">
                  <c:v>0.25</c:v>
                </c:pt>
                <c:pt idx="25">
                  <c:v>0.26</c:v>
                </c:pt>
                <c:pt idx="26">
                  <c:v>0.27</c:v>
                </c:pt>
                <c:pt idx="27">
                  <c:v>0.28000000000000003</c:v>
                </c:pt>
                <c:pt idx="28">
                  <c:v>0.28999999999999998</c:v>
                </c:pt>
                <c:pt idx="29">
                  <c:v>0.3</c:v>
                </c:pt>
              </c:numCache>
            </c:numRef>
          </c:cat>
          <c:val>
            <c:numRef>
              <c:f>EGR!$O$70:$O$99</c:f>
              <c:numCache>
                <c:formatCode>General</c:formatCode>
                <c:ptCount val="30"/>
                <c:pt idx="0">
                  <c:v>81467.29505726372</c:v>
                </c:pt>
                <c:pt idx="1">
                  <c:v>67733.748431859596</c:v>
                </c:pt>
                <c:pt idx="2">
                  <c:v>56353.839169149098</c:v>
                </c:pt>
                <c:pt idx="3">
                  <c:v>46917.55031555055</c:v>
                </c:pt>
                <c:pt idx="4">
                  <c:v>39087.457711163013</c:v>
                </c:pt>
                <c:pt idx="5">
                  <c:v>32585.677783874853</c:v>
                </c:pt>
                <c:pt idx="6">
                  <c:v>27183.181642153664</c:v>
                </c:pt>
                <c:pt idx="7">
                  <c:v>22691.077523310727</c:v>
                </c:pt>
                <c:pt idx="8">
                  <c:v>18953.451265537798</c:v>
                </c:pt>
                <c:pt idx="9">
                  <c:v>15841.52539515752</c:v>
                </c:pt>
                <c:pt idx="10">
                  <c:v>13248.85911654705</c:v>
                </c:pt>
                <c:pt idx="11">
                  <c:v>11087.406797477339</c:v>
                </c:pt>
                <c:pt idx="12">
                  <c:v>9284.2931933536092</c:v>
                </c:pt>
                <c:pt idx="13">
                  <c:v>7779.1554267749825</c:v>
                </c:pt>
                <c:pt idx="14">
                  <c:v>6521.9609487784746</c:v>
                </c:pt>
                <c:pt idx="15">
                  <c:v>5471.2122970625187</c:v>
                </c:pt>
                <c:pt idx="16">
                  <c:v>4592.4671018890649</c:v>
                </c:pt>
                <c:pt idx="17">
                  <c:v>3857.1210618031946</c:v>
                </c:pt>
                <c:pt idx="18">
                  <c:v>3241.4010733757914</c:v>
                </c:pt>
                <c:pt idx="19">
                  <c:v>2725.5380001334042</c:v>
                </c:pt>
                <c:pt idx="20">
                  <c:v>2293.080867786096</c:v>
                </c:pt>
                <c:pt idx="21">
                  <c:v>1930.3315627297566</c:v>
                </c:pt>
                <c:pt idx="22">
                  <c:v>1625.876745426996</c:v>
                </c:pt>
                <c:pt idx="23">
                  <c:v>1370.2011687786803</c:v>
                </c:pt>
                <c:pt idx="24">
                  <c:v>1155.3668838632182</c:v>
                </c:pt>
                <c:pt idx="25">
                  <c:v>974.74767779486695</c:v>
                </c:pt>
                <c:pt idx="26">
                  <c:v>822.80928043793415</c:v>
                </c:pt>
                <c:pt idx="27">
                  <c:v>694.92641194792986</c:v>
                </c:pt>
                <c:pt idx="28">
                  <c:v>587.23118943537941</c:v>
                </c:pt>
                <c:pt idx="29">
                  <c:v>496.48729432568189</c:v>
                </c:pt>
              </c:numCache>
            </c:numRef>
          </c:val>
          <c:extLst>
            <c:ext xmlns:c16="http://schemas.microsoft.com/office/drawing/2014/chart" uri="{C3380CC4-5D6E-409C-BE32-E72D297353CC}">
              <c16:uniqueId val="{00000006-A257-4778-9AE8-B51EA2CA5E99}"/>
            </c:ext>
          </c:extLst>
        </c:ser>
        <c:ser>
          <c:idx val="7"/>
          <c:order val="7"/>
          <c:tx>
            <c:v>0.85</c:v>
          </c:tx>
          <c:spPr>
            <a:solidFill>
              <a:schemeClr val="accent2">
                <a:lumMod val="60000"/>
              </a:schemeClr>
            </a:solidFill>
            <a:ln/>
            <a:effectLst/>
            <a:sp3d/>
          </c:spPr>
          <c:cat>
            <c:numRef>
              <c:f>EGR!$H$70:$H$99</c:f>
              <c:numCache>
                <c:formatCode>General</c:formatCode>
                <c:ptCount val="30"/>
                <c:pt idx="0">
                  <c:v>0.01</c:v>
                </c:pt>
                <c:pt idx="1">
                  <c:v>0.02</c:v>
                </c:pt>
                <c:pt idx="2">
                  <c:v>0.03</c:v>
                </c:pt>
                <c:pt idx="3">
                  <c:v>0.04</c:v>
                </c:pt>
                <c:pt idx="4">
                  <c:v>0.05</c:v>
                </c:pt>
                <c:pt idx="5">
                  <c:v>0.06</c:v>
                </c:pt>
                <c:pt idx="6">
                  <c:v>7.0000000000000007E-2</c:v>
                </c:pt>
                <c:pt idx="7">
                  <c:v>0.08</c:v>
                </c:pt>
                <c:pt idx="8">
                  <c:v>0.09</c:v>
                </c:pt>
                <c:pt idx="9">
                  <c:v>0.1</c:v>
                </c:pt>
                <c:pt idx="10">
                  <c:v>0.11</c:v>
                </c:pt>
                <c:pt idx="11">
                  <c:v>0.12</c:v>
                </c:pt>
                <c:pt idx="12">
                  <c:v>0.13</c:v>
                </c:pt>
                <c:pt idx="13">
                  <c:v>0.14000000000000001</c:v>
                </c:pt>
                <c:pt idx="14">
                  <c:v>0.15</c:v>
                </c:pt>
                <c:pt idx="15">
                  <c:v>0.16</c:v>
                </c:pt>
                <c:pt idx="16">
                  <c:v>0.17</c:v>
                </c:pt>
                <c:pt idx="17">
                  <c:v>0.18</c:v>
                </c:pt>
                <c:pt idx="18">
                  <c:v>0.19</c:v>
                </c:pt>
                <c:pt idx="19">
                  <c:v>0.2</c:v>
                </c:pt>
                <c:pt idx="20">
                  <c:v>0.21</c:v>
                </c:pt>
                <c:pt idx="21">
                  <c:v>0.22</c:v>
                </c:pt>
                <c:pt idx="22">
                  <c:v>0.23</c:v>
                </c:pt>
                <c:pt idx="23">
                  <c:v>0.24</c:v>
                </c:pt>
                <c:pt idx="24">
                  <c:v>0.25</c:v>
                </c:pt>
                <c:pt idx="25">
                  <c:v>0.26</c:v>
                </c:pt>
                <c:pt idx="26">
                  <c:v>0.27</c:v>
                </c:pt>
                <c:pt idx="27">
                  <c:v>0.28000000000000003</c:v>
                </c:pt>
                <c:pt idx="28">
                  <c:v>0.28999999999999998</c:v>
                </c:pt>
                <c:pt idx="29">
                  <c:v>0.3</c:v>
                </c:pt>
              </c:numCache>
            </c:numRef>
          </c:cat>
          <c:val>
            <c:numRef>
              <c:f>EGR!$P$70:$P$99</c:f>
              <c:numCache>
                <c:formatCode>General</c:formatCode>
                <c:ptCount val="30"/>
                <c:pt idx="0">
                  <c:v>39644.097615399362</c:v>
                </c:pt>
                <c:pt idx="1">
                  <c:v>32768.572614784302</c:v>
                </c:pt>
                <c:pt idx="2">
                  <c:v>27104.784819752338</c:v>
                </c:pt>
                <c:pt idx="3">
                  <c:v>22435.746810559693</c:v>
                </c:pt>
                <c:pt idx="4">
                  <c:v>18583.944956933577</c:v>
                </c:pt>
                <c:pt idx="5">
                  <c:v>15404.052025859499</c:v>
                </c:pt>
                <c:pt idx="6">
                  <c:v>12776.990185421544</c:v>
                </c:pt>
                <c:pt idx="7">
                  <c:v>10605.120961764624</c:v>
                </c:pt>
                <c:pt idx="8">
                  <c:v>8808.3209913569153</c:v>
                </c:pt>
                <c:pt idx="9">
                  <c:v>7320.7937040420711</c:v>
                </c:pt>
                <c:pt idx="10">
                  <c:v>6088.4650115799768</c:v>
                </c:pt>
                <c:pt idx="11">
                  <c:v>5066.8642529611698</c:v>
                </c:pt>
                <c:pt idx="12">
                  <c:v>4219.3904880638729</c:v>
                </c:pt>
                <c:pt idx="13">
                  <c:v>3515.8997653966226</c:v>
                </c:pt>
                <c:pt idx="14">
                  <c:v>2931.5468910017044</c:v>
                </c:pt>
                <c:pt idx="15">
                  <c:v>2445.8407959851361</c:v>
                </c:pt>
                <c:pt idx="16">
                  <c:v>2041.8695723525104</c:v>
                </c:pt>
                <c:pt idx="17">
                  <c:v>1705.6646535527536</c:v>
                </c:pt>
                <c:pt idx="18">
                  <c:v>1425.6823101118616</c:v>
                </c:pt>
                <c:pt idx="19">
                  <c:v>1192.3750002284855</c:v>
                </c:pt>
                <c:pt idx="20">
                  <c:v>997.84153743561876</c:v>
                </c:pt>
                <c:pt idx="21">
                  <c:v>835.5387635684765</c:v>
                </c:pt>
                <c:pt idx="22">
                  <c:v>700.04428201609335</c:v>
                </c:pt>
                <c:pt idx="23">
                  <c:v>586.86225038806037</c:v>
                </c:pt>
                <c:pt idx="24">
                  <c:v>492.26203475017218</c:v>
                </c:pt>
                <c:pt idx="25">
                  <c:v>413.14625673824679</c:v>
                </c:pt>
                <c:pt idx="26">
                  <c:v>346.94170112808712</c:v>
                </c:pt>
                <c:pt idx="27">
                  <c:v>291.50921046736619</c:v>
                </c:pt>
                <c:pt idx="28">
                  <c:v>245.06936778372784</c:v>
                </c:pt>
                <c:pt idx="29">
                  <c:v>206.14119264828889</c:v>
                </c:pt>
              </c:numCache>
            </c:numRef>
          </c:val>
          <c:extLst>
            <c:ext xmlns:c16="http://schemas.microsoft.com/office/drawing/2014/chart" uri="{C3380CC4-5D6E-409C-BE32-E72D297353CC}">
              <c16:uniqueId val="{00000007-A257-4778-9AE8-B51EA2CA5E99}"/>
            </c:ext>
          </c:extLst>
        </c:ser>
        <c:ser>
          <c:idx val="8"/>
          <c:order val="8"/>
          <c:tx>
            <c:v>0.8</c:v>
          </c:tx>
          <c:spPr>
            <a:solidFill>
              <a:schemeClr val="accent3">
                <a:lumMod val="60000"/>
              </a:schemeClr>
            </a:solidFill>
            <a:ln/>
            <a:effectLst/>
            <a:sp3d/>
          </c:spPr>
          <c:cat>
            <c:numRef>
              <c:f>EGR!$H$70:$H$99</c:f>
              <c:numCache>
                <c:formatCode>General</c:formatCode>
                <c:ptCount val="30"/>
                <c:pt idx="0">
                  <c:v>0.01</c:v>
                </c:pt>
                <c:pt idx="1">
                  <c:v>0.02</c:v>
                </c:pt>
                <c:pt idx="2">
                  <c:v>0.03</c:v>
                </c:pt>
                <c:pt idx="3">
                  <c:v>0.04</c:v>
                </c:pt>
                <c:pt idx="4">
                  <c:v>0.05</c:v>
                </c:pt>
                <c:pt idx="5">
                  <c:v>0.06</c:v>
                </c:pt>
                <c:pt idx="6">
                  <c:v>7.0000000000000007E-2</c:v>
                </c:pt>
                <c:pt idx="7">
                  <c:v>0.08</c:v>
                </c:pt>
                <c:pt idx="8">
                  <c:v>0.09</c:v>
                </c:pt>
                <c:pt idx="9">
                  <c:v>0.1</c:v>
                </c:pt>
                <c:pt idx="10">
                  <c:v>0.11</c:v>
                </c:pt>
                <c:pt idx="11">
                  <c:v>0.12</c:v>
                </c:pt>
                <c:pt idx="12">
                  <c:v>0.13</c:v>
                </c:pt>
                <c:pt idx="13">
                  <c:v>0.14000000000000001</c:v>
                </c:pt>
                <c:pt idx="14">
                  <c:v>0.15</c:v>
                </c:pt>
                <c:pt idx="15">
                  <c:v>0.16</c:v>
                </c:pt>
                <c:pt idx="16">
                  <c:v>0.17</c:v>
                </c:pt>
                <c:pt idx="17">
                  <c:v>0.18</c:v>
                </c:pt>
                <c:pt idx="18">
                  <c:v>0.19</c:v>
                </c:pt>
                <c:pt idx="19">
                  <c:v>0.2</c:v>
                </c:pt>
                <c:pt idx="20">
                  <c:v>0.21</c:v>
                </c:pt>
                <c:pt idx="21">
                  <c:v>0.22</c:v>
                </c:pt>
                <c:pt idx="22">
                  <c:v>0.23</c:v>
                </c:pt>
                <c:pt idx="23">
                  <c:v>0.24</c:v>
                </c:pt>
                <c:pt idx="24">
                  <c:v>0.25</c:v>
                </c:pt>
                <c:pt idx="25">
                  <c:v>0.26</c:v>
                </c:pt>
                <c:pt idx="26">
                  <c:v>0.27</c:v>
                </c:pt>
                <c:pt idx="27">
                  <c:v>0.28000000000000003</c:v>
                </c:pt>
                <c:pt idx="28">
                  <c:v>0.28999999999999998</c:v>
                </c:pt>
                <c:pt idx="29">
                  <c:v>0.3</c:v>
                </c:pt>
              </c:numCache>
            </c:numRef>
          </c:cat>
          <c:val>
            <c:numRef>
              <c:f>EGR!$Q$70:$Q$99</c:f>
              <c:numCache>
                <c:formatCode>General</c:formatCode>
                <c:ptCount val="30"/>
                <c:pt idx="0">
                  <c:v>16493.4216764296</c:v>
                </c:pt>
                <c:pt idx="1">
                  <c:v>13545.700218531831</c:v>
                </c:pt>
                <c:pt idx="2">
                  <c:v>11133.099843800908</c:v>
                </c:pt>
                <c:pt idx="3">
                  <c:v>9156.9564516298851</c:v>
                </c:pt>
                <c:pt idx="4">
                  <c:v>7537.0812382930244</c:v>
                </c:pt>
                <c:pt idx="5">
                  <c:v>6208.2471693409989</c:v>
                </c:pt>
                <c:pt idx="6">
                  <c:v>5117.3511678325794</c:v>
                </c:pt>
                <c:pt idx="7">
                  <c:v>4221.1299846391194</c:v>
                </c:pt>
                <c:pt idx="8">
                  <c:v>3484.3069052455048</c:v>
                </c:pt>
                <c:pt idx="9">
                  <c:v>2878.0946496952315</c:v>
                </c:pt>
                <c:pt idx="10">
                  <c:v>2378.9859190873408</c:v>
                </c:pt>
                <c:pt idx="11">
                  <c:v>1967.7675091956066</c:v>
                </c:pt>
                <c:pt idx="12">
                  <c:v>1628.7255907807669</c:v>
                </c:pt>
                <c:pt idx="13">
                  <c:v>1348.9986167628576</c:v>
                </c:pt>
                <c:pt idx="14">
                  <c:v>1118.0511967646967</c:v>
                </c:pt>
                <c:pt idx="15">
                  <c:v>927.24784401154966</c:v>
                </c:pt>
                <c:pt idx="16">
                  <c:v>769.5045767132691</c:v>
                </c:pt>
                <c:pt idx="17">
                  <c:v>639.00639099359535</c:v>
                </c:pt>
                <c:pt idx="18">
                  <c:v>530.97651256131053</c:v>
                </c:pt>
                <c:pt idx="19">
                  <c:v>441.48799882622205</c:v>
                </c:pt>
                <c:pt idx="20">
                  <c:v>367.31073902275267</c:v>
                </c:pt>
                <c:pt idx="21">
                  <c:v>305.78556766253894</c:v>
                </c:pt>
                <c:pt idx="22">
                  <c:v>254.72206820859657</c:v>
                </c:pt>
                <c:pt idx="23">
                  <c:v>212.31470837873349</c:v>
                </c:pt>
                <c:pt idx="24">
                  <c:v>177.07420369072568</c:v>
                </c:pt>
                <c:pt idx="25">
                  <c:v>147.77119183616585</c:v>
                </c:pt>
                <c:pt idx="26">
                  <c:v>123.39043263994205</c:v>
                </c:pt>
                <c:pt idx="27">
                  <c:v>103.09276322791315</c:v>
                </c:pt>
                <c:pt idx="28">
                  <c:v>86.184206294348684</c:v>
                </c:pt>
                <c:pt idx="29">
                  <c:v>72.090479848056759</c:v>
                </c:pt>
              </c:numCache>
            </c:numRef>
          </c:val>
          <c:extLst>
            <c:ext xmlns:c16="http://schemas.microsoft.com/office/drawing/2014/chart" uri="{C3380CC4-5D6E-409C-BE32-E72D297353CC}">
              <c16:uniqueId val="{00000008-A257-4778-9AE8-B51EA2CA5E99}"/>
            </c:ext>
          </c:extLst>
        </c:ser>
        <c:ser>
          <c:idx val="9"/>
          <c:order val="9"/>
          <c:tx>
            <c:v>0.75</c:v>
          </c:tx>
          <c:spPr>
            <a:solidFill>
              <a:schemeClr val="accent4">
                <a:lumMod val="60000"/>
              </a:schemeClr>
            </a:solidFill>
            <a:ln/>
            <a:effectLst/>
            <a:sp3d/>
          </c:spPr>
          <c:cat>
            <c:numRef>
              <c:f>EGR!$H$70:$H$99</c:f>
              <c:numCache>
                <c:formatCode>General</c:formatCode>
                <c:ptCount val="30"/>
                <c:pt idx="0">
                  <c:v>0.01</c:v>
                </c:pt>
                <c:pt idx="1">
                  <c:v>0.02</c:v>
                </c:pt>
                <c:pt idx="2">
                  <c:v>0.03</c:v>
                </c:pt>
                <c:pt idx="3">
                  <c:v>0.04</c:v>
                </c:pt>
                <c:pt idx="4">
                  <c:v>0.05</c:v>
                </c:pt>
                <c:pt idx="5">
                  <c:v>0.06</c:v>
                </c:pt>
                <c:pt idx="6">
                  <c:v>7.0000000000000007E-2</c:v>
                </c:pt>
                <c:pt idx="7">
                  <c:v>0.08</c:v>
                </c:pt>
                <c:pt idx="8">
                  <c:v>0.09</c:v>
                </c:pt>
                <c:pt idx="9">
                  <c:v>0.1</c:v>
                </c:pt>
                <c:pt idx="10">
                  <c:v>0.11</c:v>
                </c:pt>
                <c:pt idx="11">
                  <c:v>0.12</c:v>
                </c:pt>
                <c:pt idx="12">
                  <c:v>0.13</c:v>
                </c:pt>
                <c:pt idx="13">
                  <c:v>0.14000000000000001</c:v>
                </c:pt>
                <c:pt idx="14">
                  <c:v>0.15</c:v>
                </c:pt>
                <c:pt idx="15">
                  <c:v>0.16</c:v>
                </c:pt>
                <c:pt idx="16">
                  <c:v>0.17</c:v>
                </c:pt>
                <c:pt idx="17">
                  <c:v>0.18</c:v>
                </c:pt>
                <c:pt idx="18">
                  <c:v>0.19</c:v>
                </c:pt>
                <c:pt idx="19">
                  <c:v>0.2</c:v>
                </c:pt>
                <c:pt idx="20">
                  <c:v>0.21</c:v>
                </c:pt>
                <c:pt idx="21">
                  <c:v>0.22</c:v>
                </c:pt>
                <c:pt idx="22">
                  <c:v>0.23</c:v>
                </c:pt>
                <c:pt idx="23">
                  <c:v>0.24</c:v>
                </c:pt>
                <c:pt idx="24">
                  <c:v>0.25</c:v>
                </c:pt>
                <c:pt idx="25">
                  <c:v>0.26</c:v>
                </c:pt>
                <c:pt idx="26">
                  <c:v>0.27</c:v>
                </c:pt>
                <c:pt idx="27">
                  <c:v>0.28000000000000003</c:v>
                </c:pt>
                <c:pt idx="28">
                  <c:v>0.28999999999999998</c:v>
                </c:pt>
                <c:pt idx="29">
                  <c:v>0.3</c:v>
                </c:pt>
              </c:numCache>
            </c:numRef>
          </c:cat>
          <c:val>
            <c:numRef>
              <c:f>EGR!$R$70:$R$99</c:f>
              <c:numCache>
                <c:formatCode>General</c:formatCode>
                <c:ptCount val="30"/>
                <c:pt idx="0">
                  <c:v>5923.8945510368267</c:v>
                </c:pt>
                <c:pt idx="1">
                  <c:v>4830.8854895362801</c:v>
                </c:pt>
                <c:pt idx="2">
                  <c:v>3942.634346244603</c:v>
                </c:pt>
                <c:pt idx="3">
                  <c:v>3220.2016840086412</c:v>
                </c:pt>
                <c:pt idx="4">
                  <c:v>2632.1634747311959</c:v>
                </c:pt>
                <c:pt idx="5">
                  <c:v>2153.1405725896802</c:v>
                </c:pt>
                <c:pt idx="6">
                  <c:v>1762.6185456911221</c:v>
                </c:pt>
                <c:pt idx="7">
                  <c:v>1444.000178620252</c:v>
                </c:pt>
                <c:pt idx="8">
                  <c:v>1183.8480961760106</c:v>
                </c:pt>
                <c:pt idx="9">
                  <c:v>971.27302846748762</c:v>
                </c:pt>
                <c:pt idx="10">
                  <c:v>797.44391102609393</c:v>
                </c:pt>
                <c:pt idx="11">
                  <c:v>655.19315096004505</c:v>
                </c:pt>
                <c:pt idx="12">
                  <c:v>538.69873370646383</c:v>
                </c:pt>
                <c:pt idx="13">
                  <c:v>443.22785192169061</c:v>
                </c:pt>
                <c:pt idx="14">
                  <c:v>364.93014117479805</c:v>
                </c:pt>
                <c:pt idx="15">
                  <c:v>300.67073186199855</c:v>
                </c:pt>
                <c:pt idx="16">
                  <c:v>247.89544872788599</c:v>
                </c:pt>
                <c:pt idx="17">
                  <c:v>204.52160009727706</c:v>
                </c:pt>
                <c:pt idx="18">
                  <c:v>168.84974941131145</c:v>
                </c:pt>
                <c:pt idx="19">
                  <c:v>139.49210727706955</c:v>
                </c:pt>
                <c:pt idx="20">
                  <c:v>115.31460062808296</c:v>
                </c:pt>
                <c:pt idx="21">
                  <c:v>95.38974999412433</c:v>
                </c:pt>
                <c:pt idx="22">
                  <c:v>78.95863929360074</c:v>
                </c:pt>
                <c:pt idx="23">
                  <c:v>65.399655382707621</c:v>
                </c:pt>
                <c:pt idx="24">
                  <c:v>54.203441865310658</c:v>
                </c:pt>
                <c:pt idx="25">
                  <c:v>44.952260519221042</c:v>
                </c:pt>
                <c:pt idx="26">
                  <c:v>37.303289744709971</c:v>
                </c:pt>
                <c:pt idx="27">
                  <c:v>30.975000091771928</c:v>
                </c:pt>
                <c:pt idx="28">
                  <c:v>25.73606254043645</c:v>
                </c:pt>
                <c:pt idx="29">
                  <c:v>21.396215619255724</c:v>
                </c:pt>
              </c:numCache>
            </c:numRef>
          </c:val>
          <c:extLst>
            <c:ext xmlns:c16="http://schemas.microsoft.com/office/drawing/2014/chart" uri="{C3380CC4-5D6E-409C-BE32-E72D297353CC}">
              <c16:uniqueId val="{00000009-A257-4778-9AE8-B51EA2CA5E99}"/>
            </c:ext>
          </c:extLst>
        </c:ser>
        <c:ser>
          <c:idx val="10"/>
          <c:order val="10"/>
          <c:tx>
            <c:v>0.7</c:v>
          </c:tx>
          <c:spPr>
            <a:solidFill>
              <a:schemeClr val="accent5">
                <a:lumMod val="60000"/>
              </a:schemeClr>
            </a:solidFill>
            <a:ln/>
            <a:effectLst/>
            <a:sp3d/>
          </c:spPr>
          <c:cat>
            <c:numRef>
              <c:f>EGR!$H$70:$H$99</c:f>
              <c:numCache>
                <c:formatCode>General</c:formatCode>
                <c:ptCount val="30"/>
                <c:pt idx="0">
                  <c:v>0.01</c:v>
                </c:pt>
                <c:pt idx="1">
                  <c:v>0.02</c:v>
                </c:pt>
                <c:pt idx="2">
                  <c:v>0.03</c:v>
                </c:pt>
                <c:pt idx="3">
                  <c:v>0.04</c:v>
                </c:pt>
                <c:pt idx="4">
                  <c:v>0.05</c:v>
                </c:pt>
                <c:pt idx="5">
                  <c:v>0.06</c:v>
                </c:pt>
                <c:pt idx="6">
                  <c:v>7.0000000000000007E-2</c:v>
                </c:pt>
                <c:pt idx="7">
                  <c:v>0.08</c:v>
                </c:pt>
                <c:pt idx="8">
                  <c:v>0.09</c:v>
                </c:pt>
                <c:pt idx="9">
                  <c:v>0.1</c:v>
                </c:pt>
                <c:pt idx="10">
                  <c:v>0.11</c:v>
                </c:pt>
                <c:pt idx="11">
                  <c:v>0.12</c:v>
                </c:pt>
                <c:pt idx="12">
                  <c:v>0.13</c:v>
                </c:pt>
                <c:pt idx="13">
                  <c:v>0.14000000000000001</c:v>
                </c:pt>
                <c:pt idx="14">
                  <c:v>0.15</c:v>
                </c:pt>
                <c:pt idx="15">
                  <c:v>0.16</c:v>
                </c:pt>
                <c:pt idx="16">
                  <c:v>0.17</c:v>
                </c:pt>
                <c:pt idx="17">
                  <c:v>0.18</c:v>
                </c:pt>
                <c:pt idx="18">
                  <c:v>0.19</c:v>
                </c:pt>
                <c:pt idx="19">
                  <c:v>0.2</c:v>
                </c:pt>
                <c:pt idx="20">
                  <c:v>0.21</c:v>
                </c:pt>
                <c:pt idx="21">
                  <c:v>0.22</c:v>
                </c:pt>
                <c:pt idx="22">
                  <c:v>0.23</c:v>
                </c:pt>
                <c:pt idx="23">
                  <c:v>0.24</c:v>
                </c:pt>
                <c:pt idx="24">
                  <c:v>0.25</c:v>
                </c:pt>
                <c:pt idx="25">
                  <c:v>0.26</c:v>
                </c:pt>
                <c:pt idx="26">
                  <c:v>0.27</c:v>
                </c:pt>
                <c:pt idx="27">
                  <c:v>0.28000000000000003</c:v>
                </c:pt>
                <c:pt idx="28">
                  <c:v>0.28999999999999998</c:v>
                </c:pt>
                <c:pt idx="29">
                  <c:v>0.3</c:v>
                </c:pt>
              </c:numCache>
            </c:numRef>
          </c:cat>
          <c:val>
            <c:numRef>
              <c:f>EGR!$S$70:$S$99</c:f>
              <c:numCache>
                <c:formatCode>General</c:formatCode>
                <c:ptCount val="30"/>
                <c:pt idx="0">
                  <c:v>1819.9538402249002</c:v>
                </c:pt>
                <c:pt idx="1">
                  <c:v>1472.5850012147559</c:v>
                </c:pt>
                <c:pt idx="2">
                  <c:v>1192.5039086668801</c:v>
                </c:pt>
                <c:pt idx="3">
                  <c:v>966.48433967184724</c:v>
                </c:pt>
                <c:pt idx="4">
                  <c:v>783.93821764104052</c:v>
                </c:pt>
                <c:pt idx="5">
                  <c:v>636.38089813380702</c:v>
                </c:pt>
                <c:pt idx="6">
                  <c:v>517.00786597095407</c:v>
                </c:pt>
                <c:pt idx="7">
                  <c:v>420.35718956009066</c:v>
                </c:pt>
                <c:pt idx="8">
                  <c:v>342.0406767848358</c:v>
                </c:pt>
                <c:pt idx="9">
                  <c:v>278.52977176387918</c:v>
                </c:pt>
                <c:pt idx="10">
                  <c:v>226.9847899322682</c:v>
                </c:pt>
                <c:pt idx="11">
                  <c:v>185.11856520677998</c:v>
                </c:pt>
                <c:pt idx="12">
                  <c:v>151.08739808944335</c:v>
                </c:pt>
                <c:pt idx="13">
                  <c:v>123.40375667633106</c:v>
                </c:pt>
                <c:pt idx="14">
                  <c:v>100.8666207342782</c:v>
                </c:pt>
                <c:pt idx="15">
                  <c:v>82.505423443574301</c:v>
                </c:pt>
                <c:pt idx="16">
                  <c:v>67.535258460315589</c:v>
                </c:pt>
                <c:pt idx="17">
                  <c:v>55.320857998865179</c:v>
                </c:pt>
                <c:pt idx="18">
                  <c:v>45.347634519981611</c:v>
                </c:pt>
                <c:pt idx="19">
                  <c:v>37.198478133077707</c:v>
                </c:pt>
                <c:pt idx="20">
                  <c:v>30.534977559081693</c:v>
                </c:pt>
                <c:pt idx="21">
                  <c:v>25.082422249503601</c:v>
                </c:pt>
                <c:pt idx="22">
                  <c:v>20.617603564171077</c:v>
                </c:pt>
                <c:pt idx="23">
                  <c:v>16.959031317171238</c:v>
                </c:pt>
                <c:pt idx="24">
                  <c:v>13.95904739476981</c:v>
                </c:pt>
                <c:pt idx="25">
                  <c:v>11.497403944105624</c:v>
                </c:pt>
                <c:pt idx="26">
                  <c:v>9.4761255829870237</c:v>
                </c:pt>
                <c:pt idx="27">
                  <c:v>7.8153130560724362</c:v>
                </c:pt>
                <c:pt idx="28">
                  <c:v>6.4497686346448404</c:v>
                </c:pt>
                <c:pt idx="29">
                  <c:v>5.3262530650967443</c:v>
                </c:pt>
              </c:numCache>
            </c:numRef>
          </c:val>
          <c:extLst>
            <c:ext xmlns:c16="http://schemas.microsoft.com/office/drawing/2014/chart" uri="{C3380CC4-5D6E-409C-BE32-E72D297353CC}">
              <c16:uniqueId val="{0000000A-A257-4778-9AE8-B51EA2CA5E99}"/>
            </c:ext>
          </c:extLst>
        </c:ser>
        <c:ser>
          <c:idx val="11"/>
          <c:order val="11"/>
          <c:tx>
            <c:v>0.65</c:v>
          </c:tx>
          <c:spPr>
            <a:solidFill>
              <a:schemeClr val="accent6">
                <a:lumMod val="60000"/>
              </a:schemeClr>
            </a:solidFill>
            <a:ln/>
            <a:effectLst/>
            <a:sp3d/>
          </c:spPr>
          <c:cat>
            <c:numRef>
              <c:f>EGR!$H$70:$H$99</c:f>
              <c:numCache>
                <c:formatCode>General</c:formatCode>
                <c:ptCount val="30"/>
                <c:pt idx="0">
                  <c:v>0.01</c:v>
                </c:pt>
                <c:pt idx="1">
                  <c:v>0.02</c:v>
                </c:pt>
                <c:pt idx="2">
                  <c:v>0.03</c:v>
                </c:pt>
                <c:pt idx="3">
                  <c:v>0.04</c:v>
                </c:pt>
                <c:pt idx="4">
                  <c:v>0.05</c:v>
                </c:pt>
                <c:pt idx="5">
                  <c:v>0.06</c:v>
                </c:pt>
                <c:pt idx="6">
                  <c:v>7.0000000000000007E-2</c:v>
                </c:pt>
                <c:pt idx="7">
                  <c:v>0.08</c:v>
                </c:pt>
                <c:pt idx="8">
                  <c:v>0.09</c:v>
                </c:pt>
                <c:pt idx="9">
                  <c:v>0.1</c:v>
                </c:pt>
                <c:pt idx="10">
                  <c:v>0.11</c:v>
                </c:pt>
                <c:pt idx="11">
                  <c:v>0.12</c:v>
                </c:pt>
                <c:pt idx="12">
                  <c:v>0.13</c:v>
                </c:pt>
                <c:pt idx="13">
                  <c:v>0.14000000000000001</c:v>
                </c:pt>
                <c:pt idx="14">
                  <c:v>0.15</c:v>
                </c:pt>
                <c:pt idx="15">
                  <c:v>0.16</c:v>
                </c:pt>
                <c:pt idx="16">
                  <c:v>0.17</c:v>
                </c:pt>
                <c:pt idx="17">
                  <c:v>0.18</c:v>
                </c:pt>
                <c:pt idx="18">
                  <c:v>0.19</c:v>
                </c:pt>
                <c:pt idx="19">
                  <c:v>0.2</c:v>
                </c:pt>
                <c:pt idx="20">
                  <c:v>0.21</c:v>
                </c:pt>
                <c:pt idx="21">
                  <c:v>0.22</c:v>
                </c:pt>
                <c:pt idx="22">
                  <c:v>0.23</c:v>
                </c:pt>
                <c:pt idx="23">
                  <c:v>0.24</c:v>
                </c:pt>
                <c:pt idx="24">
                  <c:v>0.25</c:v>
                </c:pt>
                <c:pt idx="25">
                  <c:v>0.26</c:v>
                </c:pt>
                <c:pt idx="26">
                  <c:v>0.27</c:v>
                </c:pt>
                <c:pt idx="27">
                  <c:v>0.28000000000000003</c:v>
                </c:pt>
                <c:pt idx="28">
                  <c:v>0.28999999999999998</c:v>
                </c:pt>
                <c:pt idx="29">
                  <c:v>0.3</c:v>
                </c:pt>
              </c:numCache>
            </c:numRef>
          </c:cat>
          <c:val>
            <c:numRef>
              <c:f>EGR!$T$70:$T$99</c:f>
              <c:numCache>
                <c:formatCode>General</c:formatCode>
                <c:ptCount val="30"/>
                <c:pt idx="0">
                  <c:v>468.62761575524831</c:v>
                </c:pt>
                <c:pt idx="1">
                  <c:v>375.89449127573079</c:v>
                </c:pt>
                <c:pt idx="2">
                  <c:v>301.77666515174855</c:v>
                </c:pt>
                <c:pt idx="3">
                  <c:v>242.483948693223</c:v>
                </c:pt>
                <c:pt idx="4">
                  <c:v>195.00879666531748</c:v>
                </c:pt>
                <c:pt idx="5">
                  <c:v>156.96233592708509</c:v>
                </c:pt>
                <c:pt idx="6">
                  <c:v>126.445403381601</c:v>
                </c:pt>
                <c:pt idx="7">
                  <c:v>101.94673102658386</c:v>
                </c:pt>
                <c:pt idx="8">
                  <c:v>82.26265373242785</c:v>
                </c:pt>
                <c:pt idx="9">
                  <c:v>66.43359869301888</c:v>
                </c:pt>
                <c:pt idx="10">
                  <c:v>53.693917850518964</c:v>
                </c:pt>
                <c:pt idx="11">
                  <c:v>43.43213981555769</c:v>
                </c:pt>
                <c:pt idx="12">
                  <c:v>35.159526163323804</c:v>
                </c:pt>
                <c:pt idx="13">
                  <c:v>28.485059022796165</c:v>
                </c:pt>
                <c:pt idx="14">
                  <c:v>23.095664956038952</c:v>
                </c:pt>
                <c:pt idx="15">
                  <c:v>18.740449290626415</c:v>
                </c:pt>
                <c:pt idx="16">
                  <c:v>15.218178701830862</c:v>
                </c:pt>
                <c:pt idx="17">
                  <c:v>12.367315768443895</c:v>
                </c:pt>
                <c:pt idx="18">
                  <c:v>10.058086476575536</c:v>
                </c:pt>
                <c:pt idx="19">
                  <c:v>8.1861482363196352</c:v>
                </c:pt>
                <c:pt idx="20">
                  <c:v>6.6675375158574752</c:v>
                </c:pt>
                <c:pt idx="21">
                  <c:v>5.4346306683418488</c:v>
                </c:pt>
                <c:pt idx="22">
                  <c:v>4.43292895276217</c:v>
                </c:pt>
                <c:pt idx="23">
                  <c:v>3.6184686672993509</c:v>
                </c:pt>
                <c:pt idx="24">
                  <c:v>2.9557632042112836</c:v>
                </c:pt>
                <c:pt idx="25">
                  <c:v>2.4161433486840855</c:v>
                </c:pt>
                <c:pt idx="26">
                  <c:v>1.9764294665699991</c:v>
                </c:pt>
                <c:pt idx="27">
                  <c:v>1.6178685184312271</c:v>
                </c:pt>
                <c:pt idx="28">
                  <c:v>1.3252747805967988</c:v>
                </c:pt>
                <c:pt idx="29">
                  <c:v>1.0863429900804111</c:v>
                </c:pt>
              </c:numCache>
            </c:numRef>
          </c:val>
          <c:extLst>
            <c:ext xmlns:c16="http://schemas.microsoft.com/office/drawing/2014/chart" uri="{C3380CC4-5D6E-409C-BE32-E72D297353CC}">
              <c16:uniqueId val="{0000000B-A257-4778-9AE8-B51EA2CA5E99}"/>
            </c:ext>
          </c:extLst>
        </c:ser>
        <c:ser>
          <c:idx val="12"/>
          <c:order val="12"/>
          <c:tx>
            <c:v>0.6</c:v>
          </c:tx>
          <c:spPr>
            <a:solidFill>
              <a:schemeClr val="accent1">
                <a:lumMod val="80000"/>
                <a:lumOff val="20000"/>
              </a:schemeClr>
            </a:solidFill>
            <a:ln/>
            <a:effectLst/>
            <a:sp3d/>
          </c:spPr>
          <c:cat>
            <c:numRef>
              <c:f>EGR!$H$70:$H$99</c:f>
              <c:numCache>
                <c:formatCode>General</c:formatCode>
                <c:ptCount val="30"/>
                <c:pt idx="0">
                  <c:v>0.01</c:v>
                </c:pt>
                <c:pt idx="1">
                  <c:v>0.02</c:v>
                </c:pt>
                <c:pt idx="2">
                  <c:v>0.03</c:v>
                </c:pt>
                <c:pt idx="3">
                  <c:v>0.04</c:v>
                </c:pt>
                <c:pt idx="4">
                  <c:v>0.05</c:v>
                </c:pt>
                <c:pt idx="5">
                  <c:v>0.06</c:v>
                </c:pt>
                <c:pt idx="6">
                  <c:v>7.0000000000000007E-2</c:v>
                </c:pt>
                <c:pt idx="7">
                  <c:v>0.08</c:v>
                </c:pt>
                <c:pt idx="8">
                  <c:v>0.09</c:v>
                </c:pt>
                <c:pt idx="9">
                  <c:v>0.1</c:v>
                </c:pt>
                <c:pt idx="10">
                  <c:v>0.11</c:v>
                </c:pt>
                <c:pt idx="11">
                  <c:v>0.12</c:v>
                </c:pt>
                <c:pt idx="12">
                  <c:v>0.13</c:v>
                </c:pt>
                <c:pt idx="13">
                  <c:v>0.14000000000000001</c:v>
                </c:pt>
                <c:pt idx="14">
                  <c:v>0.15</c:v>
                </c:pt>
                <c:pt idx="15">
                  <c:v>0.16</c:v>
                </c:pt>
                <c:pt idx="16">
                  <c:v>0.17</c:v>
                </c:pt>
                <c:pt idx="17">
                  <c:v>0.18</c:v>
                </c:pt>
                <c:pt idx="18">
                  <c:v>0.19</c:v>
                </c:pt>
                <c:pt idx="19">
                  <c:v>0.2</c:v>
                </c:pt>
                <c:pt idx="20">
                  <c:v>0.21</c:v>
                </c:pt>
                <c:pt idx="21">
                  <c:v>0.22</c:v>
                </c:pt>
                <c:pt idx="22">
                  <c:v>0.23</c:v>
                </c:pt>
                <c:pt idx="23">
                  <c:v>0.24</c:v>
                </c:pt>
                <c:pt idx="24">
                  <c:v>0.25</c:v>
                </c:pt>
                <c:pt idx="25">
                  <c:v>0.26</c:v>
                </c:pt>
                <c:pt idx="26">
                  <c:v>0.27</c:v>
                </c:pt>
                <c:pt idx="27">
                  <c:v>0.28000000000000003</c:v>
                </c:pt>
                <c:pt idx="28">
                  <c:v>0.28999999999999998</c:v>
                </c:pt>
                <c:pt idx="29">
                  <c:v>0.3</c:v>
                </c:pt>
              </c:numCache>
            </c:numRef>
          </c:cat>
          <c:val>
            <c:numRef>
              <c:f>EGR!$U$70:$U$99</c:f>
              <c:numCache>
                <c:formatCode>General</c:formatCode>
                <c:ptCount val="30"/>
                <c:pt idx="0">
                  <c:v>98.097761458547751</c:v>
                </c:pt>
                <c:pt idx="1">
                  <c:v>77.923164110192289</c:v>
                </c:pt>
                <c:pt idx="2">
                  <c:v>61.955802836629928</c:v>
                </c:pt>
                <c:pt idx="3">
                  <c:v>49.306178196954555</c:v>
                </c:pt>
                <c:pt idx="4">
                  <c:v>39.27539512799666</c:v>
                </c:pt>
                <c:pt idx="5">
                  <c:v>31.31377728407832</c:v>
                </c:pt>
                <c:pt idx="6">
                  <c:v>24.988628873111413</c:v>
                </c:pt>
                <c:pt idx="7">
                  <c:v>19.95893552470752</c:v>
                </c:pt>
                <c:pt idx="8">
                  <c:v>15.955730564488885</c:v>
                </c:pt>
                <c:pt idx="9">
                  <c:v>12.766641255856381</c:v>
                </c:pt>
                <c:pt idx="10">
                  <c:v>10.223830231946037</c:v>
                </c:pt>
                <c:pt idx="11">
                  <c:v>8.1945341955489628</c:v>
                </c:pt>
                <c:pt idx="12">
                  <c:v>6.5736248076613935</c:v>
                </c:pt>
                <c:pt idx="13">
                  <c:v>5.2777915252287766</c:v>
                </c:pt>
                <c:pt idx="14">
                  <c:v>4.2409481723530353</c:v>
                </c:pt>
                <c:pt idx="15">
                  <c:v>3.4106234737647374</c:v>
                </c:pt>
                <c:pt idx="16">
                  <c:v>2.7451205056489121</c:v>
                </c:pt>
                <c:pt idx="17">
                  <c:v>2.211276106441411</c:v>
                </c:pt>
                <c:pt idx="18">
                  <c:v>1.7826869330628408</c:v>
                </c:pt>
                <c:pt idx="19">
                  <c:v>1.4383177838857597</c:v>
                </c:pt>
                <c:pt idx="20">
                  <c:v>1.1613933532283536</c:v>
                </c:pt>
                <c:pt idx="21">
                  <c:v>0.93852451534817005</c:v>
                </c:pt>
                <c:pt idx="22">
                  <c:v>0.75901583454720434</c:v>
                </c:pt>
                <c:pt idx="23">
                  <c:v>0.61431618388610421</c:v>
                </c:pt>
                <c:pt idx="24">
                  <c:v>0.4975842854507424</c:v>
                </c:pt>
                <c:pt idx="25">
                  <c:v>0.40334034690544363</c:v>
                </c:pt>
                <c:pt idx="26">
                  <c:v>0.32719354254810212</c:v>
                </c:pt>
                <c:pt idx="27">
                  <c:v>0.26562142615958745</c:v>
                </c:pt>
                <c:pt idx="28">
                  <c:v>0.21579639332116721</c:v>
                </c:pt>
                <c:pt idx="29">
                  <c:v>0.17544678999416477</c:v>
                </c:pt>
              </c:numCache>
            </c:numRef>
          </c:val>
          <c:extLst>
            <c:ext xmlns:c16="http://schemas.microsoft.com/office/drawing/2014/chart" uri="{C3380CC4-5D6E-409C-BE32-E72D297353CC}">
              <c16:uniqueId val="{0000000C-A257-4778-9AE8-B51EA2CA5E99}"/>
            </c:ext>
          </c:extLst>
        </c:ser>
        <c:bandFmts>
          <c:bandFmt>
            <c:idx val="0"/>
            <c:spPr>
              <a:solidFill>
                <a:schemeClr val="accent1"/>
              </a:solidFill>
              <a:ln/>
              <a:effectLst/>
              <a:sp3d/>
            </c:spPr>
          </c:bandFmt>
          <c:bandFmt>
            <c:idx val="1"/>
            <c:spPr>
              <a:solidFill>
                <a:schemeClr val="accent2"/>
              </a:solidFill>
              <a:ln/>
              <a:effectLst/>
              <a:sp3d/>
            </c:spPr>
          </c:bandFmt>
          <c:bandFmt>
            <c:idx val="2"/>
            <c:spPr>
              <a:solidFill>
                <a:schemeClr val="accent3"/>
              </a:solidFill>
              <a:ln/>
              <a:effectLst/>
              <a:sp3d/>
            </c:spPr>
          </c:bandFmt>
          <c:bandFmt>
            <c:idx val="3"/>
            <c:spPr>
              <a:solidFill>
                <a:schemeClr val="accent4"/>
              </a:solidFill>
              <a:ln/>
              <a:effectLst/>
              <a:sp3d/>
            </c:spPr>
          </c:bandFmt>
          <c:bandFmt>
            <c:idx val="4"/>
            <c:spPr>
              <a:solidFill>
                <a:schemeClr val="accent5"/>
              </a:solidFill>
              <a:ln/>
              <a:effectLst/>
              <a:sp3d/>
            </c:spPr>
          </c:bandFmt>
          <c:bandFmt>
            <c:idx val="5"/>
            <c:spPr>
              <a:solidFill>
                <a:schemeClr val="accent6"/>
              </a:solidFill>
              <a:ln/>
              <a:effectLst/>
              <a:sp3d/>
            </c:spPr>
          </c:bandFmt>
          <c:bandFmt>
            <c:idx val="6"/>
            <c:spPr>
              <a:solidFill>
                <a:schemeClr val="accent1">
                  <a:lumMod val="60000"/>
                </a:schemeClr>
              </a:solidFill>
              <a:ln/>
              <a:effectLst/>
              <a:sp3d/>
            </c:spPr>
          </c:bandFmt>
          <c:bandFmt>
            <c:idx val="7"/>
            <c:spPr>
              <a:solidFill>
                <a:schemeClr val="accent2">
                  <a:lumMod val="60000"/>
                </a:schemeClr>
              </a:solidFill>
              <a:ln/>
              <a:effectLst/>
              <a:sp3d/>
            </c:spPr>
          </c:bandFmt>
          <c:bandFmt>
            <c:idx val="8"/>
            <c:spPr>
              <a:solidFill>
                <a:schemeClr val="accent3">
                  <a:lumMod val="60000"/>
                </a:schemeClr>
              </a:solidFill>
              <a:ln/>
              <a:effectLst/>
              <a:sp3d/>
            </c:spPr>
          </c:bandFmt>
          <c:bandFmt>
            <c:idx val="9"/>
            <c:spPr>
              <a:solidFill>
                <a:schemeClr val="accent4">
                  <a:lumMod val="60000"/>
                </a:schemeClr>
              </a:solidFill>
              <a:ln/>
              <a:effectLst/>
              <a:sp3d/>
            </c:spPr>
          </c:bandFmt>
          <c:bandFmt>
            <c:idx val="10"/>
            <c:spPr>
              <a:solidFill>
                <a:schemeClr val="accent5">
                  <a:lumMod val="60000"/>
                </a:schemeClr>
              </a:solidFill>
              <a:ln/>
              <a:effectLst/>
              <a:sp3d/>
            </c:spPr>
          </c:bandFmt>
          <c:bandFmt>
            <c:idx val="11"/>
            <c:spPr>
              <a:solidFill>
                <a:schemeClr val="accent6">
                  <a:lumMod val="60000"/>
                </a:schemeClr>
              </a:solidFill>
              <a:ln/>
              <a:effectLst/>
              <a:sp3d/>
            </c:spPr>
          </c:bandFmt>
          <c:bandFmt>
            <c:idx val="12"/>
            <c:spPr>
              <a:solidFill>
                <a:schemeClr val="accent1">
                  <a:lumMod val="80000"/>
                  <a:lumOff val="20000"/>
                </a:schemeClr>
              </a:solidFill>
              <a:ln/>
              <a:effectLst/>
              <a:sp3d/>
            </c:spPr>
          </c:bandFmt>
          <c:bandFmt>
            <c:idx val="13"/>
            <c:spPr>
              <a:solidFill>
                <a:schemeClr val="accent2">
                  <a:lumMod val="80000"/>
                  <a:lumOff val="20000"/>
                </a:schemeClr>
              </a:solidFill>
              <a:ln/>
              <a:effectLst/>
              <a:sp3d/>
            </c:spPr>
          </c:bandFmt>
          <c:bandFmt>
            <c:idx val="14"/>
            <c:spPr>
              <a:solidFill>
                <a:schemeClr val="accent3">
                  <a:lumMod val="80000"/>
                  <a:lumOff val="20000"/>
                </a:schemeClr>
              </a:solidFill>
              <a:ln/>
              <a:effectLst/>
              <a:sp3d/>
            </c:spPr>
          </c:bandFmt>
        </c:bandFmts>
        <c:axId val="486113264"/>
        <c:axId val="486115560"/>
        <c:axId val="551499200"/>
      </c:surface3DChart>
      <c:catAx>
        <c:axId val="4861132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EGR</a:t>
                </a:r>
              </a:p>
            </c:rich>
          </c:tx>
          <c:layout>
            <c:manualLayout>
              <c:xMode val="edge"/>
              <c:yMode val="edge"/>
              <c:x val="0.35723052933779648"/>
              <c:y val="0.76911462450078338"/>
            </c:manualLayout>
          </c:layout>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6115560"/>
        <c:crosses val="autoZero"/>
        <c:auto val="1"/>
        <c:lblAlgn val="ctr"/>
        <c:lblOffset val="100"/>
        <c:noMultiLvlLbl val="0"/>
      </c:catAx>
      <c:valAx>
        <c:axId val="4861155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NOx</a:t>
                </a:r>
                <a:r>
                  <a:rPr lang="en-GB" baseline="0"/>
                  <a:t> PPM</a:t>
                </a:r>
                <a:endParaRPr lang="en-GB"/>
              </a:p>
            </c:rich>
          </c:tx>
          <c:layout>
            <c:manualLayout>
              <c:xMode val="edge"/>
              <c:yMode val="edge"/>
              <c:x val="3.9176807444523981E-2"/>
              <c:y val="0.33513735754205159"/>
            </c:manualLayout>
          </c:layout>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6113264"/>
        <c:crosses val="autoZero"/>
        <c:crossBetween val="midCat"/>
      </c:valAx>
      <c:serAx>
        <c:axId val="551499200"/>
        <c:scaling>
          <c:orientation val="minMax"/>
        </c:scaling>
        <c:delete val="0"/>
        <c:axPos val="b"/>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Fuel Equivalence</a:t>
                </a:r>
                <a:r>
                  <a:rPr lang="en-GB" baseline="0"/>
                  <a:t> Ratio</a:t>
                </a:r>
                <a:endParaRPr lang="en-GB"/>
              </a:p>
            </c:rich>
          </c:tx>
          <c:layout>
            <c:manualLayout>
              <c:xMode val="edge"/>
              <c:yMode val="edge"/>
              <c:x val="0.86765211166785972"/>
              <c:y val="0.51997452715050374"/>
            </c:manualLayout>
          </c:layout>
          <c:overlay val="0"/>
          <c:spPr>
            <a:noFill/>
            <a:ln>
              <a:noFill/>
            </a:ln>
            <a:effectLst/>
          </c:spPr>
        </c:title>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6115560"/>
        <c:crosses val="autoZero"/>
      </c:serAx>
    </c:plotArea>
    <c:plotVisOnly val="1"/>
    <c:dispBlanksAs val="gap"/>
    <c:showDLblsOverMax val="0"/>
  </c:chart>
  <c:txPr>
    <a:bodyPr/>
    <a:lstStyle/>
    <a:p>
      <a:pPr>
        <a:defRPr/>
      </a:pPr>
      <a:endParaRPr lang="en-US"/>
    </a:p>
  </c:txPr>
  <c:externalData r:id="rId1">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102">
  <cs:axisTitle>
    <cs:lnRef idx="0"/>
    <cs:fillRef idx="0"/>
    <cs:effectRef idx="0"/>
    <cs:fontRef idx="minor">
      <a:schemeClr val="tx1"/>
    </cs:fontRef>
    <cs:defRPr sz="1000" b="1" kern="1200"/>
  </cs:axisTitle>
  <cs:categoryAxis>
    <cs:lnRef idx="1">
      <a:schemeClr val="tx1">
        <a:tint val="75000"/>
      </a:schemeClr>
    </cs:lnRef>
    <cs:fillRef idx="0"/>
    <cs:effectRef idx="0"/>
    <cs:fontRef idx="minor">
      <a:schemeClr val="tx1"/>
    </cs:fontRef>
    <cs:spPr>
      <a:ln>
        <a:round/>
      </a:ln>
    </cs:spPr>
    <cs:defRPr sz="1000" kern="1200"/>
  </cs:categoryAxis>
  <cs:chartArea mods="allowNoFillOverride allowNoLineOverride">
    <cs:lnRef idx="1">
      <a:schemeClr val="tx1">
        <a:tint val="75000"/>
      </a:schemeClr>
    </cs:lnRef>
    <cs:fillRef idx="1">
      <a:schemeClr val="bg1"/>
    </cs:fillRef>
    <cs:effectRef idx="0"/>
    <cs:fontRef idx="minor">
      <a:schemeClr val="tx1"/>
    </cs:fontRef>
    <cs:spPr>
      <a:ln>
        <a:round/>
      </a:ln>
    </cs:spPr>
    <cs:defRPr sz="1000" kern="1200"/>
  </cs:chartArea>
  <cs:dataLabel>
    <cs:lnRef idx="0"/>
    <cs:fillRef idx="0"/>
    <cs:effectRef idx="0"/>
    <cs:fontRef idx="minor">
      <a:schemeClr val="tx1"/>
    </cs:fontRef>
    <cs:defRPr sz="1000" kern="1200"/>
  </cs:dataLabel>
  <cs:dataLabelCallout>
    <cs:lnRef idx="0"/>
    <cs:fillRef idx="0"/>
    <cs:effectRef idx="0"/>
    <cs:fontRef idx="minor">
      <a:schemeClr val="dk1"/>
    </cs:fontRef>
    <cs:spPr>
      <a:solidFill>
        <a:schemeClr val="lt1"/>
      </a:solidFill>
      <a:ln>
        <a:solidFill>
          <a:schemeClr val="dk1">
            <a:lumMod val="65000"/>
            <a:lumOff val="35000"/>
          </a:schemeClr>
        </a:solidFill>
      </a:ln>
    </cs:spPr>
    <cs:defRPr sz="1000" kern="1200"/>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1">
      <cs:styleClr val="auto"/>
    </cs:lnRef>
    <cs:lineWidthScale>3</cs:lineWidthScale>
    <cs:fillRef idx="0"/>
    <cs:effectRef idx="0"/>
    <cs:fontRef idx="minor">
      <a:schemeClr val="tx1"/>
    </cs:fontRef>
    <cs:spPr>
      <a:ln cap="rnd">
        <a:round/>
      </a:ln>
    </cs:spPr>
  </cs:dataPointLine>
  <cs:dataPointMarker>
    <cs:lnRef idx="1">
      <cs:styleClr val="auto"/>
    </cs:lnRef>
    <cs:fillRef idx="1">
      <cs:styleClr val="auto"/>
    </cs:fillRef>
    <cs:effectRef idx="0"/>
    <cs:fontRef idx="minor">
      <a:schemeClr val="tx1"/>
    </cs:fontRef>
    <cs:spPr>
      <a:ln>
        <a:round/>
      </a:ln>
    </cs:spPr>
  </cs:dataPointMarker>
  <cs:dataPointMarkerLayout/>
  <cs:dataPointWireframe>
    <cs:lnRef idx="1">
      <cs:styleClr val="auto"/>
    </cs:lnRef>
    <cs:fillRef idx="0"/>
    <cs:effectRef idx="0"/>
    <cs:fontRef idx="minor">
      <a:schemeClr val="tx1"/>
    </cs:fontRef>
    <cs:spPr>
      <a:ln>
        <a:round/>
      </a:ln>
    </cs:spPr>
  </cs:dataPointWireframe>
  <cs:dataTable>
    <cs:lnRef idx="1">
      <a:schemeClr val="tx1">
        <a:tint val="75000"/>
      </a:schemeClr>
    </cs:lnRef>
    <cs:fillRef idx="0"/>
    <cs:effectRef idx="0"/>
    <cs:fontRef idx="minor">
      <a:schemeClr val="tx1"/>
    </cs:fontRef>
    <cs:spPr>
      <a:ln>
        <a:round/>
      </a:ln>
    </cs:spPr>
    <cs:defRPr sz="1000" kern="1200"/>
  </cs:dataTable>
  <cs:downBar>
    <cs:lnRef idx="1">
      <a:schemeClr val="tx1"/>
    </cs:lnRef>
    <cs:fillRef idx="1">
      <a:schemeClr val="dk1">
        <a:tint val="95000"/>
      </a:schemeClr>
    </cs:fillRef>
    <cs:effectRef idx="0"/>
    <cs:fontRef idx="minor">
      <a:schemeClr val="tx1"/>
    </cs:fontRef>
    <cs:spPr>
      <a:ln>
        <a:round/>
      </a:ln>
    </cs:spPr>
  </cs:downBar>
  <cs:dropLine>
    <cs:lnRef idx="1">
      <a:schemeClr val="tx1"/>
    </cs:lnRef>
    <cs:fillRef idx="0"/>
    <cs:effectRef idx="0"/>
    <cs:fontRef idx="minor">
      <a:schemeClr val="tx1"/>
    </cs:fontRef>
    <cs:spPr>
      <a:ln>
        <a:round/>
      </a:ln>
    </cs:spPr>
  </cs:dropLine>
  <cs:errorBar>
    <cs:lnRef idx="1">
      <a:schemeClr val="tx1"/>
    </cs:lnRef>
    <cs:fillRef idx="1">
      <a:schemeClr val="tx1"/>
    </cs:fillRef>
    <cs:effectRef idx="0"/>
    <cs:fontRef idx="minor">
      <a:schemeClr val="tx1"/>
    </cs:fontRef>
    <cs:spPr>
      <a:ln>
        <a:round/>
      </a:ln>
    </cs:spPr>
  </cs:errorBar>
  <cs:floor>
    <cs:lnRef idx="1">
      <a:schemeClr val="tx1">
        <a:tint val="75000"/>
      </a:schemeClr>
    </cs:lnRef>
    <cs:fillRef idx="0"/>
    <cs:effectRef idx="0"/>
    <cs:fontRef idx="minor">
      <a:schemeClr val="tx1"/>
    </cs:fontRef>
    <cs:spPr>
      <a:ln>
        <a:round/>
      </a:ln>
    </cs:spPr>
  </cs:floor>
  <cs:gridlineMajor>
    <cs:lnRef idx="1">
      <a:schemeClr val="tx1">
        <a:tint val="75000"/>
      </a:schemeClr>
    </cs:lnRef>
    <cs:fillRef idx="0"/>
    <cs:effectRef idx="0"/>
    <cs:fontRef idx="minor">
      <a:schemeClr val="tx1"/>
    </cs:fontRef>
    <cs:spPr>
      <a:ln>
        <a:round/>
      </a:ln>
    </cs:spPr>
  </cs:gridlineMajor>
  <cs:gridlineMinor>
    <cs:lnRef idx="1">
      <a:schemeClr val="tx1">
        <a:tint val="50000"/>
      </a:schemeClr>
    </cs:lnRef>
    <cs:fillRef idx="0"/>
    <cs:effectRef idx="0"/>
    <cs:fontRef idx="minor">
      <a:schemeClr val="tx1"/>
    </cs:fontRef>
    <cs:spPr>
      <a:ln>
        <a:round/>
      </a:ln>
    </cs:spPr>
  </cs:gridlineMinor>
  <cs:hiLoLine>
    <cs:lnRef idx="1">
      <a:schemeClr val="tx1"/>
    </cs:lnRef>
    <cs:fillRef idx="0"/>
    <cs:effectRef idx="0"/>
    <cs:fontRef idx="minor">
      <a:schemeClr val="tx1"/>
    </cs:fontRef>
    <cs:spPr>
      <a:ln>
        <a:round/>
      </a:ln>
    </cs:spPr>
  </cs:hiLoLine>
  <cs:leaderLine>
    <cs:lnRef idx="1">
      <a:schemeClr val="tx1"/>
    </cs:lnRef>
    <cs:fillRef idx="0"/>
    <cs:effectRef idx="0"/>
    <cs:fontRef idx="minor">
      <a:schemeClr val="tx1"/>
    </cs:fontRef>
    <cs:spPr>
      <a:ln>
        <a:round/>
      </a:ln>
    </cs:spPr>
  </cs:leaderLine>
  <cs:legend>
    <cs:lnRef idx="0"/>
    <cs:fillRef idx="0"/>
    <cs:effectRef idx="0"/>
    <cs:fontRef idx="minor">
      <a:schemeClr val="tx1"/>
    </cs:fontRef>
    <cs:defRPr sz="1000" kern="1200"/>
  </cs:legend>
  <cs:plotArea mods="allowNoFillOverride allowNoLineOverride">
    <cs:lnRef idx="0"/>
    <cs:fillRef idx="1">
      <a:schemeClr val="bg1"/>
    </cs:fillRef>
    <cs:effectRef idx="0"/>
    <cs:fontRef idx="minor">
      <a:schemeClr val="tx1"/>
    </cs:fontRef>
  </cs:plotArea>
  <cs:plotArea3D>
    <cs:lnRef idx="0"/>
    <cs:fillRef idx="0"/>
    <cs:effectRef idx="0"/>
    <cs:fontRef idx="minor">
      <a:schemeClr val="tx1"/>
    </cs:fontRef>
  </cs:plotArea3D>
  <cs:seriesAxis>
    <cs:lnRef idx="1">
      <a:schemeClr val="tx1">
        <a:tint val="75000"/>
      </a:schemeClr>
    </cs:lnRef>
    <cs:fillRef idx="0"/>
    <cs:effectRef idx="0"/>
    <cs:fontRef idx="minor">
      <a:schemeClr val="tx1"/>
    </cs:fontRef>
    <cs:spPr>
      <a:ln>
        <a:round/>
      </a:ln>
    </cs:spPr>
    <cs:defRPr sz="1000" kern="1200"/>
  </cs:seriesAxis>
  <cs:seriesLine>
    <cs:lnRef idx="1">
      <a:schemeClr val="tx1"/>
    </cs:lnRef>
    <cs:fillRef idx="0"/>
    <cs:effectRef idx="0"/>
    <cs:fontRef idx="minor">
      <a:schemeClr val="tx1"/>
    </cs:fontRef>
    <cs:spPr>
      <a:ln>
        <a:round/>
      </a:ln>
    </cs:spPr>
  </cs:seriesLine>
  <cs:title>
    <cs:lnRef idx="0"/>
    <cs:fillRef idx="0"/>
    <cs:effectRef idx="0"/>
    <cs:fontRef idx="minor">
      <a:schemeClr val="tx1"/>
    </cs:fontRef>
    <cs:defRPr sz="1800" b="1" kern="1200"/>
  </cs:title>
  <cs:trendline>
    <cs:lnRef idx="1">
      <a:schemeClr val="tx1"/>
    </cs:lnRef>
    <cs:fillRef idx="0"/>
    <cs:effectRef idx="0"/>
    <cs:fontRef idx="minor">
      <a:schemeClr val="tx1"/>
    </cs:fontRef>
    <cs:spPr>
      <a:ln cap="rnd">
        <a:round/>
      </a:ln>
    </cs:spPr>
  </cs:trendline>
  <cs:trendlineLabel>
    <cs:lnRef idx="0"/>
    <cs:fillRef idx="0"/>
    <cs:effectRef idx="0"/>
    <cs:fontRef idx="minor">
      <a:schemeClr val="tx1"/>
    </cs:fontRef>
    <cs:defRPr sz="1000" kern="1200"/>
  </cs:trendlineLabel>
  <cs:upBar>
    <cs:lnRef idx="1">
      <a:schemeClr val="tx1"/>
    </cs:lnRef>
    <cs:fillRef idx="1">
      <a:schemeClr val="dk1">
        <a:tint val="5000"/>
      </a:schemeClr>
    </cs:fillRef>
    <cs:effectRef idx="0"/>
    <cs:fontRef idx="minor">
      <a:schemeClr val="tx1"/>
    </cs:fontRef>
    <cs:spPr>
      <a:ln>
        <a:round/>
      </a:ln>
    </cs:spPr>
  </cs:upBar>
  <cs:valueAxis>
    <cs:lnRef idx="1">
      <a:schemeClr val="tx1">
        <a:tint val="75000"/>
      </a:schemeClr>
    </cs:lnRef>
    <cs:fillRef idx="0"/>
    <cs:effectRef idx="0"/>
    <cs:fontRef idx="minor">
      <a:schemeClr val="tx1"/>
    </cs:fontRef>
    <cs:spPr>
      <a:ln>
        <a:round/>
      </a:ln>
    </cs:spPr>
    <cs:defRPr sz="10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102">
  <cs:axisTitle>
    <cs:lnRef idx="0"/>
    <cs:fillRef idx="0"/>
    <cs:effectRef idx="0"/>
    <cs:fontRef idx="minor">
      <a:schemeClr val="tx1"/>
    </cs:fontRef>
    <cs:defRPr sz="1000" b="1" kern="1200"/>
  </cs:axisTitle>
  <cs:categoryAxis>
    <cs:lnRef idx="1">
      <a:schemeClr val="tx1">
        <a:tint val="75000"/>
      </a:schemeClr>
    </cs:lnRef>
    <cs:fillRef idx="0"/>
    <cs:effectRef idx="0"/>
    <cs:fontRef idx="minor">
      <a:schemeClr val="tx1"/>
    </cs:fontRef>
    <cs:spPr>
      <a:ln>
        <a:round/>
      </a:ln>
    </cs:spPr>
    <cs:defRPr sz="1000" kern="1200"/>
  </cs:categoryAxis>
  <cs:chartArea mods="allowNoFillOverride allowNoLineOverride">
    <cs:lnRef idx="1">
      <a:schemeClr val="tx1">
        <a:tint val="75000"/>
      </a:schemeClr>
    </cs:lnRef>
    <cs:fillRef idx="1">
      <a:schemeClr val="bg1"/>
    </cs:fillRef>
    <cs:effectRef idx="0"/>
    <cs:fontRef idx="minor">
      <a:schemeClr val="tx1"/>
    </cs:fontRef>
    <cs:spPr>
      <a:ln>
        <a:round/>
      </a:ln>
    </cs:spPr>
    <cs:defRPr sz="1000" kern="1200"/>
  </cs:chartArea>
  <cs:dataLabel>
    <cs:lnRef idx="0"/>
    <cs:fillRef idx="0"/>
    <cs:effectRef idx="0"/>
    <cs:fontRef idx="minor">
      <a:schemeClr val="tx1"/>
    </cs:fontRef>
    <cs:defRPr sz="1000" kern="1200"/>
  </cs:dataLabel>
  <cs:dataLabelCallout>
    <cs:lnRef idx="0"/>
    <cs:fillRef idx="0"/>
    <cs:effectRef idx="0"/>
    <cs:fontRef idx="minor">
      <a:schemeClr val="dk1"/>
    </cs:fontRef>
    <cs:spPr>
      <a:solidFill>
        <a:schemeClr val="lt1"/>
      </a:solidFill>
      <a:ln>
        <a:solidFill>
          <a:schemeClr val="dk1">
            <a:lumMod val="65000"/>
            <a:lumOff val="35000"/>
          </a:schemeClr>
        </a:solidFill>
      </a:ln>
    </cs:spPr>
    <cs:defRPr sz="1000" kern="1200"/>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1">
      <cs:styleClr val="auto"/>
    </cs:lnRef>
    <cs:lineWidthScale>3</cs:lineWidthScale>
    <cs:fillRef idx="0"/>
    <cs:effectRef idx="0"/>
    <cs:fontRef idx="minor">
      <a:schemeClr val="tx1"/>
    </cs:fontRef>
    <cs:spPr>
      <a:ln cap="rnd">
        <a:round/>
      </a:ln>
    </cs:spPr>
  </cs:dataPointLine>
  <cs:dataPointMarker>
    <cs:lnRef idx="1">
      <cs:styleClr val="auto"/>
    </cs:lnRef>
    <cs:fillRef idx="1">
      <cs:styleClr val="auto"/>
    </cs:fillRef>
    <cs:effectRef idx="0"/>
    <cs:fontRef idx="minor">
      <a:schemeClr val="tx1"/>
    </cs:fontRef>
    <cs:spPr>
      <a:ln>
        <a:round/>
      </a:ln>
    </cs:spPr>
  </cs:dataPointMarker>
  <cs:dataPointMarkerLayout/>
  <cs:dataPointWireframe>
    <cs:lnRef idx="1">
      <cs:styleClr val="auto"/>
    </cs:lnRef>
    <cs:fillRef idx="0"/>
    <cs:effectRef idx="0"/>
    <cs:fontRef idx="minor">
      <a:schemeClr val="tx1"/>
    </cs:fontRef>
    <cs:spPr>
      <a:ln>
        <a:round/>
      </a:ln>
    </cs:spPr>
  </cs:dataPointWireframe>
  <cs:dataTable>
    <cs:lnRef idx="1">
      <a:schemeClr val="tx1">
        <a:tint val="75000"/>
      </a:schemeClr>
    </cs:lnRef>
    <cs:fillRef idx="0"/>
    <cs:effectRef idx="0"/>
    <cs:fontRef idx="minor">
      <a:schemeClr val="tx1"/>
    </cs:fontRef>
    <cs:spPr>
      <a:ln>
        <a:round/>
      </a:ln>
    </cs:spPr>
    <cs:defRPr sz="1000" kern="1200"/>
  </cs:dataTable>
  <cs:downBar>
    <cs:lnRef idx="1">
      <a:schemeClr val="tx1"/>
    </cs:lnRef>
    <cs:fillRef idx="1">
      <a:schemeClr val="dk1">
        <a:tint val="95000"/>
      </a:schemeClr>
    </cs:fillRef>
    <cs:effectRef idx="0"/>
    <cs:fontRef idx="minor">
      <a:schemeClr val="tx1"/>
    </cs:fontRef>
    <cs:spPr>
      <a:ln>
        <a:round/>
      </a:ln>
    </cs:spPr>
  </cs:downBar>
  <cs:dropLine>
    <cs:lnRef idx="1">
      <a:schemeClr val="tx1"/>
    </cs:lnRef>
    <cs:fillRef idx="0"/>
    <cs:effectRef idx="0"/>
    <cs:fontRef idx="minor">
      <a:schemeClr val="tx1"/>
    </cs:fontRef>
    <cs:spPr>
      <a:ln>
        <a:round/>
      </a:ln>
    </cs:spPr>
  </cs:dropLine>
  <cs:errorBar>
    <cs:lnRef idx="1">
      <a:schemeClr val="tx1"/>
    </cs:lnRef>
    <cs:fillRef idx="1">
      <a:schemeClr val="tx1"/>
    </cs:fillRef>
    <cs:effectRef idx="0"/>
    <cs:fontRef idx="minor">
      <a:schemeClr val="tx1"/>
    </cs:fontRef>
    <cs:spPr>
      <a:ln>
        <a:round/>
      </a:ln>
    </cs:spPr>
  </cs:errorBar>
  <cs:floor>
    <cs:lnRef idx="1">
      <a:schemeClr val="tx1">
        <a:tint val="75000"/>
      </a:schemeClr>
    </cs:lnRef>
    <cs:fillRef idx="0"/>
    <cs:effectRef idx="0"/>
    <cs:fontRef idx="minor">
      <a:schemeClr val="tx1"/>
    </cs:fontRef>
    <cs:spPr>
      <a:ln>
        <a:round/>
      </a:ln>
    </cs:spPr>
  </cs:floor>
  <cs:gridlineMajor>
    <cs:lnRef idx="1">
      <a:schemeClr val="tx1">
        <a:tint val="75000"/>
      </a:schemeClr>
    </cs:lnRef>
    <cs:fillRef idx="0"/>
    <cs:effectRef idx="0"/>
    <cs:fontRef idx="minor">
      <a:schemeClr val="tx1"/>
    </cs:fontRef>
    <cs:spPr>
      <a:ln>
        <a:round/>
      </a:ln>
    </cs:spPr>
  </cs:gridlineMajor>
  <cs:gridlineMinor>
    <cs:lnRef idx="1">
      <a:schemeClr val="tx1">
        <a:tint val="50000"/>
      </a:schemeClr>
    </cs:lnRef>
    <cs:fillRef idx="0"/>
    <cs:effectRef idx="0"/>
    <cs:fontRef idx="minor">
      <a:schemeClr val="tx1"/>
    </cs:fontRef>
    <cs:spPr>
      <a:ln>
        <a:round/>
      </a:ln>
    </cs:spPr>
  </cs:gridlineMinor>
  <cs:hiLoLine>
    <cs:lnRef idx="1">
      <a:schemeClr val="tx1"/>
    </cs:lnRef>
    <cs:fillRef idx="0"/>
    <cs:effectRef idx="0"/>
    <cs:fontRef idx="minor">
      <a:schemeClr val="tx1"/>
    </cs:fontRef>
    <cs:spPr>
      <a:ln>
        <a:round/>
      </a:ln>
    </cs:spPr>
  </cs:hiLoLine>
  <cs:leaderLine>
    <cs:lnRef idx="1">
      <a:schemeClr val="tx1"/>
    </cs:lnRef>
    <cs:fillRef idx="0"/>
    <cs:effectRef idx="0"/>
    <cs:fontRef idx="minor">
      <a:schemeClr val="tx1"/>
    </cs:fontRef>
    <cs:spPr>
      <a:ln>
        <a:round/>
      </a:ln>
    </cs:spPr>
  </cs:leaderLine>
  <cs:legend>
    <cs:lnRef idx="0"/>
    <cs:fillRef idx="0"/>
    <cs:effectRef idx="0"/>
    <cs:fontRef idx="minor">
      <a:schemeClr val="tx1"/>
    </cs:fontRef>
    <cs:defRPr sz="1000" kern="1200"/>
  </cs:legend>
  <cs:plotArea mods="allowNoFillOverride allowNoLineOverride">
    <cs:lnRef idx="0"/>
    <cs:fillRef idx="1">
      <a:schemeClr val="bg1"/>
    </cs:fillRef>
    <cs:effectRef idx="0"/>
    <cs:fontRef idx="minor">
      <a:schemeClr val="tx1"/>
    </cs:fontRef>
  </cs:plotArea>
  <cs:plotArea3D>
    <cs:lnRef idx="0"/>
    <cs:fillRef idx="0"/>
    <cs:effectRef idx="0"/>
    <cs:fontRef idx="minor">
      <a:schemeClr val="tx1"/>
    </cs:fontRef>
  </cs:plotArea3D>
  <cs:seriesAxis>
    <cs:lnRef idx="1">
      <a:schemeClr val="tx1">
        <a:tint val="75000"/>
      </a:schemeClr>
    </cs:lnRef>
    <cs:fillRef idx="0"/>
    <cs:effectRef idx="0"/>
    <cs:fontRef idx="minor">
      <a:schemeClr val="tx1"/>
    </cs:fontRef>
    <cs:spPr>
      <a:ln>
        <a:round/>
      </a:ln>
    </cs:spPr>
    <cs:defRPr sz="1000" kern="1200"/>
  </cs:seriesAxis>
  <cs:seriesLine>
    <cs:lnRef idx="1">
      <a:schemeClr val="tx1"/>
    </cs:lnRef>
    <cs:fillRef idx="0"/>
    <cs:effectRef idx="0"/>
    <cs:fontRef idx="minor">
      <a:schemeClr val="tx1"/>
    </cs:fontRef>
    <cs:spPr>
      <a:ln>
        <a:round/>
      </a:ln>
    </cs:spPr>
  </cs:seriesLine>
  <cs:title>
    <cs:lnRef idx="0"/>
    <cs:fillRef idx="0"/>
    <cs:effectRef idx="0"/>
    <cs:fontRef idx="minor">
      <a:schemeClr val="tx1"/>
    </cs:fontRef>
    <cs:defRPr sz="1800" b="1" kern="1200"/>
  </cs:title>
  <cs:trendline>
    <cs:lnRef idx="1">
      <a:schemeClr val="tx1"/>
    </cs:lnRef>
    <cs:fillRef idx="0"/>
    <cs:effectRef idx="0"/>
    <cs:fontRef idx="minor">
      <a:schemeClr val="tx1"/>
    </cs:fontRef>
    <cs:spPr>
      <a:ln cap="rnd">
        <a:round/>
      </a:ln>
    </cs:spPr>
  </cs:trendline>
  <cs:trendlineLabel>
    <cs:lnRef idx="0"/>
    <cs:fillRef idx="0"/>
    <cs:effectRef idx="0"/>
    <cs:fontRef idx="minor">
      <a:schemeClr val="tx1"/>
    </cs:fontRef>
    <cs:defRPr sz="1000" kern="1200"/>
  </cs:trendlineLabel>
  <cs:upBar>
    <cs:lnRef idx="1">
      <a:schemeClr val="tx1"/>
    </cs:lnRef>
    <cs:fillRef idx="1">
      <a:schemeClr val="dk1">
        <a:tint val="5000"/>
      </a:schemeClr>
    </cs:fillRef>
    <cs:effectRef idx="0"/>
    <cs:fontRef idx="minor">
      <a:schemeClr val="tx1"/>
    </cs:fontRef>
    <cs:spPr>
      <a:ln>
        <a:round/>
      </a:ln>
    </cs:spPr>
  </cs:upBar>
  <cs:valueAxis>
    <cs:lnRef idx="1">
      <a:schemeClr val="tx1">
        <a:tint val="75000"/>
      </a:schemeClr>
    </cs:lnRef>
    <cs:fillRef idx="0"/>
    <cs:effectRef idx="0"/>
    <cs:fontRef idx="minor">
      <a:schemeClr val="tx1"/>
    </cs:fontRef>
    <cs:spPr>
      <a:ln>
        <a:round/>
      </a:ln>
    </cs:spPr>
    <cs:defRPr sz="10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A0002AEF" w:usb1="4000207B" w:usb2="00000000" w:usb3="00000000" w:csb0="000001FF" w:csb1="00000000"/>
  </w:font>
  <w:font w:name="Lucida Grande">
    <w:charset w:val="00"/>
    <w:family w:val="auto"/>
    <w:pitch w:val="variable"/>
    <w:sig w:usb0="00000003" w:usb1="00000000" w:usb2="00000000" w:usb3="00000000" w:csb0="00000001" w:csb1="00000000"/>
  </w:font>
  <w:font w:name="MS Mincho">
    <w:altName w:val="Yu Gothic"/>
    <w:panose1 w:val="02020609040205080304"/>
    <w:charset w:val="80"/>
    <w:family w:val="roman"/>
    <w:notTrueType/>
    <w:pitch w:val="fixed"/>
    <w:sig w:usb0="00000001" w:usb1="08070000" w:usb2="00000010" w:usb3="00000000" w:csb0="00020000"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4CA4"/>
    <w:rsid w:val="00644C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44CA4"/>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Col01</b:Tag>
    <b:SourceType>BookSection</b:SourceType>
    <b:Guid>{DD951460-4209-401C-BE4C-8FA841ECF454}</b:Guid>
    <b:Title>Internal Combustion Engines</b:Title>
    <b:Year>2001</b:Year>
    <b:Author>
      <b:Author>
        <b:NameList>
          <b:Person>
            <b:Last>Colin R Ferguson</b:Last>
            <b:First>Allan</b:First>
            <b:Middle>T Kirkpatrick</b:Middle>
          </b:Person>
        </b:NameList>
      </b:Author>
      <b:BookAuthor>
        <b:NameList>
          <b:Person>
            <b:Last>Colin R Ferguson</b:Last>
            <b:First>Allan</b:First>
            <b:Middle>T Kirkpatrick</b:Middle>
          </b:Person>
        </b:NameList>
      </b:BookAuthor>
    </b:Author>
    <b:BookTitle>Internal Combustion Engines</b:BookTitle>
    <b:Pages>280</b:Pages>
    <b:City>New York</b:City>
    <b:Publisher>John Wiley &amp; Sons, Inc</b:Publisher>
    <b:RefOrder>3</b:RefOrder>
  </b:Source>
  <b:Source>
    <b:Tag>Rob07</b:Tag>
    <b:SourceType>BookSection</b:SourceType>
    <b:Guid>{79D7360C-174A-4D7D-900C-61067CA945C4}</b:Guid>
    <b:Author>
      <b:Author>
        <b:Corporate>Robert Bosch GmbH</b:Corporate>
      </b:Author>
      <b:BookAuthor>
        <b:NameList>
          <b:Person>
            <b:Last>GmbH</b:Last>
            <b:First>Robert</b:First>
            <b:Middle>Bosch</b:Middle>
          </b:Person>
        </b:NameList>
      </b:BookAuthor>
    </b:Author>
    <b:Title>Automotive Handbook 7th Edition</b:Title>
    <b:Year>2007</b:Year>
    <b:BookTitle>Automotive Handbook 7th Edition</b:BookTitle>
    <b:Pages>469</b:Pages>
    <b:City>Postfach</b:City>
    <b:Publisher>Automotive Handbook 7th Edition</b:Publisher>
    <b:RefOrder>5</b:RefOrder>
  </b:Source>
  <b:Source>
    <b:Tag>Joh88</b:Tag>
    <b:SourceType>Book</b:SourceType>
    <b:Guid>{E0A1CBF9-EF6A-4C63-8A02-628355019057}</b:Guid>
    <b:Author>
      <b:Author>
        <b:NameList>
          <b:Person>
            <b:Last>Heywood</b:Last>
            <b:First>John</b:First>
            <b:Middle>B</b:Middle>
          </b:Person>
        </b:NameList>
      </b:Author>
    </b:Author>
    <b:Title>Internal Combustion Engine Fundamentals</b:Title>
    <b:Year>1988</b:Year>
    <b:City>New Dehli</b:City>
    <b:Publisher>McGraw Hill Education (India) Private Limited</b:Publisher>
    <b:Edition>15th</b:Edition>
    <b:RefOrder>1</b:RefOrder>
  </b:Source>
  <b:Source>
    <b:Tag>Ste06</b:Tag>
    <b:SourceType>Book</b:SourceType>
    <b:Guid>{091CC3D1-065C-4119-A3A6-5C0886C2CDEE}</b:Guid>
    <b:Title>Thermodynamics</b:Title>
    <b:Year>2006</b:Year>
    <b:Author>
      <b:Author>
        <b:NameList>
          <b:Person>
            <b:Last>Turns</b:Last>
            <b:First>Stephen</b:First>
            <b:Middle>R</b:Middle>
          </b:Person>
        </b:NameList>
      </b:Author>
    </b:Author>
    <b:City>Cambridge</b:City>
    <b:Publisher>Cambridge University Press</b:Publisher>
    <b:RefOrder>2</b:RefOrder>
  </b:Source>
  <b:Source>
    <b:Tag>Mcd17</b:Tag>
    <b:SourceType>Misc</b:SourceType>
    <b:Guid>{64ADD1BC-B85B-430A-B505-6898220FF21E}</b:Guid>
    <b:Title>Powertrain and Sustainability</b:Title>
    <b:Year>2017</b:Year>
    <b:Author>
      <b:Author>
        <b:NameList>
          <b:Person>
            <b:Last>Mcdonald</b:Last>
            <b:First>Malcolm</b:First>
          </b:Person>
        </b:NameList>
      </b:Author>
    </b:Author>
    <b:RefOrder>4</b:RefOrder>
  </b:Source>
</b:Sources>
</file>

<file path=customXml/itemProps1.xml><?xml version="1.0" encoding="utf-8"?>
<ds:datastoreItem xmlns:ds="http://schemas.openxmlformats.org/officeDocument/2006/customXml" ds:itemID="{6D174326-E2F2-44F1-AF77-9049E99A0F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1212</TotalTime>
  <Pages>40</Pages>
  <Words>4307</Words>
  <Characters>24550</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 Bristow</dc:creator>
  <cp:keywords/>
  <dc:description/>
  <cp:lastModifiedBy>Phillip Bristow (P144394)</cp:lastModifiedBy>
  <cp:revision>24</cp:revision>
  <dcterms:created xsi:type="dcterms:W3CDTF">2018-01-06T13:33:00Z</dcterms:created>
  <dcterms:modified xsi:type="dcterms:W3CDTF">2018-01-11T14:56:00Z</dcterms:modified>
</cp:coreProperties>
</file>