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F5E61BF" w14:textId="39A267F8" w:rsidR="007D6052" w:rsidRDefault="007D6052" w:rsidP="007D6052">
      <w:pPr>
        <w:jc w:val="center"/>
        <w:rPr>
          <w:rFonts w:hint="eastAsia"/>
        </w:rPr>
      </w:pPr>
      <w:r>
        <w:rPr>
          <w:noProof/>
        </w:rPr>
        <w:drawing>
          <wp:inline distT="0" distB="0" distL="0" distR="0" wp14:anchorId="267B571C" wp14:editId="64C9819F">
            <wp:extent cx="2156460" cy="989965"/>
            <wp:effectExtent l="0" t="0" r="0" b="635"/>
            <wp:docPr id="1" name="Picture 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5">
                      <a:extLst>
                        <a:ext uri="{28A0092B-C50C-407E-A947-70E740481C1C}">
                          <a14:useLocalDpi xmlns:a14="http://schemas.microsoft.com/office/drawing/2010/main" val="0"/>
                        </a:ext>
                      </a:extLst>
                    </a:blip>
                    <a:stretch>
                      <a:fillRect/>
                    </a:stretch>
                  </pic:blipFill>
                  <pic:spPr>
                    <a:xfrm>
                      <a:off x="0" y="0"/>
                      <a:ext cx="2156460" cy="989965"/>
                    </a:xfrm>
                    <a:prstGeom prst="rect">
                      <a:avLst/>
                    </a:prstGeom>
                  </pic:spPr>
                </pic:pic>
              </a:graphicData>
            </a:graphic>
          </wp:inline>
        </w:drawing>
      </w:r>
    </w:p>
    <w:p w14:paraId="6F9717F2" w14:textId="77777777" w:rsidR="007D6052" w:rsidRDefault="007D6052">
      <w:pPr>
        <w:rPr>
          <w:rFonts w:hint="eastAsia"/>
        </w:rPr>
      </w:pPr>
    </w:p>
    <w:p w14:paraId="1CD96899" w14:textId="77777777" w:rsidR="007D6052" w:rsidRDefault="007D6052">
      <w:pPr>
        <w:rPr>
          <w:rFonts w:hint="eastAsia"/>
        </w:rPr>
      </w:pPr>
    </w:p>
    <w:p w14:paraId="1F3FCDBA" w14:textId="77777777" w:rsidR="007D6052" w:rsidRDefault="007D6052" w:rsidP="007D6052">
      <w:pPr>
        <w:jc w:val="center"/>
        <w:rPr>
          <w:rFonts w:ascii="Arial" w:hAnsi="Arial" w:cs="Arial"/>
          <w:color w:val="242424"/>
          <w:sz w:val="36"/>
          <w:szCs w:val="36"/>
          <w:shd w:val="clear" w:color="auto" w:fill="FFFFFF"/>
        </w:rPr>
      </w:pPr>
      <w:r w:rsidRPr="00797C70">
        <w:rPr>
          <w:rFonts w:ascii="Arial" w:hAnsi="Arial" w:cs="Arial"/>
          <w:color w:val="242424"/>
          <w:sz w:val="36"/>
          <w:szCs w:val="36"/>
          <w:shd w:val="clear" w:color="auto" w:fill="FFFFFF"/>
        </w:rPr>
        <w:t>Anna Marie Smith</w:t>
      </w:r>
    </w:p>
    <w:p w14:paraId="6DC411AA" w14:textId="77777777" w:rsidR="007D6052" w:rsidRPr="000E368B" w:rsidRDefault="007D6052" w:rsidP="007D6052">
      <w:pPr>
        <w:jc w:val="center"/>
        <w:rPr>
          <w:rFonts w:ascii="Arial" w:hAnsi="Arial" w:cs="Arial"/>
          <w:sz w:val="36"/>
          <w:szCs w:val="36"/>
        </w:rPr>
      </w:pPr>
      <w:r w:rsidRPr="000E368B">
        <w:rPr>
          <w:rFonts w:ascii="Arial" w:hAnsi="Arial" w:cs="Arial"/>
          <w:sz w:val="36"/>
          <w:szCs w:val="36"/>
        </w:rPr>
        <w:t xml:space="preserve">Strategic Management and Sustainability </w:t>
      </w:r>
    </w:p>
    <w:p w14:paraId="15E69056" w14:textId="77777777" w:rsidR="007D6052" w:rsidRDefault="007D6052" w:rsidP="007D6052">
      <w:pPr>
        <w:jc w:val="center"/>
        <w:rPr>
          <w:rFonts w:ascii="Arial" w:hAnsi="Arial" w:cs="Arial"/>
          <w:sz w:val="36"/>
          <w:szCs w:val="36"/>
        </w:rPr>
      </w:pPr>
      <w:r w:rsidRPr="00797C70">
        <w:rPr>
          <w:rFonts w:ascii="Arial" w:hAnsi="Arial" w:cs="Arial"/>
          <w:sz w:val="36"/>
          <w:szCs w:val="36"/>
        </w:rPr>
        <w:t>University of Wales Trinity Saint David</w:t>
      </w:r>
    </w:p>
    <w:p w14:paraId="493BE42C" w14:textId="77777777" w:rsidR="007D6052" w:rsidRDefault="007D6052" w:rsidP="007D6052">
      <w:pPr>
        <w:jc w:val="center"/>
        <w:rPr>
          <w:rFonts w:ascii="Arial" w:hAnsi="Arial" w:cs="Arial"/>
          <w:sz w:val="36"/>
          <w:szCs w:val="36"/>
        </w:rPr>
      </w:pPr>
      <w:r>
        <w:rPr>
          <w:rFonts w:ascii="Arial" w:hAnsi="Arial" w:cs="Arial"/>
          <w:sz w:val="36"/>
          <w:szCs w:val="36"/>
        </w:rPr>
        <w:t>2</w:t>
      </w:r>
      <w:r w:rsidRPr="000E368B">
        <w:rPr>
          <w:rFonts w:ascii="Arial" w:hAnsi="Arial" w:cs="Arial"/>
          <w:sz w:val="36"/>
          <w:szCs w:val="36"/>
          <w:vertAlign w:val="superscript"/>
        </w:rPr>
        <w:t>nd</w:t>
      </w:r>
      <w:r>
        <w:rPr>
          <w:rFonts w:ascii="Arial" w:hAnsi="Arial" w:cs="Arial"/>
          <w:sz w:val="36"/>
          <w:szCs w:val="36"/>
        </w:rPr>
        <w:t xml:space="preserve"> March 2026</w:t>
      </w:r>
    </w:p>
    <w:p w14:paraId="04AB703C" w14:textId="77777777" w:rsidR="007D6052" w:rsidRDefault="007D6052">
      <w:pPr>
        <w:rPr>
          <w:rFonts w:hint="eastAsia"/>
        </w:rPr>
      </w:pPr>
    </w:p>
    <w:p w14:paraId="21F11486" w14:textId="77777777" w:rsidR="007D6052" w:rsidRDefault="007D6052" w:rsidP="007D6052">
      <w:pPr>
        <w:rPr>
          <w:rFonts w:ascii="Arial" w:hAnsi="Arial" w:cs="Arial"/>
          <w:b/>
          <w:bCs/>
        </w:rPr>
      </w:pPr>
    </w:p>
    <w:p w14:paraId="61CF2B2B" w14:textId="77777777" w:rsidR="007D6052" w:rsidRDefault="007D6052" w:rsidP="007D6052">
      <w:pPr>
        <w:rPr>
          <w:rFonts w:ascii="Arial" w:hAnsi="Arial" w:cs="Arial"/>
          <w:b/>
          <w:bCs/>
        </w:rPr>
      </w:pPr>
    </w:p>
    <w:p w14:paraId="22683A01" w14:textId="77777777" w:rsidR="007D6052" w:rsidRDefault="007D6052" w:rsidP="007D6052">
      <w:pPr>
        <w:rPr>
          <w:rFonts w:ascii="Arial" w:hAnsi="Arial" w:cs="Arial"/>
          <w:b/>
          <w:bCs/>
        </w:rPr>
      </w:pPr>
    </w:p>
    <w:p w14:paraId="18DFAD4A" w14:textId="77777777" w:rsidR="007D6052" w:rsidRDefault="007D6052" w:rsidP="007D6052">
      <w:pPr>
        <w:rPr>
          <w:rFonts w:ascii="Arial" w:hAnsi="Arial" w:cs="Arial"/>
          <w:b/>
          <w:bCs/>
        </w:rPr>
      </w:pPr>
    </w:p>
    <w:p w14:paraId="3B5FEC13" w14:textId="77777777" w:rsidR="007D6052" w:rsidRDefault="007D6052" w:rsidP="007D6052">
      <w:pPr>
        <w:rPr>
          <w:rFonts w:ascii="Arial" w:hAnsi="Arial" w:cs="Arial"/>
          <w:b/>
          <w:bCs/>
        </w:rPr>
      </w:pPr>
    </w:p>
    <w:p w14:paraId="446B6803" w14:textId="77777777" w:rsidR="007D6052" w:rsidRDefault="007D6052" w:rsidP="007D6052">
      <w:pPr>
        <w:rPr>
          <w:rFonts w:ascii="Arial" w:hAnsi="Arial" w:cs="Arial"/>
          <w:b/>
          <w:bCs/>
        </w:rPr>
      </w:pPr>
    </w:p>
    <w:p w14:paraId="07EA31BA" w14:textId="77777777" w:rsidR="00ED1C2D" w:rsidRDefault="00ED1C2D" w:rsidP="007D6052">
      <w:pPr>
        <w:rPr>
          <w:rFonts w:ascii="Arial" w:hAnsi="Arial" w:cs="Arial"/>
          <w:b/>
          <w:bCs/>
        </w:rPr>
      </w:pPr>
    </w:p>
    <w:p w14:paraId="2CD36534" w14:textId="77777777" w:rsidR="00ED1C2D" w:rsidRDefault="00ED1C2D" w:rsidP="007D6052">
      <w:pPr>
        <w:rPr>
          <w:rFonts w:ascii="Arial" w:hAnsi="Arial" w:cs="Arial"/>
          <w:b/>
          <w:bCs/>
        </w:rPr>
      </w:pPr>
    </w:p>
    <w:p w14:paraId="1CE2A2C5" w14:textId="77777777" w:rsidR="00ED1C2D" w:rsidRDefault="00ED1C2D" w:rsidP="007D6052">
      <w:pPr>
        <w:rPr>
          <w:rFonts w:ascii="Arial" w:hAnsi="Arial" w:cs="Arial"/>
          <w:b/>
          <w:bCs/>
        </w:rPr>
      </w:pPr>
    </w:p>
    <w:p w14:paraId="1B71DE27" w14:textId="77777777" w:rsidR="00ED1C2D" w:rsidRDefault="00ED1C2D" w:rsidP="007D6052">
      <w:pPr>
        <w:rPr>
          <w:rFonts w:ascii="Arial" w:hAnsi="Arial" w:cs="Arial"/>
          <w:b/>
          <w:bCs/>
        </w:rPr>
      </w:pPr>
    </w:p>
    <w:p w14:paraId="740773A0" w14:textId="77777777" w:rsidR="00ED1C2D" w:rsidRDefault="00ED1C2D" w:rsidP="007D6052">
      <w:pPr>
        <w:rPr>
          <w:rFonts w:ascii="Arial" w:hAnsi="Arial" w:cs="Arial"/>
          <w:b/>
          <w:bCs/>
        </w:rPr>
      </w:pPr>
    </w:p>
    <w:p w14:paraId="572BB5E3" w14:textId="77777777" w:rsidR="00ED1C2D" w:rsidRDefault="00ED1C2D" w:rsidP="007D6052">
      <w:pPr>
        <w:rPr>
          <w:rFonts w:ascii="Arial" w:hAnsi="Arial" w:cs="Arial"/>
          <w:b/>
          <w:bCs/>
        </w:rPr>
      </w:pPr>
    </w:p>
    <w:p w14:paraId="343E3FE4" w14:textId="77777777" w:rsidR="00ED1C2D" w:rsidRDefault="00ED1C2D" w:rsidP="007D6052">
      <w:pPr>
        <w:rPr>
          <w:rFonts w:ascii="Arial" w:hAnsi="Arial" w:cs="Arial"/>
          <w:b/>
          <w:bCs/>
        </w:rPr>
      </w:pPr>
    </w:p>
    <w:p w14:paraId="711E3251" w14:textId="77777777" w:rsidR="00ED1C2D" w:rsidRDefault="00ED1C2D" w:rsidP="007D6052">
      <w:pPr>
        <w:rPr>
          <w:rFonts w:ascii="Arial" w:hAnsi="Arial" w:cs="Arial"/>
          <w:b/>
          <w:bCs/>
        </w:rPr>
      </w:pPr>
    </w:p>
    <w:p w14:paraId="644158F1" w14:textId="4C1BEC86" w:rsidR="00ED1C2D" w:rsidRDefault="00ED1C2D" w:rsidP="7635BE05">
      <w:pPr>
        <w:rPr>
          <w:rFonts w:ascii="Arial" w:hAnsi="Arial" w:cs="Arial"/>
          <w:b/>
          <w:bCs/>
        </w:rPr>
      </w:pPr>
    </w:p>
    <w:p w14:paraId="2406D0AB" w14:textId="2C20E9E0" w:rsidR="7635BE05" w:rsidRDefault="7635BE05" w:rsidP="7635BE05">
      <w:pPr>
        <w:rPr>
          <w:rFonts w:ascii="Arial" w:hAnsi="Arial" w:cs="Arial"/>
          <w:b/>
          <w:bCs/>
        </w:rPr>
      </w:pPr>
    </w:p>
    <w:p w14:paraId="5AA0697C" w14:textId="77777777" w:rsidR="00414293" w:rsidRDefault="00414293" w:rsidP="7635BE05">
      <w:pPr>
        <w:rPr>
          <w:rFonts w:ascii="Arial" w:eastAsia="Arial" w:hAnsi="Arial" w:cs="Arial"/>
          <w:b/>
          <w:bCs/>
        </w:rPr>
      </w:pPr>
    </w:p>
    <w:p w14:paraId="12A3C219" w14:textId="1615BA7F" w:rsidR="007D6052" w:rsidRDefault="04EC8F01" w:rsidP="00D97871">
      <w:pPr>
        <w:spacing w:line="360" w:lineRule="auto"/>
        <w:rPr>
          <w:rFonts w:ascii="Arial" w:eastAsia="Arial" w:hAnsi="Arial" w:cs="Arial"/>
          <w:b/>
          <w:bCs/>
        </w:rPr>
      </w:pPr>
      <w:r w:rsidRPr="7635BE05">
        <w:rPr>
          <w:rFonts w:ascii="Arial" w:eastAsia="Arial" w:hAnsi="Arial" w:cs="Arial"/>
          <w:b/>
          <w:bCs/>
        </w:rPr>
        <w:lastRenderedPageBreak/>
        <w:t xml:space="preserve">Executive Summary </w:t>
      </w:r>
    </w:p>
    <w:p w14:paraId="1165F485" w14:textId="1B92AFD2" w:rsidR="00E85990" w:rsidRPr="001102AD" w:rsidRDefault="00E85990" w:rsidP="00D97871">
      <w:pPr>
        <w:spacing w:line="360" w:lineRule="auto"/>
        <w:rPr>
          <w:rFonts w:ascii="Segoe UI" w:eastAsia="Times New Roman" w:hAnsi="Segoe UI" w:cs="Segoe UI"/>
          <w:kern w:val="0"/>
          <w:sz w:val="21"/>
          <w:szCs w:val="21"/>
          <w:lang w:eastAsia="en-GB"/>
          <w14:ligatures w14:val="none"/>
        </w:rPr>
      </w:pPr>
      <w:r w:rsidRPr="00E85990">
        <w:rPr>
          <w:rFonts w:ascii="Arial" w:hAnsi="Arial" w:cs="Arial"/>
        </w:rPr>
        <w:t xml:space="preserve">This report evaluates the strategic position of Veterans NHS Wales (VNHSW), the national specialist mental health service supporting veterans across Wales. </w:t>
      </w:r>
      <w:r w:rsidR="001102AD" w:rsidRPr="001102AD">
        <w:rPr>
          <w:rFonts w:ascii="Arial" w:eastAsia="Times New Roman" w:hAnsi="Arial" w:cs="Arial"/>
          <w:kern w:val="0"/>
          <w:lang w:eastAsia="en-GB"/>
          <w14:ligatures w14:val="none"/>
        </w:rPr>
        <w:t>External analysis using PESTEL and Porter’s Five Forces highlights rising mental</w:t>
      </w:r>
      <w:r w:rsidR="001102AD" w:rsidRPr="001102AD">
        <w:rPr>
          <w:rFonts w:ascii="Arial" w:eastAsia="Times New Roman" w:hAnsi="Arial" w:cs="Arial"/>
          <w:kern w:val="0"/>
          <w:lang w:eastAsia="en-GB"/>
          <w14:ligatures w14:val="none"/>
        </w:rPr>
        <w:noBreakHyphen/>
        <w:t>health demand, digital inequality, workforce shortages, and political expectations linked to the Armed Forces Covenant.</w:t>
      </w:r>
      <w:r w:rsidR="001102AD">
        <w:rPr>
          <w:rFonts w:ascii="Arial" w:eastAsia="Times New Roman" w:hAnsi="Arial" w:cs="Arial"/>
          <w:kern w:val="0"/>
          <w:lang w:eastAsia="en-GB"/>
          <w14:ligatures w14:val="none"/>
        </w:rPr>
        <w:t xml:space="preserve"> </w:t>
      </w:r>
      <w:r w:rsidRPr="00E85990">
        <w:rPr>
          <w:rFonts w:ascii="Arial" w:hAnsi="Arial" w:cs="Arial"/>
        </w:rPr>
        <w:t>Internal analysis through the Resource</w:t>
      </w:r>
      <w:r w:rsidRPr="00E85990">
        <w:rPr>
          <w:rFonts w:ascii="Arial" w:hAnsi="Arial" w:cs="Arial"/>
        </w:rPr>
        <w:noBreakHyphen/>
        <w:t>Based View (RBV), Value Chain and SWOT/TOWS identifies VNHSW’s rare specialist expertise and strong partnership network as core strengths, contrasted with structural vulnerabilities created by single</w:t>
      </w:r>
      <w:r w:rsidRPr="00E85990">
        <w:rPr>
          <w:rFonts w:ascii="Arial" w:hAnsi="Arial" w:cs="Arial"/>
        </w:rPr>
        <w:noBreakHyphen/>
        <w:t>clinician regional coverage and rising demand.</w:t>
      </w:r>
    </w:p>
    <w:p w14:paraId="2FB2A9BA" w14:textId="52246580" w:rsidR="007D6052" w:rsidRPr="00E85990" w:rsidRDefault="00E85990" w:rsidP="00D97871">
      <w:pPr>
        <w:pStyle w:val="NormalWeb"/>
        <w:spacing w:line="360" w:lineRule="auto"/>
        <w:rPr>
          <w:rFonts w:ascii="Arial" w:hAnsi="Arial" w:cs="Arial"/>
        </w:rPr>
      </w:pPr>
      <w:r w:rsidRPr="00E85990">
        <w:rPr>
          <w:rFonts w:ascii="Arial" w:hAnsi="Arial" w:cs="Arial"/>
        </w:rPr>
        <w:t>VNHSW’s focused differentiation strategy offers unique value through specialist clinician expertise and a hybrid delivery model. However, sustaining this position requires strengthening workforce resilience, improving digital inclusion, and embedding sustainability across operational design. Recommendations include regional workforce pooling, enhanced digital support, strengthened third</w:t>
      </w:r>
      <w:r w:rsidRPr="00E85990">
        <w:rPr>
          <w:rFonts w:ascii="Arial" w:hAnsi="Arial" w:cs="Arial"/>
        </w:rPr>
        <w:noBreakHyphen/>
        <w:t>sector partnerships, and structured sustainability planning. The report concludes that long</w:t>
      </w:r>
      <w:r w:rsidRPr="00E85990">
        <w:rPr>
          <w:rFonts w:ascii="Arial" w:hAnsi="Arial" w:cs="Arial"/>
        </w:rPr>
        <w:noBreakHyphen/>
        <w:t>term strategic viability depends on integrating sustainability, capability development, and partnership governance into VNHSW’s core strategy.</w:t>
      </w:r>
    </w:p>
    <w:p w14:paraId="29D470E2" w14:textId="2E52F2A7" w:rsidR="7635BE05" w:rsidRDefault="7635BE05" w:rsidP="00D97871">
      <w:pPr>
        <w:spacing w:line="360" w:lineRule="auto"/>
        <w:rPr>
          <w:rFonts w:ascii="Arial" w:eastAsia="Arial" w:hAnsi="Arial" w:cs="Arial"/>
          <w:b/>
          <w:bCs/>
        </w:rPr>
      </w:pPr>
    </w:p>
    <w:p w14:paraId="3D7CA676" w14:textId="74F648E4" w:rsidR="00B66EA1" w:rsidRPr="007D6052" w:rsidRDefault="24ABAD73" w:rsidP="00D97871">
      <w:pPr>
        <w:spacing w:line="360" w:lineRule="auto"/>
        <w:rPr>
          <w:rFonts w:ascii="Arial" w:eastAsia="Arial" w:hAnsi="Arial" w:cs="Arial"/>
          <w:b/>
          <w:bCs/>
        </w:rPr>
      </w:pPr>
      <w:r w:rsidRPr="7635BE05">
        <w:rPr>
          <w:rFonts w:ascii="Arial" w:eastAsia="Arial" w:hAnsi="Arial" w:cs="Arial"/>
          <w:b/>
          <w:bCs/>
        </w:rPr>
        <w:t>Introduction</w:t>
      </w:r>
    </w:p>
    <w:p w14:paraId="375A60BE" w14:textId="77777777" w:rsidR="009A7641" w:rsidRPr="009A7641" w:rsidRDefault="009A7641" w:rsidP="00D97871">
      <w:pPr>
        <w:pStyle w:val="NormalWeb"/>
        <w:spacing w:line="360" w:lineRule="auto"/>
        <w:rPr>
          <w:rFonts w:ascii="Arial" w:hAnsi="Arial" w:cs="Arial"/>
        </w:rPr>
      </w:pPr>
      <w:r w:rsidRPr="009A7641">
        <w:rPr>
          <w:rFonts w:ascii="Arial" w:hAnsi="Arial" w:cs="Arial"/>
        </w:rPr>
        <w:t>Veterans NHS Wales (VNHSW) is the national specialist mental health service supporting former Armed Forces personnel across all Welsh Health Boards. It provides assessment, psychological therapies and medication review for conditions such as PTSD, anxiety and depression (GOV.UK, 2026). As a national pathway, it delivers hybrid care across rural and urban areas, balancing accessibility with clinical quality.</w:t>
      </w:r>
    </w:p>
    <w:p w14:paraId="213E3D48" w14:textId="77777777" w:rsidR="009A7641" w:rsidRPr="009A7641" w:rsidRDefault="009A7641" w:rsidP="00D97871">
      <w:pPr>
        <w:pStyle w:val="NormalWeb"/>
        <w:spacing w:line="360" w:lineRule="auto"/>
        <w:rPr>
          <w:rFonts w:ascii="Arial" w:hAnsi="Arial" w:cs="Arial"/>
        </w:rPr>
      </w:pPr>
      <w:r w:rsidRPr="009A7641">
        <w:rPr>
          <w:rFonts w:ascii="Arial" w:hAnsi="Arial" w:cs="Arial"/>
        </w:rPr>
        <w:t>VNHSW is strategically significant because it operates in a constrained public</w:t>
      </w:r>
      <w:r w:rsidRPr="009A7641">
        <w:rPr>
          <w:rFonts w:ascii="Arial" w:hAnsi="Arial" w:cs="Arial"/>
        </w:rPr>
        <w:noBreakHyphen/>
        <w:t xml:space="preserve">sector context where NHS Wales faces rising demand, workforce shortages and regional variation in capacity (Nuffield Trust, 2025). Its remit is further shaped by expectations under the Armed Forces Covenant, which emphasises equitable access to veteran services (MOD, 2025). Growing referrals, limited specialist workforce capacity and </w:t>
      </w:r>
      <w:r w:rsidRPr="009A7641">
        <w:rPr>
          <w:rFonts w:ascii="Arial" w:hAnsi="Arial" w:cs="Arial"/>
        </w:rPr>
        <w:lastRenderedPageBreak/>
        <w:t>digital exclusion create operational pressures that require a coordinated strategic response.</w:t>
      </w:r>
    </w:p>
    <w:p w14:paraId="6BC1A7FA" w14:textId="77777777" w:rsidR="009A7641" w:rsidRPr="009A7641" w:rsidRDefault="009A7641" w:rsidP="00D97871">
      <w:pPr>
        <w:pStyle w:val="NormalWeb"/>
        <w:spacing w:line="360" w:lineRule="auto"/>
        <w:rPr>
          <w:rFonts w:ascii="Arial" w:hAnsi="Arial" w:cs="Arial"/>
        </w:rPr>
      </w:pPr>
      <w:r w:rsidRPr="009A7641">
        <w:rPr>
          <w:rFonts w:ascii="Arial" w:hAnsi="Arial" w:cs="Arial"/>
        </w:rPr>
        <w:t>Given its national remit, specialist expertise and integrated third</w:t>
      </w:r>
      <w:r w:rsidRPr="009A7641">
        <w:rPr>
          <w:rFonts w:ascii="Arial" w:hAnsi="Arial" w:cs="Arial"/>
        </w:rPr>
        <w:noBreakHyphen/>
        <w:t>sector partnerships, VNHSW provides a valuable case for analysing how public</w:t>
      </w:r>
      <w:r w:rsidRPr="009A7641">
        <w:rPr>
          <w:rFonts w:ascii="Arial" w:hAnsi="Arial" w:cs="Arial"/>
        </w:rPr>
        <w:noBreakHyphen/>
        <w:t>sector organisations manage strategic capability, competitive positioning and sustainability. The following external analysis explores the wider forces shaping VNHSW’s environment and sets the context for examining its internal capabilities.</w:t>
      </w:r>
    </w:p>
    <w:p w14:paraId="66FB0362" w14:textId="77777777" w:rsidR="00E85990" w:rsidRPr="00E85990" w:rsidRDefault="00E85990" w:rsidP="00D97871">
      <w:pPr>
        <w:pStyle w:val="NormalWeb"/>
        <w:spacing w:line="360" w:lineRule="auto"/>
        <w:rPr>
          <w:rFonts w:ascii="Arial" w:hAnsi="Arial" w:cs="Arial"/>
        </w:rPr>
      </w:pPr>
    </w:p>
    <w:p w14:paraId="048C26F5" w14:textId="727546B0" w:rsidR="007D6052" w:rsidRDefault="04EC8F01" w:rsidP="00D97871">
      <w:pPr>
        <w:spacing w:line="360" w:lineRule="auto"/>
        <w:rPr>
          <w:rFonts w:ascii="Arial" w:eastAsia="Arial" w:hAnsi="Arial" w:cs="Arial"/>
          <w:b/>
          <w:bCs/>
        </w:rPr>
      </w:pPr>
      <w:r w:rsidRPr="7635BE05">
        <w:rPr>
          <w:rFonts w:ascii="Arial" w:eastAsia="Arial" w:hAnsi="Arial" w:cs="Arial"/>
          <w:b/>
          <w:bCs/>
        </w:rPr>
        <w:t>2. External Analysis of Veterans NHS Wales</w:t>
      </w:r>
    </w:p>
    <w:p w14:paraId="57CD2392" w14:textId="77777777" w:rsidR="007D6052" w:rsidRPr="007D6052" w:rsidRDefault="04EC8F01" w:rsidP="00D97871">
      <w:pPr>
        <w:spacing w:line="360" w:lineRule="auto"/>
        <w:rPr>
          <w:rFonts w:ascii="Arial" w:eastAsia="Arial" w:hAnsi="Arial" w:cs="Arial"/>
          <w:b/>
          <w:bCs/>
        </w:rPr>
      </w:pPr>
      <w:r w:rsidRPr="7635BE05">
        <w:rPr>
          <w:rFonts w:ascii="Arial" w:eastAsia="Arial" w:hAnsi="Arial" w:cs="Arial"/>
          <w:b/>
          <w:bCs/>
        </w:rPr>
        <w:t>PESTEL Analysis</w:t>
      </w:r>
    </w:p>
    <w:p w14:paraId="51220E04" w14:textId="77777777" w:rsidR="00DB1144" w:rsidRDefault="04EC8F01" w:rsidP="00D97871">
      <w:pPr>
        <w:spacing w:line="360" w:lineRule="auto"/>
        <w:rPr>
          <w:rFonts w:ascii="Arial" w:eastAsia="Arial" w:hAnsi="Arial" w:cs="Arial"/>
          <w:b/>
          <w:bCs/>
        </w:rPr>
      </w:pPr>
      <w:r w:rsidRPr="7635BE05">
        <w:rPr>
          <w:rFonts w:ascii="Arial" w:eastAsia="Arial" w:hAnsi="Arial" w:cs="Arial"/>
          <w:b/>
          <w:bCs/>
        </w:rPr>
        <w:t xml:space="preserve">Political </w:t>
      </w:r>
    </w:p>
    <w:p w14:paraId="4FC5EA59" w14:textId="0D2CE113" w:rsidR="009A7641" w:rsidRDefault="009A7641" w:rsidP="00D97871">
      <w:pPr>
        <w:spacing w:after="0" w:line="360" w:lineRule="auto"/>
        <w:rPr>
          <w:rFonts w:ascii="Arial" w:eastAsia="Times New Roman" w:hAnsi="Arial" w:cs="Arial"/>
          <w:kern w:val="0"/>
          <w:lang w:eastAsia="en-GB"/>
          <w14:ligatures w14:val="none"/>
        </w:rPr>
      </w:pPr>
      <w:r w:rsidRPr="009A7641">
        <w:rPr>
          <w:rFonts w:ascii="Arial" w:eastAsia="Times New Roman" w:hAnsi="Arial" w:cs="Arial"/>
          <w:kern w:val="0"/>
          <w:lang w:eastAsia="en-GB"/>
          <w14:ligatures w14:val="none"/>
        </w:rPr>
        <w:t>VNHSW operates under the Armed Forces Covenant, which emphasises fair access to health services for veterans (MOD, 2025). Differences in Health Board priorities may create inconsistency without strong national alignment (Welsh Government, 2024).</w:t>
      </w:r>
    </w:p>
    <w:p w14:paraId="7EA71926" w14:textId="24258E04" w:rsidR="00DB1144" w:rsidRDefault="04EC8F01" w:rsidP="00D97871">
      <w:pPr>
        <w:spacing w:before="100" w:beforeAutospacing="1" w:after="100" w:afterAutospacing="1" w:line="360" w:lineRule="auto"/>
        <w:rPr>
          <w:rFonts w:ascii="Arial" w:eastAsia="Arial" w:hAnsi="Arial" w:cs="Arial"/>
        </w:rPr>
      </w:pPr>
      <w:r w:rsidRPr="7635BE05">
        <w:rPr>
          <w:rFonts w:ascii="Arial" w:eastAsia="Arial" w:hAnsi="Arial" w:cs="Arial"/>
          <w:b/>
          <w:bCs/>
          <w:kern w:val="0"/>
          <w14:ligatures w14:val="none"/>
        </w:rPr>
        <w:t>Economic</w:t>
      </w:r>
      <w:r w:rsidRPr="7635BE05">
        <w:rPr>
          <w:rFonts w:ascii="Arial" w:eastAsia="Arial" w:hAnsi="Arial" w:cs="Arial"/>
          <w:kern w:val="0"/>
          <w14:ligatures w14:val="none"/>
        </w:rPr>
        <w:t xml:space="preserve"> </w:t>
      </w:r>
    </w:p>
    <w:p w14:paraId="1ECB2E32" w14:textId="0BCF392F" w:rsidR="00285AD6" w:rsidRDefault="00285AD6" w:rsidP="00D97871">
      <w:pPr>
        <w:spacing w:after="0" w:line="360" w:lineRule="auto"/>
        <w:rPr>
          <w:rFonts w:ascii="Arial" w:eastAsia="Times New Roman" w:hAnsi="Arial" w:cs="Arial"/>
          <w:kern w:val="0"/>
          <w:lang w:eastAsia="en-GB"/>
          <w14:ligatures w14:val="none"/>
        </w:rPr>
      </w:pPr>
      <w:r w:rsidRPr="00285AD6">
        <w:rPr>
          <w:rFonts w:ascii="Arial" w:eastAsia="Times New Roman" w:hAnsi="Arial" w:cs="Arial"/>
          <w:kern w:val="0"/>
          <w:lang w:eastAsia="en-GB"/>
          <w14:ligatures w14:val="none"/>
        </w:rPr>
        <w:t>VNHSW is affected by NHS Wales’s financial pressures, where constrained budgets limit capacity expansion despite rising demand (Nuffield Trust, 2025). As the only military</w:t>
      </w:r>
      <w:r w:rsidRPr="00285AD6">
        <w:rPr>
          <w:rFonts w:ascii="Arial" w:eastAsia="Times New Roman" w:hAnsi="Arial" w:cs="Arial"/>
          <w:kern w:val="0"/>
          <w:lang w:eastAsia="en-GB"/>
          <w14:ligatures w14:val="none"/>
        </w:rPr>
        <w:noBreakHyphen/>
        <w:t>specific pathway, it functions in a quasi</w:t>
      </w:r>
      <w:r w:rsidRPr="00285AD6">
        <w:rPr>
          <w:rFonts w:ascii="Arial" w:eastAsia="Times New Roman" w:hAnsi="Arial" w:cs="Arial"/>
          <w:kern w:val="0"/>
          <w:lang w:eastAsia="en-GB"/>
          <w14:ligatures w14:val="none"/>
        </w:rPr>
        <w:noBreakHyphen/>
        <w:t>monopoly market (Mankiw, 2021). Demand is price inelastic, meaning veterans seek care regardless of access challenges, increasing pressure on limited resources (</w:t>
      </w:r>
      <w:proofErr w:type="spellStart"/>
      <w:r w:rsidRPr="00285AD6">
        <w:rPr>
          <w:rFonts w:ascii="Arial" w:eastAsia="Times New Roman" w:hAnsi="Arial" w:cs="Arial"/>
          <w:kern w:val="0"/>
          <w:lang w:eastAsia="en-GB"/>
          <w14:ligatures w14:val="none"/>
        </w:rPr>
        <w:t>Sloman</w:t>
      </w:r>
      <w:proofErr w:type="spellEnd"/>
      <w:r w:rsidRPr="00285AD6">
        <w:rPr>
          <w:rFonts w:ascii="Arial" w:eastAsia="Times New Roman" w:hAnsi="Arial" w:cs="Arial"/>
          <w:kern w:val="0"/>
          <w:lang w:eastAsia="en-GB"/>
          <w14:ligatures w14:val="none"/>
        </w:rPr>
        <w:t xml:space="preserve"> et al., 2020). Workforce shortages across the UK further intensify this mismatch between supply and demand (NHS Confederation, 2024). These pressures highlight the need for VNHSW to adopt scalable, resource</w:t>
      </w:r>
      <w:r w:rsidRPr="00285AD6">
        <w:rPr>
          <w:rFonts w:ascii="Arial" w:eastAsia="Times New Roman" w:hAnsi="Arial" w:cs="Arial"/>
          <w:kern w:val="0"/>
          <w:lang w:eastAsia="en-GB"/>
          <w14:ligatures w14:val="none"/>
        </w:rPr>
        <w:noBreakHyphen/>
        <w:t>efficient models to maintain service quality.</w:t>
      </w:r>
    </w:p>
    <w:p w14:paraId="6167AF5F" w14:textId="7F313BAC" w:rsidR="00DB1144" w:rsidRDefault="04EC8F01" w:rsidP="00D97871">
      <w:pPr>
        <w:spacing w:before="100" w:beforeAutospacing="1" w:after="100" w:afterAutospacing="1" w:line="360" w:lineRule="auto"/>
        <w:rPr>
          <w:rFonts w:ascii="Arial" w:eastAsia="Arial" w:hAnsi="Arial" w:cs="Arial"/>
          <w:b/>
          <w:bCs/>
          <w:kern w:val="0"/>
          <w14:ligatures w14:val="none"/>
        </w:rPr>
      </w:pPr>
      <w:r w:rsidRPr="7635BE05">
        <w:rPr>
          <w:rFonts w:ascii="Arial" w:eastAsia="Arial" w:hAnsi="Arial" w:cs="Arial"/>
          <w:b/>
          <w:bCs/>
          <w:kern w:val="0"/>
          <w14:ligatures w14:val="none"/>
        </w:rPr>
        <w:t>So</w:t>
      </w:r>
      <w:r w:rsidR="009A7641">
        <w:rPr>
          <w:rFonts w:ascii="Arial" w:eastAsia="Arial" w:hAnsi="Arial" w:cs="Arial"/>
          <w:b/>
          <w:bCs/>
          <w:kern w:val="0"/>
          <w14:ligatures w14:val="none"/>
        </w:rPr>
        <w:t>c</w:t>
      </w:r>
      <w:r w:rsidRPr="7635BE05">
        <w:rPr>
          <w:rFonts w:ascii="Arial" w:eastAsia="Arial" w:hAnsi="Arial" w:cs="Arial"/>
          <w:b/>
          <w:bCs/>
          <w:kern w:val="0"/>
          <w14:ligatures w14:val="none"/>
        </w:rPr>
        <w:t>ial</w:t>
      </w:r>
    </w:p>
    <w:p w14:paraId="3FBA1381" w14:textId="77777777" w:rsidR="00285AD6" w:rsidRPr="00285AD6" w:rsidRDefault="00285AD6" w:rsidP="00D97871">
      <w:pPr>
        <w:spacing w:after="0" w:line="360" w:lineRule="auto"/>
        <w:rPr>
          <w:rFonts w:ascii="Arial" w:eastAsia="Times New Roman" w:hAnsi="Arial" w:cs="Arial"/>
          <w:kern w:val="0"/>
          <w:lang w:eastAsia="en-GB"/>
          <w14:ligatures w14:val="none"/>
        </w:rPr>
      </w:pPr>
      <w:r w:rsidRPr="00285AD6">
        <w:rPr>
          <w:rFonts w:ascii="Arial" w:eastAsia="Times New Roman" w:hAnsi="Arial" w:cs="Arial"/>
          <w:kern w:val="0"/>
          <w:lang w:eastAsia="en-GB"/>
          <w14:ligatures w14:val="none"/>
        </w:rPr>
        <w:t>Veterans frequently face challenges linked to trauma and transition to civilian life (APA, 2019). Increased third</w:t>
      </w:r>
      <w:r w:rsidRPr="00285AD6">
        <w:rPr>
          <w:rFonts w:ascii="Arial" w:eastAsia="Times New Roman" w:hAnsi="Arial" w:cs="Arial"/>
          <w:kern w:val="0"/>
          <w:lang w:eastAsia="en-GB"/>
          <w14:ligatures w14:val="none"/>
        </w:rPr>
        <w:noBreakHyphen/>
        <w:t>sector involvement has raised public awareness and expectations for accessible mental</w:t>
      </w:r>
      <w:r w:rsidRPr="00285AD6">
        <w:rPr>
          <w:rFonts w:ascii="Arial" w:eastAsia="Times New Roman" w:hAnsi="Arial" w:cs="Arial"/>
          <w:kern w:val="0"/>
          <w:lang w:eastAsia="en-GB"/>
          <w14:ligatures w14:val="none"/>
        </w:rPr>
        <w:noBreakHyphen/>
        <w:t>health support (Change Step, 2025).</w:t>
      </w:r>
    </w:p>
    <w:p w14:paraId="0985FB9B" w14:textId="77777777" w:rsidR="00285AD6" w:rsidRDefault="04EC8F01" w:rsidP="00D97871">
      <w:pPr>
        <w:spacing w:before="100" w:beforeAutospacing="1" w:after="100" w:afterAutospacing="1" w:line="360" w:lineRule="auto"/>
        <w:rPr>
          <w:rFonts w:ascii="Arial" w:eastAsia="Arial" w:hAnsi="Arial" w:cs="Arial"/>
          <w:kern w:val="0"/>
          <w14:ligatures w14:val="none"/>
        </w:rPr>
      </w:pPr>
      <w:r w:rsidRPr="7635BE05">
        <w:rPr>
          <w:rFonts w:ascii="Arial" w:eastAsia="Arial" w:hAnsi="Arial" w:cs="Arial"/>
          <w:b/>
          <w:bCs/>
          <w:kern w:val="0"/>
          <w14:ligatures w14:val="none"/>
        </w:rPr>
        <w:lastRenderedPageBreak/>
        <w:t>Technological</w:t>
      </w:r>
      <w:r w:rsidRPr="7635BE05">
        <w:rPr>
          <w:rFonts w:ascii="Arial" w:eastAsia="Arial" w:hAnsi="Arial" w:cs="Arial"/>
          <w:kern w:val="0"/>
          <w14:ligatures w14:val="none"/>
        </w:rPr>
        <w:t xml:space="preserve"> </w:t>
      </w:r>
    </w:p>
    <w:p w14:paraId="44F05E49" w14:textId="1EED1D33" w:rsidR="00285AD6" w:rsidRPr="00285AD6" w:rsidRDefault="00285AD6" w:rsidP="00D97871">
      <w:pPr>
        <w:spacing w:before="100" w:beforeAutospacing="1" w:after="100" w:afterAutospacing="1" w:line="360" w:lineRule="auto"/>
        <w:rPr>
          <w:rFonts w:ascii="Arial" w:eastAsia="Arial" w:hAnsi="Arial" w:cs="Arial"/>
          <w:kern w:val="0"/>
          <w14:ligatures w14:val="none"/>
        </w:rPr>
      </w:pPr>
      <w:r w:rsidRPr="00285AD6">
        <w:rPr>
          <w:rFonts w:ascii="Arial" w:eastAsia="Times New Roman" w:hAnsi="Arial" w:cs="Arial"/>
          <w:kern w:val="0"/>
          <w:lang w:eastAsia="en-GB"/>
          <w14:ligatures w14:val="none"/>
        </w:rPr>
        <w:t>Digital platforms such as Attend Anywhere improve access for rural veterans (PHW, 2025). However, digital exclusion remains a risk, so hybrid and digital</w:t>
      </w:r>
      <w:r w:rsidRPr="00285AD6">
        <w:rPr>
          <w:rFonts w:ascii="Arial" w:eastAsia="Times New Roman" w:hAnsi="Arial" w:cs="Arial"/>
          <w:kern w:val="0"/>
          <w:lang w:eastAsia="en-GB"/>
          <w14:ligatures w14:val="none"/>
        </w:rPr>
        <w:noBreakHyphen/>
        <w:t>first models must be supported by targeted digital</w:t>
      </w:r>
      <w:r w:rsidRPr="00285AD6">
        <w:rPr>
          <w:rFonts w:ascii="Arial" w:eastAsia="Times New Roman" w:hAnsi="Arial" w:cs="Arial"/>
          <w:kern w:val="0"/>
          <w:lang w:eastAsia="en-GB"/>
          <w14:ligatures w14:val="none"/>
        </w:rPr>
        <w:noBreakHyphen/>
        <w:t>inclusion measures to ensure equity.</w:t>
      </w:r>
    </w:p>
    <w:p w14:paraId="58A00AFB" w14:textId="77777777" w:rsidR="00285AD6" w:rsidRDefault="04EC8F01" w:rsidP="00D97871">
      <w:pPr>
        <w:spacing w:before="100" w:beforeAutospacing="1" w:after="100" w:afterAutospacing="1" w:line="360" w:lineRule="auto"/>
        <w:rPr>
          <w:rFonts w:ascii="Arial" w:eastAsia="Arial" w:hAnsi="Arial" w:cs="Arial"/>
          <w:kern w:val="0"/>
          <w14:ligatures w14:val="none"/>
        </w:rPr>
      </w:pPr>
      <w:r w:rsidRPr="7635BE05">
        <w:rPr>
          <w:rFonts w:ascii="Arial" w:eastAsia="Arial" w:hAnsi="Arial" w:cs="Arial"/>
          <w:b/>
          <w:bCs/>
          <w:kern w:val="0"/>
          <w14:ligatures w14:val="none"/>
        </w:rPr>
        <w:t>Environmental</w:t>
      </w:r>
      <w:r w:rsidRPr="7635BE05">
        <w:rPr>
          <w:rFonts w:ascii="Arial" w:eastAsia="Arial" w:hAnsi="Arial" w:cs="Arial"/>
          <w:kern w:val="0"/>
          <w14:ligatures w14:val="none"/>
        </w:rPr>
        <w:t xml:space="preserve"> </w:t>
      </w:r>
    </w:p>
    <w:p w14:paraId="7773CAD7" w14:textId="32EBA585" w:rsidR="00285AD6" w:rsidRDefault="00285AD6" w:rsidP="00D97871">
      <w:pPr>
        <w:spacing w:before="100" w:beforeAutospacing="1" w:after="100" w:afterAutospacing="1" w:line="360" w:lineRule="auto"/>
        <w:rPr>
          <w:rFonts w:ascii="Arial" w:eastAsia="Arial" w:hAnsi="Arial" w:cs="Arial"/>
          <w:kern w:val="0"/>
          <w14:ligatures w14:val="none"/>
        </w:rPr>
      </w:pPr>
      <w:r w:rsidRPr="00285AD6">
        <w:rPr>
          <w:rFonts w:ascii="Arial" w:eastAsia="Times New Roman" w:hAnsi="Arial" w:cs="Arial"/>
          <w:kern w:val="0"/>
          <w:lang w:eastAsia="en-GB"/>
          <w14:ligatures w14:val="none"/>
        </w:rPr>
        <w:t>Wales’s rural geography increases travel demands for clinicians and veterans. Hybrid models, including Walk &amp; Talk therapy and remote appointments, help reduce carbon emissions and improve access, reinforcing the value of low</w:t>
      </w:r>
      <w:r w:rsidRPr="00285AD6">
        <w:rPr>
          <w:rFonts w:ascii="Arial" w:eastAsia="Times New Roman" w:hAnsi="Arial" w:cs="Arial"/>
          <w:kern w:val="0"/>
          <w:lang w:eastAsia="en-GB"/>
          <w14:ligatures w14:val="none"/>
        </w:rPr>
        <w:noBreakHyphen/>
        <w:t>carbon service design (BMJ, 2023).</w:t>
      </w:r>
    </w:p>
    <w:p w14:paraId="6AF1DC0B" w14:textId="77777777" w:rsidR="00DB1144" w:rsidRDefault="04EC8F01" w:rsidP="00D97871">
      <w:pPr>
        <w:spacing w:before="100" w:beforeAutospacing="1" w:after="100" w:afterAutospacing="1" w:line="360" w:lineRule="auto"/>
        <w:rPr>
          <w:rFonts w:ascii="Arial" w:eastAsia="Arial" w:hAnsi="Arial" w:cs="Arial"/>
          <w:kern w:val="0"/>
          <w14:ligatures w14:val="none"/>
        </w:rPr>
      </w:pPr>
      <w:r w:rsidRPr="7635BE05">
        <w:rPr>
          <w:rFonts w:ascii="Arial" w:eastAsia="Arial" w:hAnsi="Arial" w:cs="Arial"/>
          <w:b/>
          <w:bCs/>
          <w:kern w:val="0"/>
          <w14:ligatures w14:val="none"/>
        </w:rPr>
        <w:t>Legal</w:t>
      </w:r>
      <w:r w:rsidRPr="7635BE05">
        <w:rPr>
          <w:rFonts w:ascii="Arial" w:eastAsia="Arial" w:hAnsi="Arial" w:cs="Arial"/>
          <w:kern w:val="0"/>
          <w14:ligatures w14:val="none"/>
        </w:rPr>
        <w:t xml:space="preserve"> </w:t>
      </w:r>
    </w:p>
    <w:p w14:paraId="0E3F76F6" w14:textId="77777777" w:rsidR="00285AD6" w:rsidRPr="00285AD6" w:rsidRDefault="00285AD6" w:rsidP="00D97871">
      <w:pPr>
        <w:spacing w:after="0" w:line="360" w:lineRule="auto"/>
        <w:rPr>
          <w:rFonts w:ascii="Arial" w:eastAsia="Times New Roman" w:hAnsi="Arial" w:cs="Arial"/>
          <w:kern w:val="0"/>
          <w:lang w:eastAsia="en-GB"/>
          <w14:ligatures w14:val="none"/>
        </w:rPr>
      </w:pPr>
      <w:r w:rsidRPr="00285AD6">
        <w:rPr>
          <w:rFonts w:ascii="Arial" w:eastAsia="Times New Roman" w:hAnsi="Arial" w:cs="Arial"/>
          <w:kern w:val="0"/>
          <w:lang w:eastAsia="en-GB"/>
          <w14:ligatures w14:val="none"/>
        </w:rPr>
        <w:t>VNHSW is governed by NHS clinical, safeguarding and data</w:t>
      </w:r>
      <w:r w:rsidRPr="00285AD6">
        <w:rPr>
          <w:rFonts w:ascii="Arial" w:eastAsia="Times New Roman" w:hAnsi="Arial" w:cs="Arial"/>
          <w:kern w:val="0"/>
          <w:lang w:eastAsia="en-GB"/>
          <w14:ligatures w14:val="none"/>
        </w:rPr>
        <w:noBreakHyphen/>
        <w:t>protection standards. Covenant</w:t>
      </w:r>
      <w:r w:rsidRPr="00285AD6">
        <w:rPr>
          <w:rFonts w:ascii="Arial" w:eastAsia="Times New Roman" w:hAnsi="Arial" w:cs="Arial"/>
          <w:kern w:val="0"/>
          <w:lang w:eastAsia="en-GB"/>
          <w14:ligatures w14:val="none"/>
        </w:rPr>
        <w:noBreakHyphen/>
        <w:t>related obligations require equitable access and reasonable adjustments for veterans, shaping operational decision</w:t>
      </w:r>
      <w:r w:rsidRPr="00285AD6">
        <w:rPr>
          <w:rFonts w:ascii="Arial" w:eastAsia="Times New Roman" w:hAnsi="Arial" w:cs="Arial"/>
          <w:kern w:val="0"/>
          <w:lang w:eastAsia="en-GB"/>
          <w14:ligatures w14:val="none"/>
        </w:rPr>
        <w:noBreakHyphen/>
        <w:t>making (Welsh Government, 2024).</w:t>
      </w:r>
    </w:p>
    <w:p w14:paraId="07621DE3" w14:textId="7FF0F6C8" w:rsidR="007D6052" w:rsidRPr="00416A0A" w:rsidRDefault="007D6052" w:rsidP="00D97871">
      <w:pPr>
        <w:spacing w:after="0" w:line="360" w:lineRule="auto"/>
        <w:rPr>
          <w:rFonts w:ascii="Arial" w:eastAsia="Arial" w:hAnsi="Arial" w:cs="Arial"/>
          <w:b/>
          <w:bCs/>
          <w:lang w:eastAsia="en-GB"/>
        </w:rPr>
      </w:pPr>
    </w:p>
    <w:p w14:paraId="5A215206" w14:textId="77777777" w:rsidR="007D6052" w:rsidRPr="00416A0A" w:rsidRDefault="04EC8F01" w:rsidP="00D97871">
      <w:pPr>
        <w:spacing w:after="0" w:line="360" w:lineRule="auto"/>
        <w:rPr>
          <w:rFonts w:ascii="Arial" w:eastAsia="Arial" w:hAnsi="Arial" w:cs="Arial"/>
          <w:b/>
          <w:bCs/>
          <w:lang w:eastAsia="en-GB"/>
        </w:rPr>
      </w:pPr>
      <w:r w:rsidRPr="7635BE05">
        <w:rPr>
          <w:rFonts w:ascii="Arial" w:eastAsia="Arial" w:hAnsi="Arial" w:cs="Arial"/>
          <w:b/>
          <w:bCs/>
          <w:lang w:eastAsia="en-GB"/>
        </w:rPr>
        <w:t xml:space="preserve">2.2 Porters Five Forces </w:t>
      </w:r>
    </w:p>
    <w:p w14:paraId="4CA66A39" w14:textId="0A514FEA" w:rsidR="00DB1144" w:rsidRPr="00DB1144" w:rsidRDefault="00DB1144" w:rsidP="00D97871">
      <w:pPr>
        <w:spacing w:after="0" w:line="360" w:lineRule="auto"/>
        <w:rPr>
          <w:rFonts w:ascii="Arial" w:eastAsia="Arial" w:hAnsi="Arial" w:cs="Arial"/>
          <w:b/>
          <w:bCs/>
          <w:lang w:eastAsia="en-GB"/>
        </w:rPr>
      </w:pPr>
    </w:p>
    <w:p w14:paraId="033B1F87" w14:textId="1E8E204C" w:rsidR="00DB1144" w:rsidRDefault="0055C1A2" w:rsidP="00D97871">
      <w:pPr>
        <w:spacing w:line="360" w:lineRule="auto"/>
        <w:rPr>
          <w:rFonts w:ascii="Arial" w:eastAsia="Arial" w:hAnsi="Arial" w:cs="Arial"/>
        </w:rPr>
      </w:pPr>
      <w:r w:rsidRPr="7635BE05">
        <w:rPr>
          <w:rFonts w:ascii="Arial" w:eastAsia="Arial" w:hAnsi="Arial" w:cs="Arial"/>
          <w:b/>
          <w:bCs/>
        </w:rPr>
        <w:t>Competitive Rivalry – Low to Moderate</w:t>
      </w:r>
      <w:r w:rsidRPr="7635BE05">
        <w:rPr>
          <w:rFonts w:ascii="Arial" w:eastAsia="Arial" w:hAnsi="Arial" w:cs="Arial"/>
        </w:rPr>
        <w:t xml:space="preserve"> </w:t>
      </w:r>
    </w:p>
    <w:p w14:paraId="3A547454" w14:textId="77777777" w:rsidR="00285AD6" w:rsidRPr="00285AD6" w:rsidRDefault="00285AD6" w:rsidP="00D97871">
      <w:pPr>
        <w:spacing w:after="0" w:line="360" w:lineRule="auto"/>
        <w:rPr>
          <w:rFonts w:ascii="Arial" w:eastAsia="Times New Roman" w:hAnsi="Arial" w:cs="Arial"/>
          <w:kern w:val="0"/>
          <w:lang w:eastAsia="en-GB"/>
          <w14:ligatures w14:val="none"/>
        </w:rPr>
      </w:pPr>
      <w:r w:rsidRPr="00285AD6">
        <w:rPr>
          <w:rFonts w:ascii="Arial" w:eastAsia="Times New Roman" w:hAnsi="Arial" w:cs="Arial"/>
          <w:kern w:val="0"/>
          <w:lang w:eastAsia="en-GB"/>
          <w14:ligatures w14:val="none"/>
        </w:rPr>
        <w:t>VNHSW is the sole NHS specialist veteran mental</w:t>
      </w:r>
      <w:r w:rsidRPr="00285AD6">
        <w:rPr>
          <w:rFonts w:ascii="Arial" w:eastAsia="Times New Roman" w:hAnsi="Arial" w:cs="Arial"/>
          <w:kern w:val="0"/>
          <w:lang w:eastAsia="en-GB"/>
          <w14:ligatures w14:val="none"/>
        </w:rPr>
        <w:noBreakHyphen/>
        <w:t>health service in Wales, reducing direct competition. Indirect competition comes from general NHS teams, private providers and third</w:t>
      </w:r>
      <w:r w:rsidRPr="00285AD6">
        <w:rPr>
          <w:rFonts w:ascii="Arial" w:eastAsia="Times New Roman" w:hAnsi="Arial" w:cs="Arial"/>
          <w:kern w:val="0"/>
          <w:lang w:eastAsia="en-GB"/>
          <w14:ligatures w14:val="none"/>
        </w:rPr>
        <w:noBreakHyphen/>
        <w:t>sector organisations, but these lack military</w:t>
      </w:r>
      <w:r w:rsidRPr="00285AD6">
        <w:rPr>
          <w:rFonts w:ascii="Arial" w:eastAsia="Times New Roman" w:hAnsi="Arial" w:cs="Arial"/>
          <w:kern w:val="0"/>
          <w:lang w:eastAsia="en-GB"/>
          <w14:ligatures w14:val="none"/>
        </w:rPr>
        <w:noBreakHyphen/>
        <w:t>specific expertise (Porter, 2008).</w:t>
      </w:r>
    </w:p>
    <w:p w14:paraId="00A91E21" w14:textId="5A221D94" w:rsidR="00DB1144" w:rsidRDefault="00DB1144" w:rsidP="00D97871">
      <w:pPr>
        <w:spacing w:after="0" w:line="360" w:lineRule="auto"/>
        <w:rPr>
          <w:rFonts w:ascii="Arial" w:eastAsia="Arial" w:hAnsi="Arial" w:cs="Arial"/>
          <w:b/>
          <w:bCs/>
        </w:rPr>
      </w:pPr>
    </w:p>
    <w:p w14:paraId="26FF0C6B" w14:textId="5A1E4C02" w:rsidR="00DB1144" w:rsidRDefault="0055C1A2" w:rsidP="00D97871">
      <w:pPr>
        <w:spacing w:line="360" w:lineRule="auto"/>
        <w:rPr>
          <w:rFonts w:ascii="Arial" w:eastAsia="Arial" w:hAnsi="Arial" w:cs="Arial"/>
        </w:rPr>
      </w:pPr>
      <w:r w:rsidRPr="7635BE05">
        <w:rPr>
          <w:rFonts w:ascii="Arial" w:eastAsia="Arial" w:hAnsi="Arial" w:cs="Arial"/>
          <w:b/>
          <w:bCs/>
        </w:rPr>
        <w:t>Threat of New Entrants – Low</w:t>
      </w:r>
      <w:r w:rsidRPr="7635BE05">
        <w:rPr>
          <w:rFonts w:ascii="Arial" w:eastAsia="Arial" w:hAnsi="Arial" w:cs="Arial"/>
        </w:rPr>
        <w:t xml:space="preserve"> </w:t>
      </w:r>
    </w:p>
    <w:p w14:paraId="129AA9D6" w14:textId="77777777" w:rsidR="00285AD6" w:rsidRPr="00285AD6" w:rsidRDefault="00285AD6" w:rsidP="00D97871">
      <w:pPr>
        <w:spacing w:after="0" w:line="360" w:lineRule="auto"/>
        <w:rPr>
          <w:rFonts w:ascii="Arial" w:eastAsia="Times New Roman" w:hAnsi="Arial" w:cs="Arial"/>
          <w:kern w:val="0"/>
          <w:lang w:eastAsia="en-GB"/>
          <w14:ligatures w14:val="none"/>
        </w:rPr>
      </w:pPr>
      <w:r w:rsidRPr="00285AD6">
        <w:rPr>
          <w:rFonts w:ascii="Arial" w:eastAsia="Times New Roman" w:hAnsi="Arial" w:cs="Arial"/>
          <w:kern w:val="0"/>
          <w:lang w:eastAsia="en-GB"/>
          <w14:ligatures w14:val="none"/>
        </w:rPr>
        <w:t>Specialist expertise requirements, governance standards and funding constraints create substantial entry barriers (Porter, 1985).</w:t>
      </w:r>
    </w:p>
    <w:p w14:paraId="74DFC269" w14:textId="711FA4C0" w:rsidR="2D8D1C45" w:rsidRDefault="2D8D1C45" w:rsidP="00D97871">
      <w:pPr>
        <w:spacing w:after="0" w:line="360" w:lineRule="auto"/>
        <w:rPr>
          <w:rFonts w:ascii="Arial" w:eastAsia="Arial" w:hAnsi="Arial" w:cs="Arial"/>
        </w:rPr>
      </w:pPr>
    </w:p>
    <w:p w14:paraId="36498F96" w14:textId="42748F22" w:rsidR="00DB1144" w:rsidRDefault="0055C1A2" w:rsidP="00D97871">
      <w:pPr>
        <w:spacing w:after="0" w:line="360" w:lineRule="auto"/>
        <w:rPr>
          <w:rFonts w:ascii="Arial" w:eastAsia="Arial" w:hAnsi="Arial" w:cs="Arial"/>
        </w:rPr>
      </w:pPr>
      <w:r w:rsidRPr="7635BE05">
        <w:rPr>
          <w:rFonts w:ascii="Arial" w:eastAsia="Arial" w:hAnsi="Arial" w:cs="Arial"/>
          <w:b/>
          <w:bCs/>
        </w:rPr>
        <w:t>Threat of Substitutes – Moderate</w:t>
      </w:r>
      <w:r w:rsidRPr="7635BE05">
        <w:rPr>
          <w:rFonts w:ascii="Arial" w:eastAsia="Arial" w:hAnsi="Arial" w:cs="Arial"/>
        </w:rPr>
        <w:t xml:space="preserve"> </w:t>
      </w:r>
    </w:p>
    <w:p w14:paraId="21C53E6A" w14:textId="77777777" w:rsidR="00285AD6" w:rsidRPr="00285AD6" w:rsidRDefault="00285AD6" w:rsidP="00D97871">
      <w:pPr>
        <w:spacing w:after="0" w:line="360" w:lineRule="auto"/>
        <w:rPr>
          <w:rFonts w:ascii="Arial" w:eastAsia="Times New Roman" w:hAnsi="Arial" w:cs="Arial"/>
          <w:kern w:val="0"/>
          <w:lang w:eastAsia="en-GB"/>
          <w14:ligatures w14:val="none"/>
        </w:rPr>
      </w:pPr>
      <w:r w:rsidRPr="00285AD6">
        <w:rPr>
          <w:rFonts w:ascii="Arial" w:eastAsia="Times New Roman" w:hAnsi="Arial" w:cs="Arial"/>
          <w:kern w:val="0"/>
          <w:lang w:eastAsia="en-GB"/>
          <w14:ligatures w14:val="none"/>
        </w:rPr>
        <w:t>GPs, charities and private providers offer alternative support, but none replicate VNHSW’s military</w:t>
      </w:r>
      <w:r w:rsidRPr="00285AD6">
        <w:rPr>
          <w:rFonts w:ascii="Arial" w:eastAsia="Times New Roman" w:hAnsi="Arial" w:cs="Arial"/>
          <w:kern w:val="0"/>
          <w:lang w:eastAsia="en-GB"/>
          <w14:ligatures w14:val="none"/>
        </w:rPr>
        <w:noBreakHyphen/>
        <w:t>specific expertise, limiting substitution (NHS England, 2024).</w:t>
      </w:r>
    </w:p>
    <w:p w14:paraId="10B62A97" w14:textId="65D622BE" w:rsidR="00DB1144" w:rsidRDefault="00DB1144" w:rsidP="00D97871">
      <w:pPr>
        <w:spacing w:after="0" w:line="360" w:lineRule="auto"/>
        <w:rPr>
          <w:rFonts w:ascii="Arial" w:eastAsia="Arial" w:hAnsi="Arial" w:cs="Arial"/>
        </w:rPr>
      </w:pPr>
    </w:p>
    <w:p w14:paraId="3DD1251E" w14:textId="58583D2C" w:rsidR="00DB1144" w:rsidRDefault="0055C1A2" w:rsidP="00D97871">
      <w:pPr>
        <w:spacing w:line="360" w:lineRule="auto"/>
        <w:rPr>
          <w:rFonts w:ascii="Arial" w:eastAsia="Arial" w:hAnsi="Arial" w:cs="Arial"/>
        </w:rPr>
      </w:pPr>
      <w:r w:rsidRPr="7635BE05">
        <w:rPr>
          <w:rFonts w:ascii="Arial" w:eastAsia="Arial" w:hAnsi="Arial" w:cs="Arial"/>
          <w:b/>
          <w:bCs/>
        </w:rPr>
        <w:t>Supplier Power – High</w:t>
      </w:r>
      <w:r w:rsidRPr="7635BE05">
        <w:rPr>
          <w:rFonts w:ascii="Arial" w:eastAsia="Arial" w:hAnsi="Arial" w:cs="Arial"/>
        </w:rPr>
        <w:t xml:space="preserve"> </w:t>
      </w:r>
    </w:p>
    <w:p w14:paraId="32CD50FF" w14:textId="77777777" w:rsidR="00285AD6" w:rsidRPr="00285AD6" w:rsidRDefault="00285AD6" w:rsidP="00D97871">
      <w:pPr>
        <w:spacing w:after="0" w:line="360" w:lineRule="auto"/>
        <w:rPr>
          <w:rFonts w:ascii="Arial" w:eastAsia="Times New Roman" w:hAnsi="Arial" w:cs="Arial"/>
          <w:kern w:val="0"/>
          <w:lang w:eastAsia="en-GB"/>
          <w14:ligatures w14:val="none"/>
        </w:rPr>
      </w:pPr>
      <w:r w:rsidRPr="00285AD6">
        <w:rPr>
          <w:rFonts w:ascii="Arial" w:eastAsia="Times New Roman" w:hAnsi="Arial" w:cs="Arial"/>
          <w:kern w:val="0"/>
          <w:lang w:eastAsia="en-GB"/>
          <w14:ligatures w14:val="none"/>
        </w:rPr>
        <w:t>Supplier power is high because VNHSW relies on a small pool of specialist clinicians, with some Health Boards depending on a single therapist. This creates operational fragility, as sickness, leave or turnover can disrupt service continuity (NHS Confederation, 2024). Scarcity of military</w:t>
      </w:r>
      <w:r w:rsidRPr="00285AD6">
        <w:rPr>
          <w:rFonts w:ascii="Arial" w:eastAsia="Times New Roman" w:hAnsi="Arial" w:cs="Arial"/>
          <w:kern w:val="0"/>
          <w:lang w:eastAsia="en-GB"/>
          <w14:ligatures w14:val="none"/>
        </w:rPr>
        <w:noBreakHyphen/>
        <w:t>specific expertise makes recruitment and training difficult, limiting VNHSW’s ability to scale services or maintain consistency across regions.</w:t>
      </w:r>
    </w:p>
    <w:p w14:paraId="38690D65" w14:textId="77777777" w:rsidR="00285AD6" w:rsidRDefault="00285AD6" w:rsidP="00D97871">
      <w:pPr>
        <w:spacing w:after="0" w:line="360" w:lineRule="auto"/>
        <w:rPr>
          <w:rFonts w:ascii="Arial" w:eastAsia="Times New Roman" w:hAnsi="Arial" w:cs="Arial"/>
          <w:kern w:val="0"/>
          <w:lang w:eastAsia="en-GB"/>
          <w14:ligatures w14:val="none"/>
        </w:rPr>
      </w:pPr>
    </w:p>
    <w:p w14:paraId="40C062AE" w14:textId="5B6FE3F8" w:rsidR="001102AD" w:rsidRPr="001102AD" w:rsidRDefault="001102AD" w:rsidP="00D97871">
      <w:pPr>
        <w:spacing w:after="0" w:line="360" w:lineRule="auto"/>
        <w:rPr>
          <w:rFonts w:ascii="Arial" w:eastAsia="Times New Roman" w:hAnsi="Arial" w:cs="Arial"/>
          <w:kern w:val="0"/>
          <w:lang w:eastAsia="en-GB"/>
          <w14:ligatures w14:val="none"/>
        </w:rPr>
      </w:pPr>
      <w:r w:rsidRPr="001102AD">
        <w:rPr>
          <w:rFonts w:ascii="Arial" w:eastAsia="Times New Roman" w:hAnsi="Arial" w:cs="Arial"/>
          <w:b/>
          <w:bCs/>
          <w:kern w:val="0"/>
          <w:lang w:eastAsia="en-GB"/>
          <w14:ligatures w14:val="none"/>
        </w:rPr>
        <w:t>Improved Strategic Implication</w:t>
      </w:r>
    </w:p>
    <w:p w14:paraId="2838088C" w14:textId="0CE77907" w:rsidR="00DB1144" w:rsidRDefault="00285AD6" w:rsidP="00D97871">
      <w:pPr>
        <w:spacing w:after="0" w:line="360" w:lineRule="auto"/>
        <w:rPr>
          <w:rFonts w:ascii="Arial" w:eastAsia="Times New Roman" w:hAnsi="Arial" w:cs="Arial"/>
          <w:kern w:val="0"/>
          <w:lang w:eastAsia="en-GB"/>
          <w14:ligatures w14:val="none"/>
        </w:rPr>
      </w:pPr>
      <w:r w:rsidRPr="00285AD6">
        <w:rPr>
          <w:rFonts w:ascii="Arial" w:eastAsia="Times New Roman" w:hAnsi="Arial" w:cs="Arial"/>
          <w:kern w:val="0"/>
          <w:lang w:eastAsia="en-GB"/>
          <w14:ligatures w14:val="none"/>
        </w:rPr>
        <w:t>As highlighted in the internal analysis, reducing supplier power requires regional therapist pools, shared cross</w:t>
      </w:r>
      <w:r w:rsidRPr="00285AD6">
        <w:rPr>
          <w:rFonts w:ascii="Arial" w:eastAsia="Times New Roman" w:hAnsi="Arial" w:cs="Arial"/>
          <w:kern w:val="0"/>
          <w:lang w:eastAsia="en-GB"/>
          <w14:ligatures w14:val="none"/>
        </w:rPr>
        <w:noBreakHyphen/>
        <w:t>board supervision and structured succession planning. These actions decrease dependence on isolated clinicians and strengthen long</w:t>
      </w:r>
      <w:r w:rsidRPr="00285AD6">
        <w:rPr>
          <w:rFonts w:ascii="Arial" w:eastAsia="Times New Roman" w:hAnsi="Arial" w:cs="Arial"/>
          <w:kern w:val="0"/>
          <w:lang w:eastAsia="en-GB"/>
          <w14:ligatures w14:val="none"/>
        </w:rPr>
        <w:noBreakHyphen/>
        <w:t>term sustainability.</w:t>
      </w:r>
    </w:p>
    <w:p w14:paraId="271ABD56" w14:textId="77777777" w:rsidR="00E532BF" w:rsidRPr="00E532BF" w:rsidRDefault="00E532BF" w:rsidP="00D97871">
      <w:pPr>
        <w:spacing w:after="0" w:line="360" w:lineRule="auto"/>
        <w:rPr>
          <w:rFonts w:ascii="Arial" w:eastAsia="Times New Roman" w:hAnsi="Arial" w:cs="Arial"/>
          <w:kern w:val="0"/>
          <w:lang w:eastAsia="en-GB"/>
          <w14:ligatures w14:val="none"/>
        </w:rPr>
      </w:pPr>
    </w:p>
    <w:p w14:paraId="10DC2006" w14:textId="20AD962E" w:rsidR="00DB1144" w:rsidRDefault="0055C1A2" w:rsidP="00D97871">
      <w:pPr>
        <w:spacing w:line="360" w:lineRule="auto"/>
        <w:rPr>
          <w:rFonts w:ascii="Arial" w:eastAsia="Arial" w:hAnsi="Arial" w:cs="Arial"/>
        </w:rPr>
      </w:pPr>
      <w:r w:rsidRPr="7635BE05">
        <w:rPr>
          <w:rFonts w:ascii="Arial" w:eastAsia="Arial" w:hAnsi="Arial" w:cs="Arial"/>
          <w:b/>
          <w:bCs/>
        </w:rPr>
        <w:t>Buyer Power – Moderate</w:t>
      </w:r>
      <w:r w:rsidRPr="7635BE05">
        <w:rPr>
          <w:rFonts w:ascii="Arial" w:eastAsia="Arial" w:hAnsi="Arial" w:cs="Arial"/>
        </w:rPr>
        <w:t xml:space="preserve"> </w:t>
      </w:r>
    </w:p>
    <w:p w14:paraId="0741E3D9" w14:textId="77777777" w:rsidR="00285AD6" w:rsidRPr="00285AD6" w:rsidRDefault="00285AD6" w:rsidP="00D97871">
      <w:pPr>
        <w:spacing w:after="0" w:line="360" w:lineRule="auto"/>
        <w:rPr>
          <w:rFonts w:ascii="Arial" w:eastAsia="Times New Roman" w:hAnsi="Arial" w:cs="Arial"/>
          <w:kern w:val="0"/>
          <w:lang w:eastAsia="en-GB"/>
          <w14:ligatures w14:val="none"/>
        </w:rPr>
      </w:pPr>
      <w:r w:rsidRPr="00285AD6">
        <w:rPr>
          <w:rFonts w:ascii="Arial" w:eastAsia="Times New Roman" w:hAnsi="Arial" w:cs="Arial"/>
          <w:kern w:val="0"/>
          <w:lang w:eastAsia="en-GB"/>
          <w14:ligatures w14:val="none"/>
        </w:rPr>
        <w:t>Veterans can self</w:t>
      </w:r>
      <w:r w:rsidRPr="00285AD6">
        <w:rPr>
          <w:rFonts w:ascii="Arial" w:eastAsia="Times New Roman" w:hAnsi="Arial" w:cs="Arial"/>
          <w:kern w:val="0"/>
          <w:lang w:eastAsia="en-GB"/>
          <w14:ligatures w14:val="none"/>
        </w:rPr>
        <w:noBreakHyphen/>
        <w:t>refer or access charity support, but VNHSW remains the only NHS specialist pathway, limiting overall buyer power (GOV.UK, 2026).</w:t>
      </w:r>
    </w:p>
    <w:p w14:paraId="47B12AD0" w14:textId="4CF01617" w:rsidR="00DB1144" w:rsidRPr="00DB1144" w:rsidRDefault="00DB1144" w:rsidP="00D97871">
      <w:pPr>
        <w:spacing w:after="0" w:line="360" w:lineRule="auto"/>
        <w:rPr>
          <w:rFonts w:ascii="Arial" w:eastAsia="Arial" w:hAnsi="Arial" w:cs="Arial"/>
        </w:rPr>
      </w:pPr>
    </w:p>
    <w:p w14:paraId="7CE2DCC9" w14:textId="77777777" w:rsidR="007D6052" w:rsidRDefault="007D6052" w:rsidP="00D97871">
      <w:pPr>
        <w:spacing w:after="0" w:line="360" w:lineRule="auto"/>
        <w:rPr>
          <w:rFonts w:ascii="Arial" w:eastAsia="Arial" w:hAnsi="Arial" w:cs="Arial"/>
          <w:lang w:eastAsia="en-GB"/>
        </w:rPr>
      </w:pPr>
    </w:p>
    <w:p w14:paraId="080935EF" w14:textId="77777777" w:rsidR="00DB1144" w:rsidRPr="00DB1144" w:rsidRDefault="0055C1A2" w:rsidP="00D97871">
      <w:pPr>
        <w:spacing w:line="360" w:lineRule="auto"/>
        <w:rPr>
          <w:rFonts w:ascii="Arial" w:eastAsia="Arial" w:hAnsi="Arial" w:cs="Arial"/>
          <w:b/>
          <w:bCs/>
        </w:rPr>
      </w:pPr>
      <w:r w:rsidRPr="7635BE05">
        <w:rPr>
          <w:rFonts w:ascii="Arial" w:eastAsia="Arial" w:hAnsi="Arial" w:cs="Arial"/>
          <w:b/>
          <w:bCs/>
        </w:rPr>
        <w:t>Key Economic Trends</w:t>
      </w:r>
    </w:p>
    <w:p w14:paraId="1AD71C8F" w14:textId="612EDC31" w:rsidR="00285AD6" w:rsidRPr="00285AD6" w:rsidRDefault="00E532BF" w:rsidP="00D97871">
      <w:pPr>
        <w:pStyle w:val="ListParagraph"/>
        <w:numPr>
          <w:ilvl w:val="0"/>
          <w:numId w:val="28"/>
        </w:numPr>
        <w:spacing w:after="0" w:line="360" w:lineRule="auto"/>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Increasing </w:t>
      </w:r>
      <w:proofErr w:type="spellStart"/>
      <w:r>
        <w:rPr>
          <w:rFonts w:ascii="Arial" w:eastAsia="Times New Roman" w:hAnsi="Arial" w:cs="Arial"/>
          <w:kern w:val="0"/>
          <w:lang w:eastAsia="en-GB"/>
          <w14:ligatures w14:val="none"/>
        </w:rPr>
        <w:t>occurance</w:t>
      </w:r>
      <w:proofErr w:type="spellEnd"/>
      <w:r w:rsidR="00285AD6" w:rsidRPr="00285AD6">
        <w:rPr>
          <w:rFonts w:ascii="Arial" w:eastAsia="Times New Roman" w:hAnsi="Arial" w:cs="Arial"/>
          <w:kern w:val="0"/>
          <w:lang w:eastAsia="en-GB"/>
          <w14:ligatures w14:val="none"/>
        </w:rPr>
        <w:t xml:space="preserve"> of PTSD, anxiety and depression increasing demand (APA, 2019). </w:t>
      </w:r>
    </w:p>
    <w:p w14:paraId="496F4D93" w14:textId="4B45C9FA" w:rsidR="00285AD6" w:rsidRPr="00285AD6" w:rsidRDefault="00285AD6" w:rsidP="00D97871">
      <w:pPr>
        <w:pStyle w:val="ListParagraph"/>
        <w:numPr>
          <w:ilvl w:val="0"/>
          <w:numId w:val="28"/>
        </w:numPr>
        <w:spacing w:after="0" w:line="360" w:lineRule="auto"/>
        <w:rPr>
          <w:rFonts w:ascii="Arial" w:eastAsia="Times New Roman" w:hAnsi="Arial" w:cs="Arial"/>
          <w:kern w:val="0"/>
          <w:lang w:eastAsia="en-GB"/>
          <w14:ligatures w14:val="none"/>
        </w:rPr>
      </w:pPr>
      <w:r w:rsidRPr="00285AD6">
        <w:rPr>
          <w:rFonts w:ascii="Arial" w:eastAsia="Times New Roman" w:hAnsi="Arial" w:cs="Arial"/>
          <w:kern w:val="0"/>
          <w:lang w:eastAsia="en-GB"/>
          <w14:ligatures w14:val="none"/>
        </w:rPr>
        <w:t xml:space="preserve">Workforce shortages driving the need for sustainable digital pathways and integrated models (Nuffield Trust, 2025). </w:t>
      </w:r>
    </w:p>
    <w:p w14:paraId="4DFFE003" w14:textId="2B3ACC53" w:rsidR="00285AD6" w:rsidRPr="00285AD6" w:rsidRDefault="00285AD6" w:rsidP="00D97871">
      <w:pPr>
        <w:pStyle w:val="ListParagraph"/>
        <w:numPr>
          <w:ilvl w:val="0"/>
          <w:numId w:val="28"/>
        </w:numPr>
        <w:spacing w:after="0" w:line="360" w:lineRule="auto"/>
        <w:rPr>
          <w:rFonts w:ascii="Arial" w:eastAsia="Times New Roman" w:hAnsi="Arial" w:cs="Arial"/>
          <w:kern w:val="0"/>
          <w:lang w:eastAsia="en-GB"/>
          <w14:ligatures w14:val="none"/>
        </w:rPr>
      </w:pPr>
      <w:r w:rsidRPr="00285AD6">
        <w:rPr>
          <w:rFonts w:ascii="Arial" w:eastAsia="Times New Roman" w:hAnsi="Arial" w:cs="Arial"/>
          <w:kern w:val="0"/>
          <w:lang w:eastAsia="en-GB"/>
          <w14:ligatures w14:val="none"/>
        </w:rPr>
        <w:t>Growth of third</w:t>
      </w:r>
      <w:r w:rsidRPr="00285AD6">
        <w:rPr>
          <w:rFonts w:ascii="Arial" w:eastAsia="Times New Roman" w:hAnsi="Arial" w:cs="Arial"/>
          <w:kern w:val="0"/>
          <w:lang w:eastAsia="en-GB"/>
          <w14:ligatures w14:val="none"/>
        </w:rPr>
        <w:noBreakHyphen/>
        <w:t>sector involvement supporting more community</w:t>
      </w:r>
      <w:r w:rsidRPr="00285AD6">
        <w:rPr>
          <w:rFonts w:ascii="Arial" w:eastAsia="Times New Roman" w:hAnsi="Arial" w:cs="Arial"/>
          <w:kern w:val="0"/>
          <w:lang w:eastAsia="en-GB"/>
          <w14:ligatures w14:val="none"/>
        </w:rPr>
        <w:noBreakHyphen/>
        <w:t>based service delivery (Change Step, 2025).</w:t>
      </w:r>
    </w:p>
    <w:p w14:paraId="5A1C6EE2" w14:textId="77777777" w:rsidR="00266782" w:rsidRPr="00266782" w:rsidRDefault="00266782" w:rsidP="00D97871">
      <w:pPr>
        <w:spacing w:after="0" w:line="360" w:lineRule="auto"/>
        <w:rPr>
          <w:rFonts w:ascii="Arial" w:eastAsia="Times New Roman" w:hAnsi="Arial" w:cs="Arial"/>
          <w:kern w:val="0"/>
          <w:lang w:eastAsia="en-GB"/>
          <w14:ligatures w14:val="none"/>
        </w:rPr>
      </w:pPr>
    </w:p>
    <w:p w14:paraId="010A05D8" w14:textId="5DC22581" w:rsidR="00285AD6" w:rsidRDefault="00285AD6" w:rsidP="00D97871">
      <w:pPr>
        <w:spacing w:after="0" w:line="360" w:lineRule="auto"/>
        <w:rPr>
          <w:rFonts w:ascii="Arial" w:eastAsia="Times New Roman" w:hAnsi="Arial" w:cs="Arial"/>
          <w:kern w:val="0"/>
          <w:lang w:eastAsia="en-GB"/>
          <w14:ligatures w14:val="none"/>
        </w:rPr>
      </w:pPr>
      <w:r w:rsidRPr="00285AD6">
        <w:rPr>
          <w:rFonts w:ascii="Arial" w:eastAsia="Times New Roman" w:hAnsi="Arial" w:cs="Arial"/>
          <w:kern w:val="0"/>
          <w:lang w:eastAsia="en-GB"/>
          <w14:ligatures w14:val="none"/>
        </w:rPr>
        <w:t>These external pressures highlight the need to assess whether VNHSW’s internal capabilities are resilient enough to manage rising demand, workforce scarcity and digital inequality.</w:t>
      </w:r>
    </w:p>
    <w:p w14:paraId="7C25C0AB" w14:textId="77777777" w:rsidR="00E532BF" w:rsidRPr="00285AD6" w:rsidRDefault="00E532BF" w:rsidP="00D97871">
      <w:pPr>
        <w:spacing w:after="0" w:line="360" w:lineRule="auto"/>
        <w:rPr>
          <w:rFonts w:ascii="Arial" w:eastAsia="Times New Roman" w:hAnsi="Arial" w:cs="Arial"/>
          <w:kern w:val="0"/>
          <w:lang w:eastAsia="en-GB"/>
          <w14:ligatures w14:val="none"/>
        </w:rPr>
      </w:pPr>
    </w:p>
    <w:p w14:paraId="4C0D21B2" w14:textId="77777777" w:rsidR="007D6052" w:rsidRDefault="007D6052" w:rsidP="00D97871">
      <w:pPr>
        <w:spacing w:after="0" w:line="360" w:lineRule="auto"/>
        <w:rPr>
          <w:rFonts w:ascii="Arial" w:eastAsia="Arial" w:hAnsi="Arial" w:cs="Arial"/>
          <w:b/>
          <w:bCs/>
          <w:lang w:eastAsia="en-GB"/>
        </w:rPr>
      </w:pPr>
    </w:p>
    <w:p w14:paraId="220F2630" w14:textId="4F5D5529" w:rsidR="009F52B5" w:rsidRDefault="04EC8F01" w:rsidP="00D97871">
      <w:pPr>
        <w:spacing w:after="0" w:line="360" w:lineRule="auto"/>
        <w:rPr>
          <w:rFonts w:ascii="Arial" w:eastAsia="Arial" w:hAnsi="Arial" w:cs="Arial"/>
          <w:b/>
          <w:bCs/>
          <w:lang w:eastAsia="en-GB"/>
        </w:rPr>
      </w:pPr>
      <w:r w:rsidRPr="7635BE05">
        <w:rPr>
          <w:rFonts w:ascii="Arial" w:eastAsia="Arial" w:hAnsi="Arial" w:cs="Arial"/>
          <w:b/>
          <w:bCs/>
          <w:lang w:eastAsia="en-GB"/>
        </w:rPr>
        <w:t>3. Internal Analysis of Veterans NHS Wales</w:t>
      </w:r>
    </w:p>
    <w:p w14:paraId="29B47232" w14:textId="39FA1F95" w:rsidR="003C2E47" w:rsidRDefault="3B6B0C4D" w:rsidP="00D97871">
      <w:pPr>
        <w:spacing w:after="0" w:line="360" w:lineRule="auto"/>
        <w:rPr>
          <w:rFonts w:ascii="Arial" w:eastAsia="Arial" w:hAnsi="Arial" w:cs="Arial"/>
          <w:b/>
          <w:bCs/>
        </w:rPr>
      </w:pPr>
      <w:r w:rsidRPr="7635BE05">
        <w:rPr>
          <w:rFonts w:ascii="Arial" w:eastAsia="Arial" w:hAnsi="Arial" w:cs="Arial"/>
          <w:b/>
          <w:bCs/>
        </w:rPr>
        <w:t>Resource-Based View (RBV)</w:t>
      </w:r>
    </w:p>
    <w:p w14:paraId="057EB051" w14:textId="77777777" w:rsidR="0071762C" w:rsidRPr="0071762C" w:rsidRDefault="0071762C" w:rsidP="00D97871">
      <w:pPr>
        <w:pStyle w:val="NormalWeb"/>
        <w:spacing w:line="360" w:lineRule="auto"/>
        <w:rPr>
          <w:rFonts w:ascii="Arial" w:hAnsi="Arial" w:cs="Arial"/>
        </w:rPr>
      </w:pPr>
      <w:r w:rsidRPr="0071762C">
        <w:rPr>
          <w:rFonts w:ascii="Arial" w:hAnsi="Arial" w:cs="Arial"/>
        </w:rPr>
        <w:t>VNHSW’s core intangible resource is its specialist clinical expertise. According to Barney (1991), resources that are valuable, rare, inimitable and organisationally embedded provide sustainable advantage, and VNHSW’s therapists meet these criteria. The service also benefits from legitimacy as Wales’s designated veteran mental</w:t>
      </w:r>
      <w:r w:rsidRPr="0071762C">
        <w:rPr>
          <w:rFonts w:ascii="Arial" w:hAnsi="Arial" w:cs="Arial"/>
        </w:rPr>
        <w:noBreakHyphen/>
        <w:t>health pathway (NHS Wales, 2025). Partnerships with Change Step add further value by enhancing engagement and wrap</w:t>
      </w:r>
      <w:r w:rsidRPr="0071762C">
        <w:rPr>
          <w:rFonts w:ascii="Arial" w:hAnsi="Arial" w:cs="Arial"/>
        </w:rPr>
        <w:noBreakHyphen/>
        <w:t>around support.</w:t>
      </w:r>
    </w:p>
    <w:p w14:paraId="59D6D4D3" w14:textId="4A98D53E" w:rsidR="009F52B5" w:rsidRDefault="0071762C" w:rsidP="00D97871">
      <w:pPr>
        <w:pStyle w:val="NormalWeb"/>
        <w:spacing w:line="360" w:lineRule="auto"/>
        <w:rPr>
          <w:rFonts w:ascii="Arial" w:hAnsi="Arial" w:cs="Arial"/>
        </w:rPr>
      </w:pPr>
      <w:r w:rsidRPr="0071762C">
        <w:rPr>
          <w:rFonts w:ascii="Arial" w:hAnsi="Arial" w:cs="Arial"/>
        </w:rPr>
        <w:t>Using the VRIO framework, VNHSW’s specialist assessment capability is valuable, rare and difficult to replicate, offering sustained advantage if workforce capacity is protected. Hybrid delivery improves access, but its components are easily replicated, meaning its strategic value depends on effective design and integration (Nature Digital Psychiatry, 2024). Partnership capital is valuable but depends on consistent coordination. However, limited staffing undermines VNHSW’s ability to fully exploit these VRIO</w:t>
      </w:r>
      <w:r w:rsidRPr="0071762C">
        <w:rPr>
          <w:rFonts w:ascii="Arial" w:hAnsi="Arial" w:cs="Arial"/>
        </w:rPr>
        <w:noBreakHyphen/>
        <w:t>qualifying resources, as capacity constraints weaken consistency across regions.</w:t>
      </w:r>
    </w:p>
    <w:p w14:paraId="64399313" w14:textId="77777777" w:rsidR="00E532BF" w:rsidRPr="0071762C" w:rsidRDefault="00E532BF" w:rsidP="00D97871">
      <w:pPr>
        <w:pStyle w:val="NormalWeb"/>
        <w:spacing w:line="360" w:lineRule="auto"/>
        <w:rPr>
          <w:rFonts w:ascii="Arial" w:hAnsi="Arial" w:cs="Arial"/>
        </w:rPr>
      </w:pPr>
    </w:p>
    <w:p w14:paraId="0BFA28BF" w14:textId="77777777" w:rsidR="009F52B5" w:rsidRPr="009F52B5" w:rsidRDefault="3B6B0C4D" w:rsidP="00D97871">
      <w:pPr>
        <w:spacing w:line="360" w:lineRule="auto"/>
        <w:rPr>
          <w:rFonts w:ascii="Arial" w:eastAsia="Arial" w:hAnsi="Arial" w:cs="Arial"/>
          <w:b/>
          <w:bCs/>
        </w:rPr>
      </w:pPr>
      <w:r w:rsidRPr="7635BE05">
        <w:rPr>
          <w:rFonts w:ascii="Arial" w:eastAsia="Arial" w:hAnsi="Arial" w:cs="Arial"/>
          <w:b/>
          <w:bCs/>
        </w:rPr>
        <w:t>Value Chain Analysis</w:t>
      </w:r>
    </w:p>
    <w:p w14:paraId="448844AD" w14:textId="6F7EF078" w:rsidR="0071762C" w:rsidRPr="0071762C" w:rsidRDefault="0071762C" w:rsidP="00D97871">
      <w:pPr>
        <w:pStyle w:val="NormalWeb"/>
        <w:spacing w:line="360" w:lineRule="auto"/>
        <w:rPr>
          <w:rFonts w:ascii="Arial" w:hAnsi="Arial" w:cs="Arial"/>
        </w:rPr>
      </w:pPr>
      <w:r w:rsidRPr="0071762C">
        <w:rPr>
          <w:rFonts w:ascii="Arial" w:hAnsi="Arial" w:cs="Arial"/>
        </w:rPr>
        <w:t>The value chain highlights several operational strengths. Multiple referral routes support accessibility but increase pressure on assessment capacity. Structured assessments ensure clinical quality but require efficient scheduling. Core operational activities</w:t>
      </w:r>
      <w:r>
        <w:rPr>
          <w:rFonts w:ascii="Arial" w:hAnsi="Arial" w:cs="Arial"/>
        </w:rPr>
        <w:t xml:space="preserve"> </w:t>
      </w:r>
      <w:r w:rsidRPr="0071762C">
        <w:rPr>
          <w:rFonts w:ascii="Arial" w:hAnsi="Arial" w:cs="Arial"/>
        </w:rPr>
        <w:t>including assessment, care planning and hybrid therapy delivery</w:t>
      </w:r>
      <w:r>
        <w:rPr>
          <w:rFonts w:ascii="Arial" w:hAnsi="Arial" w:cs="Arial"/>
        </w:rPr>
        <w:t xml:space="preserve"> </w:t>
      </w:r>
      <w:r w:rsidRPr="0071762C">
        <w:rPr>
          <w:rFonts w:ascii="Arial" w:hAnsi="Arial" w:cs="Arial"/>
        </w:rPr>
        <w:t>enhance access across Wales and support consistent standards.</w:t>
      </w:r>
    </w:p>
    <w:p w14:paraId="3ABF7A9D" w14:textId="77777777" w:rsidR="0071762C" w:rsidRPr="0071762C" w:rsidRDefault="0071762C" w:rsidP="00D97871">
      <w:pPr>
        <w:pStyle w:val="NormalWeb"/>
        <w:spacing w:line="360" w:lineRule="auto"/>
        <w:rPr>
          <w:rFonts w:ascii="Arial" w:hAnsi="Arial" w:cs="Arial"/>
        </w:rPr>
      </w:pPr>
      <w:r w:rsidRPr="0071762C">
        <w:rPr>
          <w:rFonts w:ascii="Arial" w:hAnsi="Arial" w:cs="Arial"/>
        </w:rPr>
        <w:t>Outbound coordination, such as sharing care plans with GPs and maintaining links with third</w:t>
      </w:r>
      <w:r w:rsidRPr="0071762C">
        <w:rPr>
          <w:rFonts w:ascii="Arial" w:hAnsi="Arial" w:cs="Arial"/>
        </w:rPr>
        <w:noBreakHyphen/>
        <w:t>sector partners like Change Step, strengthens continuity of care.</w:t>
      </w:r>
      <w:r w:rsidRPr="0071762C">
        <w:rPr>
          <w:rFonts w:ascii="Arial" w:hAnsi="Arial" w:cs="Arial"/>
        </w:rPr>
        <w:br/>
        <w:t xml:space="preserve">Key support activity risks include reliance on single clinicians per Health Board and the need to ensure equitable access for veterans facing digital barriers. This staffing model increases vulnerability to sickness, leave and turnover. These weaknesses </w:t>
      </w:r>
      <w:r w:rsidRPr="0071762C">
        <w:rPr>
          <w:rFonts w:ascii="Arial" w:hAnsi="Arial" w:cs="Arial"/>
        </w:rPr>
        <w:lastRenderedPageBreak/>
        <w:t>contrast with NHS workforce models that distribute specialist expertise to reduce risk. The sustainability of VNHSW’s value creation therefore depends on managing workload pressures, capacity limitations and equitable access challenges.</w:t>
      </w:r>
    </w:p>
    <w:p w14:paraId="24EA86BB" w14:textId="77777777" w:rsidR="00C834A4" w:rsidRPr="009F52B5" w:rsidRDefault="00C834A4" w:rsidP="00D97871">
      <w:pPr>
        <w:spacing w:after="0" w:line="360" w:lineRule="auto"/>
        <w:rPr>
          <w:rFonts w:ascii="Arial" w:eastAsia="Arial" w:hAnsi="Arial" w:cs="Arial"/>
        </w:rPr>
      </w:pPr>
    </w:p>
    <w:p w14:paraId="537AF365" w14:textId="172CC660" w:rsidR="009F52B5" w:rsidRPr="009F52B5" w:rsidRDefault="009F52B5" w:rsidP="00D97871">
      <w:pPr>
        <w:spacing w:after="0" w:line="360" w:lineRule="auto"/>
        <w:rPr>
          <w:rFonts w:ascii="Arial" w:eastAsia="Arial" w:hAnsi="Arial" w:cs="Arial"/>
        </w:rPr>
      </w:pPr>
    </w:p>
    <w:p w14:paraId="69C0E9DA" w14:textId="04042F78" w:rsidR="009F52B5" w:rsidRPr="009F52B5" w:rsidRDefault="3B6B0C4D" w:rsidP="00D97871">
      <w:pPr>
        <w:spacing w:line="360" w:lineRule="auto"/>
        <w:rPr>
          <w:rFonts w:ascii="Arial" w:eastAsia="Arial" w:hAnsi="Arial" w:cs="Arial"/>
          <w:b/>
          <w:bCs/>
        </w:rPr>
      </w:pPr>
      <w:r w:rsidRPr="7635BE05">
        <w:rPr>
          <w:rFonts w:ascii="Arial" w:eastAsia="Arial" w:hAnsi="Arial" w:cs="Arial"/>
          <w:b/>
          <w:bCs/>
        </w:rPr>
        <w:t>SWOT and TOWS Analysis</w:t>
      </w:r>
    </w:p>
    <w:p w14:paraId="665A3BD5" w14:textId="1C0D9075" w:rsidR="39F6AA0B" w:rsidRDefault="68730936" w:rsidP="00D97871">
      <w:pPr>
        <w:spacing w:before="210" w:after="210" w:line="360" w:lineRule="auto"/>
        <w:rPr>
          <w:rFonts w:ascii="Arial" w:eastAsia="Arial" w:hAnsi="Arial" w:cs="Arial"/>
        </w:rPr>
      </w:pPr>
      <w:r w:rsidRPr="7635BE05">
        <w:rPr>
          <w:rFonts w:ascii="Arial" w:eastAsia="Arial" w:hAnsi="Arial" w:cs="Arial"/>
          <w:b/>
          <w:bCs/>
        </w:rPr>
        <w:t>Strengths:</w:t>
      </w:r>
      <w:r w:rsidRPr="7635BE05">
        <w:rPr>
          <w:rFonts w:ascii="Arial" w:eastAsia="Arial" w:hAnsi="Arial" w:cs="Arial"/>
        </w:rPr>
        <w:t xml:space="preserve"> </w:t>
      </w:r>
    </w:p>
    <w:p w14:paraId="5453437F" w14:textId="271B7EEF" w:rsidR="39F6AA0B" w:rsidRDefault="68730936" w:rsidP="00D97871">
      <w:pPr>
        <w:pStyle w:val="ListParagraph"/>
        <w:numPr>
          <w:ilvl w:val="0"/>
          <w:numId w:val="6"/>
        </w:numPr>
        <w:spacing w:before="210" w:after="210" w:line="360" w:lineRule="auto"/>
        <w:rPr>
          <w:rFonts w:ascii="Arial" w:eastAsia="Arial" w:hAnsi="Arial" w:cs="Arial"/>
        </w:rPr>
      </w:pPr>
      <w:r w:rsidRPr="7635BE05">
        <w:rPr>
          <w:rFonts w:ascii="Arial" w:eastAsia="Arial" w:hAnsi="Arial" w:cs="Arial"/>
        </w:rPr>
        <w:t>specialist expertise</w:t>
      </w:r>
      <w:r w:rsidR="790E1DC1" w:rsidRPr="7635BE05">
        <w:rPr>
          <w:rFonts w:ascii="Arial" w:eastAsia="Arial" w:hAnsi="Arial" w:cs="Arial"/>
        </w:rPr>
        <w:t xml:space="preserve"> in military mental health.</w:t>
      </w:r>
    </w:p>
    <w:p w14:paraId="0B819F7C" w14:textId="348F2426" w:rsidR="0A5B9B90" w:rsidRDefault="790E1DC1" w:rsidP="00D97871">
      <w:pPr>
        <w:pStyle w:val="ListParagraph"/>
        <w:numPr>
          <w:ilvl w:val="0"/>
          <w:numId w:val="6"/>
        </w:numPr>
        <w:spacing w:before="210" w:after="210" w:line="360" w:lineRule="auto"/>
        <w:rPr>
          <w:rFonts w:ascii="Arial" w:eastAsia="Arial" w:hAnsi="Arial" w:cs="Arial"/>
        </w:rPr>
      </w:pPr>
      <w:r w:rsidRPr="7635BE05">
        <w:rPr>
          <w:rFonts w:ascii="Arial" w:eastAsia="Arial" w:hAnsi="Arial" w:cs="Arial"/>
        </w:rPr>
        <w:t>N</w:t>
      </w:r>
      <w:r w:rsidR="68730936" w:rsidRPr="7635BE05">
        <w:rPr>
          <w:rFonts w:ascii="Arial" w:eastAsia="Arial" w:hAnsi="Arial" w:cs="Arial"/>
        </w:rPr>
        <w:t xml:space="preserve">ational </w:t>
      </w:r>
      <w:r w:rsidR="01F14D66" w:rsidRPr="7635BE05">
        <w:rPr>
          <w:rFonts w:ascii="Arial" w:eastAsia="Arial" w:hAnsi="Arial" w:cs="Arial"/>
        </w:rPr>
        <w:t>service remit ensuring consistent identi</w:t>
      </w:r>
      <w:r w:rsidR="70EDBA19" w:rsidRPr="7635BE05">
        <w:rPr>
          <w:rFonts w:ascii="Arial" w:eastAsia="Arial" w:hAnsi="Arial" w:cs="Arial"/>
        </w:rPr>
        <w:t>t</w:t>
      </w:r>
      <w:r w:rsidR="01F14D66" w:rsidRPr="7635BE05">
        <w:rPr>
          <w:rFonts w:ascii="Arial" w:eastAsia="Arial" w:hAnsi="Arial" w:cs="Arial"/>
        </w:rPr>
        <w:t>y and purpose.</w:t>
      </w:r>
    </w:p>
    <w:p w14:paraId="27A59C80" w14:textId="59360114" w:rsidR="44058555" w:rsidRDefault="01F14D66" w:rsidP="00D97871">
      <w:pPr>
        <w:pStyle w:val="ListParagraph"/>
        <w:numPr>
          <w:ilvl w:val="0"/>
          <w:numId w:val="6"/>
        </w:numPr>
        <w:spacing w:before="210" w:after="210" w:line="360" w:lineRule="auto"/>
        <w:rPr>
          <w:rFonts w:ascii="Arial" w:eastAsia="Arial" w:hAnsi="Arial" w:cs="Arial"/>
        </w:rPr>
      </w:pPr>
      <w:r w:rsidRPr="7635BE05">
        <w:rPr>
          <w:rFonts w:ascii="Arial" w:eastAsia="Arial" w:hAnsi="Arial" w:cs="Arial"/>
        </w:rPr>
        <w:t>S</w:t>
      </w:r>
      <w:r w:rsidR="68730936" w:rsidRPr="7635BE05">
        <w:rPr>
          <w:rFonts w:ascii="Arial" w:eastAsia="Arial" w:hAnsi="Arial" w:cs="Arial"/>
        </w:rPr>
        <w:t>trong partnerships</w:t>
      </w:r>
      <w:r w:rsidR="27725371" w:rsidRPr="7635BE05">
        <w:rPr>
          <w:rFonts w:ascii="Arial" w:eastAsia="Arial" w:hAnsi="Arial" w:cs="Arial"/>
        </w:rPr>
        <w:t xml:space="preserve"> with third-sector </w:t>
      </w:r>
      <w:r w:rsidR="0071762C">
        <w:rPr>
          <w:rFonts w:ascii="Arial" w:eastAsia="Arial" w:hAnsi="Arial" w:cs="Arial"/>
        </w:rPr>
        <w:t>partnerships</w:t>
      </w:r>
      <w:r w:rsidR="27725371" w:rsidRPr="7635BE05">
        <w:rPr>
          <w:rFonts w:ascii="Arial" w:eastAsia="Arial" w:hAnsi="Arial" w:cs="Arial"/>
        </w:rPr>
        <w:t>.</w:t>
      </w:r>
    </w:p>
    <w:p w14:paraId="054C62EC" w14:textId="4D21EBCF" w:rsidR="4634FAB4" w:rsidRDefault="27725371" w:rsidP="00D97871">
      <w:pPr>
        <w:pStyle w:val="ListParagraph"/>
        <w:numPr>
          <w:ilvl w:val="0"/>
          <w:numId w:val="6"/>
        </w:numPr>
        <w:spacing w:before="210" w:after="210" w:line="360" w:lineRule="auto"/>
        <w:rPr>
          <w:rFonts w:ascii="Arial" w:eastAsia="Arial" w:hAnsi="Arial" w:cs="Arial"/>
        </w:rPr>
      </w:pPr>
      <w:r w:rsidRPr="7635BE05">
        <w:rPr>
          <w:rFonts w:ascii="Arial" w:eastAsia="Arial" w:hAnsi="Arial" w:cs="Arial"/>
        </w:rPr>
        <w:t>Hybrid delivery model supporting access</w:t>
      </w:r>
      <w:r w:rsidR="0071762C">
        <w:rPr>
          <w:rFonts w:ascii="Arial" w:eastAsia="Arial" w:hAnsi="Arial" w:cs="Arial"/>
        </w:rPr>
        <w:t>.</w:t>
      </w:r>
      <w:r w:rsidR="14F9E73E" w:rsidRPr="7635BE05">
        <w:rPr>
          <w:rFonts w:ascii="Arial" w:eastAsia="Arial" w:hAnsi="Arial" w:cs="Arial"/>
        </w:rPr>
        <w:t xml:space="preserve"> </w:t>
      </w:r>
    </w:p>
    <w:p w14:paraId="63BE5A2F" w14:textId="69321473" w:rsidR="37AA4857" w:rsidRDefault="37AA4857" w:rsidP="00D97871">
      <w:pPr>
        <w:pStyle w:val="ListParagraph"/>
        <w:spacing w:before="210" w:after="210" w:line="360" w:lineRule="auto"/>
        <w:rPr>
          <w:rFonts w:ascii="Arial" w:eastAsia="Arial" w:hAnsi="Arial" w:cs="Arial"/>
        </w:rPr>
      </w:pPr>
    </w:p>
    <w:p w14:paraId="4609A31C" w14:textId="35CDF66B" w:rsidR="39F6AA0B" w:rsidRDefault="68730936" w:rsidP="00D97871">
      <w:pPr>
        <w:spacing w:before="210" w:after="210" w:line="360" w:lineRule="auto"/>
        <w:rPr>
          <w:rFonts w:ascii="Arial" w:eastAsia="Arial" w:hAnsi="Arial" w:cs="Arial"/>
        </w:rPr>
      </w:pPr>
      <w:r w:rsidRPr="7635BE05">
        <w:rPr>
          <w:rFonts w:ascii="Arial" w:eastAsia="Arial" w:hAnsi="Arial" w:cs="Arial"/>
          <w:b/>
          <w:bCs/>
        </w:rPr>
        <w:t>Weaknesses:</w:t>
      </w:r>
      <w:r w:rsidRPr="7635BE05">
        <w:rPr>
          <w:rFonts w:ascii="Arial" w:eastAsia="Arial" w:hAnsi="Arial" w:cs="Arial"/>
        </w:rPr>
        <w:t xml:space="preserve"> </w:t>
      </w:r>
    </w:p>
    <w:p w14:paraId="21DDE7D8" w14:textId="554A8A02" w:rsidR="6CE4AA4F" w:rsidRDefault="5E601963" w:rsidP="00D97871">
      <w:pPr>
        <w:pStyle w:val="ListParagraph"/>
        <w:numPr>
          <w:ilvl w:val="0"/>
          <w:numId w:val="5"/>
        </w:numPr>
        <w:spacing w:before="210" w:after="210" w:line="360" w:lineRule="auto"/>
        <w:rPr>
          <w:rFonts w:ascii="Arial" w:eastAsia="Arial" w:hAnsi="Arial" w:cs="Arial"/>
        </w:rPr>
      </w:pPr>
      <w:r w:rsidRPr="7635BE05">
        <w:rPr>
          <w:rFonts w:ascii="Arial" w:eastAsia="Arial" w:hAnsi="Arial" w:cs="Arial"/>
        </w:rPr>
        <w:t>L</w:t>
      </w:r>
      <w:r w:rsidR="68730936" w:rsidRPr="7635BE05">
        <w:rPr>
          <w:rFonts w:ascii="Arial" w:eastAsia="Arial" w:hAnsi="Arial" w:cs="Arial"/>
        </w:rPr>
        <w:t>imited workforce capacity</w:t>
      </w:r>
      <w:r w:rsidR="45FAD1B7" w:rsidRPr="7635BE05">
        <w:rPr>
          <w:rFonts w:ascii="Arial" w:eastAsia="Arial" w:hAnsi="Arial" w:cs="Arial"/>
        </w:rPr>
        <w:t xml:space="preserve"> with reliance on one or two therapists per region.</w:t>
      </w:r>
    </w:p>
    <w:p w14:paraId="440F263A" w14:textId="45F96967" w:rsidR="108BB175" w:rsidRDefault="0071762C" w:rsidP="00D97871">
      <w:pPr>
        <w:pStyle w:val="ListParagraph"/>
        <w:numPr>
          <w:ilvl w:val="0"/>
          <w:numId w:val="5"/>
        </w:numPr>
        <w:spacing w:before="210" w:after="210" w:line="360" w:lineRule="auto"/>
        <w:rPr>
          <w:rFonts w:ascii="Arial" w:eastAsia="Arial" w:hAnsi="Arial" w:cs="Arial"/>
        </w:rPr>
      </w:pPr>
      <w:r>
        <w:rPr>
          <w:rFonts w:ascii="Arial" w:eastAsia="Arial" w:hAnsi="Arial" w:cs="Arial"/>
        </w:rPr>
        <w:t>D</w:t>
      </w:r>
      <w:r w:rsidR="45FAD1B7" w:rsidRPr="7635BE05">
        <w:rPr>
          <w:rFonts w:ascii="Arial" w:eastAsia="Arial" w:hAnsi="Arial" w:cs="Arial"/>
        </w:rPr>
        <w:t xml:space="preserve">igital access </w:t>
      </w:r>
      <w:r>
        <w:rPr>
          <w:rFonts w:ascii="Arial" w:eastAsia="Arial" w:hAnsi="Arial" w:cs="Arial"/>
        </w:rPr>
        <w:t>challenge</w:t>
      </w:r>
      <w:r w:rsidR="006D0A99">
        <w:rPr>
          <w:rFonts w:ascii="Arial" w:eastAsia="Arial" w:hAnsi="Arial" w:cs="Arial"/>
        </w:rPr>
        <w:t xml:space="preserve">s </w:t>
      </w:r>
      <w:r w:rsidR="45FAD1B7" w:rsidRPr="7635BE05">
        <w:rPr>
          <w:rFonts w:ascii="Arial" w:eastAsia="Arial" w:hAnsi="Arial" w:cs="Arial"/>
        </w:rPr>
        <w:t xml:space="preserve">in rural areas. </w:t>
      </w:r>
    </w:p>
    <w:p w14:paraId="6B7BD93F" w14:textId="066CBE7F" w:rsidR="108BB175" w:rsidRDefault="45FAD1B7" w:rsidP="00D97871">
      <w:pPr>
        <w:pStyle w:val="ListParagraph"/>
        <w:numPr>
          <w:ilvl w:val="0"/>
          <w:numId w:val="5"/>
        </w:numPr>
        <w:spacing w:before="210" w:after="210" w:line="360" w:lineRule="auto"/>
        <w:rPr>
          <w:rFonts w:ascii="Arial" w:eastAsia="Arial" w:hAnsi="Arial" w:cs="Arial"/>
        </w:rPr>
      </w:pPr>
      <w:r w:rsidRPr="7635BE05">
        <w:rPr>
          <w:rFonts w:ascii="Arial" w:eastAsia="Arial" w:hAnsi="Arial" w:cs="Arial"/>
        </w:rPr>
        <w:t>High referral volumes stretching assessment and therapy capacity.</w:t>
      </w:r>
      <w:r w:rsidR="108BB175">
        <w:br/>
      </w:r>
    </w:p>
    <w:p w14:paraId="1C1D11BA" w14:textId="03D4CAAA" w:rsidR="39F6AA0B" w:rsidRDefault="68730936" w:rsidP="00D97871">
      <w:pPr>
        <w:spacing w:before="210" w:after="210" w:line="360" w:lineRule="auto"/>
        <w:rPr>
          <w:rFonts w:ascii="Arial" w:eastAsia="Arial" w:hAnsi="Arial" w:cs="Arial"/>
        </w:rPr>
      </w:pPr>
      <w:r w:rsidRPr="7635BE05">
        <w:rPr>
          <w:rFonts w:ascii="Arial" w:eastAsia="Arial" w:hAnsi="Arial" w:cs="Arial"/>
          <w:b/>
          <w:bCs/>
        </w:rPr>
        <w:t>Opportunities:</w:t>
      </w:r>
      <w:r w:rsidRPr="7635BE05">
        <w:rPr>
          <w:rFonts w:ascii="Arial" w:eastAsia="Arial" w:hAnsi="Arial" w:cs="Arial"/>
        </w:rPr>
        <w:t xml:space="preserve"> </w:t>
      </w:r>
    </w:p>
    <w:p w14:paraId="722B85A4" w14:textId="2287B61A" w:rsidR="5AC68A2D" w:rsidRDefault="6B11C9D1" w:rsidP="00D97871">
      <w:pPr>
        <w:pStyle w:val="ListParagraph"/>
        <w:numPr>
          <w:ilvl w:val="0"/>
          <w:numId w:val="4"/>
        </w:numPr>
        <w:spacing w:before="210" w:after="210" w:line="360" w:lineRule="auto"/>
        <w:rPr>
          <w:rFonts w:ascii="Arial" w:eastAsia="Arial" w:hAnsi="Arial" w:cs="Arial"/>
        </w:rPr>
      </w:pPr>
      <w:r w:rsidRPr="7635BE05">
        <w:rPr>
          <w:rFonts w:ascii="Arial" w:eastAsia="Arial" w:hAnsi="Arial" w:cs="Arial"/>
        </w:rPr>
        <w:t>Expansion of digital‑first pathways.</w:t>
      </w:r>
    </w:p>
    <w:p w14:paraId="09B4AD11" w14:textId="15C56427" w:rsidR="5AC68A2D" w:rsidRDefault="6B11C9D1" w:rsidP="00D97871">
      <w:pPr>
        <w:pStyle w:val="ListParagraph"/>
        <w:numPr>
          <w:ilvl w:val="0"/>
          <w:numId w:val="4"/>
        </w:numPr>
        <w:spacing w:after="0" w:line="360" w:lineRule="auto"/>
        <w:rPr>
          <w:rFonts w:ascii="Arial" w:eastAsia="Arial" w:hAnsi="Arial" w:cs="Arial"/>
        </w:rPr>
      </w:pPr>
      <w:r w:rsidRPr="7635BE05">
        <w:rPr>
          <w:rFonts w:ascii="Arial" w:eastAsia="Arial" w:hAnsi="Arial" w:cs="Arial"/>
        </w:rPr>
        <w:t>Greater integration with third‑sector</w:t>
      </w:r>
      <w:r w:rsidR="006D0A99">
        <w:rPr>
          <w:rFonts w:ascii="Arial" w:eastAsia="Arial" w:hAnsi="Arial" w:cs="Arial"/>
        </w:rPr>
        <w:t>/</w:t>
      </w:r>
      <w:r w:rsidRPr="7635BE05">
        <w:rPr>
          <w:rFonts w:ascii="Arial" w:eastAsia="Arial" w:hAnsi="Arial" w:cs="Arial"/>
        </w:rPr>
        <w:t>community organisations.</w:t>
      </w:r>
    </w:p>
    <w:p w14:paraId="753A07AB" w14:textId="3E52D67B" w:rsidR="5AC68A2D" w:rsidRDefault="6B11C9D1" w:rsidP="00D97871">
      <w:pPr>
        <w:pStyle w:val="ListParagraph"/>
        <w:numPr>
          <w:ilvl w:val="0"/>
          <w:numId w:val="4"/>
        </w:numPr>
        <w:spacing w:after="0" w:line="360" w:lineRule="auto"/>
        <w:rPr>
          <w:rFonts w:ascii="Arial" w:eastAsia="Arial" w:hAnsi="Arial" w:cs="Arial"/>
        </w:rPr>
      </w:pPr>
      <w:r w:rsidRPr="7635BE05">
        <w:rPr>
          <w:rFonts w:ascii="Arial" w:eastAsia="Arial" w:hAnsi="Arial" w:cs="Arial"/>
        </w:rPr>
        <w:t>Development of group‑based and peer‑supported interventions.</w:t>
      </w:r>
    </w:p>
    <w:p w14:paraId="145EF277" w14:textId="38A1B608" w:rsidR="5AC68A2D" w:rsidRDefault="6B11C9D1" w:rsidP="00D97871">
      <w:pPr>
        <w:pStyle w:val="ListParagraph"/>
        <w:numPr>
          <w:ilvl w:val="0"/>
          <w:numId w:val="4"/>
        </w:numPr>
        <w:spacing w:after="0" w:line="360" w:lineRule="auto"/>
        <w:rPr>
          <w:rFonts w:ascii="Arial" w:eastAsia="Arial" w:hAnsi="Arial" w:cs="Arial"/>
        </w:rPr>
      </w:pPr>
      <w:r w:rsidRPr="7635BE05">
        <w:rPr>
          <w:rFonts w:ascii="Arial" w:eastAsia="Arial" w:hAnsi="Arial" w:cs="Arial"/>
        </w:rPr>
        <w:t>Improved cross‑Health‑Board collaboration.</w:t>
      </w:r>
    </w:p>
    <w:p w14:paraId="59E14F87" w14:textId="7E68B653" w:rsidR="37AA4857" w:rsidRDefault="37AA4857" w:rsidP="00D97871">
      <w:pPr>
        <w:pStyle w:val="ListParagraph"/>
        <w:spacing w:before="210" w:after="210" w:line="360" w:lineRule="auto"/>
        <w:rPr>
          <w:rFonts w:ascii="Arial" w:eastAsia="Arial" w:hAnsi="Arial" w:cs="Arial"/>
        </w:rPr>
      </w:pPr>
    </w:p>
    <w:p w14:paraId="71E4332E" w14:textId="2890DDD3" w:rsidR="39F6AA0B" w:rsidRDefault="68730936" w:rsidP="00D97871">
      <w:pPr>
        <w:spacing w:before="210" w:after="210" w:line="360" w:lineRule="auto"/>
        <w:rPr>
          <w:rFonts w:ascii="Arial" w:eastAsia="Arial" w:hAnsi="Arial" w:cs="Arial"/>
        </w:rPr>
      </w:pPr>
      <w:r w:rsidRPr="7635BE05">
        <w:rPr>
          <w:rFonts w:ascii="Arial" w:eastAsia="Arial" w:hAnsi="Arial" w:cs="Arial"/>
          <w:b/>
          <w:bCs/>
        </w:rPr>
        <w:t>Threats:</w:t>
      </w:r>
      <w:r w:rsidRPr="7635BE05">
        <w:rPr>
          <w:rFonts w:ascii="Arial" w:eastAsia="Arial" w:hAnsi="Arial" w:cs="Arial"/>
        </w:rPr>
        <w:t xml:space="preserve"> </w:t>
      </w:r>
    </w:p>
    <w:p w14:paraId="78A5F8F2" w14:textId="4473C254" w:rsidR="4FDA56ED" w:rsidRDefault="60A816FC" w:rsidP="00D97871">
      <w:pPr>
        <w:pStyle w:val="ListParagraph"/>
        <w:numPr>
          <w:ilvl w:val="0"/>
          <w:numId w:val="23"/>
        </w:numPr>
        <w:spacing w:after="0" w:line="360" w:lineRule="auto"/>
        <w:rPr>
          <w:rFonts w:ascii="Arial" w:eastAsia="Arial" w:hAnsi="Arial" w:cs="Arial"/>
        </w:rPr>
      </w:pPr>
      <w:r w:rsidRPr="7635BE05">
        <w:rPr>
          <w:rFonts w:ascii="Arial" w:eastAsia="Arial" w:hAnsi="Arial" w:cs="Arial"/>
        </w:rPr>
        <w:t>Rising demand</w:t>
      </w:r>
      <w:r w:rsidR="006D0A99">
        <w:rPr>
          <w:rFonts w:ascii="Arial" w:eastAsia="Arial" w:hAnsi="Arial" w:cs="Arial"/>
        </w:rPr>
        <w:t xml:space="preserve"> for </w:t>
      </w:r>
      <w:r w:rsidR="006D0A99" w:rsidRPr="7635BE05">
        <w:rPr>
          <w:rFonts w:ascii="Arial" w:eastAsia="Arial" w:hAnsi="Arial" w:cs="Arial"/>
        </w:rPr>
        <w:t>veteran mental health</w:t>
      </w:r>
      <w:r w:rsidR="006D0A99">
        <w:rPr>
          <w:rFonts w:ascii="Arial" w:eastAsia="Arial" w:hAnsi="Arial" w:cs="Arial"/>
        </w:rPr>
        <w:t xml:space="preserve"> support.</w:t>
      </w:r>
    </w:p>
    <w:p w14:paraId="206C2F4A" w14:textId="3FEF2483" w:rsidR="4FDA56ED" w:rsidRDefault="60A816FC" w:rsidP="00D97871">
      <w:pPr>
        <w:pStyle w:val="ListParagraph"/>
        <w:numPr>
          <w:ilvl w:val="0"/>
          <w:numId w:val="23"/>
        </w:numPr>
        <w:spacing w:after="0" w:line="360" w:lineRule="auto"/>
        <w:rPr>
          <w:rFonts w:ascii="Arial" w:eastAsia="Arial" w:hAnsi="Arial" w:cs="Arial"/>
        </w:rPr>
      </w:pPr>
      <w:r w:rsidRPr="7635BE05">
        <w:rPr>
          <w:rFonts w:ascii="Arial" w:eastAsia="Arial" w:hAnsi="Arial" w:cs="Arial"/>
        </w:rPr>
        <w:t>NHS funding constraints and national workforce shortages.</w:t>
      </w:r>
    </w:p>
    <w:p w14:paraId="2522D220" w14:textId="6D6F3F6F" w:rsidR="4FDA56ED" w:rsidRDefault="60A816FC" w:rsidP="00D97871">
      <w:pPr>
        <w:pStyle w:val="ListParagraph"/>
        <w:numPr>
          <w:ilvl w:val="0"/>
          <w:numId w:val="23"/>
        </w:numPr>
        <w:spacing w:after="0" w:line="360" w:lineRule="auto"/>
        <w:rPr>
          <w:rFonts w:ascii="Arial" w:eastAsia="Arial" w:hAnsi="Arial" w:cs="Arial"/>
        </w:rPr>
      </w:pPr>
      <w:r w:rsidRPr="7635BE05">
        <w:rPr>
          <w:rFonts w:ascii="Arial" w:eastAsia="Arial" w:hAnsi="Arial" w:cs="Arial"/>
        </w:rPr>
        <w:t>Increasing case complexity</w:t>
      </w:r>
      <w:r w:rsidR="006D0A99">
        <w:rPr>
          <w:rFonts w:ascii="Arial" w:eastAsia="Arial" w:hAnsi="Arial" w:cs="Arial"/>
        </w:rPr>
        <w:t>.</w:t>
      </w:r>
    </w:p>
    <w:p w14:paraId="29F82887" w14:textId="6133EE50" w:rsidR="7635BE05" w:rsidRDefault="7635BE05" w:rsidP="00D97871">
      <w:pPr>
        <w:pStyle w:val="ListParagraph"/>
        <w:spacing w:after="0" w:line="360" w:lineRule="auto"/>
        <w:rPr>
          <w:rFonts w:ascii="Arial" w:eastAsia="Arial" w:hAnsi="Arial" w:cs="Arial"/>
        </w:rPr>
      </w:pPr>
    </w:p>
    <w:p w14:paraId="1C9DDBAB" w14:textId="33717DA8" w:rsidR="7635BE05" w:rsidRDefault="7635BE05" w:rsidP="00D97871">
      <w:pPr>
        <w:spacing w:after="0" w:line="360" w:lineRule="auto"/>
        <w:rPr>
          <w:rFonts w:ascii="Arial" w:eastAsia="Arial" w:hAnsi="Arial" w:cs="Arial"/>
        </w:rPr>
      </w:pPr>
    </w:p>
    <w:p w14:paraId="4B0135E9" w14:textId="4499B53A" w:rsidR="4FDA56ED" w:rsidRDefault="60A816FC" w:rsidP="00D97871">
      <w:pPr>
        <w:spacing w:after="0" w:line="360" w:lineRule="auto"/>
        <w:rPr>
          <w:rFonts w:ascii="Arial" w:eastAsia="Arial" w:hAnsi="Arial" w:cs="Arial"/>
          <w:b/>
          <w:bCs/>
        </w:rPr>
      </w:pPr>
      <w:r w:rsidRPr="7635BE05">
        <w:rPr>
          <w:rFonts w:ascii="Arial" w:eastAsia="Arial" w:hAnsi="Arial" w:cs="Arial"/>
          <w:b/>
          <w:bCs/>
        </w:rPr>
        <w:t>TOWS Analysis</w:t>
      </w:r>
    </w:p>
    <w:p w14:paraId="56BE3807" w14:textId="77777777" w:rsidR="006D0A99" w:rsidRPr="006D0A99" w:rsidRDefault="006D0A99" w:rsidP="00D97871">
      <w:pPr>
        <w:pStyle w:val="NormalWeb"/>
        <w:spacing w:line="360" w:lineRule="auto"/>
        <w:rPr>
          <w:rFonts w:ascii="Arial" w:hAnsi="Arial" w:cs="Arial"/>
        </w:rPr>
      </w:pPr>
      <w:r w:rsidRPr="006D0A99">
        <w:rPr>
          <w:rFonts w:ascii="Arial" w:hAnsi="Arial" w:cs="Arial"/>
        </w:rPr>
        <w:t>Using the TOWS framework, VNHSW can translate insights into strategic options:</w:t>
      </w:r>
    </w:p>
    <w:p w14:paraId="5A784280" w14:textId="573B6D3F" w:rsidR="006D0A99" w:rsidRPr="006D0A99" w:rsidRDefault="006D0A99" w:rsidP="00D97871">
      <w:pPr>
        <w:pStyle w:val="NormalWeb"/>
        <w:numPr>
          <w:ilvl w:val="0"/>
          <w:numId w:val="30"/>
        </w:numPr>
        <w:spacing w:line="360" w:lineRule="auto"/>
        <w:rPr>
          <w:rFonts w:ascii="Arial" w:hAnsi="Arial" w:cs="Arial"/>
        </w:rPr>
      </w:pPr>
      <w:r w:rsidRPr="006D0A99">
        <w:rPr>
          <w:rStyle w:val="Strong"/>
          <w:rFonts w:ascii="Arial" w:eastAsiaTheme="majorEastAsia" w:hAnsi="Arial" w:cs="Arial"/>
        </w:rPr>
        <w:t>S–O:</w:t>
      </w:r>
      <w:r w:rsidRPr="006D0A99">
        <w:rPr>
          <w:rFonts w:ascii="Arial" w:hAnsi="Arial" w:cs="Arial"/>
        </w:rPr>
        <w:t xml:space="preserve"> Use specialist expertise to expand digital</w:t>
      </w:r>
      <w:r w:rsidRPr="006D0A99">
        <w:rPr>
          <w:rFonts w:ascii="Arial" w:hAnsi="Arial" w:cs="Arial"/>
        </w:rPr>
        <w:noBreakHyphen/>
        <w:t>first assessments and deepen collaboration with Change Step.</w:t>
      </w:r>
      <w:r w:rsidRPr="006D0A99">
        <w:rPr>
          <w:rFonts w:ascii="Arial" w:hAnsi="Arial" w:cs="Arial"/>
        </w:rPr>
        <w:br/>
        <w:t xml:space="preserve">• </w:t>
      </w:r>
      <w:r w:rsidRPr="006D0A99">
        <w:rPr>
          <w:rStyle w:val="Strong"/>
          <w:rFonts w:ascii="Arial" w:eastAsiaTheme="majorEastAsia" w:hAnsi="Arial" w:cs="Arial"/>
        </w:rPr>
        <w:t>W–O:</w:t>
      </w:r>
      <w:r w:rsidRPr="006D0A99">
        <w:rPr>
          <w:rFonts w:ascii="Arial" w:hAnsi="Arial" w:cs="Arial"/>
        </w:rPr>
        <w:t xml:space="preserve"> Address workforce limitations through regional therapist pools and cross</w:t>
      </w:r>
      <w:r w:rsidRPr="006D0A99">
        <w:rPr>
          <w:rFonts w:ascii="Arial" w:hAnsi="Arial" w:cs="Arial"/>
        </w:rPr>
        <w:noBreakHyphen/>
        <w:t>board supervision.</w:t>
      </w:r>
      <w:r w:rsidRPr="006D0A99">
        <w:rPr>
          <w:rFonts w:ascii="Arial" w:hAnsi="Arial" w:cs="Arial"/>
        </w:rPr>
        <w:br/>
        <w:t xml:space="preserve">• </w:t>
      </w:r>
      <w:r w:rsidRPr="006D0A99">
        <w:rPr>
          <w:rStyle w:val="Strong"/>
          <w:rFonts w:ascii="Arial" w:eastAsiaTheme="majorEastAsia" w:hAnsi="Arial" w:cs="Arial"/>
        </w:rPr>
        <w:t>S–T:</w:t>
      </w:r>
      <w:r w:rsidRPr="006D0A99">
        <w:rPr>
          <w:rFonts w:ascii="Arial" w:hAnsi="Arial" w:cs="Arial"/>
        </w:rPr>
        <w:t xml:space="preserve"> Use partnerships and the national remit to manage rising demand and maintain consistency.</w:t>
      </w:r>
      <w:r w:rsidRPr="006D0A99">
        <w:rPr>
          <w:rFonts w:ascii="Arial" w:hAnsi="Arial" w:cs="Arial"/>
        </w:rPr>
        <w:br/>
        <w:t xml:space="preserve">• </w:t>
      </w:r>
      <w:r w:rsidRPr="006D0A99">
        <w:rPr>
          <w:rStyle w:val="Strong"/>
          <w:rFonts w:ascii="Arial" w:eastAsiaTheme="majorEastAsia" w:hAnsi="Arial" w:cs="Arial"/>
        </w:rPr>
        <w:t>W–T:</w:t>
      </w:r>
      <w:r w:rsidRPr="006D0A99">
        <w:rPr>
          <w:rFonts w:ascii="Arial" w:hAnsi="Arial" w:cs="Arial"/>
        </w:rPr>
        <w:t xml:space="preserve"> Mitigate workforce and digital weaknesses via contingency planning, digital</w:t>
      </w:r>
      <w:r w:rsidRPr="006D0A99">
        <w:rPr>
          <w:rFonts w:ascii="Arial" w:hAnsi="Arial" w:cs="Arial"/>
        </w:rPr>
        <w:noBreakHyphen/>
        <w:t>literacy support and clear escalation pathways.</w:t>
      </w:r>
    </w:p>
    <w:p w14:paraId="529C2029" w14:textId="77777777" w:rsidR="006D0A99" w:rsidRPr="006D0A99" w:rsidRDefault="006D0A99" w:rsidP="00D97871">
      <w:pPr>
        <w:pStyle w:val="NormalWeb"/>
        <w:spacing w:line="360" w:lineRule="auto"/>
        <w:rPr>
          <w:rFonts w:ascii="Arial" w:hAnsi="Arial" w:cs="Arial"/>
        </w:rPr>
      </w:pPr>
      <w:r w:rsidRPr="006D0A99">
        <w:rPr>
          <w:rFonts w:ascii="Arial" w:hAnsi="Arial" w:cs="Arial"/>
        </w:rPr>
        <w:t>Although these weaknesses are acknowledged internally, they appear inconsistently addressed across Health Boards, suggesting a gap between strategic intent and implementation. The TOWS strategies align with best</w:t>
      </w:r>
      <w:r w:rsidRPr="006D0A99">
        <w:rPr>
          <w:rFonts w:ascii="Arial" w:hAnsi="Arial" w:cs="Arial"/>
        </w:rPr>
        <w:noBreakHyphen/>
        <w:t>practice planning (Whittington et al., 2019) and support more resilient service delivery.</w:t>
      </w:r>
    </w:p>
    <w:p w14:paraId="56F26406" w14:textId="77777777" w:rsidR="007D6052" w:rsidRDefault="007D6052" w:rsidP="00D97871">
      <w:pPr>
        <w:spacing w:after="0" w:line="360" w:lineRule="auto"/>
        <w:rPr>
          <w:rFonts w:ascii="Arial" w:eastAsia="Arial" w:hAnsi="Arial" w:cs="Arial"/>
          <w:b/>
          <w:bCs/>
          <w:lang w:eastAsia="en-GB"/>
        </w:rPr>
      </w:pPr>
    </w:p>
    <w:p w14:paraId="2BF422B5" w14:textId="77777777" w:rsidR="007D6052" w:rsidRPr="008E0084" w:rsidRDefault="04EC8F01" w:rsidP="00D97871">
      <w:pPr>
        <w:spacing w:line="360" w:lineRule="auto"/>
        <w:rPr>
          <w:rFonts w:ascii="Arial" w:eastAsia="Arial" w:hAnsi="Arial" w:cs="Arial"/>
          <w:b/>
          <w:bCs/>
          <w:lang w:eastAsia="en-GB"/>
        </w:rPr>
      </w:pPr>
      <w:r w:rsidRPr="7635BE05">
        <w:rPr>
          <w:rFonts w:ascii="Arial" w:eastAsia="Arial" w:hAnsi="Arial" w:cs="Arial"/>
          <w:b/>
          <w:bCs/>
          <w:lang w:eastAsia="en-GB"/>
        </w:rPr>
        <w:t>4. Strategy Formulation &amp; Competitive Positioning</w:t>
      </w:r>
    </w:p>
    <w:p w14:paraId="4D0CF691" w14:textId="77777777" w:rsidR="00FC5F26" w:rsidRPr="00FC5F26" w:rsidRDefault="76F7D9C0" w:rsidP="00D97871">
      <w:pPr>
        <w:spacing w:line="360" w:lineRule="auto"/>
        <w:rPr>
          <w:rFonts w:ascii="Arial" w:eastAsia="Arial" w:hAnsi="Arial" w:cs="Arial"/>
          <w:b/>
          <w:bCs/>
        </w:rPr>
      </w:pPr>
      <w:r w:rsidRPr="7635BE05">
        <w:rPr>
          <w:rFonts w:ascii="Arial" w:eastAsia="Arial" w:hAnsi="Arial" w:cs="Arial"/>
          <w:b/>
          <w:bCs/>
        </w:rPr>
        <w:t>Current Strategic Positioning</w:t>
      </w:r>
    </w:p>
    <w:p w14:paraId="36E12A0A" w14:textId="758C0804" w:rsidR="0068435A" w:rsidRPr="0068435A" w:rsidRDefault="0068435A" w:rsidP="00D97871">
      <w:pPr>
        <w:pStyle w:val="NormalWeb"/>
        <w:spacing w:line="360" w:lineRule="auto"/>
        <w:rPr>
          <w:rFonts w:ascii="Arial" w:hAnsi="Arial" w:cs="Arial"/>
        </w:rPr>
      </w:pPr>
      <w:r w:rsidRPr="0068435A">
        <w:rPr>
          <w:rFonts w:ascii="Arial" w:hAnsi="Arial" w:cs="Arial"/>
        </w:rPr>
        <w:t>VNHSW occupies a focused differentiation position within Porter’s Generic Strategies. As the only NHS specialist mental</w:t>
      </w:r>
      <w:r w:rsidRPr="0068435A">
        <w:rPr>
          <w:rFonts w:ascii="Arial" w:hAnsi="Arial" w:cs="Arial"/>
        </w:rPr>
        <w:noBreakHyphen/>
        <w:t>health service for veterans in Wales, it delivers high</w:t>
      </w:r>
      <w:r w:rsidRPr="0068435A">
        <w:rPr>
          <w:rFonts w:ascii="Arial" w:hAnsi="Arial" w:cs="Arial"/>
        </w:rPr>
        <w:noBreakHyphen/>
        <w:t>value, niche support based on military</w:t>
      </w:r>
      <w:r w:rsidRPr="0068435A">
        <w:rPr>
          <w:rFonts w:ascii="Arial" w:hAnsi="Arial" w:cs="Arial"/>
        </w:rPr>
        <w:noBreakHyphen/>
        <w:t>specific expertise. Its hybrid delivery model and partnership integration further differentiate it, though the absence of direct competitors may limit strategic momentum. Third</w:t>
      </w:r>
      <w:r w:rsidRPr="0068435A">
        <w:rPr>
          <w:rFonts w:ascii="Arial" w:hAnsi="Arial" w:cs="Arial"/>
        </w:rPr>
        <w:noBreakHyphen/>
        <w:t xml:space="preserve">sector organisations, while not true competitors, often demonstrate greater </w:t>
      </w:r>
      <w:r w:rsidR="00E532BF">
        <w:rPr>
          <w:rFonts w:ascii="Arial" w:hAnsi="Arial" w:cs="Arial"/>
        </w:rPr>
        <w:t>flexibility</w:t>
      </w:r>
      <w:r w:rsidRPr="0068435A">
        <w:rPr>
          <w:rFonts w:ascii="Arial" w:hAnsi="Arial" w:cs="Arial"/>
        </w:rPr>
        <w:t>, challenging the assumption that differentiation alone guarantees sustained advantage.</w:t>
      </w:r>
    </w:p>
    <w:p w14:paraId="771682E4" w14:textId="77777777" w:rsidR="0068435A" w:rsidRPr="0068435A" w:rsidRDefault="0068435A" w:rsidP="00D97871">
      <w:pPr>
        <w:pStyle w:val="NormalWeb"/>
        <w:spacing w:line="360" w:lineRule="auto"/>
        <w:rPr>
          <w:rFonts w:ascii="Arial" w:hAnsi="Arial" w:cs="Arial"/>
        </w:rPr>
      </w:pPr>
      <w:r w:rsidRPr="0068435A">
        <w:rPr>
          <w:rFonts w:ascii="Arial" w:hAnsi="Arial" w:cs="Arial"/>
        </w:rPr>
        <w:t>Using the Strategy Clock, VNHSW aligns with Position 5: Focused Differentiation, offering high perceived value at no cost to service users (Johnson et al., 2017). Maintaining this position requires addressing workforce constraints and ensuring consistent service quality across Health Boards.</w:t>
      </w:r>
    </w:p>
    <w:p w14:paraId="0128B7C1" w14:textId="68523BAF" w:rsidR="7635BE05" w:rsidRPr="0068435A" w:rsidRDefault="0068435A" w:rsidP="00D97871">
      <w:pPr>
        <w:pStyle w:val="NormalWeb"/>
        <w:spacing w:line="360" w:lineRule="auto"/>
        <w:rPr>
          <w:rFonts w:ascii="Arial" w:hAnsi="Arial" w:cs="Arial"/>
        </w:rPr>
      </w:pPr>
      <w:r w:rsidRPr="0068435A">
        <w:rPr>
          <w:rFonts w:ascii="Arial" w:hAnsi="Arial" w:cs="Arial"/>
        </w:rPr>
        <w:lastRenderedPageBreak/>
        <w:t>Comparison with NHS England’s Op COURAGE pathway adds context. Op COURAGE integrates Transition, Intervention and Liaison Services (TILS), Complex Treatment Services (CTS) and High</w:t>
      </w:r>
      <w:r w:rsidRPr="0068435A">
        <w:rPr>
          <w:rFonts w:ascii="Arial" w:hAnsi="Arial" w:cs="Arial"/>
        </w:rPr>
        <w:noBreakHyphen/>
        <w:t>Intensity Services (HIS) through multidisciplinary teams and broader specialisms. VNHSW, by contrast, operates with a leaner workforce and limited diversification. This shows that although Wales benefits from national alignment, England’s model offers greater scalability and resilience, challenging the assumption that VNHSW’s structure is sustainable long term.</w:t>
      </w:r>
    </w:p>
    <w:p w14:paraId="6BD7444E" w14:textId="063BE290" w:rsidR="007D6052" w:rsidRDefault="04EC8F01" w:rsidP="00D97871">
      <w:pPr>
        <w:spacing w:before="210" w:after="210" w:line="360" w:lineRule="auto"/>
        <w:rPr>
          <w:rFonts w:ascii="Arial" w:eastAsia="Arial" w:hAnsi="Arial" w:cs="Arial"/>
          <w:b/>
          <w:bCs/>
        </w:rPr>
      </w:pPr>
      <w:r w:rsidRPr="7635BE05">
        <w:rPr>
          <w:rFonts w:ascii="Arial" w:eastAsia="Arial" w:hAnsi="Arial" w:cs="Arial"/>
          <w:b/>
          <w:bCs/>
          <w:lang w:eastAsia="en-GB"/>
        </w:rPr>
        <w:t>Growth Strategies (Ansoff’s Matrix)</w:t>
      </w:r>
      <w:r w:rsidR="1D47A2B2" w:rsidRPr="7635BE05">
        <w:rPr>
          <w:rFonts w:ascii="Arial" w:eastAsia="Arial" w:hAnsi="Arial" w:cs="Arial"/>
          <w:b/>
          <w:bCs/>
        </w:rPr>
        <w:t xml:space="preserve"> </w:t>
      </w:r>
    </w:p>
    <w:p w14:paraId="10CED6C9" w14:textId="77777777" w:rsidR="0068435A" w:rsidRPr="0068435A" w:rsidRDefault="0068435A" w:rsidP="00D97871">
      <w:pPr>
        <w:spacing w:after="0" w:line="360" w:lineRule="auto"/>
        <w:rPr>
          <w:rFonts w:ascii="Arial" w:eastAsia="Times New Roman" w:hAnsi="Arial" w:cs="Arial"/>
          <w:kern w:val="0"/>
          <w:lang w:eastAsia="en-GB"/>
          <w14:ligatures w14:val="none"/>
        </w:rPr>
      </w:pPr>
      <w:r w:rsidRPr="0068435A">
        <w:rPr>
          <w:rFonts w:ascii="Arial" w:eastAsia="Times New Roman" w:hAnsi="Arial" w:cs="Arial"/>
          <w:b/>
          <w:bCs/>
          <w:kern w:val="0"/>
          <w:lang w:eastAsia="en-GB"/>
          <w14:ligatures w14:val="none"/>
        </w:rPr>
        <w:t>Market Penetration:</w:t>
      </w:r>
      <w:r w:rsidRPr="0068435A">
        <w:rPr>
          <w:rFonts w:ascii="Arial" w:eastAsia="Times New Roman" w:hAnsi="Arial" w:cs="Arial"/>
          <w:kern w:val="0"/>
          <w:lang w:eastAsia="en-GB"/>
          <w14:ligatures w14:val="none"/>
        </w:rPr>
        <w:t xml:space="preserve"> Strengthen referral consistency and expand digital</w:t>
      </w:r>
      <w:r w:rsidRPr="0068435A">
        <w:rPr>
          <w:rFonts w:ascii="Arial" w:eastAsia="Times New Roman" w:hAnsi="Arial" w:cs="Arial"/>
          <w:kern w:val="0"/>
          <w:lang w:eastAsia="en-GB"/>
          <w14:ligatures w14:val="none"/>
        </w:rPr>
        <w:noBreakHyphen/>
        <w:t>first assessments to improve access and reduce waiting times (Ansoff, 1957).</w:t>
      </w:r>
      <w:r w:rsidRPr="0068435A">
        <w:rPr>
          <w:rFonts w:ascii="Arial" w:eastAsia="Times New Roman" w:hAnsi="Arial" w:cs="Arial"/>
          <w:kern w:val="0"/>
          <w:lang w:eastAsia="en-GB"/>
          <w14:ligatures w14:val="none"/>
        </w:rPr>
        <w:br/>
      </w:r>
      <w:r w:rsidRPr="0068435A">
        <w:rPr>
          <w:rFonts w:ascii="Arial" w:eastAsia="Times New Roman" w:hAnsi="Arial" w:cs="Arial"/>
          <w:b/>
          <w:bCs/>
          <w:kern w:val="0"/>
          <w:lang w:eastAsia="en-GB"/>
          <w14:ligatures w14:val="none"/>
        </w:rPr>
        <w:t>Market Development:</w:t>
      </w:r>
      <w:r w:rsidRPr="0068435A">
        <w:rPr>
          <w:rFonts w:ascii="Arial" w:eastAsia="Times New Roman" w:hAnsi="Arial" w:cs="Arial"/>
          <w:kern w:val="0"/>
          <w:lang w:eastAsia="en-GB"/>
          <w14:ligatures w14:val="none"/>
        </w:rPr>
        <w:t xml:space="preserve"> Enhance outreach to rural communities through Walk &amp; Talk therapy, mobile clinics and targeted engagement.</w:t>
      </w:r>
      <w:r w:rsidRPr="0068435A">
        <w:rPr>
          <w:rFonts w:ascii="Arial" w:eastAsia="Times New Roman" w:hAnsi="Arial" w:cs="Arial"/>
          <w:kern w:val="0"/>
          <w:lang w:eastAsia="en-GB"/>
          <w14:ligatures w14:val="none"/>
        </w:rPr>
        <w:br/>
      </w:r>
      <w:r w:rsidRPr="0068435A">
        <w:rPr>
          <w:rFonts w:ascii="Arial" w:eastAsia="Times New Roman" w:hAnsi="Arial" w:cs="Arial"/>
          <w:b/>
          <w:bCs/>
          <w:kern w:val="0"/>
          <w:lang w:eastAsia="en-GB"/>
          <w14:ligatures w14:val="none"/>
        </w:rPr>
        <w:t>Service Development:</w:t>
      </w:r>
      <w:r w:rsidRPr="0068435A">
        <w:rPr>
          <w:rFonts w:ascii="Arial" w:eastAsia="Times New Roman" w:hAnsi="Arial" w:cs="Arial"/>
          <w:kern w:val="0"/>
          <w:lang w:eastAsia="en-GB"/>
          <w14:ligatures w14:val="none"/>
        </w:rPr>
        <w:t xml:space="preserve"> Introduce group</w:t>
      </w:r>
      <w:r w:rsidRPr="0068435A">
        <w:rPr>
          <w:rFonts w:ascii="Arial" w:eastAsia="Times New Roman" w:hAnsi="Arial" w:cs="Arial"/>
          <w:kern w:val="0"/>
          <w:lang w:eastAsia="en-GB"/>
          <w14:ligatures w14:val="none"/>
        </w:rPr>
        <w:noBreakHyphen/>
        <w:t>based programmes, develop integrated care pathways for complex cases, and co</w:t>
      </w:r>
      <w:r w:rsidRPr="0068435A">
        <w:rPr>
          <w:rFonts w:ascii="Arial" w:eastAsia="Times New Roman" w:hAnsi="Arial" w:cs="Arial"/>
          <w:kern w:val="0"/>
          <w:lang w:eastAsia="en-GB"/>
          <w14:ligatures w14:val="none"/>
        </w:rPr>
        <w:noBreakHyphen/>
        <w:t>design peer</w:t>
      </w:r>
      <w:r w:rsidRPr="0068435A">
        <w:rPr>
          <w:rFonts w:ascii="Arial" w:eastAsia="Times New Roman" w:hAnsi="Arial" w:cs="Arial"/>
          <w:kern w:val="0"/>
          <w:lang w:eastAsia="en-GB"/>
          <w14:ligatures w14:val="none"/>
        </w:rPr>
        <w:noBreakHyphen/>
        <w:t>support models with Change Step (NHS England, 2024).</w:t>
      </w:r>
      <w:r w:rsidRPr="0068435A">
        <w:rPr>
          <w:rFonts w:ascii="Arial" w:eastAsia="Times New Roman" w:hAnsi="Arial" w:cs="Arial"/>
          <w:kern w:val="0"/>
          <w:lang w:eastAsia="en-GB"/>
          <w14:ligatures w14:val="none"/>
        </w:rPr>
        <w:br/>
      </w:r>
      <w:r w:rsidRPr="0068435A">
        <w:rPr>
          <w:rFonts w:ascii="Arial" w:eastAsia="Times New Roman" w:hAnsi="Arial" w:cs="Arial"/>
          <w:b/>
          <w:bCs/>
          <w:kern w:val="0"/>
          <w:lang w:eastAsia="en-GB"/>
          <w14:ligatures w14:val="none"/>
        </w:rPr>
        <w:t>Diversification:</w:t>
      </w:r>
      <w:r w:rsidRPr="0068435A">
        <w:rPr>
          <w:rFonts w:ascii="Arial" w:eastAsia="Times New Roman" w:hAnsi="Arial" w:cs="Arial"/>
          <w:kern w:val="0"/>
          <w:lang w:eastAsia="en-GB"/>
          <w14:ligatures w14:val="none"/>
        </w:rPr>
        <w:t xml:space="preserve"> Offer specialist training for NHS staff and engage in research collaborations to share military</w:t>
      </w:r>
      <w:r w:rsidRPr="0068435A">
        <w:rPr>
          <w:rFonts w:ascii="Arial" w:eastAsia="Times New Roman" w:hAnsi="Arial" w:cs="Arial"/>
          <w:kern w:val="0"/>
          <w:lang w:eastAsia="en-GB"/>
          <w14:ligatures w14:val="none"/>
        </w:rPr>
        <w:noBreakHyphen/>
        <w:t>mental</w:t>
      </w:r>
      <w:r w:rsidRPr="0068435A">
        <w:rPr>
          <w:rFonts w:ascii="Arial" w:eastAsia="Times New Roman" w:hAnsi="Arial" w:cs="Arial"/>
          <w:kern w:val="0"/>
          <w:lang w:eastAsia="en-GB"/>
          <w14:ligatures w14:val="none"/>
        </w:rPr>
        <w:noBreakHyphen/>
        <w:t>health expertise (Whittington et al., 2019).</w:t>
      </w:r>
    </w:p>
    <w:p w14:paraId="7450E694" w14:textId="3DC897B1" w:rsidR="007D6052" w:rsidRDefault="007D6052" w:rsidP="00D97871">
      <w:pPr>
        <w:spacing w:line="360" w:lineRule="auto"/>
        <w:rPr>
          <w:rFonts w:ascii="Arial" w:eastAsia="Arial" w:hAnsi="Arial" w:cs="Arial"/>
          <w:b/>
          <w:bCs/>
          <w:lang w:eastAsia="en-GB"/>
        </w:rPr>
      </w:pPr>
    </w:p>
    <w:p w14:paraId="39F54E78" w14:textId="05EF2507" w:rsidR="00FC5F26" w:rsidRPr="00FC5F26" w:rsidRDefault="76F7D9C0" w:rsidP="00D97871">
      <w:pPr>
        <w:spacing w:line="360" w:lineRule="auto"/>
        <w:rPr>
          <w:rFonts w:ascii="Arial" w:eastAsia="Arial" w:hAnsi="Arial" w:cs="Arial"/>
          <w:b/>
          <w:bCs/>
        </w:rPr>
      </w:pPr>
      <w:r w:rsidRPr="7635BE05">
        <w:rPr>
          <w:rFonts w:ascii="Arial" w:eastAsia="Arial" w:hAnsi="Arial" w:cs="Arial"/>
          <w:b/>
          <w:bCs/>
        </w:rPr>
        <w:t>Mergers and Acquisitions (Public</w:t>
      </w:r>
      <w:r w:rsidR="268F35A4" w:rsidRPr="7635BE05">
        <w:rPr>
          <w:rFonts w:ascii="Arial" w:eastAsia="Arial" w:hAnsi="Arial" w:cs="Arial"/>
          <w:b/>
          <w:bCs/>
        </w:rPr>
        <w:t xml:space="preserve"> </w:t>
      </w:r>
      <w:r w:rsidRPr="7635BE05">
        <w:rPr>
          <w:rFonts w:ascii="Arial" w:eastAsia="Arial" w:hAnsi="Arial" w:cs="Arial"/>
          <w:b/>
          <w:bCs/>
        </w:rPr>
        <w:t>Sector Adaptation)</w:t>
      </w:r>
    </w:p>
    <w:p w14:paraId="4E94832E" w14:textId="77777777" w:rsidR="0068435A" w:rsidRPr="0068435A" w:rsidRDefault="0068435A" w:rsidP="00D97871">
      <w:pPr>
        <w:pStyle w:val="NormalWeb"/>
        <w:spacing w:line="360" w:lineRule="auto"/>
        <w:rPr>
          <w:rFonts w:ascii="Arial" w:hAnsi="Arial" w:cs="Arial"/>
        </w:rPr>
      </w:pPr>
      <w:r w:rsidRPr="0068435A">
        <w:rPr>
          <w:rFonts w:ascii="Arial" w:hAnsi="Arial" w:cs="Arial"/>
        </w:rPr>
        <w:t>While traditional M&amp;A does not apply in the public sector, VNHSW can strengthen integration through formalised partnerships and regional workforce collaboration. Pooling therapist capacity across neighbouring Health Boards could increase resilience, reduce variation and improve continuity of care (NHS Wales, 2025).</w:t>
      </w:r>
    </w:p>
    <w:p w14:paraId="32794C43" w14:textId="77777777" w:rsidR="0068435A" w:rsidRPr="0068435A" w:rsidRDefault="0068435A" w:rsidP="00D97871">
      <w:pPr>
        <w:pStyle w:val="NormalWeb"/>
        <w:spacing w:line="360" w:lineRule="auto"/>
        <w:rPr>
          <w:rFonts w:ascii="Arial" w:hAnsi="Arial" w:cs="Arial"/>
        </w:rPr>
      </w:pPr>
      <w:r w:rsidRPr="0068435A">
        <w:rPr>
          <w:rFonts w:ascii="Arial" w:hAnsi="Arial" w:cs="Arial"/>
        </w:rPr>
        <w:t>The feasibility of these strategic options depends on VNHSW’s ability to maintain sustainable service models, workforce resilience and equitable access, which are assessed in the next section alongside targeted strategic recommendations.</w:t>
      </w:r>
    </w:p>
    <w:p w14:paraId="56199B19" w14:textId="65659275" w:rsidR="2D8D1C45" w:rsidRDefault="2D8D1C45" w:rsidP="00D97871">
      <w:pPr>
        <w:spacing w:after="0" w:line="360" w:lineRule="auto"/>
        <w:rPr>
          <w:rFonts w:ascii="Arial" w:eastAsia="Arial" w:hAnsi="Arial" w:cs="Arial"/>
        </w:rPr>
      </w:pPr>
    </w:p>
    <w:p w14:paraId="0E399B66" w14:textId="77777777" w:rsidR="007D6052" w:rsidRPr="00C5597B" w:rsidRDefault="04EC8F01" w:rsidP="00D97871">
      <w:pPr>
        <w:spacing w:line="360" w:lineRule="auto"/>
        <w:rPr>
          <w:rFonts w:ascii="Arial" w:eastAsia="Arial" w:hAnsi="Arial" w:cs="Arial"/>
          <w:b/>
          <w:bCs/>
          <w:lang w:eastAsia="en-GB"/>
        </w:rPr>
      </w:pPr>
      <w:r w:rsidRPr="7635BE05">
        <w:rPr>
          <w:rFonts w:ascii="Arial" w:eastAsia="Arial" w:hAnsi="Arial" w:cs="Arial"/>
          <w:b/>
          <w:bCs/>
          <w:lang w:eastAsia="en-GB"/>
        </w:rPr>
        <w:t>5.Sustainability &amp; Strategic Recommendations</w:t>
      </w:r>
    </w:p>
    <w:p w14:paraId="3208F18B" w14:textId="11A2FA53" w:rsidR="00FC5F26" w:rsidRPr="00FC5F26" w:rsidRDefault="76F7D9C0" w:rsidP="00D97871">
      <w:pPr>
        <w:spacing w:line="360" w:lineRule="auto"/>
        <w:rPr>
          <w:rFonts w:ascii="Arial" w:eastAsia="Arial" w:hAnsi="Arial" w:cs="Arial"/>
          <w:b/>
          <w:bCs/>
        </w:rPr>
      </w:pPr>
      <w:r w:rsidRPr="7635BE05">
        <w:rPr>
          <w:rFonts w:ascii="Arial" w:eastAsia="Arial" w:hAnsi="Arial" w:cs="Arial"/>
          <w:b/>
          <w:bCs/>
        </w:rPr>
        <w:t>Sustainability Evaluation</w:t>
      </w:r>
    </w:p>
    <w:p w14:paraId="01DA82C6" w14:textId="77777777" w:rsidR="0068435A" w:rsidRPr="0068435A" w:rsidRDefault="0068435A" w:rsidP="00D97871">
      <w:pPr>
        <w:pStyle w:val="NormalWeb"/>
        <w:spacing w:line="360" w:lineRule="auto"/>
        <w:rPr>
          <w:rFonts w:ascii="Arial" w:hAnsi="Arial" w:cs="Arial"/>
        </w:rPr>
      </w:pPr>
      <w:r w:rsidRPr="0068435A">
        <w:rPr>
          <w:rFonts w:ascii="Arial" w:hAnsi="Arial" w:cs="Arial"/>
        </w:rPr>
        <w:lastRenderedPageBreak/>
        <w:t>VNHSW delivers strong social sustainability benefits by improving access to mental</w:t>
      </w:r>
      <w:r w:rsidRPr="0068435A">
        <w:rPr>
          <w:rFonts w:ascii="Arial" w:hAnsi="Arial" w:cs="Arial"/>
        </w:rPr>
        <w:noBreakHyphen/>
        <w:t>health services for veterans across Wales, particularly those in rural or underserved areas (PHW, 2025). Dedicated clinicians and hybrid delivery reduce inequalities and support timely care. Partnerships with third</w:t>
      </w:r>
      <w:r w:rsidRPr="0068435A">
        <w:rPr>
          <w:rFonts w:ascii="Arial" w:hAnsi="Arial" w:cs="Arial"/>
        </w:rPr>
        <w:noBreakHyphen/>
        <w:t>sector organisations such as Change Step further strengthen sustainability by providing peer mentoring, practical support and community</w:t>
      </w:r>
      <w:r w:rsidRPr="0068435A">
        <w:rPr>
          <w:rFonts w:ascii="Arial" w:hAnsi="Arial" w:cs="Arial"/>
        </w:rPr>
        <w:noBreakHyphen/>
        <w:t>based engagement, easing pressure on acute NHS services and supporting long</w:t>
      </w:r>
      <w:r w:rsidRPr="0068435A">
        <w:rPr>
          <w:rFonts w:ascii="Arial" w:hAnsi="Arial" w:cs="Arial"/>
        </w:rPr>
        <w:noBreakHyphen/>
        <w:t>term resilience.</w:t>
      </w:r>
    </w:p>
    <w:p w14:paraId="36D7A8D7" w14:textId="77777777" w:rsidR="0068435A" w:rsidRPr="0068435A" w:rsidRDefault="0068435A" w:rsidP="00D97871">
      <w:pPr>
        <w:pStyle w:val="NormalWeb"/>
        <w:spacing w:line="360" w:lineRule="auto"/>
        <w:rPr>
          <w:rFonts w:ascii="Arial" w:hAnsi="Arial" w:cs="Arial"/>
        </w:rPr>
      </w:pPr>
      <w:r w:rsidRPr="0068435A">
        <w:rPr>
          <w:rFonts w:ascii="Arial" w:hAnsi="Arial" w:cs="Arial"/>
        </w:rPr>
        <w:t>Environmentally, remote and hybrid delivery models reduce travel</w:t>
      </w:r>
      <w:r w:rsidRPr="0068435A">
        <w:rPr>
          <w:rFonts w:ascii="Arial" w:hAnsi="Arial" w:cs="Arial"/>
        </w:rPr>
        <w:noBreakHyphen/>
        <w:t>related emissions and improve access for veterans facing geographical barriers. However, the benefits of digital delivery depend on ensuring that veterans experiencing digital exclusion are not left behind. Addressing these challenges is essential to realising the full sustainability gains of hybrid care and avoiding widened inequalities.</w:t>
      </w:r>
    </w:p>
    <w:p w14:paraId="6D7A9774" w14:textId="46E9C59E" w:rsidR="00555D8A" w:rsidRPr="0068435A" w:rsidRDefault="0068435A" w:rsidP="00D97871">
      <w:pPr>
        <w:pStyle w:val="NormalWeb"/>
        <w:spacing w:line="360" w:lineRule="auto"/>
        <w:rPr>
          <w:rFonts w:ascii="Arial" w:hAnsi="Arial" w:cs="Arial"/>
        </w:rPr>
      </w:pPr>
      <w:r w:rsidRPr="0068435A">
        <w:rPr>
          <w:rFonts w:ascii="Arial" w:hAnsi="Arial" w:cs="Arial"/>
        </w:rPr>
        <w:t>Overall, while VNHSW contributes significantly to social and environmental sustainability, its long</w:t>
      </w:r>
      <w:r w:rsidRPr="0068435A">
        <w:rPr>
          <w:rFonts w:ascii="Arial" w:hAnsi="Arial" w:cs="Arial"/>
        </w:rPr>
        <w:noBreakHyphen/>
        <w:t>term strategic value relies on equity</w:t>
      </w:r>
      <w:r w:rsidRPr="0068435A">
        <w:rPr>
          <w:rFonts w:ascii="Arial" w:hAnsi="Arial" w:cs="Arial"/>
        </w:rPr>
        <w:noBreakHyphen/>
        <w:t>focused digital support, workforce resilience and strong partnership frameworks.</w:t>
      </w:r>
    </w:p>
    <w:p w14:paraId="13BF34EF" w14:textId="77777777" w:rsidR="00555D8A" w:rsidRPr="00555D8A" w:rsidRDefault="00555D8A" w:rsidP="00D97871">
      <w:pPr>
        <w:spacing w:line="360" w:lineRule="auto"/>
        <w:rPr>
          <w:rFonts w:ascii="Segoe UI" w:eastAsia="Times New Roman" w:hAnsi="Segoe UI" w:cs="Segoe UI"/>
          <w:kern w:val="0"/>
          <w:sz w:val="21"/>
          <w:szCs w:val="21"/>
          <w:lang w:eastAsia="en-GB"/>
          <w14:ligatures w14:val="none"/>
        </w:rPr>
      </w:pPr>
    </w:p>
    <w:p w14:paraId="4632A5FD" w14:textId="54A2B10A" w:rsidR="007D6052" w:rsidRDefault="04EC8F01" w:rsidP="00D97871">
      <w:pPr>
        <w:spacing w:line="360" w:lineRule="auto"/>
        <w:rPr>
          <w:rFonts w:ascii="Arial" w:eastAsia="Arial" w:hAnsi="Arial" w:cs="Arial"/>
          <w:b/>
          <w:bCs/>
          <w:lang w:eastAsia="en-GB"/>
        </w:rPr>
      </w:pPr>
      <w:r w:rsidRPr="7635BE05">
        <w:rPr>
          <w:rFonts w:ascii="Arial" w:eastAsia="Arial" w:hAnsi="Arial" w:cs="Arial"/>
          <w:b/>
          <w:bCs/>
          <w:lang w:eastAsia="en-GB"/>
        </w:rPr>
        <w:t xml:space="preserve">Strategic Recommendations </w:t>
      </w:r>
    </w:p>
    <w:p w14:paraId="2BCF3CC1" w14:textId="445E4F10" w:rsidR="0042556C" w:rsidRPr="0068435A" w:rsidRDefault="6A38D01D" w:rsidP="00D97871">
      <w:pPr>
        <w:spacing w:line="360" w:lineRule="auto"/>
        <w:rPr>
          <w:rFonts w:ascii="Arial" w:eastAsia="Times New Roman" w:hAnsi="Arial" w:cs="Arial"/>
          <w:kern w:val="0"/>
          <w:lang w:eastAsia="en-GB"/>
          <w14:ligatures w14:val="none"/>
        </w:rPr>
      </w:pPr>
      <w:r w:rsidRPr="7635BE05">
        <w:rPr>
          <w:rFonts w:ascii="Arial" w:eastAsia="Arial" w:hAnsi="Arial" w:cs="Arial"/>
          <w:b/>
          <w:bCs/>
        </w:rPr>
        <w:t>Expand Digital‑First Pathways:</w:t>
      </w:r>
      <w:r w:rsidR="00555D8A" w:rsidRPr="00555D8A">
        <w:rPr>
          <w:rFonts w:ascii="Segoe UI" w:eastAsia="Times New Roman" w:hAnsi="Segoe UI" w:cs="Segoe UI"/>
          <w:i/>
          <w:iCs/>
          <w:kern w:val="0"/>
          <w:sz w:val="21"/>
          <w:szCs w:val="21"/>
          <w:lang w:eastAsia="en-GB"/>
          <w14:ligatures w14:val="none"/>
        </w:rPr>
        <w:t xml:space="preserve"> </w:t>
      </w:r>
      <w:r w:rsidR="0068435A" w:rsidRPr="0068435A">
        <w:rPr>
          <w:rFonts w:ascii="Arial" w:eastAsia="Times New Roman" w:hAnsi="Arial" w:cs="Arial"/>
          <w:kern w:val="0"/>
          <w:lang w:eastAsia="en-GB"/>
          <w14:ligatures w14:val="none"/>
        </w:rPr>
        <w:t>As highlighted in the PESTEL and Value Chain analys</w:t>
      </w:r>
      <w:r w:rsidR="00D97871">
        <w:rPr>
          <w:rFonts w:ascii="Arial" w:eastAsia="Times New Roman" w:hAnsi="Arial" w:cs="Arial"/>
          <w:kern w:val="0"/>
          <w:lang w:eastAsia="en-GB"/>
          <w14:ligatures w14:val="none"/>
        </w:rPr>
        <w:t>i</w:t>
      </w:r>
      <w:r w:rsidR="0068435A" w:rsidRPr="0068435A">
        <w:rPr>
          <w:rFonts w:ascii="Arial" w:eastAsia="Times New Roman" w:hAnsi="Arial" w:cs="Arial"/>
          <w:kern w:val="0"/>
          <w:lang w:eastAsia="en-GB"/>
          <w14:ligatures w14:val="none"/>
        </w:rPr>
        <w:t>s, technology can enhance accessibility and reduce environmental impact, but only if digital</w:t>
      </w:r>
      <w:r w:rsidR="0068435A" w:rsidRPr="0068435A">
        <w:rPr>
          <w:rFonts w:ascii="Arial" w:eastAsia="Times New Roman" w:hAnsi="Arial" w:cs="Arial"/>
          <w:kern w:val="0"/>
          <w:lang w:eastAsia="en-GB"/>
          <w14:ligatures w14:val="none"/>
        </w:rPr>
        <w:noBreakHyphen/>
        <w:t>exclusion risks are addressed. VNHSW should expand digital</w:t>
      </w:r>
      <w:r w:rsidR="0068435A" w:rsidRPr="0068435A">
        <w:rPr>
          <w:rFonts w:ascii="Arial" w:eastAsia="Times New Roman" w:hAnsi="Arial" w:cs="Arial"/>
          <w:kern w:val="0"/>
          <w:lang w:eastAsia="en-GB"/>
          <w14:ligatures w14:val="none"/>
        </w:rPr>
        <w:noBreakHyphen/>
        <w:t>first assessments and therapy using an opt</w:t>
      </w:r>
      <w:r w:rsidR="0068435A" w:rsidRPr="0068435A">
        <w:rPr>
          <w:rFonts w:ascii="Arial" w:eastAsia="Times New Roman" w:hAnsi="Arial" w:cs="Arial"/>
          <w:kern w:val="0"/>
          <w:lang w:eastAsia="en-GB"/>
          <w14:ligatures w14:val="none"/>
        </w:rPr>
        <w:noBreakHyphen/>
        <w:t>out model, supported by targeted digital</w:t>
      </w:r>
      <w:r w:rsidR="0068435A" w:rsidRPr="0068435A">
        <w:rPr>
          <w:rFonts w:ascii="Arial" w:eastAsia="Times New Roman" w:hAnsi="Arial" w:cs="Arial"/>
          <w:kern w:val="0"/>
          <w:lang w:eastAsia="en-GB"/>
          <w14:ligatures w14:val="none"/>
        </w:rPr>
        <w:noBreakHyphen/>
        <w:t>inclusion measures for older and rural veterans. This directly responds to external technological pressures and internal operational bottlenecks.</w:t>
      </w:r>
    </w:p>
    <w:p w14:paraId="51E979FD" w14:textId="1BECD9B6" w:rsidR="0042556C" w:rsidRPr="005A4EFB" w:rsidRDefault="6A38D01D" w:rsidP="00D97871">
      <w:pPr>
        <w:spacing w:line="360" w:lineRule="auto"/>
        <w:rPr>
          <w:rFonts w:ascii="Segoe UI" w:eastAsia="Times New Roman" w:hAnsi="Segoe UI" w:cs="Segoe UI"/>
          <w:kern w:val="0"/>
          <w:sz w:val="21"/>
          <w:szCs w:val="21"/>
          <w:lang w:eastAsia="en-GB"/>
          <w14:ligatures w14:val="none"/>
        </w:rPr>
      </w:pPr>
      <w:r w:rsidRPr="7635BE05">
        <w:rPr>
          <w:rFonts w:ascii="Arial" w:eastAsia="Arial" w:hAnsi="Arial" w:cs="Arial"/>
          <w:b/>
          <w:bCs/>
        </w:rPr>
        <w:t>Strengthen Peer‑Supported Interventions:</w:t>
      </w:r>
      <w:r w:rsidR="005A4EFB" w:rsidRPr="005A4EFB">
        <w:rPr>
          <w:rFonts w:ascii="Segoe UI" w:eastAsia="Times New Roman" w:hAnsi="Segoe UI" w:cs="Segoe UI"/>
          <w:kern w:val="0"/>
          <w:sz w:val="21"/>
          <w:szCs w:val="21"/>
          <w:lang w:eastAsia="en-GB"/>
          <w14:ligatures w14:val="none"/>
        </w:rPr>
        <w:t xml:space="preserve"> </w:t>
      </w:r>
      <w:r w:rsidR="005A4EFB" w:rsidRPr="005A4EFB">
        <w:rPr>
          <w:rFonts w:ascii="Arial" w:eastAsia="Times New Roman" w:hAnsi="Arial" w:cs="Arial"/>
          <w:kern w:val="0"/>
          <w:lang w:eastAsia="en-GB"/>
          <w14:ligatures w14:val="none"/>
        </w:rPr>
        <w:t>As shown in the SWOT and RBV analyses, partnerships and relational resources are key VNHSW strengths. Formalising collaboration with organisations such as Change Step would improve engagement, continuity of care and clinician workload. This aligns with TOWS S–O strategies by leveraging partnership capital to meet rising demand and workforce constraints.</w:t>
      </w:r>
    </w:p>
    <w:p w14:paraId="7DB55273" w14:textId="3F95FA52" w:rsidR="0042556C" w:rsidRPr="005A4EFB" w:rsidRDefault="6A38D01D" w:rsidP="00D97871">
      <w:pPr>
        <w:spacing w:line="360" w:lineRule="auto"/>
        <w:rPr>
          <w:rStyle w:val="Strong"/>
          <w:rFonts w:ascii="Segoe UI" w:eastAsia="Times New Roman" w:hAnsi="Segoe UI" w:cs="Segoe UI"/>
          <w:b w:val="0"/>
          <w:bCs w:val="0"/>
          <w:kern w:val="0"/>
          <w:sz w:val="21"/>
          <w:szCs w:val="21"/>
          <w:lang w:eastAsia="en-GB"/>
          <w14:ligatures w14:val="none"/>
        </w:rPr>
      </w:pPr>
      <w:r w:rsidRPr="7635BE05">
        <w:rPr>
          <w:rFonts w:ascii="Arial" w:eastAsia="Arial" w:hAnsi="Arial" w:cs="Arial"/>
          <w:b/>
          <w:bCs/>
        </w:rPr>
        <w:lastRenderedPageBreak/>
        <w:t>Develop Workforce Sustainability Plans:</w:t>
      </w:r>
      <w:r w:rsidR="005A4EFB" w:rsidRPr="005A4EFB">
        <w:rPr>
          <w:rFonts w:ascii="Segoe UI" w:eastAsia="Times New Roman" w:hAnsi="Segoe UI" w:cs="Segoe UI"/>
          <w:kern w:val="0"/>
          <w:sz w:val="21"/>
          <w:szCs w:val="21"/>
          <w:lang w:eastAsia="en-GB"/>
          <w14:ligatures w14:val="none"/>
        </w:rPr>
        <w:t xml:space="preserve"> </w:t>
      </w:r>
      <w:r w:rsidR="005A4EFB" w:rsidRPr="005A4EFB">
        <w:rPr>
          <w:rFonts w:ascii="Arial" w:eastAsia="Times New Roman" w:hAnsi="Arial" w:cs="Arial"/>
          <w:kern w:val="0"/>
          <w:lang w:eastAsia="en-GB"/>
          <w14:ligatures w14:val="none"/>
        </w:rPr>
        <w:t>Building on the Five Forces finding of high supplier power and RBV evidence of rare specialist expertise, VNHSW should implement regional therapist pooling, cross</w:t>
      </w:r>
      <w:r w:rsidR="005A4EFB" w:rsidRPr="005A4EFB">
        <w:rPr>
          <w:rFonts w:ascii="Arial" w:eastAsia="Times New Roman" w:hAnsi="Arial" w:cs="Arial"/>
          <w:kern w:val="0"/>
          <w:lang w:eastAsia="en-GB"/>
          <w14:ligatures w14:val="none"/>
        </w:rPr>
        <w:noBreakHyphen/>
        <w:t>board supervision, succession planning and targeted recruitment. These measures directly address workforce vulnerability and strengthen long</w:t>
      </w:r>
      <w:r w:rsidR="005A4EFB" w:rsidRPr="005A4EFB">
        <w:rPr>
          <w:rFonts w:ascii="Arial" w:eastAsia="Times New Roman" w:hAnsi="Arial" w:cs="Arial"/>
          <w:kern w:val="0"/>
          <w:lang w:eastAsia="en-GB"/>
          <w14:ligatures w14:val="none"/>
        </w:rPr>
        <w:noBreakHyphen/>
        <w:t>term resilience.</w:t>
      </w:r>
    </w:p>
    <w:p w14:paraId="4FB01D49" w14:textId="04F9C989" w:rsidR="007D6052" w:rsidRPr="00C5597B" w:rsidRDefault="04EC8F01" w:rsidP="00D97871">
      <w:pPr>
        <w:spacing w:line="360" w:lineRule="auto"/>
        <w:rPr>
          <w:rFonts w:ascii="Arial" w:eastAsia="Arial" w:hAnsi="Arial" w:cs="Arial"/>
        </w:rPr>
      </w:pPr>
      <w:r w:rsidRPr="7635BE05">
        <w:rPr>
          <w:rStyle w:val="Strong"/>
          <w:rFonts w:ascii="Arial" w:eastAsia="Arial" w:hAnsi="Arial" w:cs="Arial"/>
        </w:rPr>
        <w:t>Internationalisation, Ethi</w:t>
      </w:r>
      <w:r w:rsidR="650A681A" w:rsidRPr="7635BE05">
        <w:rPr>
          <w:rStyle w:val="Strong"/>
          <w:rFonts w:ascii="Arial" w:eastAsia="Arial" w:hAnsi="Arial" w:cs="Arial"/>
        </w:rPr>
        <w:t>cs</w:t>
      </w:r>
      <w:r w:rsidRPr="7635BE05">
        <w:rPr>
          <w:rStyle w:val="Strong"/>
          <w:rFonts w:ascii="Arial" w:eastAsia="Arial" w:hAnsi="Arial" w:cs="Arial"/>
        </w:rPr>
        <w:t xml:space="preserve"> &amp; </w:t>
      </w:r>
      <w:r w:rsidR="0B5A0B47" w:rsidRPr="7635BE05">
        <w:rPr>
          <w:rStyle w:val="Strong"/>
          <w:rFonts w:ascii="Arial" w:eastAsia="Arial" w:hAnsi="Arial" w:cs="Arial"/>
        </w:rPr>
        <w:t>Long-term</w:t>
      </w:r>
      <w:r w:rsidRPr="7635BE05">
        <w:rPr>
          <w:rStyle w:val="Strong"/>
          <w:rFonts w:ascii="Arial" w:eastAsia="Arial" w:hAnsi="Arial" w:cs="Arial"/>
        </w:rPr>
        <w:t xml:space="preserve"> Trends</w:t>
      </w:r>
    </w:p>
    <w:p w14:paraId="49858349" w14:textId="5111B2D1" w:rsidR="005A4EFB" w:rsidRPr="005A4EFB" w:rsidRDefault="005A4EFB" w:rsidP="00D97871">
      <w:pPr>
        <w:spacing w:after="0" w:line="360" w:lineRule="auto"/>
        <w:rPr>
          <w:rFonts w:ascii="Arial" w:eastAsia="Times New Roman" w:hAnsi="Arial" w:cs="Arial"/>
          <w:kern w:val="0"/>
          <w:lang w:eastAsia="en-GB"/>
          <w14:ligatures w14:val="none"/>
        </w:rPr>
      </w:pPr>
      <w:r w:rsidRPr="005A4EFB">
        <w:rPr>
          <w:rFonts w:ascii="Arial" w:eastAsia="Times New Roman" w:hAnsi="Arial" w:cs="Arial"/>
          <w:kern w:val="0"/>
          <w:lang w:eastAsia="en-GB"/>
          <w14:ligatures w14:val="none"/>
        </w:rPr>
        <w:t>As shown in the Strategy Formulation section, VNHSW has limited scope for traditional international expansion but can share expertise through training and research collaborations. Ethical priorities</w:t>
      </w:r>
      <w:r w:rsidR="00D97871">
        <w:rPr>
          <w:rFonts w:ascii="Arial" w:eastAsia="Times New Roman" w:hAnsi="Arial" w:cs="Arial"/>
          <w:kern w:val="0"/>
          <w:lang w:eastAsia="en-GB"/>
          <w14:ligatures w14:val="none"/>
        </w:rPr>
        <w:t xml:space="preserve"> </w:t>
      </w:r>
      <w:r w:rsidRPr="005A4EFB">
        <w:rPr>
          <w:rFonts w:ascii="Arial" w:eastAsia="Times New Roman" w:hAnsi="Arial" w:cs="Arial"/>
          <w:kern w:val="0"/>
          <w:lang w:eastAsia="en-GB"/>
          <w14:ligatures w14:val="none"/>
        </w:rPr>
        <w:t>such as equitable access and safeguarding</w:t>
      </w:r>
      <w:r w:rsidR="00D97871">
        <w:rPr>
          <w:rFonts w:ascii="Arial" w:eastAsia="Times New Roman" w:hAnsi="Arial" w:cs="Arial"/>
          <w:kern w:val="0"/>
          <w:lang w:eastAsia="en-GB"/>
          <w14:ligatures w14:val="none"/>
        </w:rPr>
        <w:t xml:space="preserve"> </w:t>
      </w:r>
      <w:r w:rsidRPr="005A4EFB">
        <w:rPr>
          <w:rFonts w:ascii="Arial" w:eastAsia="Times New Roman" w:hAnsi="Arial" w:cs="Arial"/>
          <w:kern w:val="0"/>
          <w:lang w:eastAsia="en-GB"/>
          <w14:ligatures w14:val="none"/>
        </w:rPr>
        <w:t>align with PESTEL social and legal findings. Long</w:t>
      </w:r>
      <w:r w:rsidRPr="005A4EFB">
        <w:rPr>
          <w:rFonts w:ascii="Arial" w:eastAsia="Times New Roman" w:hAnsi="Arial" w:cs="Arial"/>
          <w:kern w:val="0"/>
          <w:lang w:eastAsia="en-GB"/>
          <w14:ligatures w14:val="none"/>
        </w:rPr>
        <w:noBreakHyphen/>
        <w:t>term trends including digital care, integrated multi</w:t>
      </w:r>
      <w:r w:rsidRPr="005A4EFB">
        <w:rPr>
          <w:rFonts w:ascii="Arial" w:eastAsia="Times New Roman" w:hAnsi="Arial" w:cs="Arial"/>
          <w:kern w:val="0"/>
          <w:lang w:eastAsia="en-GB"/>
          <w14:ligatures w14:val="none"/>
        </w:rPr>
        <w:noBreakHyphen/>
        <w:t>agency models and rising mental</w:t>
      </w:r>
      <w:r w:rsidRPr="005A4EFB">
        <w:rPr>
          <w:rFonts w:ascii="Arial" w:eastAsia="Times New Roman" w:hAnsi="Arial" w:cs="Arial"/>
          <w:kern w:val="0"/>
          <w:lang w:eastAsia="en-GB"/>
          <w14:ligatures w14:val="none"/>
        </w:rPr>
        <w:noBreakHyphen/>
        <w:t>health demand reinforce the need for ongoing innovation and workforce development.</w:t>
      </w:r>
    </w:p>
    <w:p w14:paraId="2AA9FABE" w14:textId="26E52BE6" w:rsidR="00C834A4" w:rsidRPr="00C834A4" w:rsidRDefault="00C834A4" w:rsidP="00D97871">
      <w:pPr>
        <w:spacing w:after="0" w:line="360" w:lineRule="auto"/>
        <w:rPr>
          <w:rFonts w:ascii="Arial" w:eastAsia="Times New Roman" w:hAnsi="Arial" w:cs="Arial"/>
          <w:kern w:val="0"/>
          <w:lang w:eastAsia="en-GB"/>
          <w14:ligatures w14:val="none"/>
        </w:rPr>
      </w:pPr>
    </w:p>
    <w:p w14:paraId="6698D750" w14:textId="2F6F9E1A" w:rsidR="00AE689B" w:rsidRDefault="00AE689B" w:rsidP="00D97871">
      <w:pPr>
        <w:spacing w:line="360" w:lineRule="auto"/>
        <w:rPr>
          <w:rFonts w:ascii="Arial" w:eastAsia="Arial" w:hAnsi="Arial" w:cs="Arial"/>
          <w:b/>
          <w:bCs/>
        </w:rPr>
      </w:pPr>
    </w:p>
    <w:p w14:paraId="79E09B84" w14:textId="39C57150" w:rsidR="007D6052" w:rsidRPr="00C5597B" w:rsidRDefault="04EC8F01" w:rsidP="00D97871">
      <w:pPr>
        <w:spacing w:line="360" w:lineRule="auto"/>
        <w:rPr>
          <w:rFonts w:ascii="Arial" w:eastAsia="Arial" w:hAnsi="Arial" w:cs="Arial"/>
          <w:b/>
          <w:bCs/>
        </w:rPr>
      </w:pPr>
      <w:r w:rsidRPr="7635BE05">
        <w:rPr>
          <w:rFonts w:ascii="Arial" w:eastAsia="Arial" w:hAnsi="Arial" w:cs="Arial"/>
          <w:b/>
          <w:bCs/>
        </w:rPr>
        <w:t xml:space="preserve">Conclusion </w:t>
      </w:r>
    </w:p>
    <w:p w14:paraId="7F1A8150" w14:textId="77777777" w:rsidR="009A7641" w:rsidRPr="009A7641" w:rsidRDefault="009A7641" w:rsidP="00D97871">
      <w:pPr>
        <w:spacing w:after="0" w:line="360" w:lineRule="auto"/>
        <w:rPr>
          <w:rFonts w:ascii="Arial" w:eastAsia="Times New Roman" w:hAnsi="Arial" w:cs="Arial"/>
          <w:kern w:val="0"/>
          <w:lang w:eastAsia="en-GB"/>
          <w14:ligatures w14:val="none"/>
        </w:rPr>
      </w:pPr>
      <w:r w:rsidRPr="009A7641">
        <w:rPr>
          <w:rFonts w:ascii="Arial" w:eastAsia="Times New Roman" w:hAnsi="Arial" w:cs="Arial"/>
          <w:kern w:val="0"/>
          <w:lang w:eastAsia="en-GB"/>
          <w14:ligatures w14:val="none"/>
        </w:rPr>
        <w:t>The strategic evaluation of VNHSW highlights its unique role as Wales’s specialist veteran mental</w:t>
      </w:r>
      <w:r w:rsidRPr="009A7641">
        <w:rPr>
          <w:rFonts w:ascii="Arial" w:eastAsia="Times New Roman" w:hAnsi="Arial" w:cs="Arial"/>
          <w:kern w:val="0"/>
          <w:lang w:eastAsia="en-GB"/>
          <w14:ligatures w14:val="none"/>
        </w:rPr>
        <w:noBreakHyphen/>
        <w:t>health service. External analysis shows that rising mental</w:t>
      </w:r>
      <w:r w:rsidRPr="009A7641">
        <w:rPr>
          <w:rFonts w:ascii="Arial" w:eastAsia="Times New Roman" w:hAnsi="Arial" w:cs="Arial"/>
          <w:kern w:val="0"/>
          <w:lang w:eastAsia="en-GB"/>
          <w14:ligatures w14:val="none"/>
        </w:rPr>
        <w:noBreakHyphen/>
        <w:t>health needs, digital exclusion, and workforce pressures significantly shape the organisation’s operating environment. Internal analysis reveals strong clinical expertise and valuable partnerships, but also structural vulnerabilities such as limited staffing capacity and uneven digital access. VNHSW’s focused differentiation strategy offers high value, yet its long</w:t>
      </w:r>
      <w:r w:rsidRPr="009A7641">
        <w:rPr>
          <w:rFonts w:ascii="Arial" w:eastAsia="Times New Roman" w:hAnsi="Arial" w:cs="Arial"/>
          <w:kern w:val="0"/>
          <w:lang w:eastAsia="en-GB"/>
          <w14:ligatures w14:val="none"/>
        </w:rPr>
        <w:noBreakHyphen/>
        <w:t>term sustainability will depend on improving digital inclusion, strengthening partnership coordination, and building workforce resilience. Comparative insight from other UK models indicates that VNHSW must enhance its structural robustness to remain effective in a changing healthcare landscape.</w:t>
      </w:r>
    </w:p>
    <w:p w14:paraId="74B232CE" w14:textId="67557290" w:rsidR="007D6052" w:rsidRPr="00C5597B" w:rsidRDefault="007D6052" w:rsidP="00863212">
      <w:pPr>
        <w:spacing w:line="360" w:lineRule="auto"/>
        <w:rPr>
          <w:rFonts w:ascii="Arial" w:eastAsia="Arial" w:hAnsi="Arial" w:cs="Arial"/>
          <w:lang w:eastAsia="en-GB"/>
        </w:rPr>
      </w:pPr>
    </w:p>
    <w:p w14:paraId="7353F4A8" w14:textId="77777777" w:rsidR="007D6052" w:rsidRPr="006E2D65" w:rsidRDefault="007D6052" w:rsidP="00863212">
      <w:pPr>
        <w:spacing w:line="360" w:lineRule="auto"/>
        <w:rPr>
          <w:rFonts w:ascii="Arial" w:eastAsia="Arial" w:hAnsi="Arial" w:cs="Arial"/>
          <w:lang w:eastAsia="en-GB"/>
        </w:rPr>
      </w:pPr>
    </w:p>
    <w:p w14:paraId="76DDB98E" w14:textId="77777777" w:rsidR="007D6052" w:rsidRPr="008E0084" w:rsidRDefault="007D6052" w:rsidP="00863212">
      <w:pPr>
        <w:spacing w:after="0" w:line="360" w:lineRule="auto"/>
        <w:rPr>
          <w:rFonts w:ascii="Arial" w:eastAsia="Arial" w:hAnsi="Arial" w:cs="Arial"/>
          <w:b/>
          <w:bCs/>
          <w:lang w:eastAsia="en-GB"/>
        </w:rPr>
      </w:pPr>
    </w:p>
    <w:p w14:paraId="33246569" w14:textId="77777777" w:rsidR="007D6052" w:rsidRPr="00A9574F" w:rsidRDefault="007D6052" w:rsidP="00863212">
      <w:pPr>
        <w:spacing w:after="0" w:line="360" w:lineRule="auto"/>
        <w:rPr>
          <w:rFonts w:ascii="Arial" w:eastAsia="Arial" w:hAnsi="Arial" w:cs="Arial"/>
          <w:lang w:eastAsia="en-GB"/>
        </w:rPr>
      </w:pPr>
    </w:p>
    <w:p w14:paraId="22611C00" w14:textId="4F0C82F1" w:rsidR="2D8D1C45" w:rsidRDefault="2D8D1C45" w:rsidP="00863212">
      <w:pPr>
        <w:pStyle w:val="NormalWeb"/>
        <w:spacing w:line="360" w:lineRule="auto"/>
        <w:rPr>
          <w:rFonts w:ascii="Arial" w:eastAsia="Arial" w:hAnsi="Arial" w:cs="Arial"/>
          <w:b/>
          <w:bCs/>
        </w:rPr>
      </w:pPr>
    </w:p>
    <w:p w14:paraId="732A1EE5" w14:textId="6D2EF5ED" w:rsidR="2D8D1C45" w:rsidRDefault="2D8D1C45" w:rsidP="00863212">
      <w:pPr>
        <w:pStyle w:val="NormalWeb"/>
        <w:spacing w:line="360" w:lineRule="auto"/>
        <w:rPr>
          <w:rFonts w:ascii="Arial" w:eastAsia="Arial" w:hAnsi="Arial" w:cs="Arial"/>
          <w:b/>
          <w:bCs/>
        </w:rPr>
      </w:pPr>
    </w:p>
    <w:p w14:paraId="1236714F" w14:textId="30290322" w:rsidR="7635BE05" w:rsidRDefault="7635BE05" w:rsidP="00863212">
      <w:pPr>
        <w:pStyle w:val="NormalWeb"/>
        <w:spacing w:line="360" w:lineRule="auto"/>
        <w:rPr>
          <w:rFonts w:ascii="Arial" w:eastAsia="Arial" w:hAnsi="Arial" w:cs="Arial"/>
          <w:b/>
          <w:bCs/>
        </w:rPr>
      </w:pPr>
    </w:p>
    <w:p w14:paraId="306A04D9" w14:textId="77777777" w:rsidR="0042556C" w:rsidRDefault="0042556C" w:rsidP="00863212">
      <w:pPr>
        <w:pStyle w:val="NormalWeb"/>
        <w:spacing w:line="360" w:lineRule="auto"/>
        <w:rPr>
          <w:rFonts w:ascii="Arial" w:eastAsia="Arial" w:hAnsi="Arial" w:cs="Arial"/>
          <w:b/>
          <w:bCs/>
        </w:rPr>
      </w:pPr>
    </w:p>
    <w:p w14:paraId="438EC01F" w14:textId="51CD9991" w:rsidR="7635BE05" w:rsidRDefault="7635BE05" w:rsidP="00863212">
      <w:pPr>
        <w:pStyle w:val="NormalWeb"/>
        <w:spacing w:line="360" w:lineRule="auto"/>
        <w:rPr>
          <w:rFonts w:ascii="Arial" w:eastAsia="Arial" w:hAnsi="Arial" w:cs="Arial"/>
          <w:b/>
          <w:bCs/>
        </w:rPr>
      </w:pPr>
    </w:p>
    <w:p w14:paraId="21879FD4" w14:textId="524C85D6" w:rsidR="7635BE05" w:rsidRDefault="7635BE05" w:rsidP="00863212">
      <w:pPr>
        <w:pStyle w:val="NormalWeb"/>
        <w:spacing w:line="360" w:lineRule="auto"/>
        <w:rPr>
          <w:rFonts w:ascii="Arial" w:eastAsia="Arial" w:hAnsi="Arial" w:cs="Arial"/>
          <w:b/>
          <w:bCs/>
        </w:rPr>
      </w:pPr>
    </w:p>
    <w:p w14:paraId="3D58DDEA" w14:textId="77777777" w:rsidR="009A7641" w:rsidRDefault="009A7641" w:rsidP="00863212">
      <w:pPr>
        <w:pStyle w:val="NormalWeb"/>
        <w:spacing w:line="360" w:lineRule="auto"/>
        <w:rPr>
          <w:rFonts w:ascii="Arial" w:eastAsia="Arial" w:hAnsi="Arial" w:cs="Arial"/>
          <w:b/>
          <w:bCs/>
        </w:rPr>
      </w:pPr>
    </w:p>
    <w:p w14:paraId="67A7B6B5" w14:textId="3C87B5DE" w:rsidR="00AE689B" w:rsidRPr="00AE689B" w:rsidRDefault="650A681A" w:rsidP="00863212">
      <w:pPr>
        <w:pStyle w:val="NormalWeb"/>
        <w:spacing w:line="360" w:lineRule="auto"/>
        <w:rPr>
          <w:rFonts w:ascii="Arial" w:eastAsia="Arial" w:hAnsi="Arial" w:cs="Arial"/>
          <w:b/>
          <w:bCs/>
        </w:rPr>
      </w:pPr>
      <w:r w:rsidRPr="7635BE05">
        <w:rPr>
          <w:rFonts w:ascii="Arial" w:eastAsia="Arial" w:hAnsi="Arial" w:cs="Arial"/>
          <w:b/>
          <w:bCs/>
        </w:rPr>
        <w:t xml:space="preserve">References </w:t>
      </w:r>
    </w:p>
    <w:p w14:paraId="1C70E300" w14:textId="77777777" w:rsidR="00863212" w:rsidRPr="00863212" w:rsidRDefault="00863212" w:rsidP="00863212">
      <w:pPr>
        <w:pStyle w:val="NormalWeb"/>
        <w:spacing w:line="360" w:lineRule="auto"/>
        <w:rPr>
          <w:rFonts w:ascii="Arial" w:hAnsi="Arial" w:cs="Arial"/>
        </w:rPr>
      </w:pPr>
      <w:r w:rsidRPr="00863212">
        <w:rPr>
          <w:rStyle w:val="Strong"/>
          <w:rFonts w:ascii="Arial" w:eastAsiaTheme="majorEastAsia" w:hAnsi="Arial" w:cs="Arial"/>
          <w:b w:val="0"/>
          <w:bCs w:val="0"/>
        </w:rPr>
        <w:t>Ansoff, H.I. (1957)</w:t>
      </w:r>
      <w:r w:rsidRPr="00863212">
        <w:rPr>
          <w:rFonts w:ascii="Arial" w:hAnsi="Arial" w:cs="Arial"/>
        </w:rPr>
        <w:t xml:space="preserve"> ‘Strategies for diversification’, </w:t>
      </w:r>
      <w:r w:rsidRPr="00863212">
        <w:rPr>
          <w:rStyle w:val="Emphasis"/>
          <w:rFonts w:ascii="Arial" w:eastAsiaTheme="majorEastAsia" w:hAnsi="Arial" w:cs="Arial"/>
          <w:i w:val="0"/>
          <w:iCs w:val="0"/>
        </w:rPr>
        <w:t>Harvard Business Review</w:t>
      </w:r>
      <w:r w:rsidRPr="00863212">
        <w:rPr>
          <w:rFonts w:ascii="Arial" w:hAnsi="Arial" w:cs="Arial"/>
        </w:rPr>
        <w:t>, 35(5), pp. 113–124.</w:t>
      </w:r>
    </w:p>
    <w:p w14:paraId="31C134D1" w14:textId="77777777" w:rsidR="00863212" w:rsidRPr="00863212" w:rsidRDefault="00863212" w:rsidP="00863212">
      <w:pPr>
        <w:pStyle w:val="NormalWeb"/>
        <w:spacing w:line="360" w:lineRule="auto"/>
        <w:rPr>
          <w:rFonts w:ascii="Arial" w:hAnsi="Arial" w:cs="Arial"/>
        </w:rPr>
      </w:pPr>
      <w:r w:rsidRPr="00863212">
        <w:rPr>
          <w:rStyle w:val="Strong"/>
          <w:rFonts w:ascii="Arial" w:eastAsiaTheme="majorEastAsia" w:hAnsi="Arial" w:cs="Arial"/>
          <w:b w:val="0"/>
          <w:bCs w:val="0"/>
        </w:rPr>
        <w:t>APA (American Psychological Association) (2019)</w:t>
      </w:r>
      <w:r w:rsidRPr="00863212">
        <w:rPr>
          <w:rFonts w:ascii="Arial" w:hAnsi="Arial" w:cs="Arial"/>
        </w:rPr>
        <w:t xml:space="preserve"> </w:t>
      </w:r>
      <w:r w:rsidRPr="00863212">
        <w:rPr>
          <w:rStyle w:val="Emphasis"/>
          <w:rFonts w:ascii="Arial" w:eastAsiaTheme="majorEastAsia" w:hAnsi="Arial" w:cs="Arial"/>
          <w:i w:val="0"/>
          <w:iCs w:val="0"/>
        </w:rPr>
        <w:t>Mental health and veterans: Understanding trauma and adjustment</w:t>
      </w:r>
      <w:r w:rsidRPr="00863212">
        <w:rPr>
          <w:rFonts w:ascii="Arial" w:hAnsi="Arial" w:cs="Arial"/>
        </w:rPr>
        <w:t>. Washington, DC: APA Publishing.</w:t>
      </w:r>
    </w:p>
    <w:p w14:paraId="5C140A25" w14:textId="77777777" w:rsidR="00863212" w:rsidRPr="00863212" w:rsidRDefault="00863212" w:rsidP="00863212">
      <w:pPr>
        <w:pStyle w:val="NormalWeb"/>
        <w:spacing w:line="360" w:lineRule="auto"/>
        <w:rPr>
          <w:rFonts w:ascii="Arial" w:hAnsi="Arial" w:cs="Arial"/>
        </w:rPr>
      </w:pPr>
      <w:r w:rsidRPr="00863212">
        <w:rPr>
          <w:rStyle w:val="Strong"/>
          <w:rFonts w:ascii="Arial" w:eastAsiaTheme="majorEastAsia" w:hAnsi="Arial" w:cs="Arial"/>
          <w:b w:val="0"/>
          <w:bCs w:val="0"/>
        </w:rPr>
        <w:t>Barney, J. (1991)</w:t>
      </w:r>
      <w:r w:rsidRPr="00863212">
        <w:rPr>
          <w:rFonts w:ascii="Arial" w:hAnsi="Arial" w:cs="Arial"/>
        </w:rPr>
        <w:t xml:space="preserve"> ‘Firm resources and sustained competitive advantage’, </w:t>
      </w:r>
      <w:r w:rsidRPr="00863212">
        <w:rPr>
          <w:rStyle w:val="Emphasis"/>
          <w:rFonts w:ascii="Arial" w:eastAsiaTheme="majorEastAsia" w:hAnsi="Arial" w:cs="Arial"/>
          <w:i w:val="0"/>
          <w:iCs w:val="0"/>
        </w:rPr>
        <w:t>Journal of Management</w:t>
      </w:r>
      <w:r w:rsidRPr="00863212">
        <w:rPr>
          <w:rFonts w:ascii="Arial" w:hAnsi="Arial" w:cs="Arial"/>
        </w:rPr>
        <w:t>, 17(1), pp. 99–120.</w:t>
      </w:r>
    </w:p>
    <w:p w14:paraId="07D60D94" w14:textId="77777777" w:rsidR="00863212" w:rsidRPr="00863212" w:rsidRDefault="00863212" w:rsidP="00863212">
      <w:pPr>
        <w:pStyle w:val="NormalWeb"/>
        <w:spacing w:line="360" w:lineRule="auto"/>
        <w:rPr>
          <w:rFonts w:ascii="Arial" w:hAnsi="Arial" w:cs="Arial"/>
        </w:rPr>
      </w:pPr>
      <w:r w:rsidRPr="00863212">
        <w:rPr>
          <w:rStyle w:val="Strong"/>
          <w:rFonts w:ascii="Arial" w:eastAsiaTheme="majorEastAsia" w:hAnsi="Arial" w:cs="Arial"/>
          <w:b w:val="0"/>
          <w:bCs w:val="0"/>
        </w:rPr>
        <w:t>BMJ (2023)</w:t>
      </w:r>
      <w:r w:rsidRPr="00863212">
        <w:rPr>
          <w:rFonts w:ascii="Arial" w:hAnsi="Arial" w:cs="Arial"/>
        </w:rPr>
        <w:t xml:space="preserve"> ‘Virtual appointments and carbon reduction: Opportunities and risks’, </w:t>
      </w:r>
      <w:r w:rsidRPr="00863212">
        <w:rPr>
          <w:rStyle w:val="Emphasis"/>
          <w:rFonts w:ascii="Arial" w:eastAsiaTheme="majorEastAsia" w:hAnsi="Arial" w:cs="Arial"/>
          <w:i w:val="0"/>
          <w:iCs w:val="0"/>
        </w:rPr>
        <w:t>The BMJ</w:t>
      </w:r>
      <w:r w:rsidRPr="00863212">
        <w:rPr>
          <w:rFonts w:ascii="Arial" w:hAnsi="Arial" w:cs="Arial"/>
        </w:rPr>
        <w:t>, 381, p. 1169.</w:t>
      </w:r>
    </w:p>
    <w:p w14:paraId="39D39BF7" w14:textId="77777777" w:rsidR="00863212" w:rsidRPr="00863212" w:rsidRDefault="00863212" w:rsidP="00863212">
      <w:pPr>
        <w:pStyle w:val="NormalWeb"/>
        <w:spacing w:line="360" w:lineRule="auto"/>
        <w:rPr>
          <w:rFonts w:ascii="Arial" w:hAnsi="Arial" w:cs="Arial"/>
        </w:rPr>
      </w:pPr>
      <w:r w:rsidRPr="00863212">
        <w:rPr>
          <w:rStyle w:val="Strong"/>
          <w:rFonts w:ascii="Arial" w:eastAsiaTheme="majorEastAsia" w:hAnsi="Arial" w:cs="Arial"/>
          <w:b w:val="0"/>
          <w:bCs w:val="0"/>
        </w:rPr>
        <w:t>Change Step (2025)</w:t>
      </w:r>
      <w:r w:rsidRPr="00863212">
        <w:rPr>
          <w:rFonts w:ascii="Arial" w:hAnsi="Arial" w:cs="Arial"/>
        </w:rPr>
        <w:t xml:space="preserve"> </w:t>
      </w:r>
      <w:r w:rsidRPr="00863212">
        <w:rPr>
          <w:rStyle w:val="Emphasis"/>
          <w:rFonts w:ascii="Arial" w:eastAsiaTheme="majorEastAsia" w:hAnsi="Arial" w:cs="Arial"/>
          <w:i w:val="0"/>
          <w:iCs w:val="0"/>
        </w:rPr>
        <w:t>Impact Report: Supporting Veterans and Families Across Wales</w:t>
      </w:r>
      <w:r w:rsidRPr="00863212">
        <w:rPr>
          <w:rFonts w:ascii="Arial" w:hAnsi="Arial" w:cs="Arial"/>
        </w:rPr>
        <w:t>. Cardiff: Change Step Wales.</w:t>
      </w:r>
    </w:p>
    <w:p w14:paraId="06132B3A" w14:textId="77777777" w:rsidR="00863212" w:rsidRPr="00863212" w:rsidRDefault="00863212" w:rsidP="00863212">
      <w:pPr>
        <w:pStyle w:val="NormalWeb"/>
        <w:spacing w:line="360" w:lineRule="auto"/>
        <w:rPr>
          <w:rFonts w:ascii="Arial" w:hAnsi="Arial" w:cs="Arial"/>
        </w:rPr>
      </w:pPr>
      <w:r w:rsidRPr="00863212">
        <w:rPr>
          <w:rStyle w:val="Strong"/>
          <w:rFonts w:ascii="Arial" w:eastAsiaTheme="majorEastAsia" w:hAnsi="Arial" w:cs="Arial"/>
          <w:b w:val="0"/>
          <w:bCs w:val="0"/>
        </w:rPr>
        <w:t xml:space="preserve">Chen, K., Huang, J.J. and </w:t>
      </w:r>
      <w:proofErr w:type="spellStart"/>
      <w:r w:rsidRPr="00863212">
        <w:rPr>
          <w:rStyle w:val="Strong"/>
          <w:rFonts w:ascii="Arial" w:eastAsiaTheme="majorEastAsia" w:hAnsi="Arial" w:cs="Arial"/>
          <w:b w:val="0"/>
          <w:bCs w:val="0"/>
        </w:rPr>
        <w:t>Torous</w:t>
      </w:r>
      <w:proofErr w:type="spellEnd"/>
      <w:r w:rsidRPr="00863212">
        <w:rPr>
          <w:rStyle w:val="Strong"/>
          <w:rFonts w:ascii="Arial" w:eastAsiaTheme="majorEastAsia" w:hAnsi="Arial" w:cs="Arial"/>
          <w:b w:val="0"/>
          <w:bCs w:val="0"/>
        </w:rPr>
        <w:t>, J. (2024)</w:t>
      </w:r>
      <w:r w:rsidRPr="00863212">
        <w:rPr>
          <w:rFonts w:ascii="Arial" w:hAnsi="Arial" w:cs="Arial"/>
        </w:rPr>
        <w:t xml:space="preserve"> ‘Hybrid care in mental health: A framework for understanding care, research, and future opportunities’, </w:t>
      </w:r>
      <w:r w:rsidRPr="00863212">
        <w:rPr>
          <w:rStyle w:val="Emphasis"/>
          <w:rFonts w:ascii="Arial" w:eastAsiaTheme="majorEastAsia" w:hAnsi="Arial" w:cs="Arial"/>
          <w:i w:val="0"/>
          <w:iCs w:val="0"/>
        </w:rPr>
        <w:t>Nature Digital Psychiatry and Neuroscience</w:t>
      </w:r>
      <w:r w:rsidRPr="00863212">
        <w:rPr>
          <w:rFonts w:ascii="Arial" w:hAnsi="Arial" w:cs="Arial"/>
        </w:rPr>
        <w:t>.</w:t>
      </w:r>
    </w:p>
    <w:p w14:paraId="286DF10A" w14:textId="77777777" w:rsidR="00863212" w:rsidRPr="00863212" w:rsidRDefault="00863212" w:rsidP="00863212">
      <w:pPr>
        <w:pStyle w:val="NormalWeb"/>
        <w:spacing w:line="360" w:lineRule="auto"/>
        <w:rPr>
          <w:rFonts w:ascii="Arial" w:hAnsi="Arial" w:cs="Arial"/>
        </w:rPr>
      </w:pPr>
      <w:r w:rsidRPr="00863212">
        <w:rPr>
          <w:rStyle w:val="Strong"/>
          <w:rFonts w:ascii="Arial" w:eastAsiaTheme="majorEastAsia" w:hAnsi="Arial" w:cs="Arial"/>
          <w:b w:val="0"/>
          <w:bCs w:val="0"/>
        </w:rPr>
        <w:t>Department for Defence / Ministry of Defence (MOD) (2025)</w:t>
      </w:r>
      <w:r w:rsidRPr="00863212">
        <w:rPr>
          <w:rFonts w:ascii="Arial" w:hAnsi="Arial" w:cs="Arial"/>
        </w:rPr>
        <w:t xml:space="preserve"> </w:t>
      </w:r>
      <w:r w:rsidRPr="00863212">
        <w:rPr>
          <w:rStyle w:val="Emphasis"/>
          <w:rFonts w:ascii="Arial" w:eastAsiaTheme="majorEastAsia" w:hAnsi="Arial" w:cs="Arial"/>
          <w:i w:val="0"/>
          <w:iCs w:val="0"/>
        </w:rPr>
        <w:t>Armed Forces Covenant Annual Report 2025</w:t>
      </w:r>
      <w:r w:rsidRPr="00863212">
        <w:rPr>
          <w:rFonts w:ascii="Arial" w:hAnsi="Arial" w:cs="Arial"/>
        </w:rPr>
        <w:t>. London: UK Government.</w:t>
      </w:r>
    </w:p>
    <w:p w14:paraId="1CC4E37A" w14:textId="77777777" w:rsidR="00863212" w:rsidRPr="00863212" w:rsidRDefault="00863212" w:rsidP="00863212">
      <w:pPr>
        <w:pStyle w:val="NormalWeb"/>
        <w:spacing w:line="360" w:lineRule="auto"/>
        <w:rPr>
          <w:rFonts w:ascii="Arial" w:hAnsi="Arial" w:cs="Arial"/>
        </w:rPr>
      </w:pPr>
      <w:r w:rsidRPr="00863212">
        <w:rPr>
          <w:rStyle w:val="Strong"/>
          <w:rFonts w:ascii="Arial" w:eastAsiaTheme="majorEastAsia" w:hAnsi="Arial" w:cs="Arial"/>
          <w:b w:val="0"/>
          <w:bCs w:val="0"/>
        </w:rPr>
        <w:t>GOV.UK (2026)</w:t>
      </w:r>
      <w:r w:rsidRPr="00863212">
        <w:rPr>
          <w:rFonts w:ascii="Arial" w:hAnsi="Arial" w:cs="Arial"/>
        </w:rPr>
        <w:t xml:space="preserve"> </w:t>
      </w:r>
      <w:r w:rsidRPr="00863212">
        <w:rPr>
          <w:rStyle w:val="Emphasis"/>
          <w:rFonts w:ascii="Arial" w:eastAsiaTheme="majorEastAsia" w:hAnsi="Arial" w:cs="Arial"/>
          <w:i w:val="0"/>
          <w:iCs w:val="0"/>
        </w:rPr>
        <w:t>Veterans NHS Wales: Mental health support for former service personnel</w:t>
      </w:r>
      <w:r w:rsidRPr="00863212">
        <w:rPr>
          <w:rFonts w:ascii="Arial" w:hAnsi="Arial" w:cs="Arial"/>
        </w:rPr>
        <w:t>. Available at: https://www.gov.uk (Accessed: [insert date]).</w:t>
      </w:r>
    </w:p>
    <w:p w14:paraId="485786CD" w14:textId="77777777" w:rsidR="00863212" w:rsidRPr="00863212" w:rsidRDefault="00863212" w:rsidP="00863212">
      <w:pPr>
        <w:pStyle w:val="NormalWeb"/>
        <w:spacing w:line="360" w:lineRule="auto"/>
        <w:rPr>
          <w:rFonts w:ascii="Arial" w:hAnsi="Arial" w:cs="Arial"/>
        </w:rPr>
      </w:pPr>
      <w:r w:rsidRPr="00863212">
        <w:rPr>
          <w:rStyle w:val="Strong"/>
          <w:rFonts w:ascii="Arial" w:eastAsiaTheme="majorEastAsia" w:hAnsi="Arial" w:cs="Arial"/>
          <w:b w:val="0"/>
          <w:bCs w:val="0"/>
        </w:rPr>
        <w:lastRenderedPageBreak/>
        <w:t>Int J Health Policy and Management (2014)</w:t>
      </w:r>
      <w:r w:rsidRPr="00863212">
        <w:rPr>
          <w:rFonts w:ascii="Arial" w:hAnsi="Arial" w:cs="Arial"/>
        </w:rPr>
        <w:t xml:space="preserve"> ‘Inter</w:t>
      </w:r>
      <w:r w:rsidRPr="00863212">
        <w:rPr>
          <w:rFonts w:ascii="Arial" w:hAnsi="Arial" w:cs="Arial"/>
        </w:rPr>
        <w:noBreakHyphen/>
        <w:t xml:space="preserve">organisational collaboration in healthcare: A review of partnership effectiveness’, </w:t>
      </w:r>
      <w:r w:rsidRPr="00863212">
        <w:rPr>
          <w:rStyle w:val="Emphasis"/>
          <w:rFonts w:ascii="Arial" w:eastAsiaTheme="majorEastAsia" w:hAnsi="Arial" w:cs="Arial"/>
          <w:i w:val="0"/>
          <w:iCs w:val="0"/>
        </w:rPr>
        <w:t>International Journal of Health Policy and Management</w:t>
      </w:r>
      <w:r w:rsidRPr="00863212">
        <w:rPr>
          <w:rFonts w:ascii="Arial" w:hAnsi="Arial" w:cs="Arial"/>
        </w:rPr>
        <w:t>, 3(4), pp. 207–215.</w:t>
      </w:r>
    </w:p>
    <w:p w14:paraId="60DB4B40" w14:textId="77777777" w:rsidR="00863212" w:rsidRPr="00863212" w:rsidRDefault="00863212" w:rsidP="00863212">
      <w:pPr>
        <w:pStyle w:val="NormalWeb"/>
        <w:spacing w:line="360" w:lineRule="auto"/>
        <w:rPr>
          <w:rFonts w:ascii="Arial" w:hAnsi="Arial" w:cs="Arial"/>
        </w:rPr>
      </w:pPr>
      <w:r w:rsidRPr="00863212">
        <w:rPr>
          <w:rStyle w:val="Strong"/>
          <w:rFonts w:ascii="Arial" w:eastAsiaTheme="majorEastAsia" w:hAnsi="Arial" w:cs="Arial"/>
          <w:b w:val="0"/>
          <w:bCs w:val="0"/>
        </w:rPr>
        <w:t>Johnson, G., Scholes, K. and Whittington, R. (2017)</w:t>
      </w:r>
      <w:r w:rsidRPr="00863212">
        <w:rPr>
          <w:rFonts w:ascii="Arial" w:hAnsi="Arial" w:cs="Arial"/>
        </w:rPr>
        <w:t xml:space="preserve"> </w:t>
      </w:r>
      <w:r w:rsidRPr="00863212">
        <w:rPr>
          <w:rStyle w:val="Emphasis"/>
          <w:rFonts w:ascii="Arial" w:eastAsiaTheme="majorEastAsia" w:hAnsi="Arial" w:cs="Arial"/>
          <w:i w:val="0"/>
          <w:iCs w:val="0"/>
        </w:rPr>
        <w:t>Exploring Corporate Strategy</w:t>
      </w:r>
      <w:r w:rsidRPr="00863212">
        <w:rPr>
          <w:rFonts w:ascii="Arial" w:hAnsi="Arial" w:cs="Arial"/>
        </w:rPr>
        <w:t xml:space="preserve">. 12th </w:t>
      </w:r>
      <w:proofErr w:type="spellStart"/>
      <w:r w:rsidRPr="00863212">
        <w:rPr>
          <w:rFonts w:ascii="Arial" w:hAnsi="Arial" w:cs="Arial"/>
        </w:rPr>
        <w:t>edn</w:t>
      </w:r>
      <w:proofErr w:type="spellEnd"/>
      <w:r w:rsidRPr="00863212">
        <w:rPr>
          <w:rFonts w:ascii="Arial" w:hAnsi="Arial" w:cs="Arial"/>
        </w:rPr>
        <w:t>. Harlow: Pearson.</w:t>
      </w:r>
    </w:p>
    <w:p w14:paraId="57E2BBDA" w14:textId="77777777" w:rsidR="00863212" w:rsidRPr="00863212" w:rsidRDefault="00863212" w:rsidP="00863212">
      <w:pPr>
        <w:pStyle w:val="NormalWeb"/>
        <w:spacing w:line="360" w:lineRule="auto"/>
        <w:rPr>
          <w:rFonts w:ascii="Arial" w:hAnsi="Arial" w:cs="Arial"/>
        </w:rPr>
      </w:pPr>
      <w:r w:rsidRPr="00863212">
        <w:rPr>
          <w:rStyle w:val="Strong"/>
          <w:rFonts w:ascii="Arial" w:eastAsiaTheme="majorEastAsia" w:hAnsi="Arial" w:cs="Arial"/>
          <w:b w:val="0"/>
          <w:bCs w:val="0"/>
        </w:rPr>
        <w:t>Mankiw, N.G. (2021)</w:t>
      </w:r>
      <w:r w:rsidRPr="00863212">
        <w:rPr>
          <w:rFonts w:ascii="Arial" w:hAnsi="Arial" w:cs="Arial"/>
        </w:rPr>
        <w:t xml:space="preserve"> </w:t>
      </w:r>
      <w:r w:rsidRPr="00863212">
        <w:rPr>
          <w:rStyle w:val="Emphasis"/>
          <w:rFonts w:ascii="Arial" w:eastAsiaTheme="majorEastAsia" w:hAnsi="Arial" w:cs="Arial"/>
          <w:i w:val="0"/>
          <w:iCs w:val="0"/>
        </w:rPr>
        <w:t>Principles of Economics</w:t>
      </w:r>
      <w:r w:rsidRPr="00863212">
        <w:rPr>
          <w:rFonts w:ascii="Arial" w:hAnsi="Arial" w:cs="Arial"/>
        </w:rPr>
        <w:t xml:space="preserve">. 9th </w:t>
      </w:r>
      <w:proofErr w:type="spellStart"/>
      <w:r w:rsidRPr="00863212">
        <w:rPr>
          <w:rFonts w:ascii="Arial" w:hAnsi="Arial" w:cs="Arial"/>
        </w:rPr>
        <w:t>edn</w:t>
      </w:r>
      <w:proofErr w:type="spellEnd"/>
      <w:r w:rsidRPr="00863212">
        <w:rPr>
          <w:rFonts w:ascii="Arial" w:hAnsi="Arial" w:cs="Arial"/>
        </w:rPr>
        <w:t>. Boston: Cengage Learning.</w:t>
      </w:r>
    </w:p>
    <w:p w14:paraId="304D7FB9" w14:textId="77777777" w:rsidR="00863212" w:rsidRPr="00863212" w:rsidRDefault="00863212" w:rsidP="00863212">
      <w:pPr>
        <w:pStyle w:val="NormalWeb"/>
        <w:spacing w:line="360" w:lineRule="auto"/>
        <w:rPr>
          <w:rFonts w:ascii="Arial" w:hAnsi="Arial" w:cs="Arial"/>
        </w:rPr>
      </w:pPr>
      <w:r w:rsidRPr="00863212">
        <w:rPr>
          <w:rStyle w:val="Strong"/>
          <w:rFonts w:ascii="Arial" w:eastAsiaTheme="majorEastAsia" w:hAnsi="Arial" w:cs="Arial"/>
          <w:b w:val="0"/>
          <w:bCs w:val="0"/>
        </w:rPr>
        <w:t>NHS Confederation (2024)</w:t>
      </w:r>
      <w:r w:rsidRPr="00863212">
        <w:rPr>
          <w:rFonts w:ascii="Arial" w:hAnsi="Arial" w:cs="Arial"/>
        </w:rPr>
        <w:t xml:space="preserve"> </w:t>
      </w:r>
      <w:r w:rsidRPr="00863212">
        <w:rPr>
          <w:rStyle w:val="Emphasis"/>
          <w:rFonts w:ascii="Arial" w:eastAsiaTheme="majorEastAsia" w:hAnsi="Arial" w:cs="Arial"/>
          <w:i w:val="0"/>
          <w:iCs w:val="0"/>
        </w:rPr>
        <w:t>NHS Workforce Trends in the UK 2024</w:t>
      </w:r>
      <w:r w:rsidRPr="00863212">
        <w:rPr>
          <w:rFonts w:ascii="Arial" w:hAnsi="Arial" w:cs="Arial"/>
        </w:rPr>
        <w:t>. London: NHS Confederation.</w:t>
      </w:r>
    </w:p>
    <w:p w14:paraId="2829BAC5" w14:textId="77777777" w:rsidR="00863212" w:rsidRPr="00863212" w:rsidRDefault="00863212" w:rsidP="00863212">
      <w:pPr>
        <w:pStyle w:val="NormalWeb"/>
        <w:spacing w:line="360" w:lineRule="auto"/>
        <w:rPr>
          <w:rFonts w:ascii="Arial" w:hAnsi="Arial" w:cs="Arial"/>
        </w:rPr>
      </w:pPr>
      <w:r w:rsidRPr="00863212">
        <w:rPr>
          <w:rStyle w:val="Strong"/>
          <w:rFonts w:ascii="Arial" w:eastAsiaTheme="majorEastAsia" w:hAnsi="Arial" w:cs="Arial"/>
          <w:b w:val="0"/>
          <w:bCs w:val="0"/>
        </w:rPr>
        <w:t>NHS England (2024)</w:t>
      </w:r>
      <w:r w:rsidRPr="00863212">
        <w:rPr>
          <w:rFonts w:ascii="Arial" w:hAnsi="Arial" w:cs="Arial"/>
        </w:rPr>
        <w:t xml:space="preserve"> </w:t>
      </w:r>
      <w:r w:rsidRPr="00863212">
        <w:rPr>
          <w:rStyle w:val="Emphasis"/>
          <w:rFonts w:ascii="Arial" w:eastAsiaTheme="majorEastAsia" w:hAnsi="Arial" w:cs="Arial"/>
          <w:i w:val="0"/>
          <w:iCs w:val="0"/>
        </w:rPr>
        <w:t>Improving Personalised Care for Veterans</w:t>
      </w:r>
      <w:r w:rsidRPr="00863212">
        <w:rPr>
          <w:rFonts w:ascii="Arial" w:hAnsi="Arial" w:cs="Arial"/>
        </w:rPr>
        <w:t>. London: NHS England.</w:t>
      </w:r>
    </w:p>
    <w:p w14:paraId="63EED3E2" w14:textId="77777777" w:rsidR="00863212" w:rsidRPr="00863212" w:rsidRDefault="00863212" w:rsidP="00863212">
      <w:pPr>
        <w:pStyle w:val="NormalWeb"/>
        <w:spacing w:line="360" w:lineRule="auto"/>
        <w:rPr>
          <w:rFonts w:ascii="Arial" w:hAnsi="Arial" w:cs="Arial"/>
        </w:rPr>
      </w:pPr>
      <w:r w:rsidRPr="00863212">
        <w:rPr>
          <w:rStyle w:val="Strong"/>
          <w:rFonts w:ascii="Arial" w:eastAsiaTheme="majorEastAsia" w:hAnsi="Arial" w:cs="Arial"/>
          <w:b w:val="0"/>
          <w:bCs w:val="0"/>
        </w:rPr>
        <w:t>NHS Wales (2025)</w:t>
      </w:r>
      <w:r w:rsidRPr="00863212">
        <w:rPr>
          <w:rFonts w:ascii="Arial" w:hAnsi="Arial" w:cs="Arial"/>
        </w:rPr>
        <w:t xml:space="preserve"> </w:t>
      </w:r>
      <w:r w:rsidRPr="00863212">
        <w:rPr>
          <w:rStyle w:val="Emphasis"/>
          <w:rFonts w:ascii="Arial" w:eastAsiaTheme="majorEastAsia" w:hAnsi="Arial" w:cs="Arial"/>
          <w:i w:val="0"/>
          <w:iCs w:val="0"/>
        </w:rPr>
        <w:t>Mental Health Services Workforce Report 2025</w:t>
      </w:r>
      <w:r w:rsidRPr="00863212">
        <w:rPr>
          <w:rFonts w:ascii="Arial" w:hAnsi="Arial" w:cs="Arial"/>
        </w:rPr>
        <w:t>. Cardiff: NHS Wales.</w:t>
      </w:r>
    </w:p>
    <w:p w14:paraId="5C436768" w14:textId="77777777" w:rsidR="00863212" w:rsidRPr="00863212" w:rsidRDefault="00863212" w:rsidP="00863212">
      <w:pPr>
        <w:pStyle w:val="NormalWeb"/>
        <w:spacing w:line="360" w:lineRule="auto"/>
        <w:rPr>
          <w:rFonts w:ascii="Arial" w:hAnsi="Arial" w:cs="Arial"/>
        </w:rPr>
      </w:pPr>
      <w:r w:rsidRPr="00863212">
        <w:rPr>
          <w:rStyle w:val="Strong"/>
          <w:rFonts w:ascii="Arial" w:eastAsiaTheme="majorEastAsia" w:hAnsi="Arial" w:cs="Arial"/>
          <w:b w:val="0"/>
          <w:bCs w:val="0"/>
        </w:rPr>
        <w:t>Nuffield Trust (2025)</w:t>
      </w:r>
      <w:r w:rsidRPr="00863212">
        <w:rPr>
          <w:rFonts w:ascii="Arial" w:hAnsi="Arial" w:cs="Arial"/>
        </w:rPr>
        <w:t xml:space="preserve"> </w:t>
      </w:r>
      <w:r w:rsidRPr="00863212">
        <w:rPr>
          <w:rStyle w:val="Emphasis"/>
          <w:rFonts w:ascii="Arial" w:eastAsiaTheme="majorEastAsia" w:hAnsi="Arial" w:cs="Arial"/>
          <w:i w:val="0"/>
          <w:iCs w:val="0"/>
        </w:rPr>
        <w:t>Funding, Workforce and Demand Pressures in the NHS 2025</w:t>
      </w:r>
      <w:r w:rsidRPr="00863212">
        <w:rPr>
          <w:rFonts w:ascii="Arial" w:hAnsi="Arial" w:cs="Arial"/>
        </w:rPr>
        <w:t>. London: The Nuffield Trust.</w:t>
      </w:r>
    </w:p>
    <w:p w14:paraId="20E2E69C" w14:textId="77777777" w:rsidR="00863212" w:rsidRPr="00863212" w:rsidRDefault="00863212" w:rsidP="00863212">
      <w:pPr>
        <w:pStyle w:val="NormalWeb"/>
        <w:spacing w:line="360" w:lineRule="auto"/>
        <w:rPr>
          <w:rFonts w:ascii="Arial" w:hAnsi="Arial" w:cs="Arial"/>
        </w:rPr>
      </w:pPr>
      <w:r w:rsidRPr="00863212">
        <w:rPr>
          <w:rStyle w:val="Strong"/>
          <w:rFonts w:ascii="Arial" w:eastAsiaTheme="majorEastAsia" w:hAnsi="Arial" w:cs="Arial"/>
          <w:b w:val="0"/>
          <w:bCs w:val="0"/>
        </w:rPr>
        <w:t>Porter, M.E. (1985)</w:t>
      </w:r>
      <w:r w:rsidRPr="00863212">
        <w:rPr>
          <w:rFonts w:ascii="Arial" w:hAnsi="Arial" w:cs="Arial"/>
        </w:rPr>
        <w:t xml:space="preserve"> </w:t>
      </w:r>
      <w:r w:rsidRPr="00863212">
        <w:rPr>
          <w:rStyle w:val="Emphasis"/>
          <w:rFonts w:ascii="Arial" w:eastAsiaTheme="majorEastAsia" w:hAnsi="Arial" w:cs="Arial"/>
          <w:i w:val="0"/>
          <w:iCs w:val="0"/>
        </w:rPr>
        <w:t>Competitive Advantage: Creating and Sustaining Superior Performance</w:t>
      </w:r>
      <w:r w:rsidRPr="00863212">
        <w:rPr>
          <w:rFonts w:ascii="Arial" w:hAnsi="Arial" w:cs="Arial"/>
        </w:rPr>
        <w:t>. New York: Free Press.</w:t>
      </w:r>
    </w:p>
    <w:p w14:paraId="3BB5C2BE" w14:textId="77777777" w:rsidR="00863212" w:rsidRPr="00863212" w:rsidRDefault="00863212" w:rsidP="00863212">
      <w:pPr>
        <w:pStyle w:val="NormalWeb"/>
        <w:spacing w:line="360" w:lineRule="auto"/>
        <w:rPr>
          <w:rFonts w:ascii="Arial" w:hAnsi="Arial" w:cs="Arial"/>
        </w:rPr>
      </w:pPr>
      <w:r w:rsidRPr="00863212">
        <w:rPr>
          <w:rStyle w:val="Strong"/>
          <w:rFonts w:ascii="Arial" w:eastAsiaTheme="majorEastAsia" w:hAnsi="Arial" w:cs="Arial"/>
          <w:b w:val="0"/>
          <w:bCs w:val="0"/>
        </w:rPr>
        <w:t>Porter, M.E. (2008)</w:t>
      </w:r>
      <w:r w:rsidRPr="00863212">
        <w:rPr>
          <w:rFonts w:ascii="Arial" w:hAnsi="Arial" w:cs="Arial"/>
        </w:rPr>
        <w:t xml:space="preserve"> ‘The five competitive forces that shape strategy’, </w:t>
      </w:r>
      <w:r w:rsidRPr="00863212">
        <w:rPr>
          <w:rStyle w:val="Emphasis"/>
          <w:rFonts w:ascii="Arial" w:eastAsiaTheme="majorEastAsia" w:hAnsi="Arial" w:cs="Arial"/>
          <w:i w:val="0"/>
          <w:iCs w:val="0"/>
        </w:rPr>
        <w:t>Harvard Business Review</w:t>
      </w:r>
      <w:r w:rsidRPr="00863212">
        <w:rPr>
          <w:rFonts w:ascii="Arial" w:hAnsi="Arial" w:cs="Arial"/>
        </w:rPr>
        <w:t>, January, pp. 78–93.</w:t>
      </w:r>
    </w:p>
    <w:p w14:paraId="46FCC538" w14:textId="77777777" w:rsidR="00863212" w:rsidRPr="00863212" w:rsidRDefault="00863212" w:rsidP="00863212">
      <w:pPr>
        <w:pStyle w:val="NormalWeb"/>
        <w:spacing w:line="360" w:lineRule="auto"/>
        <w:rPr>
          <w:rFonts w:ascii="Arial" w:hAnsi="Arial" w:cs="Arial"/>
        </w:rPr>
      </w:pPr>
      <w:r w:rsidRPr="00863212">
        <w:rPr>
          <w:rStyle w:val="Strong"/>
          <w:rFonts w:ascii="Arial" w:eastAsiaTheme="majorEastAsia" w:hAnsi="Arial" w:cs="Arial"/>
          <w:b w:val="0"/>
          <w:bCs w:val="0"/>
        </w:rPr>
        <w:t>Public Health Wales (PHW) (2025)</w:t>
      </w:r>
      <w:r w:rsidRPr="00863212">
        <w:rPr>
          <w:rFonts w:ascii="Arial" w:hAnsi="Arial" w:cs="Arial"/>
        </w:rPr>
        <w:t xml:space="preserve"> </w:t>
      </w:r>
      <w:r w:rsidRPr="00863212">
        <w:rPr>
          <w:rStyle w:val="Emphasis"/>
          <w:rFonts w:ascii="Arial" w:eastAsiaTheme="majorEastAsia" w:hAnsi="Arial" w:cs="Arial"/>
          <w:i w:val="0"/>
          <w:iCs w:val="0"/>
        </w:rPr>
        <w:t>Digital Inclusion in Wales: Inequalities and Opportunities</w:t>
      </w:r>
      <w:r w:rsidRPr="00863212">
        <w:rPr>
          <w:rFonts w:ascii="Arial" w:hAnsi="Arial" w:cs="Arial"/>
        </w:rPr>
        <w:t>. Cardiff: Public Health Wales.</w:t>
      </w:r>
    </w:p>
    <w:p w14:paraId="6A26D925" w14:textId="77777777" w:rsidR="00863212" w:rsidRPr="00863212" w:rsidRDefault="00863212" w:rsidP="00863212">
      <w:pPr>
        <w:pStyle w:val="NormalWeb"/>
        <w:spacing w:line="360" w:lineRule="auto"/>
        <w:rPr>
          <w:rFonts w:ascii="Arial" w:hAnsi="Arial" w:cs="Arial"/>
        </w:rPr>
      </w:pPr>
      <w:proofErr w:type="spellStart"/>
      <w:r w:rsidRPr="00863212">
        <w:rPr>
          <w:rStyle w:val="Strong"/>
          <w:rFonts w:ascii="Arial" w:eastAsiaTheme="majorEastAsia" w:hAnsi="Arial" w:cs="Arial"/>
          <w:b w:val="0"/>
          <w:bCs w:val="0"/>
        </w:rPr>
        <w:t>Sloman</w:t>
      </w:r>
      <w:proofErr w:type="spellEnd"/>
      <w:r w:rsidRPr="00863212">
        <w:rPr>
          <w:rStyle w:val="Strong"/>
          <w:rFonts w:ascii="Arial" w:eastAsiaTheme="majorEastAsia" w:hAnsi="Arial" w:cs="Arial"/>
          <w:b w:val="0"/>
          <w:bCs w:val="0"/>
        </w:rPr>
        <w:t>, J., Garratt, D. and Guest, J. (2020)</w:t>
      </w:r>
      <w:r w:rsidRPr="00863212">
        <w:rPr>
          <w:rFonts w:ascii="Arial" w:hAnsi="Arial" w:cs="Arial"/>
        </w:rPr>
        <w:t xml:space="preserve"> </w:t>
      </w:r>
      <w:r w:rsidRPr="00863212">
        <w:rPr>
          <w:rStyle w:val="Emphasis"/>
          <w:rFonts w:ascii="Arial" w:eastAsiaTheme="majorEastAsia" w:hAnsi="Arial" w:cs="Arial"/>
          <w:i w:val="0"/>
          <w:iCs w:val="0"/>
        </w:rPr>
        <w:t>Economics for Business</w:t>
      </w:r>
      <w:r w:rsidRPr="00863212">
        <w:rPr>
          <w:rFonts w:ascii="Arial" w:hAnsi="Arial" w:cs="Arial"/>
        </w:rPr>
        <w:t xml:space="preserve">. 8th </w:t>
      </w:r>
      <w:proofErr w:type="spellStart"/>
      <w:r w:rsidRPr="00863212">
        <w:rPr>
          <w:rFonts w:ascii="Arial" w:hAnsi="Arial" w:cs="Arial"/>
        </w:rPr>
        <w:t>edn</w:t>
      </w:r>
      <w:proofErr w:type="spellEnd"/>
      <w:r w:rsidRPr="00863212">
        <w:rPr>
          <w:rFonts w:ascii="Arial" w:hAnsi="Arial" w:cs="Arial"/>
        </w:rPr>
        <w:t>. Harlow: Pearson.</w:t>
      </w:r>
    </w:p>
    <w:p w14:paraId="6F655E8B" w14:textId="77777777" w:rsidR="00863212" w:rsidRPr="00863212" w:rsidRDefault="00863212" w:rsidP="00863212">
      <w:pPr>
        <w:pStyle w:val="NormalWeb"/>
        <w:spacing w:line="360" w:lineRule="auto"/>
        <w:rPr>
          <w:rFonts w:ascii="Arial" w:hAnsi="Arial" w:cs="Arial"/>
        </w:rPr>
      </w:pPr>
      <w:proofErr w:type="spellStart"/>
      <w:r w:rsidRPr="00863212">
        <w:rPr>
          <w:rStyle w:val="Strong"/>
          <w:rFonts w:ascii="Arial" w:eastAsiaTheme="majorEastAsia" w:hAnsi="Arial" w:cs="Arial"/>
          <w:b w:val="0"/>
          <w:bCs w:val="0"/>
        </w:rPr>
        <w:t>Steidtmann</w:t>
      </w:r>
      <w:proofErr w:type="spellEnd"/>
      <w:r w:rsidRPr="00863212">
        <w:rPr>
          <w:rStyle w:val="Strong"/>
          <w:rFonts w:ascii="Arial" w:eastAsiaTheme="majorEastAsia" w:hAnsi="Arial" w:cs="Arial"/>
          <w:b w:val="0"/>
          <w:bCs w:val="0"/>
        </w:rPr>
        <w:t>, D. et al. (2025)</w:t>
      </w:r>
      <w:r w:rsidRPr="00863212">
        <w:rPr>
          <w:rFonts w:ascii="Arial" w:hAnsi="Arial" w:cs="Arial"/>
        </w:rPr>
        <w:t xml:space="preserve"> ‘Hybrid mental health care: 2025 research insights’, </w:t>
      </w:r>
      <w:r w:rsidRPr="00863212">
        <w:rPr>
          <w:rStyle w:val="Emphasis"/>
          <w:rFonts w:ascii="Arial" w:eastAsiaTheme="majorEastAsia" w:hAnsi="Arial" w:cs="Arial"/>
          <w:i w:val="0"/>
          <w:iCs w:val="0"/>
        </w:rPr>
        <w:t>Journal of Digital Mental Health</w:t>
      </w:r>
      <w:r w:rsidRPr="00863212">
        <w:rPr>
          <w:rFonts w:ascii="Arial" w:hAnsi="Arial" w:cs="Arial"/>
        </w:rPr>
        <w:t>, 4(2), pp. 50–65.</w:t>
      </w:r>
    </w:p>
    <w:p w14:paraId="1EE8EF3D" w14:textId="77777777" w:rsidR="00863212" w:rsidRPr="00863212" w:rsidRDefault="00863212" w:rsidP="00863212">
      <w:pPr>
        <w:pStyle w:val="NormalWeb"/>
        <w:spacing w:line="360" w:lineRule="auto"/>
        <w:rPr>
          <w:rFonts w:ascii="Arial" w:hAnsi="Arial" w:cs="Arial"/>
        </w:rPr>
      </w:pPr>
      <w:r w:rsidRPr="00863212">
        <w:rPr>
          <w:rStyle w:val="Strong"/>
          <w:rFonts w:ascii="Arial" w:eastAsiaTheme="majorEastAsia" w:hAnsi="Arial" w:cs="Arial"/>
          <w:b w:val="0"/>
          <w:bCs w:val="0"/>
        </w:rPr>
        <w:lastRenderedPageBreak/>
        <w:t>Welsh Government (2024)</w:t>
      </w:r>
      <w:r w:rsidRPr="00863212">
        <w:rPr>
          <w:rFonts w:ascii="Arial" w:hAnsi="Arial" w:cs="Arial"/>
        </w:rPr>
        <w:t xml:space="preserve"> </w:t>
      </w:r>
      <w:r w:rsidRPr="00863212">
        <w:rPr>
          <w:rStyle w:val="Emphasis"/>
          <w:rFonts w:ascii="Arial" w:eastAsiaTheme="majorEastAsia" w:hAnsi="Arial" w:cs="Arial"/>
          <w:i w:val="0"/>
          <w:iCs w:val="0"/>
        </w:rPr>
        <w:t>National Healthcare Standards and Governance Framework for Wales 2024</w:t>
      </w:r>
      <w:r w:rsidRPr="00863212">
        <w:rPr>
          <w:rFonts w:ascii="Arial" w:hAnsi="Arial" w:cs="Arial"/>
        </w:rPr>
        <w:t>. Cardiff: Welsh Government.</w:t>
      </w:r>
    </w:p>
    <w:p w14:paraId="692EAAA2" w14:textId="77777777" w:rsidR="00863212" w:rsidRPr="00863212" w:rsidRDefault="00863212" w:rsidP="00863212">
      <w:pPr>
        <w:pStyle w:val="NormalWeb"/>
        <w:spacing w:line="360" w:lineRule="auto"/>
        <w:rPr>
          <w:rFonts w:ascii="Arial" w:hAnsi="Arial" w:cs="Arial"/>
        </w:rPr>
      </w:pPr>
      <w:r w:rsidRPr="00863212">
        <w:rPr>
          <w:rStyle w:val="Strong"/>
          <w:rFonts w:ascii="Arial" w:eastAsiaTheme="majorEastAsia" w:hAnsi="Arial" w:cs="Arial"/>
          <w:b w:val="0"/>
          <w:bCs w:val="0"/>
        </w:rPr>
        <w:t xml:space="preserve">Whittington, R., </w:t>
      </w:r>
      <w:proofErr w:type="spellStart"/>
      <w:r w:rsidRPr="00863212">
        <w:rPr>
          <w:rStyle w:val="Strong"/>
          <w:rFonts w:ascii="Arial" w:eastAsiaTheme="majorEastAsia" w:hAnsi="Arial" w:cs="Arial"/>
          <w:b w:val="0"/>
          <w:bCs w:val="0"/>
        </w:rPr>
        <w:t>Regnér</w:t>
      </w:r>
      <w:proofErr w:type="spellEnd"/>
      <w:r w:rsidRPr="00863212">
        <w:rPr>
          <w:rStyle w:val="Strong"/>
          <w:rFonts w:ascii="Arial" w:eastAsiaTheme="majorEastAsia" w:hAnsi="Arial" w:cs="Arial"/>
          <w:b w:val="0"/>
          <w:bCs w:val="0"/>
        </w:rPr>
        <w:t>, P., Angwin, D., Johnson, G. and Scholes, K. (2019)</w:t>
      </w:r>
      <w:r w:rsidRPr="00863212">
        <w:rPr>
          <w:rFonts w:ascii="Arial" w:hAnsi="Arial" w:cs="Arial"/>
        </w:rPr>
        <w:t xml:space="preserve"> </w:t>
      </w:r>
      <w:r w:rsidRPr="00863212">
        <w:rPr>
          <w:rStyle w:val="Emphasis"/>
          <w:rFonts w:ascii="Arial" w:eastAsiaTheme="majorEastAsia" w:hAnsi="Arial" w:cs="Arial"/>
          <w:i w:val="0"/>
          <w:iCs w:val="0"/>
        </w:rPr>
        <w:t>Exploring Strategy</w:t>
      </w:r>
      <w:r w:rsidRPr="00863212">
        <w:rPr>
          <w:rFonts w:ascii="Arial" w:hAnsi="Arial" w:cs="Arial"/>
        </w:rPr>
        <w:t xml:space="preserve">. 12th </w:t>
      </w:r>
      <w:proofErr w:type="spellStart"/>
      <w:r w:rsidRPr="00863212">
        <w:rPr>
          <w:rFonts w:ascii="Arial" w:hAnsi="Arial" w:cs="Arial"/>
        </w:rPr>
        <w:t>edn</w:t>
      </w:r>
      <w:proofErr w:type="spellEnd"/>
      <w:r w:rsidRPr="00863212">
        <w:rPr>
          <w:rFonts w:ascii="Arial" w:hAnsi="Arial" w:cs="Arial"/>
        </w:rPr>
        <w:t>. Harlow: Pearson.</w:t>
      </w:r>
    </w:p>
    <w:p w14:paraId="20083B0B" w14:textId="6C598395" w:rsidR="007D6052" w:rsidRPr="00416A0A" w:rsidRDefault="007D6052" w:rsidP="00863212">
      <w:pPr>
        <w:pStyle w:val="NormalWeb"/>
        <w:spacing w:line="360" w:lineRule="auto"/>
        <w:rPr>
          <w:rFonts w:ascii="Arial" w:hAnsi="Arial" w:cs="Arial"/>
          <w:b/>
          <w:bCs/>
        </w:rPr>
      </w:pPr>
    </w:p>
    <w:p w14:paraId="76CDD881" w14:textId="77777777" w:rsidR="007D6052" w:rsidRPr="001A3C30" w:rsidRDefault="007D6052" w:rsidP="00863212">
      <w:pPr>
        <w:pStyle w:val="NormalWeb"/>
        <w:spacing w:line="360" w:lineRule="auto"/>
        <w:rPr>
          <w:rFonts w:ascii="Arial" w:hAnsi="Arial" w:cs="Arial"/>
        </w:rPr>
      </w:pPr>
    </w:p>
    <w:p w14:paraId="51F7BFF4" w14:textId="77777777" w:rsidR="007D6052" w:rsidRPr="000E368B" w:rsidRDefault="007D6052" w:rsidP="00863212">
      <w:pPr>
        <w:spacing w:line="360" w:lineRule="auto"/>
        <w:rPr>
          <w:rFonts w:ascii="Arial" w:hAnsi="Arial" w:cs="Arial"/>
          <w:b/>
          <w:bCs/>
        </w:rPr>
      </w:pPr>
    </w:p>
    <w:p w14:paraId="12C768E6" w14:textId="77777777" w:rsidR="00B66EA1" w:rsidRDefault="00B66EA1" w:rsidP="00863212">
      <w:pPr>
        <w:pStyle w:val="NormalWeb"/>
        <w:spacing w:line="360" w:lineRule="auto"/>
        <w:rPr>
          <w:rFonts w:ascii="Arial" w:hAnsi="Arial" w:cs="Arial"/>
        </w:rPr>
      </w:pPr>
    </w:p>
    <w:p w14:paraId="0AE56055" w14:textId="77777777" w:rsidR="00B66EA1" w:rsidRPr="00B66EA1" w:rsidRDefault="00B66EA1" w:rsidP="00863212">
      <w:pPr>
        <w:pStyle w:val="NormalWeb"/>
        <w:spacing w:line="360" w:lineRule="auto"/>
        <w:rPr>
          <w:rFonts w:ascii="Arial" w:hAnsi="Arial" w:cs="Arial"/>
        </w:rPr>
      </w:pPr>
    </w:p>
    <w:p w14:paraId="093EF3DB" w14:textId="77777777" w:rsidR="00B66EA1" w:rsidRDefault="00B66EA1" w:rsidP="00863212">
      <w:pPr>
        <w:spacing w:line="360" w:lineRule="auto"/>
        <w:rPr>
          <w:rFonts w:hint="eastAsia"/>
        </w:rPr>
      </w:pPr>
    </w:p>
    <w:sectPr w:rsidR="00B66EA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altName w:val="Cambria"/>
    <w:panose1 w:val="00000000000000000000"/>
    <w:charset w:val="00"/>
    <w:family w:val="roman"/>
    <w:notTrueType/>
    <w:pitch w:val="default"/>
  </w:font>
  <w:font w:name="DengXian">
    <w:altName w:val="等线"/>
    <w:panose1 w:val="02010600030101010101"/>
    <w:charset w:val="86"/>
    <w:family w:val="auto"/>
    <w:pitch w:val="variable"/>
    <w:sig w:usb0="A00002BF" w:usb1="38CF7CFA" w:usb2="00000016" w:usb3="00000000" w:csb0="0004000F" w:csb1="00000000"/>
  </w:font>
  <w:font w:name="Aptos Display">
    <w:altName w:val="Cambria"/>
    <w:panose1 w:val="00000000000000000000"/>
    <w:charset w:val="00"/>
    <w:family w:val="roman"/>
    <w:notTrueType/>
    <w:pitch w:val="default"/>
  </w:font>
  <w:font w:name="DengXian Light">
    <w:altName w:val="等线 Light"/>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2E6241"/>
    <w:multiLevelType w:val="hybridMultilevel"/>
    <w:tmpl w:val="44FAB0F6"/>
    <w:lvl w:ilvl="0" w:tplc="0CEC0FF4">
      <w:numFmt w:val="bullet"/>
      <w:lvlText w:val=""/>
      <w:lvlJc w:val="left"/>
      <w:pPr>
        <w:ind w:left="720" w:hanging="360"/>
      </w:pPr>
      <w:rPr>
        <w:rFonts w:ascii="Symbol" w:eastAsia="Times New Roman" w:hAnsi="Symbol" w:cs="Segoe U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6A4986"/>
    <w:multiLevelType w:val="hybridMultilevel"/>
    <w:tmpl w:val="C8260148"/>
    <w:lvl w:ilvl="0" w:tplc="7CB462BA">
      <w:start w:val="1"/>
      <w:numFmt w:val="bullet"/>
      <w:lvlText w:val=""/>
      <w:lvlJc w:val="left"/>
      <w:pPr>
        <w:ind w:left="720" w:hanging="360"/>
      </w:pPr>
      <w:rPr>
        <w:rFonts w:ascii="Symbol" w:hAnsi="Symbol" w:hint="default"/>
      </w:rPr>
    </w:lvl>
    <w:lvl w:ilvl="1" w:tplc="D40AFE16">
      <w:start w:val="1"/>
      <w:numFmt w:val="bullet"/>
      <w:lvlText w:val="o"/>
      <w:lvlJc w:val="left"/>
      <w:pPr>
        <w:ind w:left="1440" w:hanging="360"/>
      </w:pPr>
      <w:rPr>
        <w:rFonts w:ascii="Courier New" w:hAnsi="Courier New" w:hint="default"/>
      </w:rPr>
    </w:lvl>
    <w:lvl w:ilvl="2" w:tplc="19F4E844">
      <w:start w:val="1"/>
      <w:numFmt w:val="bullet"/>
      <w:lvlText w:val=""/>
      <w:lvlJc w:val="left"/>
      <w:pPr>
        <w:ind w:left="2160" w:hanging="360"/>
      </w:pPr>
      <w:rPr>
        <w:rFonts w:ascii="Wingdings" w:hAnsi="Wingdings" w:hint="default"/>
      </w:rPr>
    </w:lvl>
    <w:lvl w:ilvl="3" w:tplc="29BC86D6">
      <w:start w:val="1"/>
      <w:numFmt w:val="bullet"/>
      <w:lvlText w:val=""/>
      <w:lvlJc w:val="left"/>
      <w:pPr>
        <w:ind w:left="2880" w:hanging="360"/>
      </w:pPr>
      <w:rPr>
        <w:rFonts w:ascii="Symbol" w:hAnsi="Symbol" w:hint="default"/>
      </w:rPr>
    </w:lvl>
    <w:lvl w:ilvl="4" w:tplc="446EC6F2">
      <w:start w:val="1"/>
      <w:numFmt w:val="bullet"/>
      <w:lvlText w:val="o"/>
      <w:lvlJc w:val="left"/>
      <w:pPr>
        <w:ind w:left="3600" w:hanging="360"/>
      </w:pPr>
      <w:rPr>
        <w:rFonts w:ascii="Courier New" w:hAnsi="Courier New" w:hint="default"/>
      </w:rPr>
    </w:lvl>
    <w:lvl w:ilvl="5" w:tplc="EFE852B6">
      <w:start w:val="1"/>
      <w:numFmt w:val="bullet"/>
      <w:lvlText w:val=""/>
      <w:lvlJc w:val="left"/>
      <w:pPr>
        <w:ind w:left="4320" w:hanging="360"/>
      </w:pPr>
      <w:rPr>
        <w:rFonts w:ascii="Wingdings" w:hAnsi="Wingdings" w:hint="default"/>
      </w:rPr>
    </w:lvl>
    <w:lvl w:ilvl="6" w:tplc="6E924FD4">
      <w:start w:val="1"/>
      <w:numFmt w:val="bullet"/>
      <w:lvlText w:val=""/>
      <w:lvlJc w:val="left"/>
      <w:pPr>
        <w:ind w:left="5040" w:hanging="360"/>
      </w:pPr>
      <w:rPr>
        <w:rFonts w:ascii="Symbol" w:hAnsi="Symbol" w:hint="default"/>
      </w:rPr>
    </w:lvl>
    <w:lvl w:ilvl="7" w:tplc="EF1462EC">
      <w:start w:val="1"/>
      <w:numFmt w:val="bullet"/>
      <w:lvlText w:val="o"/>
      <w:lvlJc w:val="left"/>
      <w:pPr>
        <w:ind w:left="5760" w:hanging="360"/>
      </w:pPr>
      <w:rPr>
        <w:rFonts w:ascii="Courier New" w:hAnsi="Courier New" w:hint="default"/>
      </w:rPr>
    </w:lvl>
    <w:lvl w:ilvl="8" w:tplc="87F2F42C">
      <w:start w:val="1"/>
      <w:numFmt w:val="bullet"/>
      <w:lvlText w:val=""/>
      <w:lvlJc w:val="left"/>
      <w:pPr>
        <w:ind w:left="6480" w:hanging="360"/>
      </w:pPr>
      <w:rPr>
        <w:rFonts w:ascii="Wingdings" w:hAnsi="Wingdings" w:hint="default"/>
      </w:rPr>
    </w:lvl>
  </w:abstractNum>
  <w:abstractNum w:abstractNumId="2" w15:restartNumberingAfterBreak="0">
    <w:nsid w:val="1189579B"/>
    <w:multiLevelType w:val="hybridMultilevel"/>
    <w:tmpl w:val="1B6098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1C72F00"/>
    <w:multiLevelType w:val="hybridMultilevel"/>
    <w:tmpl w:val="AA0289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2D22C84"/>
    <w:multiLevelType w:val="hybridMultilevel"/>
    <w:tmpl w:val="1860914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14A64D29"/>
    <w:multiLevelType w:val="hybridMultilevel"/>
    <w:tmpl w:val="C652CE9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18D42E9E"/>
    <w:multiLevelType w:val="hybridMultilevel"/>
    <w:tmpl w:val="B2808FA0"/>
    <w:lvl w:ilvl="0" w:tplc="4A7ABDC4">
      <w:numFmt w:val="bullet"/>
      <w:lvlText w:val=""/>
      <w:lvlJc w:val="left"/>
      <w:pPr>
        <w:ind w:left="720" w:hanging="360"/>
      </w:pPr>
      <w:rPr>
        <w:rFonts w:ascii="Symbol" w:eastAsia="Times New Roman" w:hAnsi="Symbol" w:cs="Segoe U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DDA7599"/>
    <w:multiLevelType w:val="hybridMultilevel"/>
    <w:tmpl w:val="7E062F04"/>
    <w:lvl w:ilvl="0" w:tplc="31947B9C">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DD335F2"/>
    <w:multiLevelType w:val="hybridMultilevel"/>
    <w:tmpl w:val="ABFEB2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11530A0"/>
    <w:multiLevelType w:val="multilevel"/>
    <w:tmpl w:val="67742A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9356621"/>
    <w:multiLevelType w:val="hybridMultilevel"/>
    <w:tmpl w:val="A69638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99A1B01"/>
    <w:multiLevelType w:val="hybridMultilevel"/>
    <w:tmpl w:val="EC122B1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D6A5E1C"/>
    <w:multiLevelType w:val="hybridMultilevel"/>
    <w:tmpl w:val="3FC03C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EF27DFF"/>
    <w:multiLevelType w:val="hybridMultilevel"/>
    <w:tmpl w:val="F24E4D0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4" w15:restartNumberingAfterBreak="0">
    <w:nsid w:val="434C0659"/>
    <w:multiLevelType w:val="hybridMultilevel"/>
    <w:tmpl w:val="564AED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37BF416"/>
    <w:multiLevelType w:val="hybridMultilevel"/>
    <w:tmpl w:val="B13859A8"/>
    <w:lvl w:ilvl="0" w:tplc="F82C6092">
      <w:start w:val="1"/>
      <w:numFmt w:val="bullet"/>
      <w:lvlText w:val=""/>
      <w:lvlJc w:val="left"/>
      <w:pPr>
        <w:ind w:left="720" w:hanging="360"/>
      </w:pPr>
      <w:rPr>
        <w:rFonts w:ascii="Symbol" w:hAnsi="Symbol" w:hint="default"/>
      </w:rPr>
    </w:lvl>
    <w:lvl w:ilvl="1" w:tplc="56F2F5A4">
      <w:start w:val="1"/>
      <w:numFmt w:val="bullet"/>
      <w:lvlText w:val="o"/>
      <w:lvlJc w:val="left"/>
      <w:pPr>
        <w:ind w:left="1440" w:hanging="360"/>
      </w:pPr>
      <w:rPr>
        <w:rFonts w:ascii="Courier New" w:hAnsi="Courier New" w:hint="default"/>
      </w:rPr>
    </w:lvl>
    <w:lvl w:ilvl="2" w:tplc="31F00E8A">
      <w:start w:val="1"/>
      <w:numFmt w:val="bullet"/>
      <w:lvlText w:val=""/>
      <w:lvlJc w:val="left"/>
      <w:pPr>
        <w:ind w:left="2160" w:hanging="360"/>
      </w:pPr>
      <w:rPr>
        <w:rFonts w:ascii="Wingdings" w:hAnsi="Wingdings" w:hint="default"/>
      </w:rPr>
    </w:lvl>
    <w:lvl w:ilvl="3" w:tplc="1B08527C">
      <w:start w:val="1"/>
      <w:numFmt w:val="bullet"/>
      <w:lvlText w:val=""/>
      <w:lvlJc w:val="left"/>
      <w:pPr>
        <w:ind w:left="2880" w:hanging="360"/>
      </w:pPr>
      <w:rPr>
        <w:rFonts w:ascii="Symbol" w:hAnsi="Symbol" w:hint="default"/>
      </w:rPr>
    </w:lvl>
    <w:lvl w:ilvl="4" w:tplc="EE6E8498">
      <w:start w:val="1"/>
      <w:numFmt w:val="bullet"/>
      <w:lvlText w:val="o"/>
      <w:lvlJc w:val="left"/>
      <w:pPr>
        <w:ind w:left="3600" w:hanging="360"/>
      </w:pPr>
      <w:rPr>
        <w:rFonts w:ascii="Courier New" w:hAnsi="Courier New" w:hint="default"/>
      </w:rPr>
    </w:lvl>
    <w:lvl w:ilvl="5" w:tplc="62FE361A">
      <w:start w:val="1"/>
      <w:numFmt w:val="bullet"/>
      <w:lvlText w:val=""/>
      <w:lvlJc w:val="left"/>
      <w:pPr>
        <w:ind w:left="4320" w:hanging="360"/>
      </w:pPr>
      <w:rPr>
        <w:rFonts w:ascii="Wingdings" w:hAnsi="Wingdings" w:hint="default"/>
      </w:rPr>
    </w:lvl>
    <w:lvl w:ilvl="6" w:tplc="EF6E190C">
      <w:start w:val="1"/>
      <w:numFmt w:val="bullet"/>
      <w:lvlText w:val=""/>
      <w:lvlJc w:val="left"/>
      <w:pPr>
        <w:ind w:left="5040" w:hanging="360"/>
      </w:pPr>
      <w:rPr>
        <w:rFonts w:ascii="Symbol" w:hAnsi="Symbol" w:hint="default"/>
      </w:rPr>
    </w:lvl>
    <w:lvl w:ilvl="7" w:tplc="6B66881C">
      <w:start w:val="1"/>
      <w:numFmt w:val="bullet"/>
      <w:lvlText w:val="o"/>
      <w:lvlJc w:val="left"/>
      <w:pPr>
        <w:ind w:left="5760" w:hanging="360"/>
      </w:pPr>
      <w:rPr>
        <w:rFonts w:ascii="Courier New" w:hAnsi="Courier New" w:hint="default"/>
      </w:rPr>
    </w:lvl>
    <w:lvl w:ilvl="8" w:tplc="22C6520E">
      <w:start w:val="1"/>
      <w:numFmt w:val="bullet"/>
      <w:lvlText w:val=""/>
      <w:lvlJc w:val="left"/>
      <w:pPr>
        <w:ind w:left="6480" w:hanging="360"/>
      </w:pPr>
      <w:rPr>
        <w:rFonts w:ascii="Wingdings" w:hAnsi="Wingdings" w:hint="default"/>
      </w:rPr>
    </w:lvl>
  </w:abstractNum>
  <w:abstractNum w:abstractNumId="16" w15:restartNumberingAfterBreak="0">
    <w:nsid w:val="486F11FB"/>
    <w:multiLevelType w:val="hybridMultilevel"/>
    <w:tmpl w:val="05EA48D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7" w15:restartNumberingAfterBreak="0">
    <w:nsid w:val="4D20002A"/>
    <w:multiLevelType w:val="hybridMultilevel"/>
    <w:tmpl w:val="EC122B1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3DD1A05"/>
    <w:multiLevelType w:val="hybridMultilevel"/>
    <w:tmpl w:val="EDBE37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E541189"/>
    <w:multiLevelType w:val="hybridMultilevel"/>
    <w:tmpl w:val="E3CC9CAE"/>
    <w:lvl w:ilvl="0" w:tplc="609CA7FA">
      <w:start w:val="1"/>
      <w:numFmt w:val="bullet"/>
      <w:lvlText w:val=""/>
      <w:lvlJc w:val="left"/>
      <w:pPr>
        <w:ind w:left="720" w:hanging="360"/>
      </w:pPr>
      <w:rPr>
        <w:rFonts w:ascii="Symbol" w:hAnsi="Symbol" w:hint="default"/>
      </w:rPr>
    </w:lvl>
    <w:lvl w:ilvl="1" w:tplc="C61A64E4">
      <w:start w:val="1"/>
      <w:numFmt w:val="bullet"/>
      <w:lvlText w:val="o"/>
      <w:lvlJc w:val="left"/>
      <w:pPr>
        <w:ind w:left="1440" w:hanging="360"/>
      </w:pPr>
      <w:rPr>
        <w:rFonts w:ascii="Courier New" w:hAnsi="Courier New" w:hint="default"/>
      </w:rPr>
    </w:lvl>
    <w:lvl w:ilvl="2" w:tplc="1C30E636">
      <w:start w:val="1"/>
      <w:numFmt w:val="bullet"/>
      <w:lvlText w:val=""/>
      <w:lvlJc w:val="left"/>
      <w:pPr>
        <w:ind w:left="2160" w:hanging="360"/>
      </w:pPr>
      <w:rPr>
        <w:rFonts w:ascii="Wingdings" w:hAnsi="Wingdings" w:hint="default"/>
      </w:rPr>
    </w:lvl>
    <w:lvl w:ilvl="3" w:tplc="508EAA9E">
      <w:start w:val="1"/>
      <w:numFmt w:val="bullet"/>
      <w:lvlText w:val=""/>
      <w:lvlJc w:val="left"/>
      <w:pPr>
        <w:ind w:left="2880" w:hanging="360"/>
      </w:pPr>
      <w:rPr>
        <w:rFonts w:ascii="Symbol" w:hAnsi="Symbol" w:hint="default"/>
      </w:rPr>
    </w:lvl>
    <w:lvl w:ilvl="4" w:tplc="DB609E20">
      <w:start w:val="1"/>
      <w:numFmt w:val="bullet"/>
      <w:lvlText w:val="o"/>
      <w:lvlJc w:val="left"/>
      <w:pPr>
        <w:ind w:left="3600" w:hanging="360"/>
      </w:pPr>
      <w:rPr>
        <w:rFonts w:ascii="Courier New" w:hAnsi="Courier New" w:hint="default"/>
      </w:rPr>
    </w:lvl>
    <w:lvl w:ilvl="5" w:tplc="E3B680E6">
      <w:start w:val="1"/>
      <w:numFmt w:val="bullet"/>
      <w:lvlText w:val=""/>
      <w:lvlJc w:val="left"/>
      <w:pPr>
        <w:ind w:left="4320" w:hanging="360"/>
      </w:pPr>
      <w:rPr>
        <w:rFonts w:ascii="Wingdings" w:hAnsi="Wingdings" w:hint="default"/>
      </w:rPr>
    </w:lvl>
    <w:lvl w:ilvl="6" w:tplc="5DFC0D7E">
      <w:start w:val="1"/>
      <w:numFmt w:val="bullet"/>
      <w:lvlText w:val=""/>
      <w:lvlJc w:val="left"/>
      <w:pPr>
        <w:ind w:left="5040" w:hanging="360"/>
      </w:pPr>
      <w:rPr>
        <w:rFonts w:ascii="Symbol" w:hAnsi="Symbol" w:hint="default"/>
      </w:rPr>
    </w:lvl>
    <w:lvl w:ilvl="7" w:tplc="F142F1CE">
      <w:start w:val="1"/>
      <w:numFmt w:val="bullet"/>
      <w:lvlText w:val="o"/>
      <w:lvlJc w:val="left"/>
      <w:pPr>
        <w:ind w:left="5760" w:hanging="360"/>
      </w:pPr>
      <w:rPr>
        <w:rFonts w:ascii="Courier New" w:hAnsi="Courier New" w:hint="default"/>
      </w:rPr>
    </w:lvl>
    <w:lvl w:ilvl="8" w:tplc="36166D92">
      <w:start w:val="1"/>
      <w:numFmt w:val="bullet"/>
      <w:lvlText w:val=""/>
      <w:lvlJc w:val="left"/>
      <w:pPr>
        <w:ind w:left="6480" w:hanging="360"/>
      </w:pPr>
      <w:rPr>
        <w:rFonts w:ascii="Wingdings" w:hAnsi="Wingdings" w:hint="default"/>
      </w:rPr>
    </w:lvl>
  </w:abstractNum>
  <w:abstractNum w:abstractNumId="20" w15:restartNumberingAfterBreak="0">
    <w:nsid w:val="60A60539"/>
    <w:multiLevelType w:val="hybridMultilevel"/>
    <w:tmpl w:val="25B4BD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B573527"/>
    <w:multiLevelType w:val="hybridMultilevel"/>
    <w:tmpl w:val="9578A590"/>
    <w:lvl w:ilvl="0" w:tplc="13C6EED4">
      <w:start w:val="1"/>
      <w:numFmt w:val="bullet"/>
      <w:lvlText w:val=""/>
      <w:lvlJc w:val="left"/>
      <w:pPr>
        <w:ind w:left="720" w:hanging="360"/>
      </w:pPr>
      <w:rPr>
        <w:rFonts w:ascii="Symbol" w:hAnsi="Symbol" w:hint="default"/>
      </w:rPr>
    </w:lvl>
    <w:lvl w:ilvl="1" w:tplc="0162560C">
      <w:start w:val="1"/>
      <w:numFmt w:val="bullet"/>
      <w:lvlText w:val="o"/>
      <w:lvlJc w:val="left"/>
      <w:pPr>
        <w:ind w:left="1440" w:hanging="360"/>
      </w:pPr>
      <w:rPr>
        <w:rFonts w:ascii="Courier New" w:hAnsi="Courier New" w:hint="default"/>
      </w:rPr>
    </w:lvl>
    <w:lvl w:ilvl="2" w:tplc="7F9CE9F0">
      <w:start w:val="1"/>
      <w:numFmt w:val="bullet"/>
      <w:lvlText w:val=""/>
      <w:lvlJc w:val="left"/>
      <w:pPr>
        <w:ind w:left="2160" w:hanging="360"/>
      </w:pPr>
      <w:rPr>
        <w:rFonts w:ascii="Wingdings" w:hAnsi="Wingdings" w:hint="default"/>
      </w:rPr>
    </w:lvl>
    <w:lvl w:ilvl="3" w:tplc="1D68661C">
      <w:start w:val="1"/>
      <w:numFmt w:val="bullet"/>
      <w:lvlText w:val=""/>
      <w:lvlJc w:val="left"/>
      <w:pPr>
        <w:ind w:left="2880" w:hanging="360"/>
      </w:pPr>
      <w:rPr>
        <w:rFonts w:ascii="Symbol" w:hAnsi="Symbol" w:hint="default"/>
      </w:rPr>
    </w:lvl>
    <w:lvl w:ilvl="4" w:tplc="A88C6BC2">
      <w:start w:val="1"/>
      <w:numFmt w:val="bullet"/>
      <w:lvlText w:val="o"/>
      <w:lvlJc w:val="left"/>
      <w:pPr>
        <w:ind w:left="3600" w:hanging="360"/>
      </w:pPr>
      <w:rPr>
        <w:rFonts w:ascii="Courier New" w:hAnsi="Courier New" w:hint="default"/>
      </w:rPr>
    </w:lvl>
    <w:lvl w:ilvl="5" w:tplc="8C7A8DF0">
      <w:start w:val="1"/>
      <w:numFmt w:val="bullet"/>
      <w:lvlText w:val=""/>
      <w:lvlJc w:val="left"/>
      <w:pPr>
        <w:ind w:left="4320" w:hanging="360"/>
      </w:pPr>
      <w:rPr>
        <w:rFonts w:ascii="Wingdings" w:hAnsi="Wingdings" w:hint="default"/>
      </w:rPr>
    </w:lvl>
    <w:lvl w:ilvl="6" w:tplc="9446B9E8">
      <w:start w:val="1"/>
      <w:numFmt w:val="bullet"/>
      <w:lvlText w:val=""/>
      <w:lvlJc w:val="left"/>
      <w:pPr>
        <w:ind w:left="5040" w:hanging="360"/>
      </w:pPr>
      <w:rPr>
        <w:rFonts w:ascii="Symbol" w:hAnsi="Symbol" w:hint="default"/>
      </w:rPr>
    </w:lvl>
    <w:lvl w:ilvl="7" w:tplc="7EE0DB98">
      <w:start w:val="1"/>
      <w:numFmt w:val="bullet"/>
      <w:lvlText w:val="o"/>
      <w:lvlJc w:val="left"/>
      <w:pPr>
        <w:ind w:left="5760" w:hanging="360"/>
      </w:pPr>
      <w:rPr>
        <w:rFonts w:ascii="Courier New" w:hAnsi="Courier New" w:hint="default"/>
      </w:rPr>
    </w:lvl>
    <w:lvl w:ilvl="8" w:tplc="10E69C96">
      <w:start w:val="1"/>
      <w:numFmt w:val="bullet"/>
      <w:lvlText w:val=""/>
      <w:lvlJc w:val="left"/>
      <w:pPr>
        <w:ind w:left="6480" w:hanging="360"/>
      </w:pPr>
      <w:rPr>
        <w:rFonts w:ascii="Wingdings" w:hAnsi="Wingdings" w:hint="default"/>
      </w:rPr>
    </w:lvl>
  </w:abstractNum>
  <w:abstractNum w:abstractNumId="22" w15:restartNumberingAfterBreak="0">
    <w:nsid w:val="6C402D46"/>
    <w:multiLevelType w:val="hybridMultilevel"/>
    <w:tmpl w:val="0B76E8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C595AFA"/>
    <w:multiLevelType w:val="hybridMultilevel"/>
    <w:tmpl w:val="E318C1C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4" w15:restartNumberingAfterBreak="0">
    <w:nsid w:val="6F64FCFC"/>
    <w:multiLevelType w:val="hybridMultilevel"/>
    <w:tmpl w:val="5AEC66B0"/>
    <w:lvl w:ilvl="0" w:tplc="0B8C3790">
      <w:start w:val="1"/>
      <w:numFmt w:val="bullet"/>
      <w:lvlText w:val=""/>
      <w:lvlJc w:val="left"/>
      <w:pPr>
        <w:ind w:left="720" w:hanging="360"/>
      </w:pPr>
      <w:rPr>
        <w:rFonts w:ascii="Symbol" w:hAnsi="Symbol" w:hint="default"/>
      </w:rPr>
    </w:lvl>
    <w:lvl w:ilvl="1" w:tplc="EA3823F4">
      <w:start w:val="1"/>
      <w:numFmt w:val="bullet"/>
      <w:lvlText w:val="o"/>
      <w:lvlJc w:val="left"/>
      <w:pPr>
        <w:ind w:left="1440" w:hanging="360"/>
      </w:pPr>
      <w:rPr>
        <w:rFonts w:ascii="Courier New" w:hAnsi="Courier New" w:hint="default"/>
      </w:rPr>
    </w:lvl>
    <w:lvl w:ilvl="2" w:tplc="C2D4B224">
      <w:start w:val="1"/>
      <w:numFmt w:val="bullet"/>
      <w:lvlText w:val=""/>
      <w:lvlJc w:val="left"/>
      <w:pPr>
        <w:ind w:left="2160" w:hanging="360"/>
      </w:pPr>
      <w:rPr>
        <w:rFonts w:ascii="Wingdings" w:hAnsi="Wingdings" w:hint="default"/>
      </w:rPr>
    </w:lvl>
    <w:lvl w:ilvl="3" w:tplc="A61ACDE4">
      <w:start w:val="1"/>
      <w:numFmt w:val="bullet"/>
      <w:lvlText w:val=""/>
      <w:lvlJc w:val="left"/>
      <w:pPr>
        <w:ind w:left="2880" w:hanging="360"/>
      </w:pPr>
      <w:rPr>
        <w:rFonts w:ascii="Symbol" w:hAnsi="Symbol" w:hint="default"/>
      </w:rPr>
    </w:lvl>
    <w:lvl w:ilvl="4" w:tplc="45EA9B38">
      <w:start w:val="1"/>
      <w:numFmt w:val="bullet"/>
      <w:lvlText w:val="o"/>
      <w:lvlJc w:val="left"/>
      <w:pPr>
        <w:ind w:left="3600" w:hanging="360"/>
      </w:pPr>
      <w:rPr>
        <w:rFonts w:ascii="Courier New" w:hAnsi="Courier New" w:hint="default"/>
      </w:rPr>
    </w:lvl>
    <w:lvl w:ilvl="5" w:tplc="2E2CC882">
      <w:start w:val="1"/>
      <w:numFmt w:val="bullet"/>
      <w:lvlText w:val=""/>
      <w:lvlJc w:val="left"/>
      <w:pPr>
        <w:ind w:left="4320" w:hanging="360"/>
      </w:pPr>
      <w:rPr>
        <w:rFonts w:ascii="Wingdings" w:hAnsi="Wingdings" w:hint="default"/>
      </w:rPr>
    </w:lvl>
    <w:lvl w:ilvl="6" w:tplc="DF067C5C">
      <w:start w:val="1"/>
      <w:numFmt w:val="bullet"/>
      <w:lvlText w:val=""/>
      <w:lvlJc w:val="left"/>
      <w:pPr>
        <w:ind w:left="5040" w:hanging="360"/>
      </w:pPr>
      <w:rPr>
        <w:rFonts w:ascii="Symbol" w:hAnsi="Symbol" w:hint="default"/>
      </w:rPr>
    </w:lvl>
    <w:lvl w:ilvl="7" w:tplc="3692EF94">
      <w:start w:val="1"/>
      <w:numFmt w:val="bullet"/>
      <w:lvlText w:val="o"/>
      <w:lvlJc w:val="left"/>
      <w:pPr>
        <w:ind w:left="5760" w:hanging="360"/>
      </w:pPr>
      <w:rPr>
        <w:rFonts w:ascii="Courier New" w:hAnsi="Courier New" w:hint="default"/>
      </w:rPr>
    </w:lvl>
    <w:lvl w:ilvl="8" w:tplc="AED844D8">
      <w:start w:val="1"/>
      <w:numFmt w:val="bullet"/>
      <w:lvlText w:val=""/>
      <w:lvlJc w:val="left"/>
      <w:pPr>
        <w:ind w:left="6480" w:hanging="360"/>
      </w:pPr>
      <w:rPr>
        <w:rFonts w:ascii="Wingdings" w:hAnsi="Wingdings" w:hint="default"/>
      </w:rPr>
    </w:lvl>
  </w:abstractNum>
  <w:abstractNum w:abstractNumId="25" w15:restartNumberingAfterBreak="0">
    <w:nsid w:val="71DD02EB"/>
    <w:multiLevelType w:val="hybridMultilevel"/>
    <w:tmpl w:val="EF202178"/>
    <w:lvl w:ilvl="0" w:tplc="7E445C74">
      <w:start w:val="1"/>
      <w:numFmt w:val="bullet"/>
      <w:lvlText w:val=""/>
      <w:lvlJc w:val="left"/>
      <w:pPr>
        <w:ind w:left="720" w:hanging="360"/>
      </w:pPr>
      <w:rPr>
        <w:rFonts w:ascii="Symbol" w:hAnsi="Symbol" w:hint="default"/>
      </w:rPr>
    </w:lvl>
    <w:lvl w:ilvl="1" w:tplc="532877CC">
      <w:start w:val="1"/>
      <w:numFmt w:val="bullet"/>
      <w:lvlText w:val="o"/>
      <w:lvlJc w:val="left"/>
      <w:pPr>
        <w:ind w:left="1440" w:hanging="360"/>
      </w:pPr>
      <w:rPr>
        <w:rFonts w:ascii="Courier New" w:hAnsi="Courier New" w:hint="default"/>
      </w:rPr>
    </w:lvl>
    <w:lvl w:ilvl="2" w:tplc="5F50D8E6">
      <w:start w:val="1"/>
      <w:numFmt w:val="bullet"/>
      <w:lvlText w:val=""/>
      <w:lvlJc w:val="left"/>
      <w:pPr>
        <w:ind w:left="2160" w:hanging="360"/>
      </w:pPr>
      <w:rPr>
        <w:rFonts w:ascii="Wingdings" w:hAnsi="Wingdings" w:hint="default"/>
      </w:rPr>
    </w:lvl>
    <w:lvl w:ilvl="3" w:tplc="8B1EA1B8">
      <w:start w:val="1"/>
      <w:numFmt w:val="bullet"/>
      <w:lvlText w:val=""/>
      <w:lvlJc w:val="left"/>
      <w:pPr>
        <w:ind w:left="2880" w:hanging="360"/>
      </w:pPr>
      <w:rPr>
        <w:rFonts w:ascii="Symbol" w:hAnsi="Symbol" w:hint="default"/>
      </w:rPr>
    </w:lvl>
    <w:lvl w:ilvl="4" w:tplc="77545DD2">
      <w:start w:val="1"/>
      <w:numFmt w:val="bullet"/>
      <w:lvlText w:val="o"/>
      <w:lvlJc w:val="left"/>
      <w:pPr>
        <w:ind w:left="3600" w:hanging="360"/>
      </w:pPr>
      <w:rPr>
        <w:rFonts w:ascii="Courier New" w:hAnsi="Courier New" w:hint="default"/>
      </w:rPr>
    </w:lvl>
    <w:lvl w:ilvl="5" w:tplc="B366C9B4">
      <w:start w:val="1"/>
      <w:numFmt w:val="bullet"/>
      <w:lvlText w:val=""/>
      <w:lvlJc w:val="left"/>
      <w:pPr>
        <w:ind w:left="4320" w:hanging="360"/>
      </w:pPr>
      <w:rPr>
        <w:rFonts w:ascii="Wingdings" w:hAnsi="Wingdings" w:hint="default"/>
      </w:rPr>
    </w:lvl>
    <w:lvl w:ilvl="6" w:tplc="AF1AF384">
      <w:start w:val="1"/>
      <w:numFmt w:val="bullet"/>
      <w:lvlText w:val=""/>
      <w:lvlJc w:val="left"/>
      <w:pPr>
        <w:ind w:left="5040" w:hanging="360"/>
      </w:pPr>
      <w:rPr>
        <w:rFonts w:ascii="Symbol" w:hAnsi="Symbol" w:hint="default"/>
      </w:rPr>
    </w:lvl>
    <w:lvl w:ilvl="7" w:tplc="D806DEB2">
      <w:start w:val="1"/>
      <w:numFmt w:val="bullet"/>
      <w:lvlText w:val="o"/>
      <w:lvlJc w:val="left"/>
      <w:pPr>
        <w:ind w:left="5760" w:hanging="360"/>
      </w:pPr>
      <w:rPr>
        <w:rFonts w:ascii="Courier New" w:hAnsi="Courier New" w:hint="default"/>
      </w:rPr>
    </w:lvl>
    <w:lvl w:ilvl="8" w:tplc="CD0852F0">
      <w:start w:val="1"/>
      <w:numFmt w:val="bullet"/>
      <w:lvlText w:val=""/>
      <w:lvlJc w:val="left"/>
      <w:pPr>
        <w:ind w:left="6480" w:hanging="360"/>
      </w:pPr>
      <w:rPr>
        <w:rFonts w:ascii="Wingdings" w:hAnsi="Wingdings" w:hint="default"/>
      </w:rPr>
    </w:lvl>
  </w:abstractNum>
  <w:abstractNum w:abstractNumId="26" w15:restartNumberingAfterBreak="0">
    <w:nsid w:val="73210DAF"/>
    <w:multiLevelType w:val="hybridMultilevel"/>
    <w:tmpl w:val="2B3E4E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74652142"/>
    <w:multiLevelType w:val="hybridMultilevel"/>
    <w:tmpl w:val="5334583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8" w15:restartNumberingAfterBreak="0">
    <w:nsid w:val="74D97D38"/>
    <w:multiLevelType w:val="hybridMultilevel"/>
    <w:tmpl w:val="486CD87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9" w15:restartNumberingAfterBreak="0">
    <w:nsid w:val="76520BD3"/>
    <w:multiLevelType w:val="hybridMultilevel"/>
    <w:tmpl w:val="A3FCABB4"/>
    <w:lvl w:ilvl="0" w:tplc="0CEC0FF4">
      <w:numFmt w:val="bullet"/>
      <w:lvlText w:val=""/>
      <w:lvlJc w:val="left"/>
      <w:pPr>
        <w:ind w:left="720" w:hanging="360"/>
      </w:pPr>
      <w:rPr>
        <w:rFonts w:ascii="Symbol" w:eastAsia="Times New Roman" w:hAnsi="Symbol" w:cs="Segoe U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5"/>
  </w:num>
  <w:num w:numId="2">
    <w:abstractNumId w:val="24"/>
  </w:num>
  <w:num w:numId="3">
    <w:abstractNumId w:val="21"/>
  </w:num>
  <w:num w:numId="4">
    <w:abstractNumId w:val="1"/>
  </w:num>
  <w:num w:numId="5">
    <w:abstractNumId w:val="19"/>
  </w:num>
  <w:num w:numId="6">
    <w:abstractNumId w:val="25"/>
  </w:num>
  <w:num w:numId="7">
    <w:abstractNumId w:val="20"/>
  </w:num>
  <w:num w:numId="8">
    <w:abstractNumId w:val="11"/>
  </w:num>
  <w:num w:numId="9">
    <w:abstractNumId w:val="4"/>
  </w:num>
  <w:num w:numId="10">
    <w:abstractNumId w:val="18"/>
  </w:num>
  <w:num w:numId="11">
    <w:abstractNumId w:val="12"/>
  </w:num>
  <w:num w:numId="12">
    <w:abstractNumId w:val="28"/>
  </w:num>
  <w:num w:numId="13">
    <w:abstractNumId w:val="27"/>
  </w:num>
  <w:num w:numId="14">
    <w:abstractNumId w:val="16"/>
  </w:num>
  <w:num w:numId="15">
    <w:abstractNumId w:val="13"/>
  </w:num>
  <w:num w:numId="16">
    <w:abstractNumId w:val="5"/>
  </w:num>
  <w:num w:numId="17">
    <w:abstractNumId w:val="23"/>
  </w:num>
  <w:num w:numId="18">
    <w:abstractNumId w:val="8"/>
  </w:num>
  <w:num w:numId="19">
    <w:abstractNumId w:val="3"/>
  </w:num>
  <w:num w:numId="20">
    <w:abstractNumId w:val="14"/>
  </w:num>
  <w:num w:numId="21">
    <w:abstractNumId w:val="17"/>
  </w:num>
  <w:num w:numId="22">
    <w:abstractNumId w:val="9"/>
  </w:num>
  <w:num w:numId="23">
    <w:abstractNumId w:val="26"/>
  </w:num>
  <w:num w:numId="24">
    <w:abstractNumId w:val="10"/>
  </w:num>
  <w:num w:numId="25">
    <w:abstractNumId w:val="2"/>
  </w:num>
  <w:num w:numId="26">
    <w:abstractNumId w:val="6"/>
  </w:num>
  <w:num w:numId="27">
    <w:abstractNumId w:val="22"/>
  </w:num>
  <w:num w:numId="28">
    <w:abstractNumId w:val="0"/>
  </w:num>
  <w:num w:numId="29">
    <w:abstractNumId w:val="29"/>
  </w:num>
  <w:num w:numId="30">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66EA1"/>
    <w:rsid w:val="00060287"/>
    <w:rsid w:val="001102AD"/>
    <w:rsid w:val="001301CC"/>
    <w:rsid w:val="00155078"/>
    <w:rsid w:val="00252CFD"/>
    <w:rsid w:val="00266782"/>
    <w:rsid w:val="002679C0"/>
    <w:rsid w:val="00285AD6"/>
    <w:rsid w:val="0038318B"/>
    <w:rsid w:val="003C2E47"/>
    <w:rsid w:val="003D28FB"/>
    <w:rsid w:val="00403345"/>
    <w:rsid w:val="00414293"/>
    <w:rsid w:val="0042556C"/>
    <w:rsid w:val="0047796A"/>
    <w:rsid w:val="004D3351"/>
    <w:rsid w:val="00551597"/>
    <w:rsid w:val="00555D8A"/>
    <w:rsid w:val="0055C1A2"/>
    <w:rsid w:val="0058E722"/>
    <w:rsid w:val="005A4EFB"/>
    <w:rsid w:val="00661209"/>
    <w:rsid w:val="0068435A"/>
    <w:rsid w:val="006D0A99"/>
    <w:rsid w:val="0071762C"/>
    <w:rsid w:val="007D6052"/>
    <w:rsid w:val="00863212"/>
    <w:rsid w:val="009A7641"/>
    <w:rsid w:val="009E163C"/>
    <w:rsid w:val="009F52B5"/>
    <w:rsid w:val="00AE689B"/>
    <w:rsid w:val="00B26EF9"/>
    <w:rsid w:val="00B66EA1"/>
    <w:rsid w:val="00C834A4"/>
    <w:rsid w:val="00D7538E"/>
    <w:rsid w:val="00D92B37"/>
    <w:rsid w:val="00D97871"/>
    <w:rsid w:val="00DB1144"/>
    <w:rsid w:val="00DF39ED"/>
    <w:rsid w:val="00E532BF"/>
    <w:rsid w:val="00E55AF2"/>
    <w:rsid w:val="00E85990"/>
    <w:rsid w:val="00ED1C2D"/>
    <w:rsid w:val="00F41267"/>
    <w:rsid w:val="00FC5F26"/>
    <w:rsid w:val="0118E0A2"/>
    <w:rsid w:val="01344A57"/>
    <w:rsid w:val="016369E5"/>
    <w:rsid w:val="016375B4"/>
    <w:rsid w:val="0177C070"/>
    <w:rsid w:val="01DE545E"/>
    <w:rsid w:val="01F14D66"/>
    <w:rsid w:val="023779B0"/>
    <w:rsid w:val="02406043"/>
    <w:rsid w:val="029588A9"/>
    <w:rsid w:val="031D2983"/>
    <w:rsid w:val="04A39F17"/>
    <w:rsid w:val="04BA1609"/>
    <w:rsid w:val="04E775CF"/>
    <w:rsid w:val="04EC8F01"/>
    <w:rsid w:val="04EED0D8"/>
    <w:rsid w:val="04FF33A1"/>
    <w:rsid w:val="05C63EF0"/>
    <w:rsid w:val="05DF1AB6"/>
    <w:rsid w:val="06156C02"/>
    <w:rsid w:val="06819EAD"/>
    <w:rsid w:val="069AFD98"/>
    <w:rsid w:val="06EA4D80"/>
    <w:rsid w:val="07446C3E"/>
    <w:rsid w:val="076A39F4"/>
    <w:rsid w:val="07789728"/>
    <w:rsid w:val="085EF8AD"/>
    <w:rsid w:val="08D2820D"/>
    <w:rsid w:val="0972BF63"/>
    <w:rsid w:val="09979A96"/>
    <w:rsid w:val="09FB2FC4"/>
    <w:rsid w:val="0A101ACE"/>
    <w:rsid w:val="0A138165"/>
    <w:rsid w:val="0A5B9B90"/>
    <w:rsid w:val="0B5A0B47"/>
    <w:rsid w:val="0C02C2EF"/>
    <w:rsid w:val="0E841108"/>
    <w:rsid w:val="0EB5CE86"/>
    <w:rsid w:val="0EC95715"/>
    <w:rsid w:val="0FADD875"/>
    <w:rsid w:val="0FD44886"/>
    <w:rsid w:val="101FB3BD"/>
    <w:rsid w:val="108BB175"/>
    <w:rsid w:val="10E0896D"/>
    <w:rsid w:val="10F68CFF"/>
    <w:rsid w:val="12CADC31"/>
    <w:rsid w:val="13253447"/>
    <w:rsid w:val="1336B23C"/>
    <w:rsid w:val="13B26CB8"/>
    <w:rsid w:val="13EB63A1"/>
    <w:rsid w:val="14E294AA"/>
    <w:rsid w:val="14F9E73E"/>
    <w:rsid w:val="154F8E27"/>
    <w:rsid w:val="158BE3DE"/>
    <w:rsid w:val="164F3673"/>
    <w:rsid w:val="17327068"/>
    <w:rsid w:val="176FBD2E"/>
    <w:rsid w:val="17B2F111"/>
    <w:rsid w:val="1848263C"/>
    <w:rsid w:val="184826FC"/>
    <w:rsid w:val="19139C19"/>
    <w:rsid w:val="1945BC4F"/>
    <w:rsid w:val="1A01C479"/>
    <w:rsid w:val="1A0FFBC4"/>
    <w:rsid w:val="1A5B60AC"/>
    <w:rsid w:val="1A87CEDF"/>
    <w:rsid w:val="1BEF1EC5"/>
    <w:rsid w:val="1BF49E8A"/>
    <w:rsid w:val="1C732705"/>
    <w:rsid w:val="1D47A2B2"/>
    <w:rsid w:val="1E7408E9"/>
    <w:rsid w:val="1E815DF0"/>
    <w:rsid w:val="1E8AC015"/>
    <w:rsid w:val="1ECD3166"/>
    <w:rsid w:val="1F2F8A08"/>
    <w:rsid w:val="1F843214"/>
    <w:rsid w:val="1F90E861"/>
    <w:rsid w:val="20A1329A"/>
    <w:rsid w:val="20CB7E1E"/>
    <w:rsid w:val="21320673"/>
    <w:rsid w:val="2183EE9E"/>
    <w:rsid w:val="21B9F518"/>
    <w:rsid w:val="233B9659"/>
    <w:rsid w:val="236F4AB9"/>
    <w:rsid w:val="239E3406"/>
    <w:rsid w:val="23C3A8A8"/>
    <w:rsid w:val="23DD8E50"/>
    <w:rsid w:val="248110B8"/>
    <w:rsid w:val="24ABAD73"/>
    <w:rsid w:val="2571B522"/>
    <w:rsid w:val="25E20B12"/>
    <w:rsid w:val="2619DD88"/>
    <w:rsid w:val="265289EF"/>
    <w:rsid w:val="268F35A4"/>
    <w:rsid w:val="26DD439E"/>
    <w:rsid w:val="27725371"/>
    <w:rsid w:val="27A276D0"/>
    <w:rsid w:val="27DCE979"/>
    <w:rsid w:val="27E06A54"/>
    <w:rsid w:val="28509844"/>
    <w:rsid w:val="287FB81C"/>
    <w:rsid w:val="28A0B217"/>
    <w:rsid w:val="28A3A63B"/>
    <w:rsid w:val="29700C2C"/>
    <w:rsid w:val="299FFE5C"/>
    <w:rsid w:val="2AD76BF8"/>
    <w:rsid w:val="2B22FDF3"/>
    <w:rsid w:val="2C429800"/>
    <w:rsid w:val="2C8A4CEC"/>
    <w:rsid w:val="2D8D1C45"/>
    <w:rsid w:val="2DB5E157"/>
    <w:rsid w:val="2ED238C5"/>
    <w:rsid w:val="30B184F8"/>
    <w:rsid w:val="3151A30C"/>
    <w:rsid w:val="324A156B"/>
    <w:rsid w:val="326B042B"/>
    <w:rsid w:val="34A2134E"/>
    <w:rsid w:val="355CA7B8"/>
    <w:rsid w:val="35A34ECA"/>
    <w:rsid w:val="35B9E40D"/>
    <w:rsid w:val="3654D97B"/>
    <w:rsid w:val="37277898"/>
    <w:rsid w:val="3795847E"/>
    <w:rsid w:val="37A2B591"/>
    <w:rsid w:val="37AA4857"/>
    <w:rsid w:val="38802A30"/>
    <w:rsid w:val="38EE96FD"/>
    <w:rsid w:val="3901AB45"/>
    <w:rsid w:val="39177DCD"/>
    <w:rsid w:val="391C3737"/>
    <w:rsid w:val="39E1A556"/>
    <w:rsid w:val="39F6AA0B"/>
    <w:rsid w:val="3A68A6A5"/>
    <w:rsid w:val="3AE254AA"/>
    <w:rsid w:val="3AEB72EE"/>
    <w:rsid w:val="3AEF1ED0"/>
    <w:rsid w:val="3B584ADA"/>
    <w:rsid w:val="3B6B0C4D"/>
    <w:rsid w:val="3BCCB31E"/>
    <w:rsid w:val="3C002C2A"/>
    <w:rsid w:val="3C3F6F8B"/>
    <w:rsid w:val="3C8FCCD1"/>
    <w:rsid w:val="3CF9FADD"/>
    <w:rsid w:val="3D860A39"/>
    <w:rsid w:val="3DCE6464"/>
    <w:rsid w:val="3E56C3E4"/>
    <w:rsid w:val="3E707FEA"/>
    <w:rsid w:val="3FCF72CB"/>
    <w:rsid w:val="40C842C9"/>
    <w:rsid w:val="416048A3"/>
    <w:rsid w:val="4204450F"/>
    <w:rsid w:val="4206D4D4"/>
    <w:rsid w:val="42525A15"/>
    <w:rsid w:val="42EB3D51"/>
    <w:rsid w:val="43D66806"/>
    <w:rsid w:val="44058555"/>
    <w:rsid w:val="441B09B5"/>
    <w:rsid w:val="45E30F78"/>
    <w:rsid w:val="45FAD1B7"/>
    <w:rsid w:val="4634FAB4"/>
    <w:rsid w:val="46557966"/>
    <w:rsid w:val="46684321"/>
    <w:rsid w:val="46711460"/>
    <w:rsid w:val="469C866C"/>
    <w:rsid w:val="47EB92CB"/>
    <w:rsid w:val="48824B69"/>
    <w:rsid w:val="496EB238"/>
    <w:rsid w:val="4977CD3C"/>
    <w:rsid w:val="49D708E1"/>
    <w:rsid w:val="49FF8EA1"/>
    <w:rsid w:val="4BEBFCEB"/>
    <w:rsid w:val="4C3826F6"/>
    <w:rsid w:val="4C60CC90"/>
    <w:rsid w:val="4CB12546"/>
    <w:rsid w:val="4D2D9E26"/>
    <w:rsid w:val="4D844696"/>
    <w:rsid w:val="4ED69C00"/>
    <w:rsid w:val="4F4660D2"/>
    <w:rsid w:val="4F760D0A"/>
    <w:rsid w:val="4FDA56ED"/>
    <w:rsid w:val="4FDABD5A"/>
    <w:rsid w:val="4FEA3323"/>
    <w:rsid w:val="50749BA9"/>
    <w:rsid w:val="513B5FCB"/>
    <w:rsid w:val="516207A2"/>
    <w:rsid w:val="52CC15C1"/>
    <w:rsid w:val="535680CD"/>
    <w:rsid w:val="535F6E53"/>
    <w:rsid w:val="537B7D2C"/>
    <w:rsid w:val="54C8F70C"/>
    <w:rsid w:val="5503D925"/>
    <w:rsid w:val="55F4A0EB"/>
    <w:rsid w:val="564C0808"/>
    <w:rsid w:val="56A145BC"/>
    <w:rsid w:val="579ACA2C"/>
    <w:rsid w:val="58DB119D"/>
    <w:rsid w:val="5946BD65"/>
    <w:rsid w:val="5A3BD696"/>
    <w:rsid w:val="5A79BFE5"/>
    <w:rsid w:val="5A9FCF4E"/>
    <w:rsid w:val="5AC68A2D"/>
    <w:rsid w:val="5C5A8AC7"/>
    <w:rsid w:val="5DD6259D"/>
    <w:rsid w:val="5E601963"/>
    <w:rsid w:val="60A816FC"/>
    <w:rsid w:val="60AECB33"/>
    <w:rsid w:val="60C17400"/>
    <w:rsid w:val="60E387B6"/>
    <w:rsid w:val="60F3A86C"/>
    <w:rsid w:val="623EB844"/>
    <w:rsid w:val="62FDC052"/>
    <w:rsid w:val="646AE1EF"/>
    <w:rsid w:val="649CAAF5"/>
    <w:rsid w:val="650A681A"/>
    <w:rsid w:val="650F6A79"/>
    <w:rsid w:val="65145B18"/>
    <w:rsid w:val="65321026"/>
    <w:rsid w:val="65A0D142"/>
    <w:rsid w:val="65B23A27"/>
    <w:rsid w:val="671D38DB"/>
    <w:rsid w:val="6799213E"/>
    <w:rsid w:val="67CFDF50"/>
    <w:rsid w:val="68730936"/>
    <w:rsid w:val="68C29FCD"/>
    <w:rsid w:val="68FB916A"/>
    <w:rsid w:val="6902F4FF"/>
    <w:rsid w:val="698B5FF6"/>
    <w:rsid w:val="6A38D01D"/>
    <w:rsid w:val="6A40C527"/>
    <w:rsid w:val="6A47F788"/>
    <w:rsid w:val="6B11C9D1"/>
    <w:rsid w:val="6B5539F1"/>
    <w:rsid w:val="6CE4AA4F"/>
    <w:rsid w:val="6D1B0F2A"/>
    <w:rsid w:val="7068D98F"/>
    <w:rsid w:val="70DC5680"/>
    <w:rsid w:val="70EDBA19"/>
    <w:rsid w:val="711F7086"/>
    <w:rsid w:val="712469E6"/>
    <w:rsid w:val="71AF9281"/>
    <w:rsid w:val="71F01788"/>
    <w:rsid w:val="7273F524"/>
    <w:rsid w:val="733A9510"/>
    <w:rsid w:val="7381415D"/>
    <w:rsid w:val="7387C13D"/>
    <w:rsid w:val="74DFC4AE"/>
    <w:rsid w:val="7559DE44"/>
    <w:rsid w:val="7635BE05"/>
    <w:rsid w:val="768474A3"/>
    <w:rsid w:val="76AEFAB5"/>
    <w:rsid w:val="76F7D9C0"/>
    <w:rsid w:val="76F91F19"/>
    <w:rsid w:val="77F1C0E2"/>
    <w:rsid w:val="78B3C9E9"/>
    <w:rsid w:val="78E5CB2C"/>
    <w:rsid w:val="790E1DC1"/>
    <w:rsid w:val="791AE3F1"/>
    <w:rsid w:val="793B4491"/>
    <w:rsid w:val="79FA3DCE"/>
    <w:rsid w:val="7A62221B"/>
    <w:rsid w:val="7A8F1542"/>
    <w:rsid w:val="7AD5BF38"/>
    <w:rsid w:val="7B11ED3F"/>
    <w:rsid w:val="7B81BC1A"/>
    <w:rsid w:val="7BB4B765"/>
    <w:rsid w:val="7C0C6EBA"/>
    <w:rsid w:val="7C2A63D2"/>
    <w:rsid w:val="7DC92ECB"/>
    <w:rsid w:val="7ED8E8B5"/>
    <w:rsid w:val="7F4B64F8"/>
    <w:rsid w:val="7F66DB8E"/>
    <w:rsid w:val="7F6D0AC7"/>
    <w:rsid w:val="7FA75F4B"/>
    <w:rsid w:val="7FBE710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10802D"/>
  <w15:chartTrackingRefBased/>
  <w15:docId w15:val="{4914B66C-13D8-4376-81BD-524A9131BA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66EA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66EA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66EA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66EA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66EA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66EA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66EA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66EA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66EA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66EA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66EA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66EA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66EA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66EA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66EA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66EA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66EA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66EA1"/>
    <w:rPr>
      <w:rFonts w:eastAsiaTheme="majorEastAsia" w:cstheme="majorBidi"/>
      <w:color w:val="272727" w:themeColor="text1" w:themeTint="D8"/>
    </w:rPr>
  </w:style>
  <w:style w:type="paragraph" w:styleId="Title">
    <w:name w:val="Title"/>
    <w:basedOn w:val="Normal"/>
    <w:next w:val="Normal"/>
    <w:link w:val="TitleChar"/>
    <w:uiPriority w:val="10"/>
    <w:qFormat/>
    <w:rsid w:val="00B66EA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66EA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66EA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66EA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66EA1"/>
    <w:pPr>
      <w:spacing w:before="160"/>
      <w:jc w:val="center"/>
    </w:pPr>
    <w:rPr>
      <w:i/>
      <w:iCs/>
      <w:color w:val="404040" w:themeColor="text1" w:themeTint="BF"/>
    </w:rPr>
  </w:style>
  <w:style w:type="character" w:customStyle="1" w:styleId="QuoteChar">
    <w:name w:val="Quote Char"/>
    <w:basedOn w:val="DefaultParagraphFont"/>
    <w:link w:val="Quote"/>
    <w:uiPriority w:val="29"/>
    <w:rsid w:val="00B66EA1"/>
    <w:rPr>
      <w:i/>
      <w:iCs/>
      <w:color w:val="404040" w:themeColor="text1" w:themeTint="BF"/>
    </w:rPr>
  </w:style>
  <w:style w:type="paragraph" w:styleId="ListParagraph">
    <w:name w:val="List Paragraph"/>
    <w:basedOn w:val="Normal"/>
    <w:uiPriority w:val="34"/>
    <w:qFormat/>
    <w:rsid w:val="00B66EA1"/>
    <w:pPr>
      <w:ind w:left="720"/>
      <w:contextualSpacing/>
    </w:pPr>
  </w:style>
  <w:style w:type="character" w:styleId="IntenseEmphasis">
    <w:name w:val="Intense Emphasis"/>
    <w:basedOn w:val="DefaultParagraphFont"/>
    <w:uiPriority w:val="21"/>
    <w:qFormat/>
    <w:rsid w:val="00B66EA1"/>
    <w:rPr>
      <w:i/>
      <w:iCs/>
      <w:color w:val="0F4761" w:themeColor="accent1" w:themeShade="BF"/>
    </w:rPr>
  </w:style>
  <w:style w:type="paragraph" w:styleId="IntenseQuote">
    <w:name w:val="Intense Quote"/>
    <w:basedOn w:val="Normal"/>
    <w:next w:val="Normal"/>
    <w:link w:val="IntenseQuoteChar"/>
    <w:uiPriority w:val="30"/>
    <w:qFormat/>
    <w:rsid w:val="00B66EA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66EA1"/>
    <w:rPr>
      <w:i/>
      <w:iCs/>
      <w:color w:val="0F4761" w:themeColor="accent1" w:themeShade="BF"/>
    </w:rPr>
  </w:style>
  <w:style w:type="character" w:styleId="IntenseReference">
    <w:name w:val="Intense Reference"/>
    <w:basedOn w:val="DefaultParagraphFont"/>
    <w:uiPriority w:val="32"/>
    <w:qFormat/>
    <w:rsid w:val="00B66EA1"/>
    <w:rPr>
      <w:b/>
      <w:bCs/>
      <w:smallCaps/>
      <w:color w:val="0F4761" w:themeColor="accent1" w:themeShade="BF"/>
      <w:spacing w:val="5"/>
    </w:rPr>
  </w:style>
  <w:style w:type="paragraph" w:styleId="NormalWeb">
    <w:name w:val="Normal (Web)"/>
    <w:basedOn w:val="Normal"/>
    <w:uiPriority w:val="99"/>
    <w:unhideWhenUsed/>
    <w:rsid w:val="00B66EA1"/>
    <w:pPr>
      <w:spacing w:before="100" w:beforeAutospacing="1" w:after="100" w:afterAutospacing="1" w:line="240" w:lineRule="auto"/>
    </w:pPr>
    <w:rPr>
      <w:rFonts w:ascii="Times New Roman" w:eastAsia="Times New Roman" w:hAnsi="Times New Roman" w:cs="Times New Roman"/>
      <w:kern w:val="0"/>
      <w14:ligatures w14:val="none"/>
    </w:rPr>
  </w:style>
  <w:style w:type="character" w:styleId="Strong">
    <w:name w:val="Strong"/>
    <w:basedOn w:val="DefaultParagraphFont"/>
    <w:uiPriority w:val="22"/>
    <w:qFormat/>
    <w:rsid w:val="007D6052"/>
    <w:rPr>
      <w:b/>
      <w:bCs/>
    </w:rPr>
  </w:style>
  <w:style w:type="character" w:styleId="Hyperlink">
    <w:name w:val="Hyperlink"/>
    <w:basedOn w:val="DefaultParagraphFont"/>
    <w:uiPriority w:val="99"/>
    <w:unhideWhenUsed/>
    <w:rsid w:val="00DB1144"/>
    <w:rPr>
      <w:color w:val="467886" w:themeColor="hyperlink"/>
      <w:u w:val="single"/>
    </w:rPr>
  </w:style>
  <w:style w:type="character" w:styleId="UnresolvedMention">
    <w:name w:val="Unresolved Mention"/>
    <w:basedOn w:val="DefaultParagraphFont"/>
    <w:uiPriority w:val="99"/>
    <w:semiHidden/>
    <w:unhideWhenUsed/>
    <w:rsid w:val="00DB1144"/>
    <w:rPr>
      <w:color w:val="605E5C"/>
      <w:shd w:val="clear" w:color="auto" w:fill="E1DFDD"/>
    </w:rPr>
  </w:style>
  <w:style w:type="character" w:styleId="FollowedHyperlink">
    <w:name w:val="FollowedHyperlink"/>
    <w:basedOn w:val="DefaultParagraphFont"/>
    <w:uiPriority w:val="99"/>
    <w:semiHidden/>
    <w:unhideWhenUsed/>
    <w:rsid w:val="009F52B5"/>
    <w:rPr>
      <w:color w:val="96607D" w:themeColor="followedHyperlink"/>
      <w:u w:val="single"/>
    </w:rPr>
  </w:style>
  <w:style w:type="character" w:styleId="Emphasis">
    <w:name w:val="Emphasis"/>
    <w:basedOn w:val="DefaultParagraphFont"/>
    <w:uiPriority w:val="20"/>
    <w:qFormat/>
    <w:rsid w:val="00AE689B"/>
    <w:rPr>
      <w:i/>
      <w:iCs/>
    </w:rPr>
  </w:style>
  <w:style w:type="character" w:styleId="HTMLCode">
    <w:name w:val="HTML Code"/>
    <w:basedOn w:val="DefaultParagraphFont"/>
    <w:uiPriority w:val="99"/>
    <w:semiHidden/>
    <w:unhideWhenUsed/>
    <w:rsid w:val="00AE689B"/>
    <w:rPr>
      <w:rFonts w:ascii="Courier New" w:eastAsia="Times New Roman" w:hAnsi="Courier New" w:cs="Courier New"/>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4932293">
      <w:bodyDiv w:val="1"/>
      <w:marLeft w:val="0"/>
      <w:marRight w:val="0"/>
      <w:marTop w:val="0"/>
      <w:marBottom w:val="0"/>
      <w:divBdr>
        <w:top w:val="none" w:sz="0" w:space="0" w:color="auto"/>
        <w:left w:val="none" w:sz="0" w:space="0" w:color="auto"/>
        <w:bottom w:val="none" w:sz="0" w:space="0" w:color="auto"/>
        <w:right w:val="none" w:sz="0" w:space="0" w:color="auto"/>
      </w:divBdr>
      <w:divsChild>
        <w:div w:id="240918947">
          <w:marLeft w:val="0"/>
          <w:marRight w:val="0"/>
          <w:marTop w:val="0"/>
          <w:marBottom w:val="0"/>
          <w:divBdr>
            <w:top w:val="none" w:sz="0" w:space="0" w:color="auto"/>
            <w:left w:val="none" w:sz="0" w:space="0" w:color="auto"/>
            <w:bottom w:val="none" w:sz="0" w:space="0" w:color="auto"/>
            <w:right w:val="none" w:sz="0" w:space="0" w:color="auto"/>
          </w:divBdr>
        </w:div>
      </w:divsChild>
    </w:div>
    <w:div w:id="37828757">
      <w:bodyDiv w:val="1"/>
      <w:marLeft w:val="0"/>
      <w:marRight w:val="0"/>
      <w:marTop w:val="0"/>
      <w:marBottom w:val="0"/>
      <w:divBdr>
        <w:top w:val="none" w:sz="0" w:space="0" w:color="auto"/>
        <w:left w:val="none" w:sz="0" w:space="0" w:color="auto"/>
        <w:bottom w:val="none" w:sz="0" w:space="0" w:color="auto"/>
        <w:right w:val="none" w:sz="0" w:space="0" w:color="auto"/>
      </w:divBdr>
      <w:divsChild>
        <w:div w:id="665715839">
          <w:marLeft w:val="0"/>
          <w:marRight w:val="0"/>
          <w:marTop w:val="0"/>
          <w:marBottom w:val="0"/>
          <w:divBdr>
            <w:top w:val="none" w:sz="0" w:space="0" w:color="auto"/>
            <w:left w:val="none" w:sz="0" w:space="0" w:color="auto"/>
            <w:bottom w:val="none" w:sz="0" w:space="0" w:color="auto"/>
            <w:right w:val="none" w:sz="0" w:space="0" w:color="auto"/>
          </w:divBdr>
        </w:div>
      </w:divsChild>
    </w:div>
    <w:div w:id="179852894">
      <w:bodyDiv w:val="1"/>
      <w:marLeft w:val="0"/>
      <w:marRight w:val="0"/>
      <w:marTop w:val="0"/>
      <w:marBottom w:val="0"/>
      <w:divBdr>
        <w:top w:val="none" w:sz="0" w:space="0" w:color="auto"/>
        <w:left w:val="none" w:sz="0" w:space="0" w:color="auto"/>
        <w:bottom w:val="none" w:sz="0" w:space="0" w:color="auto"/>
        <w:right w:val="none" w:sz="0" w:space="0" w:color="auto"/>
      </w:divBdr>
      <w:divsChild>
        <w:div w:id="1655719351">
          <w:marLeft w:val="0"/>
          <w:marRight w:val="0"/>
          <w:marTop w:val="0"/>
          <w:marBottom w:val="0"/>
          <w:divBdr>
            <w:top w:val="none" w:sz="0" w:space="0" w:color="auto"/>
            <w:left w:val="none" w:sz="0" w:space="0" w:color="auto"/>
            <w:bottom w:val="none" w:sz="0" w:space="0" w:color="auto"/>
            <w:right w:val="none" w:sz="0" w:space="0" w:color="auto"/>
          </w:divBdr>
        </w:div>
      </w:divsChild>
    </w:div>
    <w:div w:id="181170280">
      <w:bodyDiv w:val="1"/>
      <w:marLeft w:val="0"/>
      <w:marRight w:val="0"/>
      <w:marTop w:val="0"/>
      <w:marBottom w:val="0"/>
      <w:divBdr>
        <w:top w:val="none" w:sz="0" w:space="0" w:color="auto"/>
        <w:left w:val="none" w:sz="0" w:space="0" w:color="auto"/>
        <w:bottom w:val="none" w:sz="0" w:space="0" w:color="auto"/>
        <w:right w:val="none" w:sz="0" w:space="0" w:color="auto"/>
      </w:divBdr>
      <w:divsChild>
        <w:div w:id="461847550">
          <w:marLeft w:val="0"/>
          <w:marRight w:val="0"/>
          <w:marTop w:val="0"/>
          <w:marBottom w:val="0"/>
          <w:divBdr>
            <w:top w:val="none" w:sz="0" w:space="0" w:color="auto"/>
            <w:left w:val="none" w:sz="0" w:space="0" w:color="auto"/>
            <w:bottom w:val="none" w:sz="0" w:space="0" w:color="auto"/>
            <w:right w:val="none" w:sz="0" w:space="0" w:color="auto"/>
          </w:divBdr>
        </w:div>
      </w:divsChild>
    </w:div>
    <w:div w:id="200946473">
      <w:bodyDiv w:val="1"/>
      <w:marLeft w:val="0"/>
      <w:marRight w:val="0"/>
      <w:marTop w:val="0"/>
      <w:marBottom w:val="0"/>
      <w:divBdr>
        <w:top w:val="none" w:sz="0" w:space="0" w:color="auto"/>
        <w:left w:val="none" w:sz="0" w:space="0" w:color="auto"/>
        <w:bottom w:val="none" w:sz="0" w:space="0" w:color="auto"/>
        <w:right w:val="none" w:sz="0" w:space="0" w:color="auto"/>
      </w:divBdr>
      <w:divsChild>
        <w:div w:id="1842233108">
          <w:marLeft w:val="0"/>
          <w:marRight w:val="0"/>
          <w:marTop w:val="0"/>
          <w:marBottom w:val="0"/>
          <w:divBdr>
            <w:top w:val="none" w:sz="0" w:space="0" w:color="auto"/>
            <w:left w:val="none" w:sz="0" w:space="0" w:color="auto"/>
            <w:bottom w:val="none" w:sz="0" w:space="0" w:color="auto"/>
            <w:right w:val="none" w:sz="0" w:space="0" w:color="auto"/>
          </w:divBdr>
        </w:div>
      </w:divsChild>
    </w:div>
    <w:div w:id="271591568">
      <w:bodyDiv w:val="1"/>
      <w:marLeft w:val="0"/>
      <w:marRight w:val="0"/>
      <w:marTop w:val="0"/>
      <w:marBottom w:val="0"/>
      <w:divBdr>
        <w:top w:val="none" w:sz="0" w:space="0" w:color="auto"/>
        <w:left w:val="none" w:sz="0" w:space="0" w:color="auto"/>
        <w:bottom w:val="none" w:sz="0" w:space="0" w:color="auto"/>
        <w:right w:val="none" w:sz="0" w:space="0" w:color="auto"/>
      </w:divBdr>
      <w:divsChild>
        <w:div w:id="665715195">
          <w:marLeft w:val="0"/>
          <w:marRight w:val="0"/>
          <w:marTop w:val="0"/>
          <w:marBottom w:val="0"/>
          <w:divBdr>
            <w:top w:val="none" w:sz="0" w:space="0" w:color="auto"/>
            <w:left w:val="none" w:sz="0" w:space="0" w:color="auto"/>
            <w:bottom w:val="none" w:sz="0" w:space="0" w:color="auto"/>
            <w:right w:val="none" w:sz="0" w:space="0" w:color="auto"/>
          </w:divBdr>
        </w:div>
      </w:divsChild>
    </w:div>
    <w:div w:id="303201887">
      <w:bodyDiv w:val="1"/>
      <w:marLeft w:val="0"/>
      <w:marRight w:val="0"/>
      <w:marTop w:val="0"/>
      <w:marBottom w:val="0"/>
      <w:divBdr>
        <w:top w:val="none" w:sz="0" w:space="0" w:color="auto"/>
        <w:left w:val="none" w:sz="0" w:space="0" w:color="auto"/>
        <w:bottom w:val="none" w:sz="0" w:space="0" w:color="auto"/>
        <w:right w:val="none" w:sz="0" w:space="0" w:color="auto"/>
      </w:divBdr>
      <w:divsChild>
        <w:div w:id="1524392420">
          <w:marLeft w:val="0"/>
          <w:marRight w:val="0"/>
          <w:marTop w:val="0"/>
          <w:marBottom w:val="0"/>
          <w:divBdr>
            <w:top w:val="none" w:sz="0" w:space="0" w:color="auto"/>
            <w:left w:val="none" w:sz="0" w:space="0" w:color="auto"/>
            <w:bottom w:val="none" w:sz="0" w:space="0" w:color="auto"/>
            <w:right w:val="none" w:sz="0" w:space="0" w:color="auto"/>
          </w:divBdr>
        </w:div>
      </w:divsChild>
    </w:div>
    <w:div w:id="396896963">
      <w:bodyDiv w:val="1"/>
      <w:marLeft w:val="0"/>
      <w:marRight w:val="0"/>
      <w:marTop w:val="0"/>
      <w:marBottom w:val="0"/>
      <w:divBdr>
        <w:top w:val="none" w:sz="0" w:space="0" w:color="auto"/>
        <w:left w:val="none" w:sz="0" w:space="0" w:color="auto"/>
        <w:bottom w:val="none" w:sz="0" w:space="0" w:color="auto"/>
        <w:right w:val="none" w:sz="0" w:space="0" w:color="auto"/>
      </w:divBdr>
      <w:divsChild>
        <w:div w:id="1462651252">
          <w:marLeft w:val="0"/>
          <w:marRight w:val="0"/>
          <w:marTop w:val="0"/>
          <w:marBottom w:val="0"/>
          <w:divBdr>
            <w:top w:val="none" w:sz="0" w:space="0" w:color="auto"/>
            <w:left w:val="none" w:sz="0" w:space="0" w:color="auto"/>
            <w:bottom w:val="none" w:sz="0" w:space="0" w:color="auto"/>
            <w:right w:val="none" w:sz="0" w:space="0" w:color="auto"/>
          </w:divBdr>
        </w:div>
      </w:divsChild>
    </w:div>
    <w:div w:id="502551966">
      <w:bodyDiv w:val="1"/>
      <w:marLeft w:val="0"/>
      <w:marRight w:val="0"/>
      <w:marTop w:val="0"/>
      <w:marBottom w:val="0"/>
      <w:divBdr>
        <w:top w:val="none" w:sz="0" w:space="0" w:color="auto"/>
        <w:left w:val="none" w:sz="0" w:space="0" w:color="auto"/>
        <w:bottom w:val="none" w:sz="0" w:space="0" w:color="auto"/>
        <w:right w:val="none" w:sz="0" w:space="0" w:color="auto"/>
      </w:divBdr>
      <w:divsChild>
        <w:div w:id="1609702112">
          <w:marLeft w:val="0"/>
          <w:marRight w:val="0"/>
          <w:marTop w:val="0"/>
          <w:marBottom w:val="0"/>
          <w:divBdr>
            <w:top w:val="none" w:sz="0" w:space="0" w:color="auto"/>
            <w:left w:val="none" w:sz="0" w:space="0" w:color="auto"/>
            <w:bottom w:val="none" w:sz="0" w:space="0" w:color="auto"/>
            <w:right w:val="none" w:sz="0" w:space="0" w:color="auto"/>
          </w:divBdr>
        </w:div>
      </w:divsChild>
    </w:div>
    <w:div w:id="524440723">
      <w:bodyDiv w:val="1"/>
      <w:marLeft w:val="0"/>
      <w:marRight w:val="0"/>
      <w:marTop w:val="0"/>
      <w:marBottom w:val="0"/>
      <w:divBdr>
        <w:top w:val="none" w:sz="0" w:space="0" w:color="auto"/>
        <w:left w:val="none" w:sz="0" w:space="0" w:color="auto"/>
        <w:bottom w:val="none" w:sz="0" w:space="0" w:color="auto"/>
        <w:right w:val="none" w:sz="0" w:space="0" w:color="auto"/>
      </w:divBdr>
      <w:divsChild>
        <w:div w:id="1015959952">
          <w:marLeft w:val="0"/>
          <w:marRight w:val="0"/>
          <w:marTop w:val="0"/>
          <w:marBottom w:val="0"/>
          <w:divBdr>
            <w:top w:val="none" w:sz="0" w:space="0" w:color="auto"/>
            <w:left w:val="none" w:sz="0" w:space="0" w:color="auto"/>
            <w:bottom w:val="none" w:sz="0" w:space="0" w:color="auto"/>
            <w:right w:val="none" w:sz="0" w:space="0" w:color="auto"/>
          </w:divBdr>
        </w:div>
      </w:divsChild>
    </w:div>
    <w:div w:id="544294762">
      <w:bodyDiv w:val="1"/>
      <w:marLeft w:val="0"/>
      <w:marRight w:val="0"/>
      <w:marTop w:val="0"/>
      <w:marBottom w:val="0"/>
      <w:divBdr>
        <w:top w:val="none" w:sz="0" w:space="0" w:color="auto"/>
        <w:left w:val="none" w:sz="0" w:space="0" w:color="auto"/>
        <w:bottom w:val="none" w:sz="0" w:space="0" w:color="auto"/>
        <w:right w:val="none" w:sz="0" w:space="0" w:color="auto"/>
      </w:divBdr>
      <w:divsChild>
        <w:div w:id="1074164721">
          <w:marLeft w:val="0"/>
          <w:marRight w:val="0"/>
          <w:marTop w:val="0"/>
          <w:marBottom w:val="0"/>
          <w:divBdr>
            <w:top w:val="none" w:sz="0" w:space="0" w:color="auto"/>
            <w:left w:val="none" w:sz="0" w:space="0" w:color="auto"/>
            <w:bottom w:val="none" w:sz="0" w:space="0" w:color="auto"/>
            <w:right w:val="none" w:sz="0" w:space="0" w:color="auto"/>
          </w:divBdr>
        </w:div>
      </w:divsChild>
    </w:div>
    <w:div w:id="583877927">
      <w:bodyDiv w:val="1"/>
      <w:marLeft w:val="0"/>
      <w:marRight w:val="0"/>
      <w:marTop w:val="0"/>
      <w:marBottom w:val="0"/>
      <w:divBdr>
        <w:top w:val="none" w:sz="0" w:space="0" w:color="auto"/>
        <w:left w:val="none" w:sz="0" w:space="0" w:color="auto"/>
        <w:bottom w:val="none" w:sz="0" w:space="0" w:color="auto"/>
        <w:right w:val="none" w:sz="0" w:space="0" w:color="auto"/>
      </w:divBdr>
      <w:divsChild>
        <w:div w:id="2145078468">
          <w:marLeft w:val="0"/>
          <w:marRight w:val="0"/>
          <w:marTop w:val="0"/>
          <w:marBottom w:val="0"/>
          <w:divBdr>
            <w:top w:val="none" w:sz="0" w:space="0" w:color="auto"/>
            <w:left w:val="none" w:sz="0" w:space="0" w:color="auto"/>
            <w:bottom w:val="none" w:sz="0" w:space="0" w:color="auto"/>
            <w:right w:val="none" w:sz="0" w:space="0" w:color="auto"/>
          </w:divBdr>
        </w:div>
      </w:divsChild>
    </w:div>
    <w:div w:id="666639490">
      <w:bodyDiv w:val="1"/>
      <w:marLeft w:val="0"/>
      <w:marRight w:val="0"/>
      <w:marTop w:val="0"/>
      <w:marBottom w:val="0"/>
      <w:divBdr>
        <w:top w:val="none" w:sz="0" w:space="0" w:color="auto"/>
        <w:left w:val="none" w:sz="0" w:space="0" w:color="auto"/>
        <w:bottom w:val="none" w:sz="0" w:space="0" w:color="auto"/>
        <w:right w:val="none" w:sz="0" w:space="0" w:color="auto"/>
      </w:divBdr>
      <w:divsChild>
        <w:div w:id="1827938601">
          <w:marLeft w:val="0"/>
          <w:marRight w:val="0"/>
          <w:marTop w:val="0"/>
          <w:marBottom w:val="0"/>
          <w:divBdr>
            <w:top w:val="none" w:sz="0" w:space="0" w:color="auto"/>
            <w:left w:val="none" w:sz="0" w:space="0" w:color="auto"/>
            <w:bottom w:val="none" w:sz="0" w:space="0" w:color="auto"/>
            <w:right w:val="none" w:sz="0" w:space="0" w:color="auto"/>
          </w:divBdr>
        </w:div>
      </w:divsChild>
    </w:div>
    <w:div w:id="683678221">
      <w:bodyDiv w:val="1"/>
      <w:marLeft w:val="0"/>
      <w:marRight w:val="0"/>
      <w:marTop w:val="0"/>
      <w:marBottom w:val="0"/>
      <w:divBdr>
        <w:top w:val="none" w:sz="0" w:space="0" w:color="auto"/>
        <w:left w:val="none" w:sz="0" w:space="0" w:color="auto"/>
        <w:bottom w:val="none" w:sz="0" w:space="0" w:color="auto"/>
        <w:right w:val="none" w:sz="0" w:space="0" w:color="auto"/>
      </w:divBdr>
      <w:divsChild>
        <w:div w:id="754126553">
          <w:marLeft w:val="0"/>
          <w:marRight w:val="0"/>
          <w:marTop w:val="0"/>
          <w:marBottom w:val="0"/>
          <w:divBdr>
            <w:top w:val="none" w:sz="0" w:space="0" w:color="auto"/>
            <w:left w:val="none" w:sz="0" w:space="0" w:color="auto"/>
            <w:bottom w:val="none" w:sz="0" w:space="0" w:color="auto"/>
            <w:right w:val="none" w:sz="0" w:space="0" w:color="auto"/>
          </w:divBdr>
        </w:div>
      </w:divsChild>
    </w:div>
    <w:div w:id="749931811">
      <w:bodyDiv w:val="1"/>
      <w:marLeft w:val="0"/>
      <w:marRight w:val="0"/>
      <w:marTop w:val="0"/>
      <w:marBottom w:val="0"/>
      <w:divBdr>
        <w:top w:val="none" w:sz="0" w:space="0" w:color="auto"/>
        <w:left w:val="none" w:sz="0" w:space="0" w:color="auto"/>
        <w:bottom w:val="none" w:sz="0" w:space="0" w:color="auto"/>
        <w:right w:val="none" w:sz="0" w:space="0" w:color="auto"/>
      </w:divBdr>
      <w:divsChild>
        <w:div w:id="1469662924">
          <w:marLeft w:val="0"/>
          <w:marRight w:val="0"/>
          <w:marTop w:val="0"/>
          <w:marBottom w:val="0"/>
          <w:divBdr>
            <w:top w:val="none" w:sz="0" w:space="0" w:color="auto"/>
            <w:left w:val="none" w:sz="0" w:space="0" w:color="auto"/>
            <w:bottom w:val="none" w:sz="0" w:space="0" w:color="auto"/>
            <w:right w:val="none" w:sz="0" w:space="0" w:color="auto"/>
          </w:divBdr>
        </w:div>
      </w:divsChild>
    </w:div>
    <w:div w:id="796069203">
      <w:bodyDiv w:val="1"/>
      <w:marLeft w:val="0"/>
      <w:marRight w:val="0"/>
      <w:marTop w:val="0"/>
      <w:marBottom w:val="0"/>
      <w:divBdr>
        <w:top w:val="none" w:sz="0" w:space="0" w:color="auto"/>
        <w:left w:val="none" w:sz="0" w:space="0" w:color="auto"/>
        <w:bottom w:val="none" w:sz="0" w:space="0" w:color="auto"/>
        <w:right w:val="none" w:sz="0" w:space="0" w:color="auto"/>
      </w:divBdr>
      <w:divsChild>
        <w:div w:id="1412384307">
          <w:marLeft w:val="0"/>
          <w:marRight w:val="0"/>
          <w:marTop w:val="0"/>
          <w:marBottom w:val="0"/>
          <w:divBdr>
            <w:top w:val="none" w:sz="0" w:space="0" w:color="auto"/>
            <w:left w:val="none" w:sz="0" w:space="0" w:color="auto"/>
            <w:bottom w:val="none" w:sz="0" w:space="0" w:color="auto"/>
            <w:right w:val="none" w:sz="0" w:space="0" w:color="auto"/>
          </w:divBdr>
        </w:div>
      </w:divsChild>
    </w:div>
    <w:div w:id="822740421">
      <w:bodyDiv w:val="1"/>
      <w:marLeft w:val="0"/>
      <w:marRight w:val="0"/>
      <w:marTop w:val="0"/>
      <w:marBottom w:val="0"/>
      <w:divBdr>
        <w:top w:val="none" w:sz="0" w:space="0" w:color="auto"/>
        <w:left w:val="none" w:sz="0" w:space="0" w:color="auto"/>
        <w:bottom w:val="none" w:sz="0" w:space="0" w:color="auto"/>
        <w:right w:val="none" w:sz="0" w:space="0" w:color="auto"/>
      </w:divBdr>
      <w:divsChild>
        <w:div w:id="1302232417">
          <w:marLeft w:val="0"/>
          <w:marRight w:val="0"/>
          <w:marTop w:val="0"/>
          <w:marBottom w:val="0"/>
          <w:divBdr>
            <w:top w:val="none" w:sz="0" w:space="0" w:color="auto"/>
            <w:left w:val="none" w:sz="0" w:space="0" w:color="auto"/>
            <w:bottom w:val="none" w:sz="0" w:space="0" w:color="auto"/>
            <w:right w:val="none" w:sz="0" w:space="0" w:color="auto"/>
          </w:divBdr>
        </w:div>
      </w:divsChild>
    </w:div>
    <w:div w:id="897934649">
      <w:bodyDiv w:val="1"/>
      <w:marLeft w:val="0"/>
      <w:marRight w:val="0"/>
      <w:marTop w:val="0"/>
      <w:marBottom w:val="0"/>
      <w:divBdr>
        <w:top w:val="none" w:sz="0" w:space="0" w:color="auto"/>
        <w:left w:val="none" w:sz="0" w:space="0" w:color="auto"/>
        <w:bottom w:val="none" w:sz="0" w:space="0" w:color="auto"/>
        <w:right w:val="none" w:sz="0" w:space="0" w:color="auto"/>
      </w:divBdr>
      <w:divsChild>
        <w:div w:id="1996493860">
          <w:marLeft w:val="0"/>
          <w:marRight w:val="0"/>
          <w:marTop w:val="0"/>
          <w:marBottom w:val="0"/>
          <w:divBdr>
            <w:top w:val="none" w:sz="0" w:space="0" w:color="auto"/>
            <w:left w:val="none" w:sz="0" w:space="0" w:color="auto"/>
            <w:bottom w:val="none" w:sz="0" w:space="0" w:color="auto"/>
            <w:right w:val="none" w:sz="0" w:space="0" w:color="auto"/>
          </w:divBdr>
        </w:div>
      </w:divsChild>
    </w:div>
    <w:div w:id="904071395">
      <w:bodyDiv w:val="1"/>
      <w:marLeft w:val="0"/>
      <w:marRight w:val="0"/>
      <w:marTop w:val="0"/>
      <w:marBottom w:val="0"/>
      <w:divBdr>
        <w:top w:val="none" w:sz="0" w:space="0" w:color="auto"/>
        <w:left w:val="none" w:sz="0" w:space="0" w:color="auto"/>
        <w:bottom w:val="none" w:sz="0" w:space="0" w:color="auto"/>
        <w:right w:val="none" w:sz="0" w:space="0" w:color="auto"/>
      </w:divBdr>
      <w:divsChild>
        <w:div w:id="352923209">
          <w:marLeft w:val="0"/>
          <w:marRight w:val="0"/>
          <w:marTop w:val="0"/>
          <w:marBottom w:val="0"/>
          <w:divBdr>
            <w:top w:val="none" w:sz="0" w:space="0" w:color="auto"/>
            <w:left w:val="none" w:sz="0" w:space="0" w:color="auto"/>
            <w:bottom w:val="none" w:sz="0" w:space="0" w:color="auto"/>
            <w:right w:val="none" w:sz="0" w:space="0" w:color="auto"/>
          </w:divBdr>
        </w:div>
      </w:divsChild>
    </w:div>
    <w:div w:id="923807902">
      <w:bodyDiv w:val="1"/>
      <w:marLeft w:val="0"/>
      <w:marRight w:val="0"/>
      <w:marTop w:val="0"/>
      <w:marBottom w:val="0"/>
      <w:divBdr>
        <w:top w:val="none" w:sz="0" w:space="0" w:color="auto"/>
        <w:left w:val="none" w:sz="0" w:space="0" w:color="auto"/>
        <w:bottom w:val="none" w:sz="0" w:space="0" w:color="auto"/>
        <w:right w:val="none" w:sz="0" w:space="0" w:color="auto"/>
      </w:divBdr>
      <w:divsChild>
        <w:div w:id="1720980346">
          <w:marLeft w:val="0"/>
          <w:marRight w:val="0"/>
          <w:marTop w:val="0"/>
          <w:marBottom w:val="0"/>
          <w:divBdr>
            <w:top w:val="none" w:sz="0" w:space="0" w:color="auto"/>
            <w:left w:val="none" w:sz="0" w:space="0" w:color="auto"/>
            <w:bottom w:val="none" w:sz="0" w:space="0" w:color="auto"/>
            <w:right w:val="none" w:sz="0" w:space="0" w:color="auto"/>
          </w:divBdr>
        </w:div>
      </w:divsChild>
    </w:div>
    <w:div w:id="986279963">
      <w:bodyDiv w:val="1"/>
      <w:marLeft w:val="0"/>
      <w:marRight w:val="0"/>
      <w:marTop w:val="0"/>
      <w:marBottom w:val="0"/>
      <w:divBdr>
        <w:top w:val="none" w:sz="0" w:space="0" w:color="auto"/>
        <w:left w:val="none" w:sz="0" w:space="0" w:color="auto"/>
        <w:bottom w:val="none" w:sz="0" w:space="0" w:color="auto"/>
        <w:right w:val="none" w:sz="0" w:space="0" w:color="auto"/>
      </w:divBdr>
      <w:divsChild>
        <w:div w:id="142888456">
          <w:marLeft w:val="0"/>
          <w:marRight w:val="0"/>
          <w:marTop w:val="0"/>
          <w:marBottom w:val="0"/>
          <w:divBdr>
            <w:top w:val="none" w:sz="0" w:space="0" w:color="auto"/>
            <w:left w:val="none" w:sz="0" w:space="0" w:color="auto"/>
            <w:bottom w:val="none" w:sz="0" w:space="0" w:color="auto"/>
            <w:right w:val="none" w:sz="0" w:space="0" w:color="auto"/>
          </w:divBdr>
        </w:div>
      </w:divsChild>
    </w:div>
    <w:div w:id="990791569">
      <w:bodyDiv w:val="1"/>
      <w:marLeft w:val="0"/>
      <w:marRight w:val="0"/>
      <w:marTop w:val="0"/>
      <w:marBottom w:val="0"/>
      <w:divBdr>
        <w:top w:val="none" w:sz="0" w:space="0" w:color="auto"/>
        <w:left w:val="none" w:sz="0" w:space="0" w:color="auto"/>
        <w:bottom w:val="none" w:sz="0" w:space="0" w:color="auto"/>
        <w:right w:val="none" w:sz="0" w:space="0" w:color="auto"/>
      </w:divBdr>
      <w:divsChild>
        <w:div w:id="139008467">
          <w:marLeft w:val="0"/>
          <w:marRight w:val="0"/>
          <w:marTop w:val="0"/>
          <w:marBottom w:val="0"/>
          <w:divBdr>
            <w:top w:val="none" w:sz="0" w:space="0" w:color="auto"/>
            <w:left w:val="none" w:sz="0" w:space="0" w:color="auto"/>
            <w:bottom w:val="none" w:sz="0" w:space="0" w:color="auto"/>
            <w:right w:val="none" w:sz="0" w:space="0" w:color="auto"/>
          </w:divBdr>
        </w:div>
      </w:divsChild>
    </w:div>
    <w:div w:id="1000692184">
      <w:bodyDiv w:val="1"/>
      <w:marLeft w:val="0"/>
      <w:marRight w:val="0"/>
      <w:marTop w:val="0"/>
      <w:marBottom w:val="0"/>
      <w:divBdr>
        <w:top w:val="none" w:sz="0" w:space="0" w:color="auto"/>
        <w:left w:val="none" w:sz="0" w:space="0" w:color="auto"/>
        <w:bottom w:val="none" w:sz="0" w:space="0" w:color="auto"/>
        <w:right w:val="none" w:sz="0" w:space="0" w:color="auto"/>
      </w:divBdr>
      <w:divsChild>
        <w:div w:id="458300059">
          <w:marLeft w:val="0"/>
          <w:marRight w:val="0"/>
          <w:marTop w:val="0"/>
          <w:marBottom w:val="0"/>
          <w:divBdr>
            <w:top w:val="none" w:sz="0" w:space="0" w:color="auto"/>
            <w:left w:val="none" w:sz="0" w:space="0" w:color="auto"/>
            <w:bottom w:val="none" w:sz="0" w:space="0" w:color="auto"/>
            <w:right w:val="none" w:sz="0" w:space="0" w:color="auto"/>
          </w:divBdr>
        </w:div>
      </w:divsChild>
    </w:div>
    <w:div w:id="1120954855">
      <w:bodyDiv w:val="1"/>
      <w:marLeft w:val="0"/>
      <w:marRight w:val="0"/>
      <w:marTop w:val="0"/>
      <w:marBottom w:val="0"/>
      <w:divBdr>
        <w:top w:val="none" w:sz="0" w:space="0" w:color="auto"/>
        <w:left w:val="none" w:sz="0" w:space="0" w:color="auto"/>
        <w:bottom w:val="none" w:sz="0" w:space="0" w:color="auto"/>
        <w:right w:val="none" w:sz="0" w:space="0" w:color="auto"/>
      </w:divBdr>
      <w:divsChild>
        <w:div w:id="1610887847">
          <w:marLeft w:val="0"/>
          <w:marRight w:val="0"/>
          <w:marTop w:val="0"/>
          <w:marBottom w:val="0"/>
          <w:divBdr>
            <w:top w:val="none" w:sz="0" w:space="0" w:color="auto"/>
            <w:left w:val="none" w:sz="0" w:space="0" w:color="auto"/>
            <w:bottom w:val="none" w:sz="0" w:space="0" w:color="auto"/>
            <w:right w:val="none" w:sz="0" w:space="0" w:color="auto"/>
          </w:divBdr>
        </w:div>
      </w:divsChild>
    </w:div>
    <w:div w:id="1134182065">
      <w:bodyDiv w:val="1"/>
      <w:marLeft w:val="0"/>
      <w:marRight w:val="0"/>
      <w:marTop w:val="0"/>
      <w:marBottom w:val="0"/>
      <w:divBdr>
        <w:top w:val="none" w:sz="0" w:space="0" w:color="auto"/>
        <w:left w:val="none" w:sz="0" w:space="0" w:color="auto"/>
        <w:bottom w:val="none" w:sz="0" w:space="0" w:color="auto"/>
        <w:right w:val="none" w:sz="0" w:space="0" w:color="auto"/>
      </w:divBdr>
      <w:divsChild>
        <w:div w:id="1070230120">
          <w:marLeft w:val="0"/>
          <w:marRight w:val="0"/>
          <w:marTop w:val="0"/>
          <w:marBottom w:val="0"/>
          <w:divBdr>
            <w:top w:val="none" w:sz="0" w:space="0" w:color="auto"/>
            <w:left w:val="none" w:sz="0" w:space="0" w:color="auto"/>
            <w:bottom w:val="none" w:sz="0" w:space="0" w:color="auto"/>
            <w:right w:val="none" w:sz="0" w:space="0" w:color="auto"/>
          </w:divBdr>
        </w:div>
      </w:divsChild>
    </w:div>
    <w:div w:id="1136265126">
      <w:bodyDiv w:val="1"/>
      <w:marLeft w:val="0"/>
      <w:marRight w:val="0"/>
      <w:marTop w:val="0"/>
      <w:marBottom w:val="0"/>
      <w:divBdr>
        <w:top w:val="none" w:sz="0" w:space="0" w:color="auto"/>
        <w:left w:val="none" w:sz="0" w:space="0" w:color="auto"/>
        <w:bottom w:val="none" w:sz="0" w:space="0" w:color="auto"/>
        <w:right w:val="none" w:sz="0" w:space="0" w:color="auto"/>
      </w:divBdr>
      <w:divsChild>
        <w:div w:id="302275816">
          <w:marLeft w:val="0"/>
          <w:marRight w:val="0"/>
          <w:marTop w:val="0"/>
          <w:marBottom w:val="0"/>
          <w:divBdr>
            <w:top w:val="none" w:sz="0" w:space="0" w:color="auto"/>
            <w:left w:val="none" w:sz="0" w:space="0" w:color="auto"/>
            <w:bottom w:val="none" w:sz="0" w:space="0" w:color="auto"/>
            <w:right w:val="none" w:sz="0" w:space="0" w:color="auto"/>
          </w:divBdr>
        </w:div>
      </w:divsChild>
    </w:div>
    <w:div w:id="1137142863">
      <w:bodyDiv w:val="1"/>
      <w:marLeft w:val="0"/>
      <w:marRight w:val="0"/>
      <w:marTop w:val="0"/>
      <w:marBottom w:val="0"/>
      <w:divBdr>
        <w:top w:val="none" w:sz="0" w:space="0" w:color="auto"/>
        <w:left w:val="none" w:sz="0" w:space="0" w:color="auto"/>
        <w:bottom w:val="none" w:sz="0" w:space="0" w:color="auto"/>
        <w:right w:val="none" w:sz="0" w:space="0" w:color="auto"/>
      </w:divBdr>
      <w:divsChild>
        <w:div w:id="787966501">
          <w:marLeft w:val="0"/>
          <w:marRight w:val="0"/>
          <w:marTop w:val="0"/>
          <w:marBottom w:val="0"/>
          <w:divBdr>
            <w:top w:val="none" w:sz="0" w:space="0" w:color="auto"/>
            <w:left w:val="none" w:sz="0" w:space="0" w:color="auto"/>
            <w:bottom w:val="none" w:sz="0" w:space="0" w:color="auto"/>
            <w:right w:val="none" w:sz="0" w:space="0" w:color="auto"/>
          </w:divBdr>
        </w:div>
      </w:divsChild>
    </w:div>
    <w:div w:id="1152403312">
      <w:bodyDiv w:val="1"/>
      <w:marLeft w:val="0"/>
      <w:marRight w:val="0"/>
      <w:marTop w:val="0"/>
      <w:marBottom w:val="0"/>
      <w:divBdr>
        <w:top w:val="none" w:sz="0" w:space="0" w:color="auto"/>
        <w:left w:val="none" w:sz="0" w:space="0" w:color="auto"/>
        <w:bottom w:val="none" w:sz="0" w:space="0" w:color="auto"/>
        <w:right w:val="none" w:sz="0" w:space="0" w:color="auto"/>
      </w:divBdr>
      <w:divsChild>
        <w:div w:id="1529293325">
          <w:marLeft w:val="0"/>
          <w:marRight w:val="0"/>
          <w:marTop w:val="0"/>
          <w:marBottom w:val="0"/>
          <w:divBdr>
            <w:top w:val="none" w:sz="0" w:space="0" w:color="auto"/>
            <w:left w:val="none" w:sz="0" w:space="0" w:color="auto"/>
            <w:bottom w:val="none" w:sz="0" w:space="0" w:color="auto"/>
            <w:right w:val="none" w:sz="0" w:space="0" w:color="auto"/>
          </w:divBdr>
        </w:div>
      </w:divsChild>
    </w:div>
    <w:div w:id="1275555605">
      <w:bodyDiv w:val="1"/>
      <w:marLeft w:val="0"/>
      <w:marRight w:val="0"/>
      <w:marTop w:val="0"/>
      <w:marBottom w:val="0"/>
      <w:divBdr>
        <w:top w:val="none" w:sz="0" w:space="0" w:color="auto"/>
        <w:left w:val="none" w:sz="0" w:space="0" w:color="auto"/>
        <w:bottom w:val="none" w:sz="0" w:space="0" w:color="auto"/>
        <w:right w:val="none" w:sz="0" w:space="0" w:color="auto"/>
      </w:divBdr>
      <w:divsChild>
        <w:div w:id="1290939177">
          <w:marLeft w:val="0"/>
          <w:marRight w:val="0"/>
          <w:marTop w:val="0"/>
          <w:marBottom w:val="0"/>
          <w:divBdr>
            <w:top w:val="none" w:sz="0" w:space="0" w:color="auto"/>
            <w:left w:val="none" w:sz="0" w:space="0" w:color="auto"/>
            <w:bottom w:val="none" w:sz="0" w:space="0" w:color="auto"/>
            <w:right w:val="none" w:sz="0" w:space="0" w:color="auto"/>
          </w:divBdr>
        </w:div>
      </w:divsChild>
    </w:div>
    <w:div w:id="1286813719">
      <w:bodyDiv w:val="1"/>
      <w:marLeft w:val="0"/>
      <w:marRight w:val="0"/>
      <w:marTop w:val="0"/>
      <w:marBottom w:val="0"/>
      <w:divBdr>
        <w:top w:val="none" w:sz="0" w:space="0" w:color="auto"/>
        <w:left w:val="none" w:sz="0" w:space="0" w:color="auto"/>
        <w:bottom w:val="none" w:sz="0" w:space="0" w:color="auto"/>
        <w:right w:val="none" w:sz="0" w:space="0" w:color="auto"/>
      </w:divBdr>
      <w:divsChild>
        <w:div w:id="1045565963">
          <w:marLeft w:val="0"/>
          <w:marRight w:val="0"/>
          <w:marTop w:val="0"/>
          <w:marBottom w:val="0"/>
          <w:divBdr>
            <w:top w:val="none" w:sz="0" w:space="0" w:color="auto"/>
            <w:left w:val="none" w:sz="0" w:space="0" w:color="auto"/>
            <w:bottom w:val="none" w:sz="0" w:space="0" w:color="auto"/>
            <w:right w:val="none" w:sz="0" w:space="0" w:color="auto"/>
          </w:divBdr>
        </w:div>
      </w:divsChild>
    </w:div>
    <w:div w:id="1291091630">
      <w:bodyDiv w:val="1"/>
      <w:marLeft w:val="0"/>
      <w:marRight w:val="0"/>
      <w:marTop w:val="0"/>
      <w:marBottom w:val="0"/>
      <w:divBdr>
        <w:top w:val="none" w:sz="0" w:space="0" w:color="auto"/>
        <w:left w:val="none" w:sz="0" w:space="0" w:color="auto"/>
        <w:bottom w:val="none" w:sz="0" w:space="0" w:color="auto"/>
        <w:right w:val="none" w:sz="0" w:space="0" w:color="auto"/>
      </w:divBdr>
      <w:divsChild>
        <w:div w:id="814181262">
          <w:marLeft w:val="0"/>
          <w:marRight w:val="0"/>
          <w:marTop w:val="0"/>
          <w:marBottom w:val="0"/>
          <w:divBdr>
            <w:top w:val="none" w:sz="0" w:space="0" w:color="auto"/>
            <w:left w:val="none" w:sz="0" w:space="0" w:color="auto"/>
            <w:bottom w:val="none" w:sz="0" w:space="0" w:color="auto"/>
            <w:right w:val="none" w:sz="0" w:space="0" w:color="auto"/>
          </w:divBdr>
        </w:div>
      </w:divsChild>
    </w:div>
    <w:div w:id="1329555977">
      <w:bodyDiv w:val="1"/>
      <w:marLeft w:val="0"/>
      <w:marRight w:val="0"/>
      <w:marTop w:val="0"/>
      <w:marBottom w:val="0"/>
      <w:divBdr>
        <w:top w:val="none" w:sz="0" w:space="0" w:color="auto"/>
        <w:left w:val="none" w:sz="0" w:space="0" w:color="auto"/>
        <w:bottom w:val="none" w:sz="0" w:space="0" w:color="auto"/>
        <w:right w:val="none" w:sz="0" w:space="0" w:color="auto"/>
      </w:divBdr>
      <w:divsChild>
        <w:div w:id="2083795857">
          <w:marLeft w:val="0"/>
          <w:marRight w:val="0"/>
          <w:marTop w:val="0"/>
          <w:marBottom w:val="0"/>
          <w:divBdr>
            <w:top w:val="none" w:sz="0" w:space="0" w:color="auto"/>
            <w:left w:val="none" w:sz="0" w:space="0" w:color="auto"/>
            <w:bottom w:val="none" w:sz="0" w:space="0" w:color="auto"/>
            <w:right w:val="none" w:sz="0" w:space="0" w:color="auto"/>
          </w:divBdr>
        </w:div>
      </w:divsChild>
    </w:div>
    <w:div w:id="1353143092">
      <w:bodyDiv w:val="1"/>
      <w:marLeft w:val="0"/>
      <w:marRight w:val="0"/>
      <w:marTop w:val="0"/>
      <w:marBottom w:val="0"/>
      <w:divBdr>
        <w:top w:val="none" w:sz="0" w:space="0" w:color="auto"/>
        <w:left w:val="none" w:sz="0" w:space="0" w:color="auto"/>
        <w:bottom w:val="none" w:sz="0" w:space="0" w:color="auto"/>
        <w:right w:val="none" w:sz="0" w:space="0" w:color="auto"/>
      </w:divBdr>
      <w:divsChild>
        <w:div w:id="1111627986">
          <w:marLeft w:val="0"/>
          <w:marRight w:val="0"/>
          <w:marTop w:val="0"/>
          <w:marBottom w:val="0"/>
          <w:divBdr>
            <w:top w:val="none" w:sz="0" w:space="0" w:color="auto"/>
            <w:left w:val="none" w:sz="0" w:space="0" w:color="auto"/>
            <w:bottom w:val="none" w:sz="0" w:space="0" w:color="auto"/>
            <w:right w:val="none" w:sz="0" w:space="0" w:color="auto"/>
          </w:divBdr>
        </w:div>
      </w:divsChild>
    </w:div>
    <w:div w:id="1409696846">
      <w:bodyDiv w:val="1"/>
      <w:marLeft w:val="0"/>
      <w:marRight w:val="0"/>
      <w:marTop w:val="0"/>
      <w:marBottom w:val="0"/>
      <w:divBdr>
        <w:top w:val="none" w:sz="0" w:space="0" w:color="auto"/>
        <w:left w:val="none" w:sz="0" w:space="0" w:color="auto"/>
        <w:bottom w:val="none" w:sz="0" w:space="0" w:color="auto"/>
        <w:right w:val="none" w:sz="0" w:space="0" w:color="auto"/>
      </w:divBdr>
      <w:divsChild>
        <w:div w:id="1381200292">
          <w:marLeft w:val="0"/>
          <w:marRight w:val="0"/>
          <w:marTop w:val="0"/>
          <w:marBottom w:val="0"/>
          <w:divBdr>
            <w:top w:val="none" w:sz="0" w:space="0" w:color="auto"/>
            <w:left w:val="none" w:sz="0" w:space="0" w:color="auto"/>
            <w:bottom w:val="none" w:sz="0" w:space="0" w:color="auto"/>
            <w:right w:val="none" w:sz="0" w:space="0" w:color="auto"/>
          </w:divBdr>
        </w:div>
      </w:divsChild>
    </w:div>
    <w:div w:id="1410420009">
      <w:bodyDiv w:val="1"/>
      <w:marLeft w:val="0"/>
      <w:marRight w:val="0"/>
      <w:marTop w:val="0"/>
      <w:marBottom w:val="0"/>
      <w:divBdr>
        <w:top w:val="none" w:sz="0" w:space="0" w:color="auto"/>
        <w:left w:val="none" w:sz="0" w:space="0" w:color="auto"/>
        <w:bottom w:val="none" w:sz="0" w:space="0" w:color="auto"/>
        <w:right w:val="none" w:sz="0" w:space="0" w:color="auto"/>
      </w:divBdr>
      <w:divsChild>
        <w:div w:id="2019381362">
          <w:marLeft w:val="0"/>
          <w:marRight w:val="0"/>
          <w:marTop w:val="0"/>
          <w:marBottom w:val="0"/>
          <w:divBdr>
            <w:top w:val="none" w:sz="0" w:space="0" w:color="auto"/>
            <w:left w:val="none" w:sz="0" w:space="0" w:color="auto"/>
            <w:bottom w:val="none" w:sz="0" w:space="0" w:color="auto"/>
            <w:right w:val="none" w:sz="0" w:space="0" w:color="auto"/>
          </w:divBdr>
        </w:div>
      </w:divsChild>
    </w:div>
    <w:div w:id="1415780411">
      <w:bodyDiv w:val="1"/>
      <w:marLeft w:val="0"/>
      <w:marRight w:val="0"/>
      <w:marTop w:val="0"/>
      <w:marBottom w:val="0"/>
      <w:divBdr>
        <w:top w:val="none" w:sz="0" w:space="0" w:color="auto"/>
        <w:left w:val="none" w:sz="0" w:space="0" w:color="auto"/>
        <w:bottom w:val="none" w:sz="0" w:space="0" w:color="auto"/>
        <w:right w:val="none" w:sz="0" w:space="0" w:color="auto"/>
      </w:divBdr>
      <w:divsChild>
        <w:div w:id="997656535">
          <w:marLeft w:val="0"/>
          <w:marRight w:val="0"/>
          <w:marTop w:val="0"/>
          <w:marBottom w:val="0"/>
          <w:divBdr>
            <w:top w:val="none" w:sz="0" w:space="0" w:color="auto"/>
            <w:left w:val="none" w:sz="0" w:space="0" w:color="auto"/>
            <w:bottom w:val="none" w:sz="0" w:space="0" w:color="auto"/>
            <w:right w:val="none" w:sz="0" w:space="0" w:color="auto"/>
          </w:divBdr>
        </w:div>
      </w:divsChild>
    </w:div>
    <w:div w:id="1463036230">
      <w:bodyDiv w:val="1"/>
      <w:marLeft w:val="0"/>
      <w:marRight w:val="0"/>
      <w:marTop w:val="0"/>
      <w:marBottom w:val="0"/>
      <w:divBdr>
        <w:top w:val="none" w:sz="0" w:space="0" w:color="auto"/>
        <w:left w:val="none" w:sz="0" w:space="0" w:color="auto"/>
        <w:bottom w:val="none" w:sz="0" w:space="0" w:color="auto"/>
        <w:right w:val="none" w:sz="0" w:space="0" w:color="auto"/>
      </w:divBdr>
      <w:divsChild>
        <w:div w:id="341589946">
          <w:marLeft w:val="0"/>
          <w:marRight w:val="0"/>
          <w:marTop w:val="0"/>
          <w:marBottom w:val="0"/>
          <w:divBdr>
            <w:top w:val="none" w:sz="0" w:space="0" w:color="auto"/>
            <w:left w:val="none" w:sz="0" w:space="0" w:color="auto"/>
            <w:bottom w:val="none" w:sz="0" w:space="0" w:color="auto"/>
            <w:right w:val="none" w:sz="0" w:space="0" w:color="auto"/>
          </w:divBdr>
        </w:div>
      </w:divsChild>
    </w:div>
    <w:div w:id="1485198451">
      <w:bodyDiv w:val="1"/>
      <w:marLeft w:val="0"/>
      <w:marRight w:val="0"/>
      <w:marTop w:val="0"/>
      <w:marBottom w:val="0"/>
      <w:divBdr>
        <w:top w:val="none" w:sz="0" w:space="0" w:color="auto"/>
        <w:left w:val="none" w:sz="0" w:space="0" w:color="auto"/>
        <w:bottom w:val="none" w:sz="0" w:space="0" w:color="auto"/>
        <w:right w:val="none" w:sz="0" w:space="0" w:color="auto"/>
      </w:divBdr>
      <w:divsChild>
        <w:div w:id="409814480">
          <w:marLeft w:val="0"/>
          <w:marRight w:val="0"/>
          <w:marTop w:val="0"/>
          <w:marBottom w:val="0"/>
          <w:divBdr>
            <w:top w:val="none" w:sz="0" w:space="0" w:color="auto"/>
            <w:left w:val="none" w:sz="0" w:space="0" w:color="auto"/>
            <w:bottom w:val="none" w:sz="0" w:space="0" w:color="auto"/>
            <w:right w:val="none" w:sz="0" w:space="0" w:color="auto"/>
          </w:divBdr>
        </w:div>
      </w:divsChild>
    </w:div>
    <w:div w:id="1511027723">
      <w:bodyDiv w:val="1"/>
      <w:marLeft w:val="0"/>
      <w:marRight w:val="0"/>
      <w:marTop w:val="0"/>
      <w:marBottom w:val="0"/>
      <w:divBdr>
        <w:top w:val="none" w:sz="0" w:space="0" w:color="auto"/>
        <w:left w:val="none" w:sz="0" w:space="0" w:color="auto"/>
        <w:bottom w:val="none" w:sz="0" w:space="0" w:color="auto"/>
        <w:right w:val="none" w:sz="0" w:space="0" w:color="auto"/>
      </w:divBdr>
      <w:divsChild>
        <w:div w:id="471866362">
          <w:marLeft w:val="0"/>
          <w:marRight w:val="0"/>
          <w:marTop w:val="0"/>
          <w:marBottom w:val="0"/>
          <w:divBdr>
            <w:top w:val="none" w:sz="0" w:space="0" w:color="auto"/>
            <w:left w:val="none" w:sz="0" w:space="0" w:color="auto"/>
            <w:bottom w:val="none" w:sz="0" w:space="0" w:color="auto"/>
            <w:right w:val="none" w:sz="0" w:space="0" w:color="auto"/>
          </w:divBdr>
        </w:div>
      </w:divsChild>
    </w:div>
    <w:div w:id="1519543104">
      <w:bodyDiv w:val="1"/>
      <w:marLeft w:val="0"/>
      <w:marRight w:val="0"/>
      <w:marTop w:val="0"/>
      <w:marBottom w:val="0"/>
      <w:divBdr>
        <w:top w:val="none" w:sz="0" w:space="0" w:color="auto"/>
        <w:left w:val="none" w:sz="0" w:space="0" w:color="auto"/>
        <w:bottom w:val="none" w:sz="0" w:space="0" w:color="auto"/>
        <w:right w:val="none" w:sz="0" w:space="0" w:color="auto"/>
      </w:divBdr>
      <w:divsChild>
        <w:div w:id="1892301971">
          <w:marLeft w:val="0"/>
          <w:marRight w:val="0"/>
          <w:marTop w:val="0"/>
          <w:marBottom w:val="0"/>
          <w:divBdr>
            <w:top w:val="none" w:sz="0" w:space="0" w:color="auto"/>
            <w:left w:val="none" w:sz="0" w:space="0" w:color="auto"/>
            <w:bottom w:val="none" w:sz="0" w:space="0" w:color="auto"/>
            <w:right w:val="none" w:sz="0" w:space="0" w:color="auto"/>
          </w:divBdr>
        </w:div>
      </w:divsChild>
    </w:div>
    <w:div w:id="1520461732">
      <w:bodyDiv w:val="1"/>
      <w:marLeft w:val="0"/>
      <w:marRight w:val="0"/>
      <w:marTop w:val="0"/>
      <w:marBottom w:val="0"/>
      <w:divBdr>
        <w:top w:val="none" w:sz="0" w:space="0" w:color="auto"/>
        <w:left w:val="none" w:sz="0" w:space="0" w:color="auto"/>
        <w:bottom w:val="none" w:sz="0" w:space="0" w:color="auto"/>
        <w:right w:val="none" w:sz="0" w:space="0" w:color="auto"/>
      </w:divBdr>
      <w:divsChild>
        <w:div w:id="646086650">
          <w:marLeft w:val="0"/>
          <w:marRight w:val="0"/>
          <w:marTop w:val="0"/>
          <w:marBottom w:val="0"/>
          <w:divBdr>
            <w:top w:val="none" w:sz="0" w:space="0" w:color="auto"/>
            <w:left w:val="none" w:sz="0" w:space="0" w:color="auto"/>
            <w:bottom w:val="none" w:sz="0" w:space="0" w:color="auto"/>
            <w:right w:val="none" w:sz="0" w:space="0" w:color="auto"/>
          </w:divBdr>
        </w:div>
      </w:divsChild>
    </w:div>
    <w:div w:id="1647709963">
      <w:bodyDiv w:val="1"/>
      <w:marLeft w:val="0"/>
      <w:marRight w:val="0"/>
      <w:marTop w:val="0"/>
      <w:marBottom w:val="0"/>
      <w:divBdr>
        <w:top w:val="none" w:sz="0" w:space="0" w:color="auto"/>
        <w:left w:val="none" w:sz="0" w:space="0" w:color="auto"/>
        <w:bottom w:val="none" w:sz="0" w:space="0" w:color="auto"/>
        <w:right w:val="none" w:sz="0" w:space="0" w:color="auto"/>
      </w:divBdr>
      <w:divsChild>
        <w:div w:id="876045238">
          <w:marLeft w:val="0"/>
          <w:marRight w:val="0"/>
          <w:marTop w:val="0"/>
          <w:marBottom w:val="0"/>
          <w:divBdr>
            <w:top w:val="none" w:sz="0" w:space="0" w:color="auto"/>
            <w:left w:val="none" w:sz="0" w:space="0" w:color="auto"/>
            <w:bottom w:val="none" w:sz="0" w:space="0" w:color="auto"/>
            <w:right w:val="none" w:sz="0" w:space="0" w:color="auto"/>
          </w:divBdr>
        </w:div>
      </w:divsChild>
    </w:div>
    <w:div w:id="1673991909">
      <w:bodyDiv w:val="1"/>
      <w:marLeft w:val="0"/>
      <w:marRight w:val="0"/>
      <w:marTop w:val="0"/>
      <w:marBottom w:val="0"/>
      <w:divBdr>
        <w:top w:val="none" w:sz="0" w:space="0" w:color="auto"/>
        <w:left w:val="none" w:sz="0" w:space="0" w:color="auto"/>
        <w:bottom w:val="none" w:sz="0" w:space="0" w:color="auto"/>
        <w:right w:val="none" w:sz="0" w:space="0" w:color="auto"/>
      </w:divBdr>
      <w:divsChild>
        <w:div w:id="1453130067">
          <w:marLeft w:val="0"/>
          <w:marRight w:val="0"/>
          <w:marTop w:val="0"/>
          <w:marBottom w:val="0"/>
          <w:divBdr>
            <w:top w:val="none" w:sz="0" w:space="0" w:color="auto"/>
            <w:left w:val="none" w:sz="0" w:space="0" w:color="auto"/>
            <w:bottom w:val="none" w:sz="0" w:space="0" w:color="auto"/>
            <w:right w:val="none" w:sz="0" w:space="0" w:color="auto"/>
          </w:divBdr>
        </w:div>
      </w:divsChild>
    </w:div>
    <w:div w:id="1684094062">
      <w:bodyDiv w:val="1"/>
      <w:marLeft w:val="0"/>
      <w:marRight w:val="0"/>
      <w:marTop w:val="0"/>
      <w:marBottom w:val="0"/>
      <w:divBdr>
        <w:top w:val="none" w:sz="0" w:space="0" w:color="auto"/>
        <w:left w:val="none" w:sz="0" w:space="0" w:color="auto"/>
        <w:bottom w:val="none" w:sz="0" w:space="0" w:color="auto"/>
        <w:right w:val="none" w:sz="0" w:space="0" w:color="auto"/>
      </w:divBdr>
      <w:divsChild>
        <w:div w:id="1535844941">
          <w:marLeft w:val="0"/>
          <w:marRight w:val="0"/>
          <w:marTop w:val="0"/>
          <w:marBottom w:val="0"/>
          <w:divBdr>
            <w:top w:val="none" w:sz="0" w:space="0" w:color="auto"/>
            <w:left w:val="none" w:sz="0" w:space="0" w:color="auto"/>
            <w:bottom w:val="none" w:sz="0" w:space="0" w:color="auto"/>
            <w:right w:val="none" w:sz="0" w:space="0" w:color="auto"/>
          </w:divBdr>
        </w:div>
      </w:divsChild>
    </w:div>
    <w:div w:id="1708069918">
      <w:bodyDiv w:val="1"/>
      <w:marLeft w:val="0"/>
      <w:marRight w:val="0"/>
      <w:marTop w:val="0"/>
      <w:marBottom w:val="0"/>
      <w:divBdr>
        <w:top w:val="none" w:sz="0" w:space="0" w:color="auto"/>
        <w:left w:val="none" w:sz="0" w:space="0" w:color="auto"/>
        <w:bottom w:val="none" w:sz="0" w:space="0" w:color="auto"/>
        <w:right w:val="none" w:sz="0" w:space="0" w:color="auto"/>
      </w:divBdr>
      <w:divsChild>
        <w:div w:id="1021082171">
          <w:marLeft w:val="0"/>
          <w:marRight w:val="0"/>
          <w:marTop w:val="0"/>
          <w:marBottom w:val="0"/>
          <w:divBdr>
            <w:top w:val="none" w:sz="0" w:space="0" w:color="auto"/>
            <w:left w:val="none" w:sz="0" w:space="0" w:color="auto"/>
            <w:bottom w:val="none" w:sz="0" w:space="0" w:color="auto"/>
            <w:right w:val="none" w:sz="0" w:space="0" w:color="auto"/>
          </w:divBdr>
        </w:div>
      </w:divsChild>
    </w:div>
    <w:div w:id="1717922696">
      <w:bodyDiv w:val="1"/>
      <w:marLeft w:val="0"/>
      <w:marRight w:val="0"/>
      <w:marTop w:val="0"/>
      <w:marBottom w:val="0"/>
      <w:divBdr>
        <w:top w:val="none" w:sz="0" w:space="0" w:color="auto"/>
        <w:left w:val="none" w:sz="0" w:space="0" w:color="auto"/>
        <w:bottom w:val="none" w:sz="0" w:space="0" w:color="auto"/>
        <w:right w:val="none" w:sz="0" w:space="0" w:color="auto"/>
      </w:divBdr>
      <w:divsChild>
        <w:div w:id="845825502">
          <w:marLeft w:val="0"/>
          <w:marRight w:val="0"/>
          <w:marTop w:val="0"/>
          <w:marBottom w:val="0"/>
          <w:divBdr>
            <w:top w:val="none" w:sz="0" w:space="0" w:color="auto"/>
            <w:left w:val="none" w:sz="0" w:space="0" w:color="auto"/>
            <w:bottom w:val="none" w:sz="0" w:space="0" w:color="auto"/>
            <w:right w:val="none" w:sz="0" w:space="0" w:color="auto"/>
          </w:divBdr>
        </w:div>
      </w:divsChild>
    </w:div>
    <w:div w:id="1726873812">
      <w:bodyDiv w:val="1"/>
      <w:marLeft w:val="0"/>
      <w:marRight w:val="0"/>
      <w:marTop w:val="0"/>
      <w:marBottom w:val="0"/>
      <w:divBdr>
        <w:top w:val="none" w:sz="0" w:space="0" w:color="auto"/>
        <w:left w:val="none" w:sz="0" w:space="0" w:color="auto"/>
        <w:bottom w:val="none" w:sz="0" w:space="0" w:color="auto"/>
        <w:right w:val="none" w:sz="0" w:space="0" w:color="auto"/>
      </w:divBdr>
      <w:divsChild>
        <w:div w:id="289633441">
          <w:marLeft w:val="0"/>
          <w:marRight w:val="0"/>
          <w:marTop w:val="0"/>
          <w:marBottom w:val="0"/>
          <w:divBdr>
            <w:top w:val="none" w:sz="0" w:space="0" w:color="auto"/>
            <w:left w:val="none" w:sz="0" w:space="0" w:color="auto"/>
            <w:bottom w:val="none" w:sz="0" w:space="0" w:color="auto"/>
            <w:right w:val="none" w:sz="0" w:space="0" w:color="auto"/>
          </w:divBdr>
        </w:div>
      </w:divsChild>
    </w:div>
    <w:div w:id="1743943320">
      <w:bodyDiv w:val="1"/>
      <w:marLeft w:val="0"/>
      <w:marRight w:val="0"/>
      <w:marTop w:val="0"/>
      <w:marBottom w:val="0"/>
      <w:divBdr>
        <w:top w:val="none" w:sz="0" w:space="0" w:color="auto"/>
        <w:left w:val="none" w:sz="0" w:space="0" w:color="auto"/>
        <w:bottom w:val="none" w:sz="0" w:space="0" w:color="auto"/>
        <w:right w:val="none" w:sz="0" w:space="0" w:color="auto"/>
      </w:divBdr>
      <w:divsChild>
        <w:div w:id="1197740246">
          <w:marLeft w:val="0"/>
          <w:marRight w:val="0"/>
          <w:marTop w:val="0"/>
          <w:marBottom w:val="0"/>
          <w:divBdr>
            <w:top w:val="none" w:sz="0" w:space="0" w:color="auto"/>
            <w:left w:val="none" w:sz="0" w:space="0" w:color="auto"/>
            <w:bottom w:val="none" w:sz="0" w:space="0" w:color="auto"/>
            <w:right w:val="none" w:sz="0" w:space="0" w:color="auto"/>
          </w:divBdr>
        </w:div>
      </w:divsChild>
    </w:div>
    <w:div w:id="1788740988">
      <w:bodyDiv w:val="1"/>
      <w:marLeft w:val="0"/>
      <w:marRight w:val="0"/>
      <w:marTop w:val="0"/>
      <w:marBottom w:val="0"/>
      <w:divBdr>
        <w:top w:val="none" w:sz="0" w:space="0" w:color="auto"/>
        <w:left w:val="none" w:sz="0" w:space="0" w:color="auto"/>
        <w:bottom w:val="none" w:sz="0" w:space="0" w:color="auto"/>
        <w:right w:val="none" w:sz="0" w:space="0" w:color="auto"/>
      </w:divBdr>
      <w:divsChild>
        <w:div w:id="1215852054">
          <w:marLeft w:val="0"/>
          <w:marRight w:val="0"/>
          <w:marTop w:val="0"/>
          <w:marBottom w:val="0"/>
          <w:divBdr>
            <w:top w:val="none" w:sz="0" w:space="0" w:color="auto"/>
            <w:left w:val="none" w:sz="0" w:space="0" w:color="auto"/>
            <w:bottom w:val="none" w:sz="0" w:space="0" w:color="auto"/>
            <w:right w:val="none" w:sz="0" w:space="0" w:color="auto"/>
          </w:divBdr>
        </w:div>
      </w:divsChild>
    </w:div>
    <w:div w:id="1793592146">
      <w:bodyDiv w:val="1"/>
      <w:marLeft w:val="0"/>
      <w:marRight w:val="0"/>
      <w:marTop w:val="0"/>
      <w:marBottom w:val="0"/>
      <w:divBdr>
        <w:top w:val="none" w:sz="0" w:space="0" w:color="auto"/>
        <w:left w:val="none" w:sz="0" w:space="0" w:color="auto"/>
        <w:bottom w:val="none" w:sz="0" w:space="0" w:color="auto"/>
        <w:right w:val="none" w:sz="0" w:space="0" w:color="auto"/>
      </w:divBdr>
      <w:divsChild>
        <w:div w:id="1323120176">
          <w:marLeft w:val="0"/>
          <w:marRight w:val="0"/>
          <w:marTop w:val="0"/>
          <w:marBottom w:val="0"/>
          <w:divBdr>
            <w:top w:val="none" w:sz="0" w:space="0" w:color="auto"/>
            <w:left w:val="none" w:sz="0" w:space="0" w:color="auto"/>
            <w:bottom w:val="none" w:sz="0" w:space="0" w:color="auto"/>
            <w:right w:val="none" w:sz="0" w:space="0" w:color="auto"/>
          </w:divBdr>
        </w:div>
      </w:divsChild>
    </w:div>
    <w:div w:id="1813130865">
      <w:bodyDiv w:val="1"/>
      <w:marLeft w:val="0"/>
      <w:marRight w:val="0"/>
      <w:marTop w:val="0"/>
      <w:marBottom w:val="0"/>
      <w:divBdr>
        <w:top w:val="none" w:sz="0" w:space="0" w:color="auto"/>
        <w:left w:val="none" w:sz="0" w:space="0" w:color="auto"/>
        <w:bottom w:val="none" w:sz="0" w:space="0" w:color="auto"/>
        <w:right w:val="none" w:sz="0" w:space="0" w:color="auto"/>
      </w:divBdr>
      <w:divsChild>
        <w:div w:id="148135331">
          <w:marLeft w:val="0"/>
          <w:marRight w:val="0"/>
          <w:marTop w:val="0"/>
          <w:marBottom w:val="0"/>
          <w:divBdr>
            <w:top w:val="none" w:sz="0" w:space="0" w:color="auto"/>
            <w:left w:val="none" w:sz="0" w:space="0" w:color="auto"/>
            <w:bottom w:val="none" w:sz="0" w:space="0" w:color="auto"/>
            <w:right w:val="none" w:sz="0" w:space="0" w:color="auto"/>
          </w:divBdr>
        </w:div>
      </w:divsChild>
    </w:div>
    <w:div w:id="1821774126">
      <w:bodyDiv w:val="1"/>
      <w:marLeft w:val="0"/>
      <w:marRight w:val="0"/>
      <w:marTop w:val="0"/>
      <w:marBottom w:val="0"/>
      <w:divBdr>
        <w:top w:val="none" w:sz="0" w:space="0" w:color="auto"/>
        <w:left w:val="none" w:sz="0" w:space="0" w:color="auto"/>
        <w:bottom w:val="none" w:sz="0" w:space="0" w:color="auto"/>
        <w:right w:val="none" w:sz="0" w:space="0" w:color="auto"/>
      </w:divBdr>
      <w:divsChild>
        <w:div w:id="1216307720">
          <w:marLeft w:val="0"/>
          <w:marRight w:val="0"/>
          <w:marTop w:val="0"/>
          <w:marBottom w:val="0"/>
          <w:divBdr>
            <w:top w:val="none" w:sz="0" w:space="0" w:color="auto"/>
            <w:left w:val="none" w:sz="0" w:space="0" w:color="auto"/>
            <w:bottom w:val="none" w:sz="0" w:space="0" w:color="auto"/>
            <w:right w:val="none" w:sz="0" w:space="0" w:color="auto"/>
          </w:divBdr>
        </w:div>
      </w:divsChild>
    </w:div>
    <w:div w:id="1883204630">
      <w:bodyDiv w:val="1"/>
      <w:marLeft w:val="0"/>
      <w:marRight w:val="0"/>
      <w:marTop w:val="0"/>
      <w:marBottom w:val="0"/>
      <w:divBdr>
        <w:top w:val="none" w:sz="0" w:space="0" w:color="auto"/>
        <w:left w:val="none" w:sz="0" w:space="0" w:color="auto"/>
        <w:bottom w:val="none" w:sz="0" w:space="0" w:color="auto"/>
        <w:right w:val="none" w:sz="0" w:space="0" w:color="auto"/>
      </w:divBdr>
      <w:divsChild>
        <w:div w:id="2098406836">
          <w:marLeft w:val="0"/>
          <w:marRight w:val="0"/>
          <w:marTop w:val="0"/>
          <w:marBottom w:val="0"/>
          <w:divBdr>
            <w:top w:val="none" w:sz="0" w:space="0" w:color="auto"/>
            <w:left w:val="none" w:sz="0" w:space="0" w:color="auto"/>
            <w:bottom w:val="none" w:sz="0" w:space="0" w:color="auto"/>
            <w:right w:val="none" w:sz="0" w:space="0" w:color="auto"/>
          </w:divBdr>
        </w:div>
      </w:divsChild>
    </w:div>
    <w:div w:id="1897013190">
      <w:bodyDiv w:val="1"/>
      <w:marLeft w:val="0"/>
      <w:marRight w:val="0"/>
      <w:marTop w:val="0"/>
      <w:marBottom w:val="0"/>
      <w:divBdr>
        <w:top w:val="none" w:sz="0" w:space="0" w:color="auto"/>
        <w:left w:val="none" w:sz="0" w:space="0" w:color="auto"/>
        <w:bottom w:val="none" w:sz="0" w:space="0" w:color="auto"/>
        <w:right w:val="none" w:sz="0" w:space="0" w:color="auto"/>
      </w:divBdr>
      <w:divsChild>
        <w:div w:id="375859699">
          <w:marLeft w:val="0"/>
          <w:marRight w:val="0"/>
          <w:marTop w:val="0"/>
          <w:marBottom w:val="0"/>
          <w:divBdr>
            <w:top w:val="none" w:sz="0" w:space="0" w:color="auto"/>
            <w:left w:val="none" w:sz="0" w:space="0" w:color="auto"/>
            <w:bottom w:val="none" w:sz="0" w:space="0" w:color="auto"/>
            <w:right w:val="none" w:sz="0" w:space="0" w:color="auto"/>
          </w:divBdr>
        </w:div>
      </w:divsChild>
    </w:div>
    <w:div w:id="1904245115">
      <w:bodyDiv w:val="1"/>
      <w:marLeft w:val="0"/>
      <w:marRight w:val="0"/>
      <w:marTop w:val="0"/>
      <w:marBottom w:val="0"/>
      <w:divBdr>
        <w:top w:val="none" w:sz="0" w:space="0" w:color="auto"/>
        <w:left w:val="none" w:sz="0" w:space="0" w:color="auto"/>
        <w:bottom w:val="none" w:sz="0" w:space="0" w:color="auto"/>
        <w:right w:val="none" w:sz="0" w:space="0" w:color="auto"/>
      </w:divBdr>
      <w:divsChild>
        <w:div w:id="11300718">
          <w:marLeft w:val="0"/>
          <w:marRight w:val="0"/>
          <w:marTop w:val="0"/>
          <w:marBottom w:val="0"/>
          <w:divBdr>
            <w:top w:val="none" w:sz="0" w:space="0" w:color="auto"/>
            <w:left w:val="none" w:sz="0" w:space="0" w:color="auto"/>
            <w:bottom w:val="none" w:sz="0" w:space="0" w:color="auto"/>
            <w:right w:val="none" w:sz="0" w:space="0" w:color="auto"/>
          </w:divBdr>
        </w:div>
      </w:divsChild>
    </w:div>
    <w:div w:id="1924870397">
      <w:bodyDiv w:val="1"/>
      <w:marLeft w:val="0"/>
      <w:marRight w:val="0"/>
      <w:marTop w:val="0"/>
      <w:marBottom w:val="0"/>
      <w:divBdr>
        <w:top w:val="none" w:sz="0" w:space="0" w:color="auto"/>
        <w:left w:val="none" w:sz="0" w:space="0" w:color="auto"/>
        <w:bottom w:val="none" w:sz="0" w:space="0" w:color="auto"/>
        <w:right w:val="none" w:sz="0" w:space="0" w:color="auto"/>
      </w:divBdr>
      <w:divsChild>
        <w:div w:id="1005864501">
          <w:marLeft w:val="0"/>
          <w:marRight w:val="0"/>
          <w:marTop w:val="0"/>
          <w:marBottom w:val="0"/>
          <w:divBdr>
            <w:top w:val="none" w:sz="0" w:space="0" w:color="auto"/>
            <w:left w:val="none" w:sz="0" w:space="0" w:color="auto"/>
            <w:bottom w:val="none" w:sz="0" w:space="0" w:color="auto"/>
            <w:right w:val="none" w:sz="0" w:space="0" w:color="auto"/>
          </w:divBdr>
        </w:div>
      </w:divsChild>
    </w:div>
    <w:div w:id="1939679510">
      <w:bodyDiv w:val="1"/>
      <w:marLeft w:val="0"/>
      <w:marRight w:val="0"/>
      <w:marTop w:val="0"/>
      <w:marBottom w:val="0"/>
      <w:divBdr>
        <w:top w:val="none" w:sz="0" w:space="0" w:color="auto"/>
        <w:left w:val="none" w:sz="0" w:space="0" w:color="auto"/>
        <w:bottom w:val="none" w:sz="0" w:space="0" w:color="auto"/>
        <w:right w:val="none" w:sz="0" w:space="0" w:color="auto"/>
      </w:divBdr>
      <w:divsChild>
        <w:div w:id="1955205835">
          <w:marLeft w:val="0"/>
          <w:marRight w:val="0"/>
          <w:marTop w:val="0"/>
          <w:marBottom w:val="0"/>
          <w:divBdr>
            <w:top w:val="none" w:sz="0" w:space="0" w:color="auto"/>
            <w:left w:val="none" w:sz="0" w:space="0" w:color="auto"/>
            <w:bottom w:val="none" w:sz="0" w:space="0" w:color="auto"/>
            <w:right w:val="none" w:sz="0" w:space="0" w:color="auto"/>
          </w:divBdr>
        </w:div>
      </w:divsChild>
    </w:div>
    <w:div w:id="1950970749">
      <w:bodyDiv w:val="1"/>
      <w:marLeft w:val="0"/>
      <w:marRight w:val="0"/>
      <w:marTop w:val="0"/>
      <w:marBottom w:val="0"/>
      <w:divBdr>
        <w:top w:val="none" w:sz="0" w:space="0" w:color="auto"/>
        <w:left w:val="none" w:sz="0" w:space="0" w:color="auto"/>
        <w:bottom w:val="none" w:sz="0" w:space="0" w:color="auto"/>
        <w:right w:val="none" w:sz="0" w:space="0" w:color="auto"/>
      </w:divBdr>
      <w:divsChild>
        <w:div w:id="1910335702">
          <w:marLeft w:val="0"/>
          <w:marRight w:val="0"/>
          <w:marTop w:val="0"/>
          <w:marBottom w:val="0"/>
          <w:divBdr>
            <w:top w:val="none" w:sz="0" w:space="0" w:color="auto"/>
            <w:left w:val="none" w:sz="0" w:space="0" w:color="auto"/>
            <w:bottom w:val="none" w:sz="0" w:space="0" w:color="auto"/>
            <w:right w:val="none" w:sz="0" w:space="0" w:color="auto"/>
          </w:divBdr>
        </w:div>
      </w:divsChild>
    </w:div>
    <w:div w:id="2037921793">
      <w:bodyDiv w:val="1"/>
      <w:marLeft w:val="0"/>
      <w:marRight w:val="0"/>
      <w:marTop w:val="0"/>
      <w:marBottom w:val="0"/>
      <w:divBdr>
        <w:top w:val="none" w:sz="0" w:space="0" w:color="auto"/>
        <w:left w:val="none" w:sz="0" w:space="0" w:color="auto"/>
        <w:bottom w:val="none" w:sz="0" w:space="0" w:color="auto"/>
        <w:right w:val="none" w:sz="0" w:space="0" w:color="auto"/>
      </w:divBdr>
      <w:divsChild>
        <w:div w:id="617874042">
          <w:marLeft w:val="0"/>
          <w:marRight w:val="0"/>
          <w:marTop w:val="0"/>
          <w:marBottom w:val="0"/>
          <w:divBdr>
            <w:top w:val="none" w:sz="0" w:space="0" w:color="auto"/>
            <w:left w:val="none" w:sz="0" w:space="0" w:color="auto"/>
            <w:bottom w:val="none" w:sz="0" w:space="0" w:color="auto"/>
            <w:right w:val="none" w:sz="0" w:space="0" w:color="auto"/>
          </w:divBdr>
        </w:div>
      </w:divsChild>
    </w:div>
    <w:div w:id="2045249198">
      <w:bodyDiv w:val="1"/>
      <w:marLeft w:val="0"/>
      <w:marRight w:val="0"/>
      <w:marTop w:val="0"/>
      <w:marBottom w:val="0"/>
      <w:divBdr>
        <w:top w:val="none" w:sz="0" w:space="0" w:color="auto"/>
        <w:left w:val="none" w:sz="0" w:space="0" w:color="auto"/>
        <w:bottom w:val="none" w:sz="0" w:space="0" w:color="auto"/>
        <w:right w:val="none" w:sz="0" w:space="0" w:color="auto"/>
      </w:divBdr>
      <w:divsChild>
        <w:div w:id="241986881">
          <w:marLeft w:val="0"/>
          <w:marRight w:val="0"/>
          <w:marTop w:val="0"/>
          <w:marBottom w:val="0"/>
          <w:divBdr>
            <w:top w:val="none" w:sz="0" w:space="0" w:color="auto"/>
            <w:left w:val="none" w:sz="0" w:space="0" w:color="auto"/>
            <w:bottom w:val="none" w:sz="0" w:space="0" w:color="auto"/>
            <w:right w:val="none" w:sz="0" w:space="0" w:color="auto"/>
          </w:divBdr>
        </w:div>
      </w:divsChild>
    </w:div>
    <w:div w:id="2046786851">
      <w:bodyDiv w:val="1"/>
      <w:marLeft w:val="0"/>
      <w:marRight w:val="0"/>
      <w:marTop w:val="0"/>
      <w:marBottom w:val="0"/>
      <w:divBdr>
        <w:top w:val="none" w:sz="0" w:space="0" w:color="auto"/>
        <w:left w:val="none" w:sz="0" w:space="0" w:color="auto"/>
        <w:bottom w:val="none" w:sz="0" w:space="0" w:color="auto"/>
        <w:right w:val="none" w:sz="0" w:space="0" w:color="auto"/>
      </w:divBdr>
      <w:divsChild>
        <w:div w:id="1995259288">
          <w:marLeft w:val="0"/>
          <w:marRight w:val="0"/>
          <w:marTop w:val="0"/>
          <w:marBottom w:val="0"/>
          <w:divBdr>
            <w:top w:val="none" w:sz="0" w:space="0" w:color="auto"/>
            <w:left w:val="none" w:sz="0" w:space="0" w:color="auto"/>
            <w:bottom w:val="none" w:sz="0" w:space="0" w:color="auto"/>
            <w:right w:val="none" w:sz="0" w:space="0" w:color="auto"/>
          </w:divBdr>
        </w:div>
      </w:divsChild>
    </w:div>
    <w:div w:id="2084982986">
      <w:bodyDiv w:val="1"/>
      <w:marLeft w:val="0"/>
      <w:marRight w:val="0"/>
      <w:marTop w:val="0"/>
      <w:marBottom w:val="0"/>
      <w:divBdr>
        <w:top w:val="none" w:sz="0" w:space="0" w:color="auto"/>
        <w:left w:val="none" w:sz="0" w:space="0" w:color="auto"/>
        <w:bottom w:val="none" w:sz="0" w:space="0" w:color="auto"/>
        <w:right w:val="none" w:sz="0" w:space="0" w:color="auto"/>
      </w:divBdr>
      <w:divsChild>
        <w:div w:id="66657742">
          <w:marLeft w:val="0"/>
          <w:marRight w:val="0"/>
          <w:marTop w:val="0"/>
          <w:marBottom w:val="0"/>
          <w:divBdr>
            <w:top w:val="none" w:sz="0" w:space="0" w:color="auto"/>
            <w:left w:val="none" w:sz="0" w:space="0" w:color="auto"/>
            <w:bottom w:val="none" w:sz="0" w:space="0" w:color="auto"/>
            <w:right w:val="none" w:sz="0" w:space="0" w:color="auto"/>
          </w:divBdr>
        </w:div>
      </w:divsChild>
    </w:div>
    <w:div w:id="2134201982">
      <w:bodyDiv w:val="1"/>
      <w:marLeft w:val="0"/>
      <w:marRight w:val="0"/>
      <w:marTop w:val="0"/>
      <w:marBottom w:val="0"/>
      <w:divBdr>
        <w:top w:val="none" w:sz="0" w:space="0" w:color="auto"/>
        <w:left w:val="none" w:sz="0" w:space="0" w:color="auto"/>
        <w:bottom w:val="none" w:sz="0" w:space="0" w:color="auto"/>
        <w:right w:val="none" w:sz="0" w:space="0" w:color="auto"/>
      </w:divBdr>
      <w:divsChild>
        <w:div w:id="107088105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6</TotalTime>
  <Pages>14</Pages>
  <Words>2967</Words>
  <Characters>16915</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19843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Anna Smith (2412596)</dc:creator>
  <cp:keywords/>
  <dc:description/>
  <cp:lastModifiedBy>Anna Smith (Swansea Bay UHB - Veteran Mental Health )</cp:lastModifiedBy>
  <cp:revision>2</cp:revision>
  <dcterms:created xsi:type="dcterms:W3CDTF">2026-03-25T22:51:00Z</dcterms:created>
  <dcterms:modified xsi:type="dcterms:W3CDTF">2026-03-25T22:51:00Z</dcterms:modified>
</cp:coreProperties>
</file>