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59B8C" w14:textId="77777777" w:rsidR="005C1E65" w:rsidRDefault="005C1E65"/>
    <w:p w14:paraId="7AEB578F" w14:textId="77777777" w:rsidR="005C1E65" w:rsidRDefault="005C1E65"/>
    <w:p w14:paraId="3B55CCA9" w14:textId="2C4E9ED8" w:rsidR="005C1E65" w:rsidRDefault="005C1E65">
      <w:r w:rsidRPr="005C1E65">
        <w:drawing>
          <wp:anchor distT="0" distB="0" distL="114300" distR="114300" simplePos="0" relativeHeight="251658240" behindDoc="0" locked="0" layoutInCell="1" allowOverlap="1" wp14:anchorId="15ECB1C9" wp14:editId="769C789F">
            <wp:simplePos x="0" y="0"/>
            <wp:positionH relativeFrom="margin">
              <wp:posOffset>646430</wp:posOffset>
            </wp:positionH>
            <wp:positionV relativeFrom="paragraph">
              <wp:posOffset>5715</wp:posOffset>
            </wp:positionV>
            <wp:extent cx="4434840" cy="1844040"/>
            <wp:effectExtent l="0" t="0" r="3810" b="3810"/>
            <wp:wrapSquare wrapText="bothSides"/>
            <wp:docPr id="521420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4840" cy="1844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E63C9E" w14:textId="5CCF5F2A" w:rsidR="005C1E65" w:rsidRDefault="005C1E65"/>
    <w:p w14:paraId="700ECCFF" w14:textId="7CD06F3F" w:rsidR="005C1E65" w:rsidRDefault="005C1E65"/>
    <w:p w14:paraId="4C91261A" w14:textId="3BC2694E" w:rsidR="005C1E65" w:rsidRDefault="005C1E65"/>
    <w:p w14:paraId="7C62727D" w14:textId="77777777" w:rsidR="00DC7AE0" w:rsidRDefault="00DC7AE0"/>
    <w:p w14:paraId="12559907" w14:textId="77777777" w:rsidR="00DC7AE0" w:rsidRDefault="00DC7AE0"/>
    <w:tbl>
      <w:tblPr>
        <w:tblpPr w:leftFromText="180" w:rightFromText="180" w:vertAnchor="page" w:horzAnchor="margin" w:tblpY="5401"/>
        <w:tblW w:w="95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4"/>
        <w:gridCol w:w="7366"/>
      </w:tblGrid>
      <w:tr w:rsidR="00E85961" w:rsidRPr="005C1E65" w14:paraId="5ECEE771" w14:textId="77777777" w:rsidTr="00E85961">
        <w:trPr>
          <w:trHeight w:val="198"/>
        </w:trPr>
        <w:tc>
          <w:tcPr>
            <w:tcW w:w="2164" w:type="dxa"/>
            <w:tcBorders>
              <w:top w:val="single" w:sz="18" w:space="0" w:color="auto"/>
              <w:left w:val="single" w:sz="18" w:space="0" w:color="auto"/>
              <w:bottom w:val="single" w:sz="6" w:space="0" w:color="auto"/>
              <w:right w:val="single" w:sz="6" w:space="0" w:color="auto"/>
            </w:tcBorders>
            <w:hideMark/>
          </w:tcPr>
          <w:p w14:paraId="5ED23873" w14:textId="77777777" w:rsidR="00E85961" w:rsidRPr="005C1E65" w:rsidRDefault="00E85961" w:rsidP="00E85961">
            <w:r w:rsidRPr="005C1E65">
              <w:rPr>
                <w:b/>
                <w:bCs/>
              </w:rPr>
              <w:t>Student Name:</w:t>
            </w:r>
          </w:p>
        </w:tc>
        <w:tc>
          <w:tcPr>
            <w:tcW w:w="7366" w:type="dxa"/>
            <w:tcBorders>
              <w:top w:val="single" w:sz="18" w:space="0" w:color="auto"/>
              <w:left w:val="single" w:sz="6" w:space="0" w:color="auto"/>
              <w:bottom w:val="single" w:sz="6" w:space="0" w:color="auto"/>
              <w:right w:val="single" w:sz="18" w:space="0" w:color="auto"/>
            </w:tcBorders>
            <w:hideMark/>
          </w:tcPr>
          <w:p w14:paraId="41CC89CA" w14:textId="77777777" w:rsidR="00E85961" w:rsidRPr="005C1E65" w:rsidRDefault="00E85961" w:rsidP="00E85961">
            <w:r w:rsidRPr="005C1E65">
              <w:t>Haris Khan</w:t>
            </w:r>
          </w:p>
        </w:tc>
      </w:tr>
      <w:tr w:rsidR="00E85961" w:rsidRPr="005C1E65" w14:paraId="2750B16F" w14:textId="77777777" w:rsidTr="00E85961">
        <w:trPr>
          <w:trHeight w:val="361"/>
        </w:trPr>
        <w:tc>
          <w:tcPr>
            <w:tcW w:w="2164" w:type="dxa"/>
            <w:tcBorders>
              <w:top w:val="single" w:sz="6" w:space="0" w:color="auto"/>
              <w:left w:val="single" w:sz="18" w:space="0" w:color="auto"/>
              <w:bottom w:val="single" w:sz="6" w:space="0" w:color="auto"/>
              <w:right w:val="single" w:sz="6" w:space="0" w:color="auto"/>
            </w:tcBorders>
            <w:hideMark/>
          </w:tcPr>
          <w:p w14:paraId="4291CAD1" w14:textId="77777777" w:rsidR="00E85961" w:rsidRPr="005C1E65" w:rsidRDefault="00E85961" w:rsidP="00E85961">
            <w:r w:rsidRPr="005C1E65">
              <w:rPr>
                <w:b/>
                <w:bCs/>
              </w:rPr>
              <w:t>Student ID Number:</w:t>
            </w:r>
            <w:r w:rsidRPr="005C1E65">
              <w:t> </w:t>
            </w:r>
          </w:p>
        </w:tc>
        <w:tc>
          <w:tcPr>
            <w:tcW w:w="7366" w:type="dxa"/>
            <w:tcBorders>
              <w:top w:val="single" w:sz="6" w:space="0" w:color="auto"/>
              <w:left w:val="single" w:sz="6" w:space="0" w:color="auto"/>
              <w:bottom w:val="single" w:sz="6" w:space="0" w:color="auto"/>
              <w:right w:val="single" w:sz="18" w:space="0" w:color="auto"/>
            </w:tcBorders>
            <w:hideMark/>
          </w:tcPr>
          <w:p w14:paraId="6E1E9BEC" w14:textId="77777777" w:rsidR="00E85961" w:rsidRPr="005C1E65" w:rsidRDefault="00E85961" w:rsidP="00E85961">
            <w:r w:rsidRPr="005C1E65">
              <w:t>2525297 </w:t>
            </w:r>
          </w:p>
        </w:tc>
      </w:tr>
      <w:tr w:rsidR="00E85961" w:rsidRPr="005C1E65" w14:paraId="1FD55259" w14:textId="77777777" w:rsidTr="00E85961">
        <w:trPr>
          <w:trHeight w:val="361"/>
        </w:trPr>
        <w:tc>
          <w:tcPr>
            <w:tcW w:w="2164" w:type="dxa"/>
            <w:tcBorders>
              <w:top w:val="single" w:sz="6" w:space="0" w:color="auto"/>
              <w:left w:val="single" w:sz="18" w:space="0" w:color="auto"/>
              <w:bottom w:val="single" w:sz="6" w:space="0" w:color="auto"/>
              <w:right w:val="single" w:sz="6" w:space="0" w:color="auto"/>
            </w:tcBorders>
            <w:hideMark/>
          </w:tcPr>
          <w:p w14:paraId="5DB3BD2C" w14:textId="77777777" w:rsidR="00E85961" w:rsidRPr="005C1E65" w:rsidRDefault="00E85961" w:rsidP="00E85961">
            <w:r w:rsidRPr="005C1E65">
              <w:rPr>
                <w:b/>
                <w:bCs/>
              </w:rPr>
              <w:t>Programme:</w:t>
            </w:r>
            <w:r w:rsidRPr="005C1E65">
              <w:t> </w:t>
            </w:r>
          </w:p>
        </w:tc>
        <w:tc>
          <w:tcPr>
            <w:tcW w:w="7366" w:type="dxa"/>
            <w:tcBorders>
              <w:top w:val="single" w:sz="6" w:space="0" w:color="auto"/>
              <w:left w:val="single" w:sz="6" w:space="0" w:color="auto"/>
              <w:bottom w:val="single" w:sz="6" w:space="0" w:color="auto"/>
              <w:right w:val="single" w:sz="18" w:space="0" w:color="auto"/>
            </w:tcBorders>
            <w:hideMark/>
          </w:tcPr>
          <w:p w14:paraId="536D369F" w14:textId="77777777" w:rsidR="00E85961" w:rsidRPr="005C1E65" w:rsidRDefault="00E85961" w:rsidP="00E85961">
            <w:r w:rsidRPr="005C1E65">
              <w:t>Certificate of Higher Education Skills for the Workplace (Health and Social Care) </w:t>
            </w:r>
          </w:p>
        </w:tc>
      </w:tr>
      <w:tr w:rsidR="00E85961" w:rsidRPr="005C1E65" w14:paraId="492A37DB" w14:textId="77777777" w:rsidTr="00E85961">
        <w:trPr>
          <w:trHeight w:val="361"/>
        </w:trPr>
        <w:tc>
          <w:tcPr>
            <w:tcW w:w="2164" w:type="dxa"/>
            <w:tcBorders>
              <w:top w:val="single" w:sz="6" w:space="0" w:color="auto"/>
              <w:left w:val="single" w:sz="18" w:space="0" w:color="auto"/>
              <w:bottom w:val="single" w:sz="6" w:space="0" w:color="auto"/>
              <w:right w:val="single" w:sz="6" w:space="0" w:color="auto"/>
            </w:tcBorders>
            <w:hideMark/>
          </w:tcPr>
          <w:p w14:paraId="55C4D8FA" w14:textId="77777777" w:rsidR="00E85961" w:rsidRPr="005C1E65" w:rsidRDefault="00E85961" w:rsidP="00E85961">
            <w:r w:rsidRPr="005C1E65">
              <w:rPr>
                <w:b/>
                <w:bCs/>
              </w:rPr>
              <w:t>Module Title:</w:t>
            </w:r>
            <w:r w:rsidRPr="005C1E65">
              <w:t> </w:t>
            </w:r>
          </w:p>
        </w:tc>
        <w:tc>
          <w:tcPr>
            <w:tcW w:w="7366" w:type="dxa"/>
            <w:tcBorders>
              <w:top w:val="single" w:sz="6" w:space="0" w:color="auto"/>
              <w:left w:val="single" w:sz="6" w:space="0" w:color="auto"/>
              <w:bottom w:val="single" w:sz="6" w:space="0" w:color="auto"/>
              <w:right w:val="single" w:sz="18" w:space="0" w:color="auto"/>
            </w:tcBorders>
            <w:hideMark/>
          </w:tcPr>
          <w:p w14:paraId="7BC4D4F2" w14:textId="77777777" w:rsidR="00E85961" w:rsidRPr="005C1E65" w:rsidRDefault="00E85961" w:rsidP="00E85961">
            <w:r w:rsidRPr="005C1E65">
              <w:t>Introduction to Public Health </w:t>
            </w:r>
          </w:p>
        </w:tc>
      </w:tr>
      <w:tr w:rsidR="00E85961" w:rsidRPr="005C1E65" w14:paraId="35EEEC1E" w14:textId="77777777" w:rsidTr="00E85961">
        <w:trPr>
          <w:trHeight w:val="361"/>
        </w:trPr>
        <w:tc>
          <w:tcPr>
            <w:tcW w:w="2164" w:type="dxa"/>
            <w:tcBorders>
              <w:top w:val="single" w:sz="6" w:space="0" w:color="auto"/>
              <w:left w:val="single" w:sz="18" w:space="0" w:color="auto"/>
              <w:bottom w:val="single" w:sz="6" w:space="0" w:color="auto"/>
              <w:right w:val="single" w:sz="6" w:space="0" w:color="auto"/>
            </w:tcBorders>
            <w:hideMark/>
          </w:tcPr>
          <w:p w14:paraId="73ADB4C8" w14:textId="77777777" w:rsidR="00E85961" w:rsidRPr="005C1E65" w:rsidRDefault="00E85961" w:rsidP="00E85961">
            <w:r w:rsidRPr="005C1E65">
              <w:rPr>
                <w:b/>
                <w:bCs/>
              </w:rPr>
              <w:t>Module Code:</w:t>
            </w:r>
            <w:r w:rsidRPr="005C1E65">
              <w:t> </w:t>
            </w:r>
          </w:p>
        </w:tc>
        <w:tc>
          <w:tcPr>
            <w:tcW w:w="7366" w:type="dxa"/>
            <w:tcBorders>
              <w:top w:val="single" w:sz="6" w:space="0" w:color="auto"/>
              <w:left w:val="single" w:sz="6" w:space="0" w:color="auto"/>
              <w:bottom w:val="single" w:sz="6" w:space="0" w:color="auto"/>
              <w:right w:val="single" w:sz="18" w:space="0" w:color="auto"/>
            </w:tcBorders>
            <w:hideMark/>
          </w:tcPr>
          <w:p w14:paraId="69FD4FE5" w14:textId="77777777" w:rsidR="00E85961" w:rsidRPr="005C1E65" w:rsidRDefault="00E85961" w:rsidP="00E85961">
            <w:r w:rsidRPr="005C1E65">
              <w:t>LCHS4008 </w:t>
            </w:r>
          </w:p>
        </w:tc>
      </w:tr>
      <w:tr w:rsidR="00E85961" w:rsidRPr="005C1E65" w14:paraId="4DF0B7E0" w14:textId="77777777" w:rsidTr="00E85961">
        <w:trPr>
          <w:trHeight w:val="361"/>
        </w:trPr>
        <w:tc>
          <w:tcPr>
            <w:tcW w:w="2164" w:type="dxa"/>
            <w:tcBorders>
              <w:top w:val="single" w:sz="6" w:space="0" w:color="auto"/>
              <w:left w:val="single" w:sz="18" w:space="0" w:color="auto"/>
              <w:bottom w:val="single" w:sz="6" w:space="0" w:color="auto"/>
              <w:right w:val="single" w:sz="6" w:space="0" w:color="auto"/>
            </w:tcBorders>
            <w:hideMark/>
          </w:tcPr>
          <w:p w14:paraId="29E51244" w14:textId="77777777" w:rsidR="00E85961" w:rsidRPr="005C1E65" w:rsidRDefault="00E85961" w:rsidP="00E85961">
            <w:r w:rsidRPr="005C1E65">
              <w:rPr>
                <w:b/>
                <w:bCs/>
              </w:rPr>
              <w:t>Lecturer:</w:t>
            </w:r>
            <w:r w:rsidRPr="005C1E65">
              <w:t> </w:t>
            </w:r>
          </w:p>
        </w:tc>
        <w:tc>
          <w:tcPr>
            <w:tcW w:w="7366" w:type="dxa"/>
            <w:tcBorders>
              <w:top w:val="single" w:sz="6" w:space="0" w:color="auto"/>
              <w:left w:val="single" w:sz="6" w:space="0" w:color="auto"/>
              <w:bottom w:val="single" w:sz="6" w:space="0" w:color="auto"/>
              <w:right w:val="single" w:sz="18" w:space="0" w:color="auto"/>
            </w:tcBorders>
            <w:hideMark/>
          </w:tcPr>
          <w:p w14:paraId="53FA8C99" w14:textId="77777777" w:rsidR="00E85961" w:rsidRPr="005C1E65" w:rsidRDefault="00E85961" w:rsidP="00E85961">
            <w:r w:rsidRPr="005C1E65">
              <w:t>Mumtaz Goolam </w:t>
            </w:r>
          </w:p>
        </w:tc>
      </w:tr>
      <w:tr w:rsidR="00E85961" w:rsidRPr="005C1E65" w14:paraId="21F25411" w14:textId="77777777" w:rsidTr="00E85961">
        <w:trPr>
          <w:trHeight w:val="361"/>
        </w:trPr>
        <w:tc>
          <w:tcPr>
            <w:tcW w:w="2164" w:type="dxa"/>
            <w:tcBorders>
              <w:top w:val="single" w:sz="6" w:space="0" w:color="auto"/>
              <w:left w:val="single" w:sz="18" w:space="0" w:color="auto"/>
              <w:bottom w:val="single" w:sz="18" w:space="0" w:color="auto"/>
              <w:right w:val="single" w:sz="6" w:space="0" w:color="auto"/>
            </w:tcBorders>
            <w:hideMark/>
          </w:tcPr>
          <w:p w14:paraId="26CAF49A" w14:textId="77777777" w:rsidR="00E85961" w:rsidRPr="005C1E65" w:rsidRDefault="00E85961" w:rsidP="00E85961">
            <w:r w:rsidRPr="005C1E65">
              <w:rPr>
                <w:b/>
                <w:bCs/>
              </w:rPr>
              <w:t>Assignment Title:</w:t>
            </w:r>
            <w:r w:rsidRPr="005C1E65">
              <w:t> </w:t>
            </w:r>
          </w:p>
        </w:tc>
        <w:tc>
          <w:tcPr>
            <w:tcW w:w="7366" w:type="dxa"/>
            <w:tcBorders>
              <w:top w:val="single" w:sz="6" w:space="0" w:color="auto"/>
              <w:left w:val="single" w:sz="6" w:space="0" w:color="auto"/>
              <w:bottom w:val="single" w:sz="18" w:space="0" w:color="auto"/>
              <w:right w:val="single" w:sz="18" w:space="0" w:color="auto"/>
            </w:tcBorders>
            <w:hideMark/>
          </w:tcPr>
          <w:p w14:paraId="531684D2" w14:textId="77777777" w:rsidR="00E85961" w:rsidRPr="005C1E65" w:rsidRDefault="00E85961" w:rsidP="00E85961">
            <w:r w:rsidRPr="005C1E65">
              <w:t>Assessment 2 - Report on a Health Issue </w:t>
            </w:r>
          </w:p>
        </w:tc>
      </w:tr>
    </w:tbl>
    <w:p w14:paraId="09DC8BA7" w14:textId="77777777" w:rsidR="00DC7AE0" w:rsidRDefault="00DC7AE0"/>
    <w:p w14:paraId="2E4C6D0C" w14:textId="77777777" w:rsidR="00DC7AE0" w:rsidRPr="00DC7AE0" w:rsidRDefault="00DC7AE0" w:rsidP="00DC7AE0">
      <w:pPr>
        <w:rPr>
          <w:b/>
          <w:bCs/>
          <w:sz w:val="72"/>
          <w:szCs w:val="72"/>
          <w:u w:val="single"/>
        </w:rPr>
      </w:pPr>
      <w:r w:rsidRPr="00DC7AE0">
        <w:rPr>
          <w:b/>
          <w:bCs/>
          <w:sz w:val="72"/>
          <w:szCs w:val="72"/>
          <w:u w:val="single"/>
        </w:rPr>
        <w:t>Table of Contents</w:t>
      </w:r>
    </w:p>
    <w:p w14:paraId="31DF233B" w14:textId="0D8679F8" w:rsidR="00DC7AE0" w:rsidRPr="00A9198A" w:rsidRDefault="00DC7AE0" w:rsidP="00A9198A">
      <w:pPr>
        <w:numPr>
          <w:ilvl w:val="0"/>
          <w:numId w:val="1"/>
        </w:numPr>
        <w:rPr>
          <w:rFonts w:ascii="Arial" w:hAnsi="Arial" w:cs="Arial"/>
        </w:rPr>
      </w:pPr>
      <w:r w:rsidRPr="00DC7AE0">
        <w:rPr>
          <w:rFonts w:ascii="Arial" w:hAnsi="Arial" w:cs="Arial"/>
        </w:rPr>
        <w:t>Introduction........................................................................</w:t>
      </w:r>
      <w:r w:rsidR="00A9198A">
        <w:rPr>
          <w:rFonts w:ascii="Arial" w:hAnsi="Arial" w:cs="Arial"/>
        </w:rPr>
        <w:t>2</w:t>
      </w:r>
    </w:p>
    <w:p w14:paraId="58576473" w14:textId="22BD9DBF" w:rsidR="00DC7AE0" w:rsidRPr="00DC7AE0" w:rsidRDefault="00A9198A" w:rsidP="00DC7AE0">
      <w:pPr>
        <w:rPr>
          <w:rFonts w:ascii="Arial" w:hAnsi="Arial" w:cs="Arial"/>
        </w:rPr>
      </w:pPr>
      <w:r>
        <w:rPr>
          <w:rFonts w:ascii="Arial" w:hAnsi="Arial" w:cs="Arial"/>
        </w:rPr>
        <w:t xml:space="preserve">      </w:t>
      </w:r>
      <w:r w:rsidR="00DC7AE0" w:rsidRPr="00DC7AE0">
        <w:rPr>
          <w:rFonts w:ascii="Arial" w:hAnsi="Arial" w:cs="Arial"/>
        </w:rPr>
        <w:t>2.1 Different Approaches Used to Measure and Monitor Polio........</w:t>
      </w:r>
      <w:r>
        <w:rPr>
          <w:rFonts w:ascii="Arial" w:hAnsi="Arial" w:cs="Arial"/>
        </w:rPr>
        <w:t>2-3</w:t>
      </w:r>
    </w:p>
    <w:p w14:paraId="2BB57DB3" w14:textId="746F9C11" w:rsidR="00DC7AE0" w:rsidRPr="00DC7AE0" w:rsidRDefault="00A9198A" w:rsidP="00DC7AE0">
      <w:pPr>
        <w:rPr>
          <w:rFonts w:ascii="Arial" w:hAnsi="Arial" w:cs="Arial"/>
        </w:rPr>
      </w:pPr>
      <w:r>
        <w:rPr>
          <w:rFonts w:ascii="Arial" w:hAnsi="Arial" w:cs="Arial"/>
        </w:rPr>
        <w:t xml:space="preserve">      </w:t>
      </w:r>
      <w:r w:rsidR="00DC7AE0" w:rsidRPr="00DC7AE0">
        <w:rPr>
          <w:rFonts w:ascii="Arial" w:hAnsi="Arial" w:cs="Arial"/>
        </w:rPr>
        <w:t>2.2 Control of Polio...............................................................</w:t>
      </w:r>
      <w:r>
        <w:rPr>
          <w:rFonts w:ascii="Arial" w:hAnsi="Arial" w:cs="Arial"/>
        </w:rPr>
        <w:t>3-4</w:t>
      </w:r>
    </w:p>
    <w:p w14:paraId="6CA40169" w14:textId="78C32BA3" w:rsidR="00DC7AE0" w:rsidRPr="00DC7AE0" w:rsidRDefault="00A9198A" w:rsidP="00DC7AE0">
      <w:pPr>
        <w:rPr>
          <w:rFonts w:ascii="Arial" w:hAnsi="Arial" w:cs="Arial"/>
        </w:rPr>
      </w:pPr>
      <w:r>
        <w:rPr>
          <w:rFonts w:ascii="Arial" w:hAnsi="Arial" w:cs="Arial"/>
        </w:rPr>
        <w:t xml:space="preserve">      </w:t>
      </w:r>
      <w:r w:rsidR="00DC7AE0" w:rsidRPr="00DC7AE0">
        <w:rPr>
          <w:rFonts w:ascii="Arial" w:hAnsi="Arial" w:cs="Arial"/>
        </w:rPr>
        <w:t>2.3 Consequences of Polio on People in the Community...............</w:t>
      </w:r>
      <w:r>
        <w:rPr>
          <w:rFonts w:ascii="Arial" w:hAnsi="Arial" w:cs="Arial"/>
        </w:rPr>
        <w:t>4</w:t>
      </w:r>
    </w:p>
    <w:p w14:paraId="6AD6FAA0" w14:textId="726E08F8" w:rsidR="00DC7AE0" w:rsidRPr="00DC7AE0" w:rsidRDefault="00A9198A" w:rsidP="00DC7AE0">
      <w:pPr>
        <w:rPr>
          <w:rFonts w:ascii="Arial" w:hAnsi="Arial" w:cs="Arial"/>
        </w:rPr>
      </w:pPr>
      <w:r>
        <w:rPr>
          <w:rFonts w:ascii="Arial" w:hAnsi="Arial" w:cs="Arial"/>
        </w:rPr>
        <w:t xml:space="preserve">      </w:t>
      </w:r>
      <w:r w:rsidR="00DC7AE0" w:rsidRPr="00DC7AE0">
        <w:rPr>
          <w:rFonts w:ascii="Arial" w:hAnsi="Arial" w:cs="Arial"/>
        </w:rPr>
        <w:t>2.4 Health and Social Care Support Services.............................</w:t>
      </w:r>
      <w:r>
        <w:rPr>
          <w:rFonts w:ascii="Arial" w:hAnsi="Arial" w:cs="Arial"/>
        </w:rPr>
        <w:t>5</w:t>
      </w:r>
    </w:p>
    <w:p w14:paraId="5459B21A" w14:textId="025AFC92" w:rsidR="00DC7AE0" w:rsidRPr="00DC7AE0" w:rsidRDefault="00DC7AE0" w:rsidP="00DC7AE0">
      <w:pPr>
        <w:numPr>
          <w:ilvl w:val="0"/>
          <w:numId w:val="2"/>
        </w:numPr>
        <w:rPr>
          <w:rFonts w:ascii="Arial" w:hAnsi="Arial" w:cs="Arial"/>
        </w:rPr>
      </w:pPr>
      <w:r w:rsidRPr="00DC7AE0">
        <w:rPr>
          <w:rFonts w:ascii="Arial" w:hAnsi="Arial" w:cs="Arial"/>
        </w:rPr>
        <w:t>Conclusion.......................................................................</w:t>
      </w:r>
      <w:r w:rsidR="00A9198A">
        <w:rPr>
          <w:rFonts w:ascii="Arial" w:hAnsi="Arial" w:cs="Arial"/>
        </w:rPr>
        <w:t>6</w:t>
      </w:r>
    </w:p>
    <w:p w14:paraId="10127188" w14:textId="779824DC" w:rsidR="00DC7AE0" w:rsidRPr="00DC7AE0" w:rsidRDefault="00DC7AE0" w:rsidP="00DC7AE0">
      <w:pPr>
        <w:numPr>
          <w:ilvl w:val="0"/>
          <w:numId w:val="2"/>
        </w:numPr>
        <w:rPr>
          <w:rFonts w:ascii="Arial" w:hAnsi="Arial" w:cs="Arial"/>
        </w:rPr>
      </w:pPr>
      <w:r w:rsidRPr="00DC7AE0">
        <w:rPr>
          <w:rFonts w:ascii="Arial" w:hAnsi="Arial" w:cs="Arial"/>
        </w:rPr>
        <w:t>References.......................................................................</w:t>
      </w:r>
      <w:r w:rsidR="00A9198A">
        <w:rPr>
          <w:rFonts w:ascii="Arial" w:hAnsi="Arial" w:cs="Arial"/>
        </w:rPr>
        <w:t>7</w:t>
      </w:r>
    </w:p>
    <w:p w14:paraId="5EB79D40" w14:textId="77777777" w:rsidR="00A9198A" w:rsidRDefault="00A9198A" w:rsidP="00DC7AE0">
      <w:pPr>
        <w:rPr>
          <w:rFonts w:ascii="Arial" w:hAnsi="Arial" w:cs="Arial"/>
          <w:b/>
          <w:bCs/>
          <w:u w:val="single"/>
        </w:rPr>
      </w:pPr>
    </w:p>
    <w:p w14:paraId="2690E38D" w14:textId="22CAF221" w:rsidR="00DC7AE0" w:rsidRPr="00A9198A" w:rsidRDefault="00DC7AE0" w:rsidP="00DC7AE0">
      <w:pPr>
        <w:rPr>
          <w:rFonts w:ascii="Arial" w:hAnsi="Arial" w:cs="Arial"/>
          <w:b/>
          <w:bCs/>
          <w:u w:val="single"/>
        </w:rPr>
      </w:pPr>
      <w:r w:rsidRPr="00A9198A">
        <w:rPr>
          <w:rFonts w:ascii="Arial" w:hAnsi="Arial" w:cs="Arial"/>
          <w:b/>
          <w:bCs/>
          <w:u w:val="single"/>
        </w:rPr>
        <w:lastRenderedPageBreak/>
        <w:t>Introduction</w:t>
      </w:r>
    </w:p>
    <w:p w14:paraId="115F6680" w14:textId="43FBECF4" w:rsidR="00DF5E55" w:rsidRPr="00A9198A" w:rsidRDefault="00E85961" w:rsidP="00E85961">
      <w:pPr>
        <w:rPr>
          <w:rFonts w:ascii="Arial" w:hAnsi="Arial" w:cs="Arial"/>
        </w:rPr>
      </w:pPr>
      <w:r w:rsidRPr="00A9198A">
        <w:rPr>
          <w:rFonts w:ascii="Arial" w:hAnsi="Arial" w:cs="Arial"/>
        </w:rPr>
        <w:t>Poliomyelitis (polio) is a highly infectious viral disease caused by the poliovirus that primarily affects the nervous system. The virus spreads mainly through the faecal-oral route, particularly in areas with poor sanitation or contaminated water, although person-to-person transmission can also occur (World Health Organi</w:t>
      </w:r>
      <w:r w:rsidRPr="00A9198A">
        <w:rPr>
          <w:rFonts w:ascii="Arial" w:hAnsi="Arial" w:cs="Arial"/>
        </w:rPr>
        <w:t>s</w:t>
      </w:r>
      <w:r w:rsidRPr="00A9198A">
        <w:rPr>
          <w:rFonts w:ascii="Arial" w:hAnsi="Arial" w:cs="Arial"/>
        </w:rPr>
        <w:t>ation (WHO), 2024). While most people infected with poliovirus experience mild symptoms or remain asymptomatic, a small proportion develop irreversible paralysis, which can affect the limbs and, in severe cases, the muscles used for breathing (Centr</w:t>
      </w:r>
      <w:r w:rsidRPr="00A9198A">
        <w:rPr>
          <w:rFonts w:ascii="Arial" w:hAnsi="Arial" w:cs="Arial"/>
        </w:rPr>
        <w:t>e</w:t>
      </w:r>
      <w:r w:rsidRPr="00A9198A">
        <w:rPr>
          <w:rFonts w:ascii="Arial" w:hAnsi="Arial" w:cs="Arial"/>
        </w:rPr>
        <w:t>s for Disease Control and Prevention (CDC), 2024). Since the launch of the Global Polio Eradication Initiative (GPEI) in 1988, global cases have declined by more than 99%, although wild poliovirus remains endemic in Afghanistan and Pakistan (GPEI, 2024). In the United Kingdom, the detection of vaccine-derived poliovirus in London wastewater during 2022 highlighted the importance of maintaining high vaccination coverage and effective disease surveillance (UK Health Security Agency (UKHSA), 2023). This report examines how polio is measured and monitored, the strategies used to control its spread, its impact on individuals and communities, and the health and social care services available to support those affected.</w:t>
      </w:r>
    </w:p>
    <w:p w14:paraId="682DA5CC" w14:textId="77777777" w:rsidR="00C2372A" w:rsidRDefault="00C2372A" w:rsidP="00DF5E55">
      <w:pPr>
        <w:tabs>
          <w:tab w:val="left" w:pos="2172"/>
        </w:tabs>
        <w:rPr>
          <w:rFonts w:ascii="Arial" w:hAnsi="Arial" w:cs="Arial"/>
          <w:sz w:val="22"/>
          <w:szCs w:val="22"/>
        </w:rPr>
      </w:pPr>
    </w:p>
    <w:p w14:paraId="50EA23B8" w14:textId="77777777" w:rsidR="00E85961" w:rsidRPr="00A9198A" w:rsidRDefault="00E85961" w:rsidP="00E85961">
      <w:pPr>
        <w:tabs>
          <w:tab w:val="left" w:pos="2172"/>
        </w:tabs>
        <w:rPr>
          <w:rFonts w:ascii="Arial" w:hAnsi="Arial" w:cs="Arial"/>
          <w:b/>
          <w:bCs/>
        </w:rPr>
      </w:pPr>
      <w:r w:rsidRPr="00A9198A">
        <w:rPr>
          <w:rFonts w:ascii="Arial" w:hAnsi="Arial" w:cs="Arial"/>
          <w:b/>
          <w:bCs/>
        </w:rPr>
        <w:t>2.1 Measuring and Monitoring Polio</w:t>
      </w:r>
    </w:p>
    <w:p w14:paraId="41693AC3" w14:textId="6F63A266" w:rsidR="00E85961" w:rsidRPr="00A9198A" w:rsidRDefault="00E85961" w:rsidP="00E85961">
      <w:pPr>
        <w:tabs>
          <w:tab w:val="left" w:pos="2172"/>
        </w:tabs>
        <w:rPr>
          <w:rFonts w:ascii="Arial" w:hAnsi="Arial" w:cs="Arial"/>
        </w:rPr>
      </w:pPr>
      <w:r w:rsidRPr="00A9198A">
        <w:rPr>
          <w:rFonts w:ascii="Arial" w:hAnsi="Arial" w:cs="Arial"/>
        </w:rPr>
        <w:t>Measuring and monitoring polio is essential for identifying cases, tracking virus transmission and supporting global eradication efforts. Surveillance systems enable public health organisations to detect outbreaks quickly, assess vaccination coverage and implement appropriate control measures (World Health Organi</w:t>
      </w:r>
      <w:r w:rsidRPr="00A9198A">
        <w:rPr>
          <w:rFonts w:ascii="Arial" w:hAnsi="Arial" w:cs="Arial"/>
        </w:rPr>
        <w:t>s</w:t>
      </w:r>
      <w:r w:rsidRPr="00A9198A">
        <w:rPr>
          <w:rFonts w:ascii="Arial" w:hAnsi="Arial" w:cs="Arial"/>
        </w:rPr>
        <w:t>ation (WHO), 2024). Although the United Kingdom has been polio-free since 2003, ongoing surveillance remains necessary because international travel and migration increase the risk of imported cases and vaccine-derived poliovirus (UK Health Security Agency (UKHSA), 2023).</w:t>
      </w:r>
    </w:p>
    <w:p w14:paraId="7D001A69" w14:textId="77777777" w:rsidR="00E85961" w:rsidRPr="00A9198A" w:rsidRDefault="00E85961" w:rsidP="00E85961">
      <w:pPr>
        <w:tabs>
          <w:tab w:val="left" w:pos="2172"/>
        </w:tabs>
        <w:rPr>
          <w:rFonts w:ascii="Arial" w:hAnsi="Arial" w:cs="Arial"/>
        </w:rPr>
      </w:pPr>
      <w:r w:rsidRPr="00A9198A">
        <w:rPr>
          <w:rFonts w:ascii="Arial" w:hAnsi="Arial" w:cs="Arial"/>
        </w:rPr>
        <w:t>One of the primary methods used to monitor polio is Acute Flaccid Paralysis (AFP) surveillance. AFP surveillance requires healthcare professionals to investigate all cases of sudden paralysis in children under 15 years of age, as paralysis is the most recognisable symptom of poliomyelitis. Stool samples are collected from suspected cases and analysed in specialised laboratories to confirm whether poliovirus is present and identify the specific strain (Global Polio Eradication Initiative (GPEI), 2024). Although fewer than 1% of infections result in paralysis, AFP surveillance remains the international standard because it enables rapid detection and response to potential outbreaks (Nathanson and Kew, 2010).</w:t>
      </w:r>
    </w:p>
    <w:p w14:paraId="08022A9B" w14:textId="77777777" w:rsidR="00E85961" w:rsidRPr="00A9198A" w:rsidRDefault="00E85961" w:rsidP="00E85961">
      <w:pPr>
        <w:tabs>
          <w:tab w:val="left" w:pos="2172"/>
        </w:tabs>
        <w:rPr>
          <w:rFonts w:ascii="Arial" w:hAnsi="Arial" w:cs="Arial"/>
        </w:rPr>
      </w:pPr>
      <w:r w:rsidRPr="00A9198A">
        <w:rPr>
          <w:rFonts w:ascii="Arial" w:hAnsi="Arial" w:cs="Arial"/>
        </w:rPr>
        <w:t xml:space="preserve">Environmental surveillance has become an increasingly valuable tool in recent years. This involves testing wastewater and sewage samples for poliovirus, allowing public health authorities to detect the virus even when infected individuals show no symptoms. The importance of this approach was demonstrated in 2022 when </w:t>
      </w:r>
      <w:r w:rsidRPr="00A9198A">
        <w:rPr>
          <w:rFonts w:ascii="Arial" w:hAnsi="Arial" w:cs="Arial"/>
        </w:rPr>
        <w:lastRenderedPageBreak/>
        <w:t>vaccine-derived poliovirus was detected in sewage samples from North and East London. This prompted UKHSA to increase surveillance and introduce targeted vaccination campaigns to reduce the risk of community transmission (UKHSA, 2023).</w:t>
      </w:r>
    </w:p>
    <w:p w14:paraId="5629248B" w14:textId="77777777" w:rsidR="00E85961" w:rsidRPr="00A9198A" w:rsidRDefault="00E85961" w:rsidP="00E85961">
      <w:pPr>
        <w:tabs>
          <w:tab w:val="left" w:pos="2172"/>
        </w:tabs>
        <w:rPr>
          <w:rFonts w:ascii="Arial" w:hAnsi="Arial" w:cs="Arial"/>
        </w:rPr>
      </w:pPr>
      <w:r w:rsidRPr="00A9198A">
        <w:rPr>
          <w:rFonts w:ascii="Arial" w:hAnsi="Arial" w:cs="Arial"/>
        </w:rPr>
        <w:t>In addition to surveillance, monitoring routine vaccination uptake through NHS immunisation records helps identify areas with lower vaccine coverage. This enables targeted public health interventions to improve immunisation rates and maintain herd immunity (NHS England, 2024). Together, AFP surveillance, environmental monitoring and vaccination data provide a comprehensive system for detecting poliovirus early and preventing outbreaks, demonstrating the importance of continuous monitoring even in countries where polio has been eliminated.</w:t>
      </w:r>
    </w:p>
    <w:p w14:paraId="4505C6F4" w14:textId="77777777" w:rsidR="00043D51" w:rsidRDefault="00043D51" w:rsidP="00DF5E55">
      <w:pPr>
        <w:tabs>
          <w:tab w:val="left" w:pos="2172"/>
        </w:tabs>
        <w:rPr>
          <w:rFonts w:ascii="Arial" w:hAnsi="Arial" w:cs="Arial"/>
          <w:sz w:val="22"/>
          <w:szCs w:val="22"/>
        </w:rPr>
      </w:pPr>
    </w:p>
    <w:p w14:paraId="4B722F1F" w14:textId="77777777" w:rsidR="00E85961" w:rsidRPr="00A9198A" w:rsidRDefault="00E85961" w:rsidP="00E85961">
      <w:pPr>
        <w:tabs>
          <w:tab w:val="left" w:pos="2172"/>
        </w:tabs>
        <w:rPr>
          <w:rFonts w:ascii="Arial" w:hAnsi="Arial" w:cs="Arial"/>
          <w:b/>
          <w:bCs/>
        </w:rPr>
      </w:pPr>
      <w:r w:rsidRPr="00A9198A">
        <w:rPr>
          <w:rFonts w:ascii="Arial" w:hAnsi="Arial" w:cs="Arial"/>
          <w:b/>
          <w:bCs/>
        </w:rPr>
        <w:t>2.2 Controlling Polio</w:t>
      </w:r>
    </w:p>
    <w:p w14:paraId="76868835" w14:textId="44A3051C" w:rsidR="00E85961" w:rsidRPr="00A9198A" w:rsidRDefault="00E85961" w:rsidP="00E85961">
      <w:pPr>
        <w:tabs>
          <w:tab w:val="left" w:pos="2172"/>
        </w:tabs>
        <w:rPr>
          <w:rFonts w:ascii="Arial" w:hAnsi="Arial" w:cs="Arial"/>
        </w:rPr>
      </w:pPr>
      <w:r w:rsidRPr="00A9198A">
        <w:rPr>
          <w:rFonts w:ascii="Arial" w:hAnsi="Arial" w:cs="Arial"/>
        </w:rPr>
        <w:t xml:space="preserve">The most effective method of controlling polio is through routine vaccination, supported by surveillance, public health education and rapid outbreak response. As there is no cure for poliomyelitis, preventing infection is the primary aim of public health strategies. The Global Polio Eradication Initiative (GPEI), launched in 1988, has contributed to a reduction of more than 99% in wild poliovirus cases worldwide through coordinated vaccination campaigns and international collaboration (World Health </w:t>
      </w:r>
      <w:r w:rsidRPr="00A9198A">
        <w:rPr>
          <w:rFonts w:ascii="Arial" w:hAnsi="Arial" w:cs="Arial"/>
        </w:rPr>
        <w:t>Organisation</w:t>
      </w:r>
      <w:r w:rsidRPr="00A9198A">
        <w:rPr>
          <w:rFonts w:ascii="Arial" w:hAnsi="Arial" w:cs="Arial"/>
        </w:rPr>
        <w:t xml:space="preserve"> (WHO), 2024; GPEI, 2024).</w:t>
      </w:r>
    </w:p>
    <w:p w14:paraId="22245231" w14:textId="66198216" w:rsidR="00E85961" w:rsidRPr="00A9198A" w:rsidRDefault="00E85961" w:rsidP="00E85961">
      <w:pPr>
        <w:tabs>
          <w:tab w:val="left" w:pos="2172"/>
        </w:tabs>
        <w:rPr>
          <w:rFonts w:ascii="Arial" w:hAnsi="Arial" w:cs="Arial"/>
        </w:rPr>
      </w:pPr>
      <w:r w:rsidRPr="00A9198A">
        <w:rPr>
          <w:rFonts w:ascii="Arial" w:hAnsi="Arial" w:cs="Arial"/>
        </w:rPr>
        <w:t>In the United Kingdom, children are routinely vaccinated against polio through the NHS childhood immunisation programme using the Inactivated Polio Vaccine (IPV). IPV contains a killed virus, meaning it cannot cause the disease while stimulating the immune system to produce protective antibodies (NHS England, 2024). In countries where poliovirus continues to circulate, the Oral Polio Vaccine (OPV) is often used because it is inexpensive, easy to administer and provides strong intestinal immunity, helping to interrupt transmission (</w:t>
      </w:r>
      <w:r w:rsidRPr="00A9198A">
        <w:rPr>
          <w:rFonts w:ascii="Arial" w:hAnsi="Arial" w:cs="Arial"/>
        </w:rPr>
        <w:t>Centres</w:t>
      </w:r>
      <w:r w:rsidRPr="00A9198A">
        <w:rPr>
          <w:rFonts w:ascii="Arial" w:hAnsi="Arial" w:cs="Arial"/>
        </w:rPr>
        <w:t xml:space="preserve"> for Disease Control and Prevention (CDC), 2024). However, in communities with low vaccination coverage, the weakened virus contained in OPV can rarely mutate and result in circulating vaccine-derived poliovirus (cVDPV), reinforcing the importance of maintaining high immunisation rates (WHO, 2024).</w:t>
      </w:r>
    </w:p>
    <w:p w14:paraId="6671DBDE" w14:textId="77777777" w:rsidR="00E85961" w:rsidRPr="00A9198A" w:rsidRDefault="00E85961" w:rsidP="00E85961">
      <w:pPr>
        <w:tabs>
          <w:tab w:val="left" w:pos="2172"/>
        </w:tabs>
        <w:rPr>
          <w:rFonts w:ascii="Arial" w:hAnsi="Arial" w:cs="Arial"/>
        </w:rPr>
      </w:pPr>
      <w:r w:rsidRPr="00A9198A">
        <w:rPr>
          <w:rFonts w:ascii="Arial" w:hAnsi="Arial" w:cs="Arial"/>
        </w:rPr>
        <w:t>Health promotion also plays an essential role in controlling polio. Public awareness campaigns delivered through healthcare providers, schools and community organisations educate parents about the safety and benefits of vaccination while addressing misinformation that may contribute to vaccine hesitancy (UK Health Security Agency (UKHSA), 2023). High vaccination uptake creates herd immunity, reducing the likelihood of virus transmission and protecting vulnerable individuals who cannot be vaccinated (Fine, Eames and Heymann, 2011).</w:t>
      </w:r>
    </w:p>
    <w:p w14:paraId="390CCB16" w14:textId="77777777" w:rsidR="00E85961" w:rsidRPr="00A9198A" w:rsidRDefault="00E85961" w:rsidP="00E85961">
      <w:pPr>
        <w:tabs>
          <w:tab w:val="left" w:pos="2172"/>
        </w:tabs>
        <w:rPr>
          <w:rFonts w:ascii="Arial" w:hAnsi="Arial" w:cs="Arial"/>
        </w:rPr>
      </w:pPr>
      <w:r w:rsidRPr="00A9198A">
        <w:rPr>
          <w:rFonts w:ascii="Arial" w:hAnsi="Arial" w:cs="Arial"/>
        </w:rPr>
        <w:t xml:space="preserve">Rapid public health action is equally important when poliovirus is detected. Following the identification of vaccine-derived poliovirus in London wastewater in 2022, </w:t>
      </w:r>
      <w:r w:rsidRPr="00A9198A">
        <w:rPr>
          <w:rFonts w:ascii="Arial" w:hAnsi="Arial" w:cs="Arial"/>
        </w:rPr>
        <w:lastRenderedPageBreak/>
        <w:t>UKHSA implemented enhanced surveillance and targeted booster vaccination campaigns in affected areas to minimise the risk of transmission (UKHSA, 2023). This demonstrates that successful control of polio depends on vaccination, effective surveillance and continued public engagement working together to protect population health.</w:t>
      </w:r>
    </w:p>
    <w:p w14:paraId="7EADCD90" w14:textId="77777777" w:rsidR="00043D51" w:rsidRPr="00A9198A" w:rsidRDefault="00043D51" w:rsidP="00DF5E55">
      <w:pPr>
        <w:tabs>
          <w:tab w:val="left" w:pos="2172"/>
        </w:tabs>
        <w:rPr>
          <w:rFonts w:ascii="Arial" w:hAnsi="Arial" w:cs="Arial"/>
        </w:rPr>
      </w:pPr>
    </w:p>
    <w:p w14:paraId="62F546FD" w14:textId="77777777" w:rsidR="007F4820" w:rsidRPr="00A9198A" w:rsidRDefault="007F4820" w:rsidP="007F4820">
      <w:pPr>
        <w:tabs>
          <w:tab w:val="left" w:pos="2172"/>
        </w:tabs>
        <w:rPr>
          <w:rFonts w:ascii="Arial" w:hAnsi="Arial" w:cs="Arial"/>
          <w:b/>
          <w:bCs/>
        </w:rPr>
      </w:pPr>
      <w:r w:rsidRPr="00A9198A">
        <w:rPr>
          <w:rFonts w:ascii="Arial" w:hAnsi="Arial" w:cs="Arial"/>
          <w:b/>
          <w:bCs/>
        </w:rPr>
        <w:t>2.3 Consequences of Polio on Individuals and the Community</w:t>
      </w:r>
    </w:p>
    <w:p w14:paraId="76B14AEC" w14:textId="27335729" w:rsidR="007F4820" w:rsidRPr="00A9198A" w:rsidRDefault="007F4820" w:rsidP="007F4820">
      <w:pPr>
        <w:tabs>
          <w:tab w:val="left" w:pos="2172"/>
        </w:tabs>
        <w:rPr>
          <w:rFonts w:ascii="Arial" w:hAnsi="Arial" w:cs="Arial"/>
        </w:rPr>
      </w:pPr>
      <w:r w:rsidRPr="00A9198A">
        <w:rPr>
          <w:rFonts w:ascii="Arial" w:hAnsi="Arial" w:cs="Arial"/>
        </w:rPr>
        <w:t xml:space="preserve">Polio can have significant long-term consequences for individuals, families and wider society. Although most people infected with poliovirus experience mild symptoms or no symptoms at all, a small proportion develop permanent paralysis due to damage to the motor neurons in the spinal cord (World Health </w:t>
      </w:r>
      <w:r w:rsidRPr="00A9198A">
        <w:rPr>
          <w:rFonts w:ascii="Arial" w:hAnsi="Arial" w:cs="Arial"/>
        </w:rPr>
        <w:t>Organisation</w:t>
      </w:r>
      <w:r w:rsidRPr="00A9198A">
        <w:rPr>
          <w:rFonts w:ascii="Arial" w:hAnsi="Arial" w:cs="Arial"/>
        </w:rPr>
        <w:t xml:space="preserve"> (WHO), 2024). Paralysis most commonly affects the legs but can also involve the muscles responsible for breathing and swallowing, leading to life-threatening complications. Individuals with permanent disabilities may require lifelong rehabilitation, mobility aids and support to maintain their independence (</w:t>
      </w:r>
      <w:r w:rsidRPr="00A9198A">
        <w:rPr>
          <w:rFonts w:ascii="Arial" w:hAnsi="Arial" w:cs="Arial"/>
        </w:rPr>
        <w:t>Centres</w:t>
      </w:r>
      <w:r w:rsidRPr="00A9198A">
        <w:rPr>
          <w:rFonts w:ascii="Arial" w:hAnsi="Arial" w:cs="Arial"/>
        </w:rPr>
        <w:t xml:space="preserve"> for Disease Control and Prevention (CDC), 2024).</w:t>
      </w:r>
    </w:p>
    <w:p w14:paraId="0A9438F9" w14:textId="0E2E19DB" w:rsidR="007F4820" w:rsidRPr="00A9198A" w:rsidRDefault="007F4820" w:rsidP="007F4820">
      <w:pPr>
        <w:tabs>
          <w:tab w:val="left" w:pos="2172"/>
        </w:tabs>
        <w:rPr>
          <w:rFonts w:ascii="Arial" w:hAnsi="Arial" w:cs="Arial"/>
        </w:rPr>
      </w:pPr>
      <w:r w:rsidRPr="00A9198A">
        <w:rPr>
          <w:rFonts w:ascii="Arial" w:hAnsi="Arial" w:cs="Arial"/>
        </w:rPr>
        <w:t xml:space="preserve">The impact of polio extends beyond physical health. Living with a long-term disability can affect an individual's psychological </w:t>
      </w:r>
      <w:r w:rsidRPr="00A9198A">
        <w:rPr>
          <w:rFonts w:ascii="Arial" w:hAnsi="Arial" w:cs="Arial"/>
        </w:rPr>
        <w:t>well-being</w:t>
      </w:r>
      <w:r w:rsidRPr="00A9198A">
        <w:rPr>
          <w:rFonts w:ascii="Arial" w:hAnsi="Arial" w:cs="Arial"/>
        </w:rPr>
        <w:t>, leading to anxiety, depression and reduced self-esteem due to changes in mobility and independence (British Polio Fellowship, 2024). Many survivors also develop Post-Polio Syndrome (PPS), a neurological condition that can occur decades after the initial infection and is characterised by new muscle weakness, fatigue and joint pain. This can reduce an individual's quality of life and increase their need for ongoing healthcare and rehabilitation (National Institute of Neurological Disorders and Stroke (NINDS), 2023).</w:t>
      </w:r>
    </w:p>
    <w:p w14:paraId="58C48536" w14:textId="06375BF0" w:rsidR="00A9198A" w:rsidRDefault="007F4820" w:rsidP="007F4820">
      <w:pPr>
        <w:tabs>
          <w:tab w:val="left" w:pos="2172"/>
        </w:tabs>
        <w:rPr>
          <w:rFonts w:ascii="Arial" w:hAnsi="Arial" w:cs="Arial"/>
        </w:rPr>
      </w:pPr>
      <w:r w:rsidRPr="00A9198A">
        <w:rPr>
          <w:rFonts w:ascii="Arial" w:hAnsi="Arial" w:cs="Arial"/>
        </w:rPr>
        <w:t>Families and carers may also experience emotional and financial challenges when supporting someone living with the long-term effects of polio. Caring responsibilities can affect employment, income and mental wellbeing, particularly where extensive daily support is required. At a community level, outbreaks place additional pressure on healthcare services through increased surveillance, vaccination campaigns and rehabilitation services. However, maintaining high vaccination coverage helps to minimise these social and economic impacts by preventing infection before it occurs (Fine, Eames and Heymann, 2011). Therefore, the consequences of polio highlight the importance of continued investment in immunisation programmes and accessible health and social care services to improve outcomes for affected individuals and protect public health</w:t>
      </w:r>
    </w:p>
    <w:p w14:paraId="5717BE90" w14:textId="77777777" w:rsidR="00A9198A" w:rsidRDefault="00A9198A" w:rsidP="007F4820">
      <w:pPr>
        <w:tabs>
          <w:tab w:val="left" w:pos="2172"/>
        </w:tabs>
        <w:rPr>
          <w:rFonts w:ascii="Arial" w:hAnsi="Arial" w:cs="Arial"/>
        </w:rPr>
      </w:pPr>
    </w:p>
    <w:p w14:paraId="3DECACAD" w14:textId="77777777" w:rsidR="00A9198A" w:rsidRDefault="00A9198A" w:rsidP="007F4820">
      <w:pPr>
        <w:tabs>
          <w:tab w:val="left" w:pos="2172"/>
        </w:tabs>
        <w:rPr>
          <w:rFonts w:ascii="Arial" w:hAnsi="Arial" w:cs="Arial"/>
        </w:rPr>
      </w:pPr>
    </w:p>
    <w:p w14:paraId="678FCA2F" w14:textId="77777777" w:rsidR="00A9198A" w:rsidRPr="00A9198A" w:rsidRDefault="00A9198A" w:rsidP="007F4820">
      <w:pPr>
        <w:tabs>
          <w:tab w:val="left" w:pos="2172"/>
        </w:tabs>
        <w:rPr>
          <w:rFonts w:ascii="Arial" w:hAnsi="Arial" w:cs="Arial"/>
        </w:rPr>
      </w:pPr>
    </w:p>
    <w:p w14:paraId="06397004" w14:textId="77777777" w:rsidR="00A9198A" w:rsidRDefault="00A9198A" w:rsidP="007F4820">
      <w:pPr>
        <w:tabs>
          <w:tab w:val="left" w:pos="2172"/>
        </w:tabs>
        <w:rPr>
          <w:rFonts w:ascii="Arial" w:hAnsi="Arial" w:cs="Arial"/>
          <w:b/>
          <w:bCs/>
        </w:rPr>
      </w:pPr>
    </w:p>
    <w:p w14:paraId="34752158" w14:textId="5F59770F" w:rsidR="007F4820" w:rsidRPr="00A9198A" w:rsidRDefault="007F4820" w:rsidP="007F4820">
      <w:pPr>
        <w:tabs>
          <w:tab w:val="left" w:pos="2172"/>
        </w:tabs>
        <w:rPr>
          <w:rFonts w:ascii="Arial" w:hAnsi="Arial" w:cs="Arial"/>
          <w:b/>
          <w:bCs/>
        </w:rPr>
      </w:pPr>
      <w:r w:rsidRPr="00A9198A">
        <w:rPr>
          <w:rFonts w:ascii="Arial" w:hAnsi="Arial" w:cs="Arial"/>
          <w:b/>
          <w:bCs/>
        </w:rPr>
        <w:t>2.4 Health and Social Care Services for Individuals Affected by Polio</w:t>
      </w:r>
    </w:p>
    <w:p w14:paraId="0C8CFC52" w14:textId="77777777" w:rsidR="007F4820" w:rsidRPr="00A9198A" w:rsidRDefault="007F4820" w:rsidP="007F4820">
      <w:pPr>
        <w:tabs>
          <w:tab w:val="left" w:pos="2172"/>
        </w:tabs>
        <w:rPr>
          <w:rFonts w:ascii="Arial" w:hAnsi="Arial" w:cs="Arial"/>
        </w:rPr>
      </w:pPr>
      <w:r w:rsidRPr="00A9198A">
        <w:rPr>
          <w:rFonts w:ascii="Arial" w:hAnsi="Arial" w:cs="Arial"/>
        </w:rPr>
        <w:t>Individuals living with the long-term effects of polio often require support from a range of health and social care services to maintain their independence and quality of life. As the condition affects people differently, care should be person-centred, meaning that support is tailored to the individual's physical, psychological and social needs rather than adopting a one-size-fits-all approach (NHS England, 2024). This is achieved through a multidisciplinary team (MDT), where professionals work collaboratively to deliver coordinated care.</w:t>
      </w:r>
    </w:p>
    <w:p w14:paraId="17B896FB" w14:textId="77777777" w:rsidR="007F4820" w:rsidRPr="00A9198A" w:rsidRDefault="007F4820" w:rsidP="007F4820">
      <w:pPr>
        <w:tabs>
          <w:tab w:val="left" w:pos="2172"/>
        </w:tabs>
        <w:rPr>
          <w:rFonts w:ascii="Arial" w:hAnsi="Arial" w:cs="Arial"/>
        </w:rPr>
      </w:pPr>
      <w:r w:rsidRPr="00A9198A">
        <w:rPr>
          <w:rFonts w:ascii="Arial" w:hAnsi="Arial" w:cs="Arial"/>
        </w:rPr>
        <w:t>General Practitioners (GPs) are usually the first point of contact and are responsible for assessing symptoms, monitoring long-term health and referring patients to specialist services where appropriate. Individuals experiencing complications such as Post-Polio Syndrome (PPS) may be referred to neurologists for further assessment and treatment (National Institute of Neurological Disorders and Stroke (NINDS), 2023). Physiotherapists play a key role in improving mobility, maintaining muscle strength and reducing pain through tailored rehabilitation programmes, while occupational therapists help individuals remain independent by recommending mobility aids, home adaptations and strategies to support daily living (British Polio Fellowship, 2024).</w:t>
      </w:r>
    </w:p>
    <w:p w14:paraId="1F84CFB6" w14:textId="77777777" w:rsidR="007F4820" w:rsidRPr="00A9198A" w:rsidRDefault="007F4820" w:rsidP="007F4820">
      <w:pPr>
        <w:tabs>
          <w:tab w:val="left" w:pos="2172"/>
        </w:tabs>
        <w:rPr>
          <w:rFonts w:ascii="Arial" w:hAnsi="Arial" w:cs="Arial"/>
        </w:rPr>
      </w:pPr>
      <w:r w:rsidRPr="00A9198A">
        <w:rPr>
          <w:rFonts w:ascii="Arial" w:hAnsi="Arial" w:cs="Arial"/>
        </w:rPr>
        <w:t>Social workers provide practical and emotional support by assessing care needs, arranging community services and assisting individuals in accessing welfare benefits, housing support and respite care where required (National Institute for Health and Care Excellence (NICE), 2022). Individuals experiencing anxiety, depression or difficulties adjusting to disability may also benefit from psychological support or counselling services, recognising that mental wellbeing is an important aspect of holistic care.</w:t>
      </w:r>
    </w:p>
    <w:p w14:paraId="45213941" w14:textId="77777777" w:rsidR="007F4820" w:rsidRPr="00A9198A" w:rsidRDefault="007F4820" w:rsidP="007F4820">
      <w:pPr>
        <w:tabs>
          <w:tab w:val="left" w:pos="2172"/>
        </w:tabs>
        <w:rPr>
          <w:rFonts w:ascii="Arial" w:hAnsi="Arial" w:cs="Arial"/>
        </w:rPr>
      </w:pPr>
      <w:r w:rsidRPr="00A9198A">
        <w:rPr>
          <w:rFonts w:ascii="Arial" w:hAnsi="Arial" w:cs="Arial"/>
        </w:rPr>
        <w:t>Voluntary organisations, including the British Polio Fellowship, complement statutory services by offering peer support, education and advocacy for people affected by polio. These organisations help reduce social isolation and encourage self-management of long-term conditions (British Polio Fellowship, 2024). By combining healthcare, rehabilitation and social support, multidisciplinary teams enable individuals to achieve greater independence and improve their overall quality of life, demonstrating the importance of integrated care within modern health and social care services.</w:t>
      </w:r>
    </w:p>
    <w:p w14:paraId="339CC63B" w14:textId="77777777" w:rsidR="007F4820" w:rsidRPr="00A9198A" w:rsidRDefault="007F4820" w:rsidP="00DF5E55">
      <w:pPr>
        <w:tabs>
          <w:tab w:val="left" w:pos="2172"/>
        </w:tabs>
        <w:rPr>
          <w:rFonts w:ascii="Arial" w:hAnsi="Arial" w:cs="Arial"/>
        </w:rPr>
      </w:pPr>
    </w:p>
    <w:p w14:paraId="17EC7B45" w14:textId="77777777" w:rsidR="00A9198A" w:rsidRDefault="00A9198A" w:rsidP="007F4820">
      <w:pPr>
        <w:tabs>
          <w:tab w:val="left" w:pos="2172"/>
        </w:tabs>
        <w:rPr>
          <w:rFonts w:ascii="Arial" w:hAnsi="Arial" w:cs="Arial"/>
          <w:b/>
          <w:bCs/>
        </w:rPr>
      </w:pPr>
    </w:p>
    <w:p w14:paraId="060CD1EB" w14:textId="77777777" w:rsidR="00A9198A" w:rsidRDefault="00A9198A" w:rsidP="007F4820">
      <w:pPr>
        <w:tabs>
          <w:tab w:val="left" w:pos="2172"/>
        </w:tabs>
        <w:rPr>
          <w:rFonts w:ascii="Arial" w:hAnsi="Arial" w:cs="Arial"/>
          <w:b/>
          <w:bCs/>
        </w:rPr>
      </w:pPr>
    </w:p>
    <w:p w14:paraId="3C1363FF" w14:textId="77777777" w:rsidR="00A9198A" w:rsidRDefault="00A9198A" w:rsidP="007F4820">
      <w:pPr>
        <w:tabs>
          <w:tab w:val="left" w:pos="2172"/>
        </w:tabs>
        <w:rPr>
          <w:rFonts w:ascii="Arial" w:hAnsi="Arial" w:cs="Arial"/>
          <w:b/>
          <w:bCs/>
        </w:rPr>
      </w:pPr>
    </w:p>
    <w:p w14:paraId="6B5E2DD7" w14:textId="77777777" w:rsidR="00A9198A" w:rsidRDefault="00A9198A" w:rsidP="007F4820">
      <w:pPr>
        <w:tabs>
          <w:tab w:val="left" w:pos="2172"/>
        </w:tabs>
        <w:rPr>
          <w:rFonts w:ascii="Arial" w:hAnsi="Arial" w:cs="Arial"/>
          <w:b/>
          <w:bCs/>
        </w:rPr>
      </w:pPr>
    </w:p>
    <w:p w14:paraId="75DE6BCF" w14:textId="4EF014E3" w:rsidR="007F4820" w:rsidRPr="00A9198A" w:rsidRDefault="007F4820" w:rsidP="007F4820">
      <w:pPr>
        <w:tabs>
          <w:tab w:val="left" w:pos="2172"/>
        </w:tabs>
        <w:rPr>
          <w:rFonts w:ascii="Arial" w:hAnsi="Arial" w:cs="Arial"/>
          <w:b/>
          <w:bCs/>
        </w:rPr>
      </w:pPr>
      <w:r w:rsidRPr="00A9198A">
        <w:rPr>
          <w:rFonts w:ascii="Arial" w:hAnsi="Arial" w:cs="Arial"/>
          <w:b/>
          <w:bCs/>
        </w:rPr>
        <w:t>3. Conclusion</w:t>
      </w:r>
    </w:p>
    <w:p w14:paraId="70DAE034" w14:textId="6402A01E" w:rsidR="007F4820" w:rsidRPr="00A9198A" w:rsidRDefault="007F4820" w:rsidP="007F4820">
      <w:pPr>
        <w:tabs>
          <w:tab w:val="left" w:pos="2172"/>
        </w:tabs>
        <w:rPr>
          <w:rFonts w:ascii="Arial" w:hAnsi="Arial" w:cs="Arial"/>
        </w:rPr>
      </w:pPr>
      <w:r w:rsidRPr="00A9198A">
        <w:rPr>
          <w:rFonts w:ascii="Arial" w:hAnsi="Arial" w:cs="Arial"/>
        </w:rPr>
        <w:t xml:space="preserve">Polio remains a significant public health concern despite substantial progress towards global eradication. This report has demonstrated that effective surveillance, including Acute Flaccid Paralysis (AFP) and environmental monitoring, is essential for identifying cases early and preventing outbreaks (World Health </w:t>
      </w:r>
      <w:r w:rsidR="00A9198A" w:rsidRPr="00A9198A">
        <w:rPr>
          <w:rFonts w:ascii="Arial" w:hAnsi="Arial" w:cs="Arial"/>
        </w:rPr>
        <w:t>Organisation</w:t>
      </w:r>
      <w:r w:rsidRPr="00A9198A">
        <w:rPr>
          <w:rFonts w:ascii="Arial" w:hAnsi="Arial" w:cs="Arial"/>
        </w:rPr>
        <w:t xml:space="preserve"> (WHO), 2024). It has also shown that routine vaccination remains the most effective strategy for controlling poliovirus, with high immunisation rates helping to protect both individuals and communities through herd immunity (Fine, Eames and Heymann, 2011). Although the incidence of polio has declined considerably, the disease can still have lifelong physical, psychological and social consequences for those affected, highlighting the need for person-centred, multidisciplinary health and social care services. Continued international collaboration, public health surveillance and investment in vaccination programmes are essential to achieving the global eradication of polio and ensuring that future generations remain protected from this preventable disease (Global Polio Eradication Initiative (GPEI), 2024).</w:t>
      </w:r>
    </w:p>
    <w:p w14:paraId="278DD109" w14:textId="77777777" w:rsidR="007F4820" w:rsidRDefault="007F4820" w:rsidP="00DF5E55">
      <w:pPr>
        <w:tabs>
          <w:tab w:val="left" w:pos="2172"/>
        </w:tabs>
        <w:rPr>
          <w:rFonts w:ascii="Arial" w:hAnsi="Arial" w:cs="Arial"/>
          <w:sz w:val="22"/>
          <w:szCs w:val="22"/>
        </w:rPr>
      </w:pPr>
    </w:p>
    <w:p w14:paraId="44199BCC" w14:textId="77777777" w:rsidR="007F4820" w:rsidRDefault="007F4820" w:rsidP="00DF5E55">
      <w:pPr>
        <w:tabs>
          <w:tab w:val="left" w:pos="2172"/>
        </w:tabs>
        <w:rPr>
          <w:rFonts w:ascii="Arial" w:hAnsi="Arial" w:cs="Arial"/>
          <w:sz w:val="22"/>
          <w:szCs w:val="22"/>
        </w:rPr>
      </w:pPr>
    </w:p>
    <w:p w14:paraId="70A20B1A" w14:textId="77777777" w:rsidR="007F4820" w:rsidRDefault="007F4820" w:rsidP="00DF5E55">
      <w:pPr>
        <w:tabs>
          <w:tab w:val="left" w:pos="2172"/>
        </w:tabs>
        <w:rPr>
          <w:rFonts w:ascii="Arial" w:hAnsi="Arial" w:cs="Arial"/>
          <w:sz w:val="22"/>
          <w:szCs w:val="22"/>
        </w:rPr>
      </w:pPr>
    </w:p>
    <w:p w14:paraId="36789EE2" w14:textId="77777777" w:rsidR="007F4820" w:rsidRDefault="007F4820" w:rsidP="00DF5E55">
      <w:pPr>
        <w:tabs>
          <w:tab w:val="left" w:pos="2172"/>
        </w:tabs>
        <w:rPr>
          <w:rFonts w:ascii="Arial" w:hAnsi="Arial" w:cs="Arial"/>
          <w:sz w:val="22"/>
          <w:szCs w:val="22"/>
        </w:rPr>
      </w:pPr>
    </w:p>
    <w:p w14:paraId="1C7FA5CE" w14:textId="77777777" w:rsidR="007F4820" w:rsidRDefault="007F4820" w:rsidP="00DF5E55">
      <w:pPr>
        <w:tabs>
          <w:tab w:val="left" w:pos="2172"/>
        </w:tabs>
        <w:rPr>
          <w:rFonts w:ascii="Arial" w:hAnsi="Arial" w:cs="Arial"/>
          <w:sz w:val="22"/>
          <w:szCs w:val="22"/>
        </w:rPr>
      </w:pPr>
    </w:p>
    <w:p w14:paraId="2B2C3405" w14:textId="77777777" w:rsidR="007F4820" w:rsidRDefault="007F4820" w:rsidP="00DF5E55">
      <w:pPr>
        <w:tabs>
          <w:tab w:val="left" w:pos="2172"/>
        </w:tabs>
        <w:rPr>
          <w:rFonts w:ascii="Arial" w:hAnsi="Arial" w:cs="Arial"/>
          <w:sz w:val="22"/>
          <w:szCs w:val="22"/>
        </w:rPr>
      </w:pPr>
    </w:p>
    <w:p w14:paraId="43B537F1" w14:textId="77777777" w:rsidR="007F4820" w:rsidRDefault="007F4820" w:rsidP="00DF5E55">
      <w:pPr>
        <w:tabs>
          <w:tab w:val="left" w:pos="2172"/>
        </w:tabs>
        <w:rPr>
          <w:rFonts w:ascii="Arial" w:hAnsi="Arial" w:cs="Arial"/>
          <w:sz w:val="22"/>
          <w:szCs w:val="22"/>
        </w:rPr>
      </w:pPr>
    </w:p>
    <w:p w14:paraId="3CC61440" w14:textId="77777777" w:rsidR="007F4820" w:rsidRDefault="007F4820" w:rsidP="00DF5E55">
      <w:pPr>
        <w:tabs>
          <w:tab w:val="left" w:pos="2172"/>
        </w:tabs>
        <w:rPr>
          <w:rFonts w:ascii="Arial" w:hAnsi="Arial" w:cs="Arial"/>
          <w:sz w:val="22"/>
          <w:szCs w:val="22"/>
        </w:rPr>
      </w:pPr>
    </w:p>
    <w:p w14:paraId="268C2D6F" w14:textId="77777777" w:rsidR="007F4820" w:rsidRDefault="007F4820" w:rsidP="00DF5E55">
      <w:pPr>
        <w:tabs>
          <w:tab w:val="left" w:pos="2172"/>
        </w:tabs>
        <w:rPr>
          <w:rFonts w:ascii="Arial" w:hAnsi="Arial" w:cs="Arial"/>
          <w:sz w:val="22"/>
          <w:szCs w:val="22"/>
        </w:rPr>
      </w:pPr>
    </w:p>
    <w:p w14:paraId="294E5FDF" w14:textId="77777777" w:rsidR="007F4820" w:rsidRDefault="007F4820" w:rsidP="00DF5E55">
      <w:pPr>
        <w:tabs>
          <w:tab w:val="left" w:pos="2172"/>
        </w:tabs>
        <w:rPr>
          <w:rFonts w:ascii="Arial" w:hAnsi="Arial" w:cs="Arial"/>
          <w:sz w:val="22"/>
          <w:szCs w:val="22"/>
        </w:rPr>
      </w:pPr>
    </w:p>
    <w:p w14:paraId="02728262" w14:textId="77777777" w:rsidR="007F4820" w:rsidRDefault="007F4820" w:rsidP="00DF5E55">
      <w:pPr>
        <w:tabs>
          <w:tab w:val="left" w:pos="2172"/>
        </w:tabs>
        <w:rPr>
          <w:rFonts w:ascii="Arial" w:hAnsi="Arial" w:cs="Arial"/>
          <w:sz w:val="22"/>
          <w:szCs w:val="22"/>
        </w:rPr>
      </w:pPr>
    </w:p>
    <w:p w14:paraId="78A5394A" w14:textId="77777777" w:rsidR="007F4820" w:rsidRDefault="007F4820" w:rsidP="00DF5E55">
      <w:pPr>
        <w:tabs>
          <w:tab w:val="left" w:pos="2172"/>
        </w:tabs>
        <w:rPr>
          <w:rFonts w:ascii="Arial" w:hAnsi="Arial" w:cs="Arial"/>
          <w:sz w:val="22"/>
          <w:szCs w:val="22"/>
        </w:rPr>
      </w:pPr>
    </w:p>
    <w:p w14:paraId="0CD4A946" w14:textId="77777777" w:rsidR="007F4820" w:rsidRDefault="007F4820" w:rsidP="00DF5E55">
      <w:pPr>
        <w:tabs>
          <w:tab w:val="left" w:pos="2172"/>
        </w:tabs>
        <w:rPr>
          <w:rFonts w:ascii="Arial" w:hAnsi="Arial" w:cs="Arial"/>
          <w:sz w:val="22"/>
          <w:szCs w:val="22"/>
        </w:rPr>
      </w:pPr>
    </w:p>
    <w:p w14:paraId="58442830" w14:textId="77777777" w:rsidR="00A9198A" w:rsidRDefault="00A9198A" w:rsidP="007F4820">
      <w:pPr>
        <w:tabs>
          <w:tab w:val="left" w:pos="2172"/>
        </w:tabs>
        <w:rPr>
          <w:rFonts w:ascii="Arial" w:hAnsi="Arial" w:cs="Arial"/>
          <w:b/>
          <w:bCs/>
          <w:sz w:val="22"/>
          <w:szCs w:val="22"/>
        </w:rPr>
      </w:pPr>
    </w:p>
    <w:p w14:paraId="64E41BBE" w14:textId="77777777" w:rsidR="00A9198A" w:rsidRDefault="00A9198A" w:rsidP="007F4820">
      <w:pPr>
        <w:tabs>
          <w:tab w:val="left" w:pos="2172"/>
        </w:tabs>
        <w:rPr>
          <w:rFonts w:ascii="Arial" w:hAnsi="Arial" w:cs="Arial"/>
          <w:b/>
          <w:bCs/>
          <w:sz w:val="22"/>
          <w:szCs w:val="22"/>
        </w:rPr>
      </w:pPr>
    </w:p>
    <w:p w14:paraId="640DD749" w14:textId="77777777" w:rsidR="00A9198A" w:rsidRDefault="00A9198A" w:rsidP="007F4820">
      <w:pPr>
        <w:tabs>
          <w:tab w:val="left" w:pos="2172"/>
        </w:tabs>
        <w:rPr>
          <w:rFonts w:ascii="Arial" w:hAnsi="Arial" w:cs="Arial"/>
          <w:b/>
          <w:bCs/>
          <w:sz w:val="22"/>
          <w:szCs w:val="22"/>
        </w:rPr>
      </w:pPr>
    </w:p>
    <w:p w14:paraId="2CAC9111" w14:textId="77777777" w:rsidR="00A9198A" w:rsidRDefault="00A9198A" w:rsidP="007F4820">
      <w:pPr>
        <w:tabs>
          <w:tab w:val="left" w:pos="2172"/>
        </w:tabs>
        <w:rPr>
          <w:rFonts w:ascii="Arial" w:hAnsi="Arial" w:cs="Arial"/>
          <w:b/>
          <w:bCs/>
          <w:sz w:val="22"/>
          <w:szCs w:val="22"/>
        </w:rPr>
      </w:pPr>
    </w:p>
    <w:p w14:paraId="5FAB27C7" w14:textId="77777777" w:rsidR="00A9198A" w:rsidRDefault="00A9198A" w:rsidP="007F4820">
      <w:pPr>
        <w:tabs>
          <w:tab w:val="left" w:pos="2172"/>
        </w:tabs>
        <w:rPr>
          <w:rFonts w:ascii="Arial" w:hAnsi="Arial" w:cs="Arial"/>
          <w:b/>
          <w:bCs/>
          <w:sz w:val="22"/>
          <w:szCs w:val="22"/>
        </w:rPr>
      </w:pPr>
    </w:p>
    <w:p w14:paraId="30CCFB01" w14:textId="73460142" w:rsidR="007F4820" w:rsidRPr="007F4820" w:rsidRDefault="007F4820" w:rsidP="007F4820">
      <w:pPr>
        <w:tabs>
          <w:tab w:val="left" w:pos="2172"/>
        </w:tabs>
        <w:rPr>
          <w:rFonts w:ascii="Arial" w:hAnsi="Arial" w:cs="Arial"/>
          <w:b/>
          <w:bCs/>
          <w:sz w:val="22"/>
          <w:szCs w:val="22"/>
        </w:rPr>
      </w:pPr>
      <w:r w:rsidRPr="007F4820">
        <w:rPr>
          <w:rFonts w:ascii="Arial" w:hAnsi="Arial" w:cs="Arial"/>
          <w:b/>
          <w:bCs/>
          <w:sz w:val="22"/>
          <w:szCs w:val="22"/>
        </w:rPr>
        <w:lastRenderedPageBreak/>
        <w:t>References</w:t>
      </w:r>
    </w:p>
    <w:p w14:paraId="42C63246" w14:textId="5C8CB297"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British Polio Fellowship (2024) </w:t>
      </w:r>
      <w:r w:rsidRPr="007F4820">
        <w:rPr>
          <w:rFonts w:ascii="Arial" w:hAnsi="Arial" w:cs="Arial"/>
          <w:i/>
          <w:iCs/>
          <w:sz w:val="22"/>
          <w:szCs w:val="22"/>
        </w:rPr>
        <w:t>Living with Polio and Post-Polio Syndrome</w:t>
      </w:r>
      <w:r w:rsidRPr="007F4820">
        <w:rPr>
          <w:rFonts w:ascii="Arial" w:hAnsi="Arial" w:cs="Arial"/>
          <w:sz w:val="22"/>
          <w:szCs w:val="22"/>
        </w:rPr>
        <w:t xml:space="preserve">. Available at: </w:t>
      </w:r>
      <w:hyperlink r:id="rId9" w:tgtFrame="_new" w:history="1">
        <w:r w:rsidRPr="007F4820">
          <w:rPr>
            <w:rStyle w:val="Hyperlink"/>
            <w:rFonts w:ascii="Arial" w:hAnsi="Arial" w:cs="Arial"/>
            <w:sz w:val="22"/>
            <w:szCs w:val="22"/>
          </w:rPr>
          <w:t>https://www.britishpolio.org.uk</w:t>
        </w:r>
      </w:hyperlink>
      <w:r w:rsidRPr="007F4820">
        <w:rPr>
          <w:rFonts w:ascii="Arial" w:hAnsi="Arial" w:cs="Arial"/>
          <w:sz w:val="22"/>
          <w:szCs w:val="22"/>
        </w:rPr>
        <w:t xml:space="preserve"> </w:t>
      </w:r>
    </w:p>
    <w:p w14:paraId="48838A43" w14:textId="7B45BF6C"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Centers for Disease Control and Prevention (CDC) (2024) </w:t>
      </w:r>
      <w:r w:rsidRPr="007F4820">
        <w:rPr>
          <w:rFonts w:ascii="Arial" w:hAnsi="Arial" w:cs="Arial"/>
          <w:i/>
          <w:iCs/>
          <w:sz w:val="22"/>
          <w:szCs w:val="22"/>
        </w:rPr>
        <w:t>About Polio</w:t>
      </w:r>
      <w:r w:rsidRPr="007F4820">
        <w:rPr>
          <w:rFonts w:ascii="Arial" w:hAnsi="Arial" w:cs="Arial"/>
          <w:sz w:val="22"/>
          <w:szCs w:val="22"/>
        </w:rPr>
        <w:t xml:space="preserve">. Available at: </w:t>
      </w:r>
      <w:hyperlink r:id="rId10" w:tgtFrame="_new" w:history="1">
        <w:r w:rsidRPr="007F4820">
          <w:rPr>
            <w:rStyle w:val="Hyperlink"/>
            <w:rFonts w:ascii="Arial" w:hAnsi="Arial" w:cs="Arial"/>
            <w:sz w:val="22"/>
            <w:szCs w:val="22"/>
          </w:rPr>
          <w:t>https://www.cdc.gov/polio/about/index.html</w:t>
        </w:r>
      </w:hyperlink>
      <w:r w:rsidRPr="007F4820">
        <w:rPr>
          <w:rFonts w:ascii="Arial" w:hAnsi="Arial" w:cs="Arial"/>
          <w:sz w:val="22"/>
          <w:szCs w:val="22"/>
        </w:rPr>
        <w:t xml:space="preserve"> </w:t>
      </w:r>
    </w:p>
    <w:p w14:paraId="795BF637" w14:textId="0529896D"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Centers for Disease Control and Prevention (CDC) (2024) </w:t>
      </w:r>
      <w:r w:rsidRPr="007F4820">
        <w:rPr>
          <w:rFonts w:ascii="Arial" w:hAnsi="Arial" w:cs="Arial"/>
          <w:i/>
          <w:iCs/>
          <w:sz w:val="22"/>
          <w:szCs w:val="22"/>
        </w:rPr>
        <w:t>Polio Vaccination</w:t>
      </w:r>
      <w:r w:rsidRPr="007F4820">
        <w:rPr>
          <w:rFonts w:ascii="Arial" w:hAnsi="Arial" w:cs="Arial"/>
          <w:sz w:val="22"/>
          <w:szCs w:val="22"/>
        </w:rPr>
        <w:t xml:space="preserve">. Available at: </w:t>
      </w:r>
      <w:hyperlink r:id="rId11" w:tgtFrame="_new" w:history="1">
        <w:r w:rsidRPr="007F4820">
          <w:rPr>
            <w:rStyle w:val="Hyperlink"/>
            <w:rFonts w:ascii="Arial" w:hAnsi="Arial" w:cs="Arial"/>
            <w:sz w:val="22"/>
            <w:szCs w:val="22"/>
          </w:rPr>
          <w:t>https://www.cdc.gov/polio/vaccines/index.html</w:t>
        </w:r>
      </w:hyperlink>
      <w:r w:rsidRPr="007F4820">
        <w:rPr>
          <w:rFonts w:ascii="Arial" w:hAnsi="Arial" w:cs="Arial"/>
          <w:sz w:val="22"/>
          <w:szCs w:val="22"/>
        </w:rPr>
        <w:t xml:space="preserve"> </w:t>
      </w:r>
    </w:p>
    <w:p w14:paraId="58019FEE" w14:textId="77777777"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Fine, P., Eames, K. and Heymann, D.L. (2011) ‘Herd immunity: A rough guide’, </w:t>
      </w:r>
      <w:r w:rsidRPr="007F4820">
        <w:rPr>
          <w:rFonts w:ascii="Arial" w:hAnsi="Arial" w:cs="Arial"/>
          <w:i/>
          <w:iCs/>
          <w:sz w:val="22"/>
          <w:szCs w:val="22"/>
        </w:rPr>
        <w:t>Clinical Infectious Diseases</w:t>
      </w:r>
      <w:r w:rsidRPr="007F4820">
        <w:rPr>
          <w:rFonts w:ascii="Arial" w:hAnsi="Arial" w:cs="Arial"/>
          <w:sz w:val="22"/>
          <w:szCs w:val="22"/>
        </w:rPr>
        <w:t>, 52(7), pp. 911–916.</w:t>
      </w:r>
    </w:p>
    <w:p w14:paraId="5161425B" w14:textId="4DDB571C"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Global Polio Eradication Initiative (GPEI) (2024) </w:t>
      </w:r>
      <w:r w:rsidRPr="007F4820">
        <w:rPr>
          <w:rFonts w:ascii="Arial" w:hAnsi="Arial" w:cs="Arial"/>
          <w:i/>
          <w:iCs/>
          <w:sz w:val="22"/>
          <w:szCs w:val="22"/>
        </w:rPr>
        <w:t>Polio Today</w:t>
      </w:r>
      <w:r w:rsidRPr="007F4820">
        <w:rPr>
          <w:rFonts w:ascii="Arial" w:hAnsi="Arial" w:cs="Arial"/>
          <w:sz w:val="22"/>
          <w:szCs w:val="22"/>
        </w:rPr>
        <w:t xml:space="preserve">. Available at: </w:t>
      </w:r>
      <w:hyperlink r:id="rId12" w:tgtFrame="_new" w:history="1">
        <w:r w:rsidRPr="007F4820">
          <w:rPr>
            <w:rStyle w:val="Hyperlink"/>
            <w:rFonts w:ascii="Arial" w:hAnsi="Arial" w:cs="Arial"/>
            <w:sz w:val="22"/>
            <w:szCs w:val="22"/>
          </w:rPr>
          <w:t>https://polioeradication.org/polio-today/</w:t>
        </w:r>
      </w:hyperlink>
      <w:r w:rsidRPr="007F4820">
        <w:rPr>
          <w:rFonts w:ascii="Arial" w:hAnsi="Arial" w:cs="Arial"/>
          <w:sz w:val="22"/>
          <w:szCs w:val="22"/>
        </w:rPr>
        <w:t xml:space="preserve"> </w:t>
      </w:r>
    </w:p>
    <w:p w14:paraId="1B3B6F2F" w14:textId="7AE05A09"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Global Polio Eradication Initiative (GPEI) (2024) </w:t>
      </w:r>
      <w:r w:rsidRPr="007F4820">
        <w:rPr>
          <w:rFonts w:ascii="Arial" w:hAnsi="Arial" w:cs="Arial"/>
          <w:i/>
          <w:iCs/>
          <w:sz w:val="22"/>
          <w:szCs w:val="22"/>
        </w:rPr>
        <w:t>Surveillance</w:t>
      </w:r>
      <w:r w:rsidRPr="007F4820">
        <w:rPr>
          <w:rFonts w:ascii="Arial" w:hAnsi="Arial" w:cs="Arial"/>
          <w:sz w:val="22"/>
          <w:szCs w:val="22"/>
        </w:rPr>
        <w:t xml:space="preserve">. Available at: https://polioeradication.org/polio-today/polio-now/surveillance-indicators/ </w:t>
      </w:r>
    </w:p>
    <w:p w14:paraId="5225148C" w14:textId="65D2E437"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National Institute for Health and Care Excellence (NICE) (2022) </w:t>
      </w:r>
      <w:r w:rsidRPr="007F4820">
        <w:rPr>
          <w:rFonts w:ascii="Arial" w:hAnsi="Arial" w:cs="Arial"/>
          <w:i/>
          <w:iCs/>
          <w:sz w:val="22"/>
          <w:szCs w:val="22"/>
        </w:rPr>
        <w:t>Multimorbidity: Clinical assessment and management (NG56)</w:t>
      </w:r>
      <w:r w:rsidRPr="007F4820">
        <w:rPr>
          <w:rFonts w:ascii="Arial" w:hAnsi="Arial" w:cs="Arial"/>
          <w:sz w:val="22"/>
          <w:szCs w:val="22"/>
        </w:rPr>
        <w:t xml:space="preserve">. Available at: </w:t>
      </w:r>
      <w:hyperlink r:id="rId13" w:tgtFrame="_new" w:history="1">
        <w:r w:rsidRPr="007F4820">
          <w:rPr>
            <w:rStyle w:val="Hyperlink"/>
            <w:rFonts w:ascii="Arial" w:hAnsi="Arial" w:cs="Arial"/>
            <w:sz w:val="22"/>
            <w:szCs w:val="22"/>
          </w:rPr>
          <w:t>https://www.nice.org.uk/guidance/ng56</w:t>
        </w:r>
      </w:hyperlink>
    </w:p>
    <w:p w14:paraId="73921AB8" w14:textId="301517C5"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National Institute of Neurological Disorders and Stroke (NINDS) (2023) </w:t>
      </w:r>
      <w:r w:rsidRPr="007F4820">
        <w:rPr>
          <w:rFonts w:ascii="Arial" w:hAnsi="Arial" w:cs="Arial"/>
          <w:i/>
          <w:iCs/>
          <w:sz w:val="22"/>
          <w:szCs w:val="22"/>
        </w:rPr>
        <w:t>Post-Polio Syndrome Information Page</w:t>
      </w:r>
      <w:r w:rsidRPr="007F4820">
        <w:rPr>
          <w:rFonts w:ascii="Arial" w:hAnsi="Arial" w:cs="Arial"/>
          <w:sz w:val="22"/>
          <w:szCs w:val="22"/>
        </w:rPr>
        <w:t xml:space="preserve">. Available at: https://www.ninds.nih.gov/health-information/disorders/post-polio-syndrome </w:t>
      </w:r>
    </w:p>
    <w:p w14:paraId="4717F935" w14:textId="77777777"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Nathanson, N. and Kew, O.M. (2010) ‘From emergence to eradication: The epidemiology of poliomyelitis deconstructed’, </w:t>
      </w:r>
      <w:r w:rsidRPr="007F4820">
        <w:rPr>
          <w:rFonts w:ascii="Arial" w:hAnsi="Arial" w:cs="Arial"/>
          <w:i/>
          <w:iCs/>
          <w:sz w:val="22"/>
          <w:szCs w:val="22"/>
        </w:rPr>
        <w:t>American Journal of Epidemiology</w:t>
      </w:r>
      <w:r w:rsidRPr="007F4820">
        <w:rPr>
          <w:rFonts w:ascii="Arial" w:hAnsi="Arial" w:cs="Arial"/>
          <w:sz w:val="22"/>
          <w:szCs w:val="22"/>
        </w:rPr>
        <w:t>, 172(11), pp. 1213–1229.</w:t>
      </w:r>
    </w:p>
    <w:p w14:paraId="7DC04389" w14:textId="77A4EA11"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NHS England (2024) </w:t>
      </w:r>
      <w:r w:rsidRPr="007F4820">
        <w:rPr>
          <w:rFonts w:ascii="Arial" w:hAnsi="Arial" w:cs="Arial"/>
          <w:i/>
          <w:iCs/>
          <w:sz w:val="22"/>
          <w:szCs w:val="22"/>
        </w:rPr>
        <w:t>NHS vaccinations and when to have them</w:t>
      </w:r>
      <w:r w:rsidRPr="007F4820">
        <w:rPr>
          <w:rFonts w:ascii="Arial" w:hAnsi="Arial" w:cs="Arial"/>
          <w:sz w:val="22"/>
          <w:szCs w:val="22"/>
        </w:rPr>
        <w:t xml:space="preserve">. Available at: </w:t>
      </w:r>
      <w:hyperlink r:id="rId14" w:tgtFrame="_new" w:history="1">
        <w:r w:rsidRPr="007F4820">
          <w:rPr>
            <w:rStyle w:val="Hyperlink"/>
            <w:rFonts w:ascii="Arial" w:hAnsi="Arial" w:cs="Arial"/>
            <w:sz w:val="22"/>
            <w:szCs w:val="22"/>
          </w:rPr>
          <w:t>https://www.nhs.uk/vaccinations/nhs-vaccinations-and-when-to-have-them/</w:t>
        </w:r>
      </w:hyperlink>
      <w:r w:rsidRPr="007F4820">
        <w:rPr>
          <w:rFonts w:ascii="Arial" w:hAnsi="Arial" w:cs="Arial"/>
          <w:sz w:val="22"/>
          <w:szCs w:val="22"/>
        </w:rPr>
        <w:t xml:space="preserve"> </w:t>
      </w:r>
    </w:p>
    <w:p w14:paraId="53EBE471" w14:textId="2DC114A9"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NHS England (2024) </w:t>
      </w:r>
      <w:r w:rsidRPr="007F4820">
        <w:rPr>
          <w:rFonts w:ascii="Arial" w:hAnsi="Arial" w:cs="Arial"/>
          <w:i/>
          <w:iCs/>
          <w:sz w:val="22"/>
          <w:szCs w:val="22"/>
        </w:rPr>
        <w:t>The NHS Long Term Plan</w:t>
      </w:r>
      <w:r w:rsidRPr="007F4820">
        <w:rPr>
          <w:rFonts w:ascii="Arial" w:hAnsi="Arial" w:cs="Arial"/>
          <w:sz w:val="22"/>
          <w:szCs w:val="22"/>
        </w:rPr>
        <w:t xml:space="preserve">. Available at: </w:t>
      </w:r>
      <w:hyperlink r:id="rId15" w:tgtFrame="_new" w:history="1">
        <w:r w:rsidRPr="007F4820">
          <w:rPr>
            <w:rStyle w:val="Hyperlink"/>
            <w:rFonts w:ascii="Arial" w:hAnsi="Arial" w:cs="Arial"/>
            <w:sz w:val="22"/>
            <w:szCs w:val="22"/>
          </w:rPr>
          <w:t>https://www.england.nhs.uk/long-term-plan/</w:t>
        </w:r>
      </w:hyperlink>
      <w:r w:rsidRPr="007F4820">
        <w:rPr>
          <w:rFonts w:ascii="Arial" w:hAnsi="Arial" w:cs="Arial"/>
          <w:sz w:val="22"/>
          <w:szCs w:val="22"/>
        </w:rPr>
        <w:t xml:space="preserve"> </w:t>
      </w:r>
    </w:p>
    <w:p w14:paraId="1BA79EB1" w14:textId="5C44D3C7"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UK Health Security Agency (UKHSA) (2023) </w:t>
      </w:r>
      <w:r w:rsidRPr="007F4820">
        <w:rPr>
          <w:rFonts w:ascii="Arial" w:hAnsi="Arial" w:cs="Arial"/>
          <w:i/>
          <w:iCs/>
          <w:sz w:val="22"/>
          <w:szCs w:val="22"/>
        </w:rPr>
        <w:t>Poliovirus detected in sewage from North and East London</w:t>
      </w:r>
      <w:r w:rsidRPr="007F4820">
        <w:rPr>
          <w:rFonts w:ascii="Arial" w:hAnsi="Arial" w:cs="Arial"/>
          <w:sz w:val="22"/>
          <w:szCs w:val="22"/>
        </w:rPr>
        <w:t xml:space="preserve">. Available at: </w:t>
      </w:r>
      <w:hyperlink r:id="rId16" w:tgtFrame="_new" w:history="1">
        <w:r w:rsidRPr="007F4820">
          <w:rPr>
            <w:rStyle w:val="Hyperlink"/>
            <w:rFonts w:ascii="Arial" w:hAnsi="Arial" w:cs="Arial"/>
            <w:sz w:val="22"/>
            <w:szCs w:val="22"/>
          </w:rPr>
          <w:t>https://www.gov.uk/government/news/poliovirus-detected-in-sewage-from-north-and-east-london</w:t>
        </w:r>
      </w:hyperlink>
      <w:r w:rsidRPr="007F4820">
        <w:rPr>
          <w:rFonts w:ascii="Arial" w:hAnsi="Arial" w:cs="Arial"/>
          <w:sz w:val="22"/>
          <w:szCs w:val="22"/>
        </w:rPr>
        <w:t xml:space="preserve"> </w:t>
      </w:r>
    </w:p>
    <w:p w14:paraId="087FA566" w14:textId="2487F656" w:rsidR="007F4820" w:rsidRPr="007F4820" w:rsidRDefault="007F4820" w:rsidP="007F4820">
      <w:pPr>
        <w:tabs>
          <w:tab w:val="left" w:pos="2172"/>
        </w:tabs>
        <w:rPr>
          <w:rFonts w:ascii="Arial" w:hAnsi="Arial" w:cs="Arial"/>
          <w:sz w:val="22"/>
          <w:szCs w:val="22"/>
        </w:rPr>
      </w:pPr>
      <w:r w:rsidRPr="007F4820">
        <w:rPr>
          <w:rFonts w:ascii="Arial" w:hAnsi="Arial" w:cs="Arial"/>
          <w:sz w:val="22"/>
          <w:szCs w:val="22"/>
        </w:rPr>
        <w:t xml:space="preserve">World Health </w:t>
      </w:r>
      <w:r>
        <w:rPr>
          <w:rFonts w:ascii="Arial" w:hAnsi="Arial" w:cs="Arial"/>
          <w:sz w:val="22"/>
          <w:szCs w:val="22"/>
        </w:rPr>
        <w:t>Organisation</w:t>
      </w:r>
      <w:r w:rsidRPr="007F4820">
        <w:rPr>
          <w:rFonts w:ascii="Arial" w:hAnsi="Arial" w:cs="Arial"/>
          <w:sz w:val="22"/>
          <w:szCs w:val="22"/>
        </w:rPr>
        <w:t xml:space="preserve"> (WHO) (2024) </w:t>
      </w:r>
      <w:r w:rsidRPr="007F4820">
        <w:rPr>
          <w:rFonts w:ascii="Arial" w:hAnsi="Arial" w:cs="Arial"/>
          <w:i/>
          <w:iCs/>
          <w:sz w:val="22"/>
          <w:szCs w:val="22"/>
        </w:rPr>
        <w:t>Poliomyelitis (Polio)</w:t>
      </w:r>
      <w:r w:rsidRPr="007F4820">
        <w:rPr>
          <w:rFonts w:ascii="Arial" w:hAnsi="Arial" w:cs="Arial"/>
          <w:sz w:val="22"/>
          <w:szCs w:val="22"/>
        </w:rPr>
        <w:t xml:space="preserve">. Available at: </w:t>
      </w:r>
      <w:hyperlink r:id="rId17" w:tgtFrame="_new" w:history="1">
        <w:r w:rsidRPr="007F4820">
          <w:rPr>
            <w:rStyle w:val="Hyperlink"/>
            <w:rFonts w:ascii="Arial" w:hAnsi="Arial" w:cs="Arial"/>
            <w:sz w:val="22"/>
            <w:szCs w:val="22"/>
          </w:rPr>
          <w:t>https://www.who.int/news-room/fact-sheets/detail/poliomyelitis</w:t>
        </w:r>
      </w:hyperlink>
      <w:r w:rsidRPr="007F4820">
        <w:rPr>
          <w:rFonts w:ascii="Arial" w:hAnsi="Arial" w:cs="Arial"/>
          <w:sz w:val="22"/>
          <w:szCs w:val="22"/>
        </w:rPr>
        <w:t xml:space="preserve"> </w:t>
      </w:r>
    </w:p>
    <w:p w14:paraId="0F3A4E4B" w14:textId="77777777" w:rsidR="007F4820" w:rsidRPr="00DF5E55" w:rsidRDefault="007F4820" w:rsidP="00DF5E55">
      <w:pPr>
        <w:tabs>
          <w:tab w:val="left" w:pos="2172"/>
        </w:tabs>
        <w:rPr>
          <w:rFonts w:ascii="Arial" w:hAnsi="Arial" w:cs="Arial"/>
          <w:sz w:val="22"/>
          <w:szCs w:val="22"/>
        </w:rPr>
      </w:pPr>
    </w:p>
    <w:sectPr w:rsidR="007F4820" w:rsidRPr="00DF5E5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12336" w14:textId="77777777" w:rsidR="00642708" w:rsidRDefault="00642708" w:rsidP="00DC7AE0">
      <w:pPr>
        <w:spacing w:after="0" w:line="240" w:lineRule="auto"/>
      </w:pPr>
      <w:r>
        <w:separator/>
      </w:r>
    </w:p>
  </w:endnote>
  <w:endnote w:type="continuationSeparator" w:id="0">
    <w:p w14:paraId="04931370" w14:textId="77777777" w:rsidR="00642708" w:rsidRDefault="00642708" w:rsidP="00DC7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980635"/>
      <w:docPartObj>
        <w:docPartGallery w:val="Page Numbers (Bottom of Page)"/>
        <w:docPartUnique/>
      </w:docPartObj>
    </w:sdtPr>
    <w:sdtEndPr>
      <w:rPr>
        <w:noProof/>
      </w:rPr>
    </w:sdtEndPr>
    <w:sdtContent>
      <w:p w14:paraId="366596F8" w14:textId="30010353" w:rsidR="00DC7AE0" w:rsidRDefault="00DC7A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059FC0" w14:textId="77777777" w:rsidR="00DC7AE0" w:rsidRDefault="00DC7A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F0288" w14:textId="77777777" w:rsidR="00642708" w:rsidRDefault="00642708" w:rsidP="00DC7AE0">
      <w:pPr>
        <w:spacing w:after="0" w:line="240" w:lineRule="auto"/>
      </w:pPr>
      <w:r>
        <w:separator/>
      </w:r>
    </w:p>
  </w:footnote>
  <w:footnote w:type="continuationSeparator" w:id="0">
    <w:p w14:paraId="0D11FBE4" w14:textId="77777777" w:rsidR="00642708" w:rsidRDefault="00642708" w:rsidP="00DC7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5B057B"/>
    <w:multiLevelType w:val="multilevel"/>
    <w:tmpl w:val="D3A28E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676B7C"/>
    <w:multiLevelType w:val="multilevel"/>
    <w:tmpl w:val="7E4EF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50470">
    <w:abstractNumId w:val="1"/>
  </w:num>
  <w:num w:numId="2" w16cid:durableId="603272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comments="0" w:insDel="0" w:formatting="0"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E65"/>
    <w:rsid w:val="00043D51"/>
    <w:rsid w:val="00250C4F"/>
    <w:rsid w:val="005C1E65"/>
    <w:rsid w:val="00642708"/>
    <w:rsid w:val="007F4820"/>
    <w:rsid w:val="0085118F"/>
    <w:rsid w:val="00A9198A"/>
    <w:rsid w:val="00C2372A"/>
    <w:rsid w:val="00DC7AE0"/>
    <w:rsid w:val="00DF5E55"/>
    <w:rsid w:val="00E85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6F075"/>
  <w15:chartTrackingRefBased/>
  <w15:docId w15:val="{6E729B4F-B9E8-44F1-A0C4-C8EC407B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1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1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1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1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E65"/>
    <w:rPr>
      <w:rFonts w:eastAsiaTheme="majorEastAsia" w:cstheme="majorBidi"/>
      <w:color w:val="272727" w:themeColor="text1" w:themeTint="D8"/>
    </w:rPr>
  </w:style>
  <w:style w:type="paragraph" w:styleId="Title">
    <w:name w:val="Title"/>
    <w:basedOn w:val="Normal"/>
    <w:next w:val="Normal"/>
    <w:link w:val="TitleChar"/>
    <w:uiPriority w:val="10"/>
    <w:qFormat/>
    <w:rsid w:val="005C1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E65"/>
    <w:pPr>
      <w:spacing w:before="160"/>
      <w:jc w:val="center"/>
    </w:pPr>
    <w:rPr>
      <w:i/>
      <w:iCs/>
      <w:color w:val="404040" w:themeColor="text1" w:themeTint="BF"/>
    </w:rPr>
  </w:style>
  <w:style w:type="character" w:customStyle="1" w:styleId="QuoteChar">
    <w:name w:val="Quote Char"/>
    <w:basedOn w:val="DefaultParagraphFont"/>
    <w:link w:val="Quote"/>
    <w:uiPriority w:val="29"/>
    <w:rsid w:val="005C1E65"/>
    <w:rPr>
      <w:i/>
      <w:iCs/>
      <w:color w:val="404040" w:themeColor="text1" w:themeTint="BF"/>
    </w:rPr>
  </w:style>
  <w:style w:type="paragraph" w:styleId="ListParagraph">
    <w:name w:val="List Paragraph"/>
    <w:basedOn w:val="Normal"/>
    <w:uiPriority w:val="34"/>
    <w:qFormat/>
    <w:rsid w:val="005C1E65"/>
    <w:pPr>
      <w:ind w:left="720"/>
      <w:contextualSpacing/>
    </w:pPr>
  </w:style>
  <w:style w:type="character" w:styleId="IntenseEmphasis">
    <w:name w:val="Intense Emphasis"/>
    <w:basedOn w:val="DefaultParagraphFont"/>
    <w:uiPriority w:val="21"/>
    <w:qFormat/>
    <w:rsid w:val="005C1E65"/>
    <w:rPr>
      <w:i/>
      <w:iCs/>
      <w:color w:val="0F4761" w:themeColor="accent1" w:themeShade="BF"/>
    </w:rPr>
  </w:style>
  <w:style w:type="paragraph" w:styleId="IntenseQuote">
    <w:name w:val="Intense Quote"/>
    <w:basedOn w:val="Normal"/>
    <w:next w:val="Normal"/>
    <w:link w:val="IntenseQuoteChar"/>
    <w:uiPriority w:val="30"/>
    <w:qFormat/>
    <w:rsid w:val="005C1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E65"/>
    <w:rPr>
      <w:i/>
      <w:iCs/>
      <w:color w:val="0F4761" w:themeColor="accent1" w:themeShade="BF"/>
    </w:rPr>
  </w:style>
  <w:style w:type="character" w:styleId="IntenseReference">
    <w:name w:val="Intense Reference"/>
    <w:basedOn w:val="DefaultParagraphFont"/>
    <w:uiPriority w:val="32"/>
    <w:qFormat/>
    <w:rsid w:val="005C1E65"/>
    <w:rPr>
      <w:b/>
      <w:bCs/>
      <w:smallCaps/>
      <w:color w:val="0F4761" w:themeColor="accent1" w:themeShade="BF"/>
      <w:spacing w:val="5"/>
    </w:rPr>
  </w:style>
  <w:style w:type="paragraph" w:styleId="Header">
    <w:name w:val="header"/>
    <w:basedOn w:val="Normal"/>
    <w:link w:val="HeaderChar"/>
    <w:uiPriority w:val="99"/>
    <w:unhideWhenUsed/>
    <w:rsid w:val="00DC7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AE0"/>
  </w:style>
  <w:style w:type="paragraph" w:styleId="Footer">
    <w:name w:val="footer"/>
    <w:basedOn w:val="Normal"/>
    <w:link w:val="FooterChar"/>
    <w:uiPriority w:val="99"/>
    <w:unhideWhenUsed/>
    <w:rsid w:val="00DC7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AE0"/>
  </w:style>
  <w:style w:type="character" w:styleId="Hyperlink">
    <w:name w:val="Hyperlink"/>
    <w:basedOn w:val="DefaultParagraphFont"/>
    <w:uiPriority w:val="99"/>
    <w:unhideWhenUsed/>
    <w:rsid w:val="007F4820"/>
    <w:rPr>
      <w:color w:val="467886" w:themeColor="hyperlink"/>
      <w:u w:val="single"/>
    </w:rPr>
  </w:style>
  <w:style w:type="character" w:styleId="UnresolvedMention">
    <w:name w:val="Unresolved Mention"/>
    <w:basedOn w:val="DefaultParagraphFont"/>
    <w:uiPriority w:val="99"/>
    <w:semiHidden/>
    <w:unhideWhenUsed/>
    <w:rsid w:val="007F48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5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olioeradication.org/polio-today/" TargetMode="External"/><Relationship Id="rId17" Type="http://schemas.openxmlformats.org/officeDocument/2006/relationships/hyperlink" Target="https://www.who.int/news-room/fact-sheets/detail/poliomyelitis" TargetMode="External"/><Relationship Id="rId2" Type="http://schemas.openxmlformats.org/officeDocument/2006/relationships/numbering" Target="numbering.xml"/><Relationship Id="rId16" Type="http://schemas.openxmlformats.org/officeDocument/2006/relationships/hyperlink" Target="https://www.gov.uk/government/news/poliovirus-detected-in-sewage-from-north-and-east-lond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polio/vaccines/index.html" TargetMode="External"/><Relationship Id="rId5" Type="http://schemas.openxmlformats.org/officeDocument/2006/relationships/webSettings" Target="webSettings.xml"/><Relationship Id="rId15" Type="http://schemas.openxmlformats.org/officeDocument/2006/relationships/hyperlink" Target="https://www.england.nhs.uk/long-term-plan/" TargetMode="External"/><Relationship Id="rId10" Type="http://schemas.openxmlformats.org/officeDocument/2006/relationships/hyperlink" Target="https://www.cdc.gov/polio/about/index.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ishpolio.org.uk" TargetMode="External"/><Relationship Id="rId14" Type="http://schemas.openxmlformats.org/officeDocument/2006/relationships/hyperlink" Target="https://www.nhs.uk/vaccinations/nhs-vaccinations-and-when-to-have-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33DD1-020E-496A-A6C8-91CD7E7DC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7</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Haris Khan</dc:creator>
  <cp:keywords/>
  <dc:description/>
  <cp:lastModifiedBy>Haris Khan</cp:lastModifiedBy>
  <cp:revision>1</cp:revision>
  <dcterms:created xsi:type="dcterms:W3CDTF">2026-07-21T01:23:00Z</dcterms:created>
  <dcterms:modified xsi:type="dcterms:W3CDTF">2026-07-21T03:34:00Z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3439ea7a-ae4f-41e8-8ab0-411ff768b069</vt:lpwstr>
  </property>
</Properties>
</file>