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276" w:lineRule="auto"/>
        <w:rPr>
          <w:rFonts w:ascii="Cambria" w:cs="Cambria" w:eastAsia="Cambria" w:hAnsi="Cambria"/>
          <w:sz w:val="40"/>
          <w:szCs w:val="40"/>
          <w:u w:val="single"/>
        </w:rPr>
      </w:pPr>
      <w:r w:rsidDel="00000000" w:rsidR="00000000" w:rsidRPr="00000000">
        <w:rPr>
          <w:rFonts w:ascii="Cambria" w:cs="Cambria" w:eastAsia="Cambria" w:hAnsi="Cambria"/>
          <w:sz w:val="40"/>
          <w:szCs w:val="40"/>
          <w:u w:val="single"/>
          <w:rtl w:val="0"/>
        </w:rPr>
        <w:t xml:space="preserve">Ethan Reed-Critique</w:t>
      </w:r>
    </w:p>
    <w:p w:rsidR="00000000" w:rsidDel="00000000" w:rsidP="00000000" w:rsidRDefault="00000000" w:rsidRPr="00000000" w14:paraId="00000001">
      <w:pPr>
        <w:spacing w:line="276" w:lineRule="auto"/>
        <w:rPr>
          <w:rFonts w:ascii="Cambria" w:cs="Cambria" w:eastAsia="Cambria" w:hAnsi="Cambria"/>
          <w:sz w:val="40"/>
          <w:szCs w:val="40"/>
          <w:u w:val="single"/>
        </w:rPr>
      </w:pPr>
      <w:r w:rsidDel="00000000" w:rsidR="00000000" w:rsidRPr="00000000">
        <w:rPr>
          <w:rFonts w:ascii="Cambria" w:cs="Cambria" w:eastAsia="Cambria" w:hAnsi="Cambria"/>
          <w:sz w:val="40"/>
          <w:szCs w:val="40"/>
          <w:u w:val="single"/>
          <w:rtl w:val="0"/>
        </w:rPr>
        <w:t xml:space="preserve">“Patient experiences of the burden of using medicines for long‐term conditions and factors affecting burden: A cross‐sectional survey”</w:t>
      </w:r>
    </w:p>
    <w:p w:rsidR="00000000" w:rsidDel="00000000" w:rsidP="00000000" w:rsidRDefault="00000000" w:rsidRPr="00000000" w14:paraId="00000002">
      <w:pPr>
        <w:spacing w:line="276" w:lineRule="auto"/>
        <w:rPr>
          <w:rFonts w:ascii="Cambria" w:cs="Cambria" w:eastAsia="Cambria" w:hAnsi="Cambria"/>
          <w:u w:val="single"/>
        </w:rPr>
      </w:pPr>
      <w:r w:rsidDel="00000000" w:rsidR="00000000" w:rsidRPr="00000000">
        <w:rPr>
          <w:rFonts w:ascii="Cambria" w:cs="Cambria" w:eastAsia="Cambria" w:hAnsi="Cambria"/>
          <w:rtl w:val="0"/>
        </w:rPr>
        <w:t xml:space="preserve">There are numerous reasons why research is and should be critiqued; firstly critical review maintains a certain standard for the quality of research being produced. Should research go unmoderated it is likely we would see an influx of low-quality or low-effort research, this can be paralleled with assignment moderation in universities which ensure a consistency of quality and a high quality of marking (University of Warwick, 2018). Timmons (2017) stated that just because a paper is published, does not ensure a high quality. For this reason we have review and critiquing organisations such as Cochrane, Health and Social care in the community and the British Medical Journal.</w:t>
      </w:r>
      <w:r w:rsidDel="00000000" w:rsidR="00000000" w:rsidRPr="00000000">
        <w:rPr>
          <w:rtl w:val="0"/>
        </w:rPr>
      </w:r>
    </w:p>
    <w:p w:rsidR="00000000" w:rsidDel="00000000" w:rsidP="00000000" w:rsidRDefault="00000000" w:rsidRPr="00000000" w14:paraId="00000003">
      <w:pPr>
        <w:spacing w:line="276" w:lineRule="auto"/>
        <w:rPr>
          <w:rFonts w:ascii="Cambria" w:cs="Cambria" w:eastAsia="Cambria" w:hAnsi="Cambria"/>
          <w:u w:val="single"/>
        </w:rPr>
      </w:pPr>
      <w:r w:rsidDel="00000000" w:rsidR="00000000" w:rsidRPr="00000000">
        <w:rPr>
          <w:rFonts w:ascii="Cambria" w:cs="Cambria" w:eastAsia="Cambria" w:hAnsi="Cambria"/>
          <w:rtl w:val="0"/>
        </w:rPr>
        <w:t xml:space="preserve">Whissel (2012) who states that the top priority for titles in academic works is that they are informative, making use of concise and concrete terminology in order to provide a clear statement of intent for the paper. Grant continues, specifying that broad terms like ‘libraries’ or ‘education’ will not grab the attention of potential readers as much as more specific language like ‘social care libraries’ or ‘children’s health education’. Krska, Katusiime and Corlett’s paper (2018) has a very informative yet compact title, outlining the study’s focus on patient burden due to taking multiple medicines long-term without being long-winded.</w:t>
      </w:r>
      <w:r w:rsidDel="00000000" w:rsidR="00000000" w:rsidRPr="00000000">
        <w:rPr>
          <w:rtl w:val="0"/>
        </w:rPr>
      </w:r>
    </w:p>
    <w:p w:rsidR="00000000" w:rsidDel="00000000" w:rsidP="00000000" w:rsidRDefault="00000000" w:rsidRPr="00000000" w14:paraId="00000004">
      <w:pPr>
        <w:spacing w:line="276" w:lineRule="auto"/>
        <w:rPr>
          <w:rFonts w:ascii="Cambria" w:cs="Cambria" w:eastAsia="Cambria" w:hAnsi="Cambria"/>
        </w:rPr>
      </w:pPr>
      <w:r w:rsidDel="00000000" w:rsidR="00000000" w:rsidRPr="00000000">
        <w:rPr>
          <w:rFonts w:ascii="Cambria" w:cs="Cambria" w:eastAsia="Cambria" w:hAnsi="Cambria"/>
          <w:rtl w:val="0"/>
        </w:rPr>
        <w:t xml:space="preserve">Krska, Katusiime and Corlett’s 2018 paper is about patients finding the use of medicines burdening for extended periods of time. The paper seeks to survey the experiences of patients taking medicine long-term and determine what factors are most influential in affecting burden. They also gather demographic data which includes participant’s age, gender, employment status, level of deprivation in their local area, the number of medicines they take, the frequency at which they take their medicines, the formulations of their medicines, who manages their medicine intake and whether they pay for the prescriptions themselves. As mentioned before, the paper was carried out by (Medway School of Pharmacy, 2018) Professor Janet Krska, a professor of clinical and professional practice with a PhD in psychopharmacology, Dr Barbra Katusiime, a lecturer for Pharmacy Clinical and Professional practice with a PhD in Pharmacy and lastly Doctor Sarah A. Corlett, a lecturer and registered pharmacist. These researchers seem more than apt to undertake this research as their experience in pharmacy gives them the appropriate understanding.</w:t>
      </w:r>
    </w:p>
    <w:p w:rsidR="00000000" w:rsidDel="00000000" w:rsidP="00000000" w:rsidRDefault="00000000" w:rsidRPr="00000000" w14:paraId="00000005">
      <w:pPr>
        <w:spacing w:line="276" w:lineRule="auto"/>
        <w:rPr>
          <w:rFonts w:ascii="Cambria" w:cs="Cambria" w:eastAsia="Cambria" w:hAnsi="Cambria"/>
        </w:rPr>
      </w:pPr>
      <w:r w:rsidDel="00000000" w:rsidR="00000000" w:rsidRPr="00000000">
        <w:rPr>
          <w:rFonts w:ascii="Cambria" w:cs="Cambria" w:eastAsia="Cambria" w:hAnsi="Cambria"/>
          <w:rtl w:val="0"/>
        </w:rPr>
        <w:t xml:space="preserve">The abstract of Krska, Katusiime and Corlett’s paper (2018) appears to use an informative framework, as UK Essays write (2018), informative abstracts provide readers with the purpose, methods and results of the paper. This paper conveys a large amount of data, providing information on the content of questionnaires used, researchers usage of the Medication Regimen Complexity Index, the return rate of the questionnaire, demographic data, the results of the paper and a small discussion of said results(Krska, Katusiime and Corlett, 2018).</w:t>
      </w:r>
    </w:p>
    <w:p w:rsidR="00000000" w:rsidDel="00000000" w:rsidP="00000000" w:rsidRDefault="00000000" w:rsidRPr="00000000" w14:paraId="00000006">
      <w:pPr>
        <w:spacing w:line="276" w:lineRule="auto"/>
        <w:rPr>
          <w:rFonts w:ascii="Cambria" w:cs="Cambria" w:eastAsia="Cambria" w:hAnsi="Cambria"/>
        </w:rPr>
      </w:pPr>
      <w:r w:rsidDel="00000000" w:rsidR="00000000" w:rsidRPr="00000000">
        <w:rPr>
          <w:rFonts w:ascii="Cambria" w:cs="Cambria" w:eastAsia="Cambria" w:hAnsi="Cambria"/>
          <w:rtl w:val="0"/>
        </w:rPr>
        <w:t xml:space="preserve">Leach, Neale and Kemp (2009) write that the function of literature reviews is to bring previously existing research and other relevant knowledge together in order to evaluate, summarise and overall make sense of the area under research. They are meant to help researchers pinpoint overlaps and gaps in knowledge.</w:t>
      </w:r>
    </w:p>
    <w:p w:rsidR="00000000" w:rsidDel="00000000" w:rsidP="00000000" w:rsidRDefault="00000000" w:rsidRPr="00000000" w14:paraId="00000007">
      <w:pPr>
        <w:spacing w:line="276" w:lineRule="auto"/>
        <w:rPr>
          <w:rFonts w:ascii="Cambria" w:cs="Cambria" w:eastAsia="Cambria" w:hAnsi="Cambria"/>
        </w:rPr>
      </w:pPr>
      <w:r w:rsidDel="00000000" w:rsidR="00000000" w:rsidRPr="00000000">
        <w:rPr>
          <w:rFonts w:ascii="Cambria" w:cs="Cambria" w:eastAsia="Cambria" w:hAnsi="Cambria"/>
          <w:rtl w:val="0"/>
        </w:rPr>
        <w:t xml:space="preserve">The literature review of Krska, Katusiime and Corlett’s paper (2018) features a multitude of papers relevant to pharmacy and burden, these include; A study into polypharmacy, taking multiple medicines at once as an individual, and how it has become a worldwide medical burden (Barrett, Lucas and Alexander, 2016). This paper is quite recent so the data it contains is still quite fresh, though considering the niche in this subject area it would be overlooked if it were older. The paper sought to find how much of a burden polypharmacy had become in the developed world and what potential risks might arise from the issue. The authors of the main paper most likely chose this paper due to its relevance to their paper, both discuss the issues of taking multiple medications at once, stating that it may lead to an increase of non communicable chronic disease in older persons. Though Barrett, Lucas and Alexander’s paper only mentions burden as a minor side effect to a larger issue. Krska, Katusiime and Corlett (2018) also review work from Krska et al (2013), a slightly older paper that still hold a great deal of relevance to the main paper. This paper also looked at the effects of polypharmacy on patient health and how these effects would alter patients overall quality of life, it looks at how certain factors affect polypharmacy. Krska, Katusiime and Corlett chose this paper for this fact.</w:t>
      </w:r>
    </w:p>
    <w:p w:rsidR="00000000" w:rsidDel="00000000" w:rsidP="00000000" w:rsidRDefault="00000000" w:rsidRPr="00000000" w14:paraId="00000008">
      <w:pPr>
        <w:spacing w:line="276" w:lineRule="auto"/>
        <w:rPr>
          <w:rFonts w:ascii="Cambria" w:cs="Cambria" w:eastAsia="Cambria" w:hAnsi="Cambria"/>
        </w:rPr>
      </w:pPr>
      <w:r w:rsidDel="00000000" w:rsidR="00000000" w:rsidRPr="00000000">
        <w:rPr>
          <w:rFonts w:ascii="Cambria" w:cs="Cambria" w:eastAsia="Cambria" w:hAnsi="Cambria"/>
          <w:rtl w:val="0"/>
        </w:rPr>
        <w:t xml:space="preserve">Krska, Katusiime and Corlett’s paper (2018) states that it has discovered that; burden increases correlate with the total medicines being taken and the complexity of medicine intake regimes, prescription charges and needing assistance with taking medication also increases burden, and suggests that prescription-capable health professionals should take burden into account when prescribing medicine in the long-term.</w:t>
      </w:r>
    </w:p>
    <w:p w:rsidR="00000000" w:rsidDel="00000000" w:rsidP="00000000" w:rsidRDefault="00000000" w:rsidRPr="00000000" w14:paraId="00000009">
      <w:pPr>
        <w:spacing w:line="276" w:lineRule="auto"/>
        <w:rPr>
          <w:rFonts w:ascii="Cambria" w:cs="Cambria" w:eastAsia="Cambria" w:hAnsi="Cambria"/>
        </w:rPr>
      </w:pPr>
      <w:r w:rsidDel="00000000" w:rsidR="00000000" w:rsidRPr="00000000">
        <w:rPr>
          <w:rFonts w:ascii="Cambria" w:cs="Cambria" w:eastAsia="Cambria" w:hAnsi="Cambria"/>
          <w:rtl w:val="0"/>
        </w:rPr>
        <w:t xml:space="preserve">Polit and Hungler (1999) stated that study aims are important to researchers because they give both researchers and readers a clear aim to follow and work towards.</w:t>
      </w:r>
    </w:p>
    <w:p w:rsidR="00000000" w:rsidDel="00000000" w:rsidP="00000000" w:rsidRDefault="00000000" w:rsidRPr="00000000" w14:paraId="0000000A">
      <w:pPr>
        <w:spacing w:line="276" w:lineRule="auto"/>
        <w:rPr>
          <w:rFonts w:ascii="Cambria" w:cs="Cambria" w:eastAsia="Cambria" w:hAnsi="Cambria"/>
        </w:rPr>
      </w:pPr>
      <w:r w:rsidDel="00000000" w:rsidR="00000000" w:rsidRPr="00000000">
        <w:rPr>
          <w:rFonts w:ascii="Cambria" w:cs="Cambria" w:eastAsia="Cambria" w:hAnsi="Cambria"/>
          <w:rtl w:val="0"/>
        </w:rPr>
        <w:t xml:space="preserve">Krska, Katusiime and Corlett’s paper (2018) states it’s aim in two parts: first, it seeks to gather the types of burdensome issues people face when taking medication and put them into a quantifiable format, secondly, it assesses factors associated with high burden and poor medicine use experiences; medicine-related and sociodemographic factors to be precise. The paper satisfies its first aim in ‘Table 6’, responses from the questionnaire on patient satisfaction and perceived issues from taking their medications. The paper also fulfils its second aim in ‘Table 3’, showing demographics of patients affected by high burden and characteristics of their medication usage.</w:t>
      </w:r>
    </w:p>
    <w:p w:rsidR="00000000" w:rsidDel="00000000" w:rsidP="00000000" w:rsidRDefault="00000000" w:rsidRPr="00000000" w14:paraId="0000000B">
      <w:pPr>
        <w:spacing w:line="276" w:lineRule="auto"/>
        <w:rPr>
          <w:rFonts w:ascii="Cambria" w:cs="Cambria" w:eastAsia="Cambria" w:hAnsi="Cambria"/>
        </w:rPr>
      </w:pPr>
      <w:r w:rsidDel="00000000" w:rsidR="00000000" w:rsidRPr="00000000">
        <w:rPr>
          <w:rFonts w:ascii="Cambria" w:cs="Cambria" w:eastAsia="Cambria" w:hAnsi="Cambria"/>
          <w:rtl w:val="0"/>
        </w:rPr>
        <w:t xml:space="preserve">Krska, Katusiime and Corlett’s paper (2018) is a cross sectional survey, and according to Cherry (2018) this means the paper is a type of descriptive research and best used when trying to record certain characteristics. The paper uses mixed methods to achieve its results, quantitative data coming from its use of demographics, qualitative data being shown in the responses to its questionnaire. Due to a lack of need to adjust variables this seems like one of the best options for this kind of research, although this paper fails to expand on its choice.</w:t>
      </w:r>
    </w:p>
    <w:p w:rsidR="00000000" w:rsidDel="00000000" w:rsidP="00000000" w:rsidRDefault="00000000" w:rsidRPr="00000000" w14:paraId="0000000C">
      <w:pPr>
        <w:spacing w:line="276" w:lineRule="auto"/>
        <w:rPr>
          <w:rFonts w:ascii="Cambria" w:cs="Cambria" w:eastAsia="Cambria" w:hAnsi="Cambria"/>
        </w:rPr>
      </w:pPr>
      <w:r w:rsidDel="00000000" w:rsidR="00000000" w:rsidRPr="00000000">
        <w:rPr>
          <w:rFonts w:ascii="Cambria" w:cs="Cambria" w:eastAsia="Cambria" w:hAnsi="Cambria"/>
          <w:rtl w:val="0"/>
        </w:rPr>
        <w:t xml:space="preserve">The study sample for Krska, Katusiime and Corlett’s paper (2018) states that participants were potentially of adult age, taking at least one type of medication for a long-term condition and were living within England. The study population was spread across the south-east of England in areas of varying deprivation. The paper also mentions several exclusion criteria; inability to read english, physically or mentally unable to fill out the questionnaire and taking medication for severe but relatively short-term conditions. With exception to the criteria concerning those with acute conditions, there is no justification for exclusion of patients who cannot fill out the questionnaire as they could contact someone to fill it in on their behalf, by doing this the researchers have excluded some of their most applicable participants. The paper’s sample was gathered using </w:t>
      </w:r>
      <w:r w:rsidDel="00000000" w:rsidR="00000000" w:rsidRPr="00000000">
        <w:rPr>
          <w:rFonts w:ascii="Cambria" w:cs="Cambria" w:eastAsia="Cambria" w:hAnsi="Cambria"/>
          <w:rtl w:val="0"/>
        </w:rPr>
        <w:t xml:space="preserve">convenience sampling, choosing a sample based on whomever is available. This is inappropriate for this study because it has an immediate bias against patients who are unable to collect their medications themselves. In relation to the sample size, Malterud, Siersma and Guasorra (2016) outline 5 factors which affect the size of a study, these are: having a narrow study aim would require less participants than a broader study, a very specific study would need less participants with more relevant traits or experiences than a much sparser study, studies working off an established theory require more participants to give the theory a greater strength whereas those working from scratch can use less people, if researchers have good communication skills they will require a small study sample to gain the same quality of information as a larger sample, and  if researchers are focusing on a single case they have no need of a large study sample, whereas those working on cross-case studies would need very large samples. From this information, it can be judged that Krska, Katusiime and Corlett’s 2018 paper has an appropriate sample size largely due to the niche of their research.</w:t>
      </w:r>
      <w:r w:rsidDel="00000000" w:rsidR="00000000" w:rsidRPr="00000000">
        <w:rPr>
          <w:rtl w:val="0"/>
        </w:rPr>
      </w:r>
    </w:p>
    <w:p w:rsidR="00000000" w:rsidDel="00000000" w:rsidP="00000000" w:rsidRDefault="00000000" w:rsidRPr="00000000" w14:paraId="0000000D">
      <w:pPr>
        <w:spacing w:line="276" w:lineRule="auto"/>
        <w:rPr>
          <w:rFonts w:ascii="Cambria" w:cs="Cambria" w:eastAsia="Cambria" w:hAnsi="Cambria"/>
        </w:rPr>
      </w:pPr>
      <w:r w:rsidDel="00000000" w:rsidR="00000000" w:rsidRPr="00000000">
        <w:rPr>
          <w:rFonts w:ascii="Cambria" w:cs="Cambria" w:eastAsia="Cambria" w:hAnsi="Cambria"/>
          <w:rtl w:val="0"/>
        </w:rPr>
        <w:t xml:space="preserve">Krska, Katusiime and Corlett (2018) gathered data for their study through a self-constructed questionnaire called the Living with Medicines Questionnaire V3, or LMQ-3 for short. The LMQ-3 comprises of 41 statements accompanied by a 5 point Likert scale ranging from ‘Strongly agree’ to ‘Strongly disagree’. LMQ-3’s were handed out at pharmacies to patients collecting prescriptions or waiting at general practice surgeries, in order to increase the likelihood of questionnaires being returned, researchers provided participants with free postage envelopes and allowed them to fill out the LMQ-3 while they waited for their prescription, upon completion they could give their questionnaire to the pharmacist or receptionist for collection at a later date. Despite how well-developed the LMQ-3 was, the researchers fail to justify its use as one of two data gathering tools. The other means of data collection were patient medication records or PMRs, researchers requested access to these records in order to find medication routines without participants filling out this information themselves. These two data collection methods work quite well together, providing both concrete data on the prescriptions themselves as well as accounts from patients themselves.</w:t>
      </w:r>
    </w:p>
    <w:p w:rsidR="00000000" w:rsidDel="00000000" w:rsidP="00000000" w:rsidRDefault="00000000" w:rsidRPr="00000000" w14:paraId="0000000E">
      <w:pPr>
        <w:spacing w:line="276" w:lineRule="auto"/>
        <w:rPr>
          <w:rFonts w:ascii="Cambria" w:cs="Cambria" w:eastAsia="Cambria" w:hAnsi="Cambria"/>
        </w:rPr>
      </w:pPr>
      <w:r w:rsidDel="00000000" w:rsidR="00000000" w:rsidRPr="00000000">
        <w:rPr>
          <w:rFonts w:ascii="Cambria" w:cs="Cambria" w:eastAsia="Cambria" w:hAnsi="Cambria"/>
          <w:rtl w:val="0"/>
        </w:rPr>
        <w:t xml:space="preserve">Krska, Katusiime and Corlett’s paper (2018) claims to have obtained ethical approval from the National Research Ethics service and acquired approval from research governance organisations. As a precaution, the researchers asked participants to provide written consent for their pharmacist to provide an anonymous copy of their PMR, questionnaires were also anonymised though the researchers fail to state whether or not consent was obtained for the use of this information.</w:t>
      </w:r>
    </w:p>
    <w:p w:rsidR="00000000" w:rsidDel="00000000" w:rsidP="00000000" w:rsidRDefault="00000000" w:rsidRPr="00000000" w14:paraId="0000000F">
      <w:pPr>
        <w:spacing w:line="276" w:lineRule="auto"/>
        <w:rPr>
          <w:rFonts w:ascii="Cambria" w:cs="Cambria" w:eastAsia="Cambria" w:hAnsi="Cambria"/>
        </w:rPr>
      </w:pPr>
      <w:r w:rsidDel="00000000" w:rsidR="00000000" w:rsidRPr="00000000">
        <w:rPr>
          <w:rFonts w:ascii="Cambria" w:cs="Cambria" w:eastAsia="Cambria" w:hAnsi="Cambria"/>
          <w:rtl w:val="0"/>
        </w:rPr>
        <w:t xml:space="preserve">Data analysis for Krska, Katusiime and Corlett’s paper (2018) was conducted using IBM SPSS version 22 and subject to checks of quality, any missing data was excluded from analysis. The ages and amount of medicines were categorised in order to facilitate certain analyses. Levels of deprivation for participants was ascertained through their postcodes after they were entered into the English IMD 2015. The paper makes reference to a method used to calculate the complexity of medicine regimes (George et al, 2004). Free-text responses were analysed thematically into eight domains set out by the LMQ-3: how polypharmacy interferes with life, effectiveness of doctor-patient communication, effectiveness of medicines or lack thereof, general concerns, side effects of medicines, difficulties with practicality of polypharmacy, financial burdens, and autonomy concerns (Katusiime, Corlett and Krska, 2018). The researchers of the paper (Krska, Katusiime and Corlett, 2018) used Cronbach’s alpha, a measure for consistency (UCLA: Statistical Consulting Group, 2019), to demonstrate reliability in their scales. Due to all of the above, it is fair to say that the researchers have been quite diligent and thorough in their analysis.</w:t>
      </w:r>
    </w:p>
    <w:p w:rsidR="00000000" w:rsidDel="00000000" w:rsidP="00000000" w:rsidRDefault="00000000" w:rsidRPr="00000000" w14:paraId="00000010">
      <w:pPr>
        <w:spacing w:line="276" w:lineRule="auto"/>
        <w:rPr>
          <w:rFonts w:ascii="Cambria" w:cs="Cambria" w:eastAsia="Cambria" w:hAnsi="Cambria"/>
          <w:u w:val="single"/>
        </w:rPr>
      </w:pPr>
      <w:r w:rsidDel="00000000" w:rsidR="00000000" w:rsidRPr="00000000">
        <w:rPr>
          <w:rFonts w:ascii="Cambria" w:cs="Cambria" w:eastAsia="Cambria" w:hAnsi="Cambria"/>
          <w:rtl w:val="0"/>
        </w:rPr>
        <w:t xml:space="preserve">The results of Krska, Katusiime and Corlett’s paper (2018) are presented in a series of data tables and accompanied by small sections of text which organise the data into themes and provide summaries and further analyses of the tables. Reading these sections can provide a better understanding of the data but may also confuse those who cannot understand the technical language. After the tables, the researchers have also included direct quotations from participants, these are also divided into themes and are accompanied by short summaries of data relating to their theme. These aid in helping the reader gain a better idea of what the true opinions of participants were. In the end, the researchers found that while burden seemed to decrease in older participants, burden for both young and old increased as the number of medications increased.</w:t>
      </w:r>
      <w:r w:rsidDel="00000000" w:rsidR="00000000" w:rsidRPr="00000000">
        <w:rPr>
          <w:rtl w:val="0"/>
        </w:rPr>
      </w:r>
    </w:p>
    <w:p w:rsidR="00000000" w:rsidDel="00000000" w:rsidP="00000000" w:rsidRDefault="00000000" w:rsidRPr="00000000" w14:paraId="00000011">
      <w:pPr>
        <w:spacing w:line="276" w:lineRule="auto"/>
        <w:rPr>
          <w:rFonts w:ascii="Cambria" w:cs="Cambria" w:eastAsia="Cambria" w:hAnsi="Cambria"/>
          <w:u w:val="single"/>
        </w:rPr>
      </w:pPr>
      <w:r w:rsidDel="00000000" w:rsidR="00000000" w:rsidRPr="00000000">
        <w:rPr>
          <w:rFonts w:ascii="Cambria" w:cs="Cambria" w:eastAsia="Cambria" w:hAnsi="Cambria"/>
          <w:rtl w:val="0"/>
        </w:rPr>
        <w:t xml:space="preserve">The researchers (Krska, Katusiime and Corlett, 2018) display their discussions of the results under domains outlined by the LMQ-3. Within these discussions the researchers outline correlations and parallels as well as highlight connections with other research works. They also discuss how their findings can be used in a practical setting; for example they find that since patients experience increased burden as their regimens become more complex, it would be beneficial to investigate patients with complex regimens to see if they are experiencing uncomfortable levels of burden. The researchers discuss the strengths and limitations of their study, drawing to points made earlier in this essay; the flaws in exclusion criteria for LMQ-3s and their use of convenience sampling. They add that the use of PMRs was an asset in confirming patient medication amounts.</w:t>
      </w:r>
      <w:r w:rsidDel="00000000" w:rsidR="00000000" w:rsidRPr="00000000">
        <w:rPr>
          <w:rtl w:val="0"/>
        </w:rPr>
      </w:r>
    </w:p>
    <w:p w:rsidR="00000000" w:rsidDel="00000000" w:rsidP="00000000" w:rsidRDefault="00000000" w:rsidRPr="00000000" w14:paraId="00000012">
      <w:pPr>
        <w:spacing w:line="276" w:lineRule="auto"/>
        <w:rPr>
          <w:rFonts w:ascii="Cambria" w:cs="Cambria" w:eastAsia="Cambria" w:hAnsi="Cambria"/>
          <w:u w:val="single"/>
        </w:rPr>
      </w:pPr>
      <w:r w:rsidDel="00000000" w:rsidR="00000000" w:rsidRPr="00000000">
        <w:rPr>
          <w:rFonts w:ascii="Cambria" w:cs="Cambria" w:eastAsia="Cambria" w:hAnsi="Cambria"/>
          <w:rtl w:val="0"/>
        </w:rPr>
        <w:t xml:space="preserve">The researchers (Krska, Katusiime and Corlett, 2018) draw fair and accurate conclusions for their research, stating that while current policy is helpful solely for those with long-term conditions, professionals should also consider care for patients who may be under a high burden due to other factors like complexity or autonomy.</w:t>
      </w:r>
      <w:r w:rsidDel="00000000" w:rsidR="00000000" w:rsidRPr="00000000">
        <w:rPr>
          <w:rtl w:val="0"/>
        </w:rPr>
      </w:r>
    </w:p>
    <w:p w:rsidR="00000000" w:rsidDel="00000000" w:rsidP="00000000" w:rsidRDefault="00000000" w:rsidRPr="00000000" w14:paraId="00000013">
      <w:pPr>
        <w:spacing w:line="276" w:lineRule="auto"/>
        <w:rPr>
          <w:rFonts w:ascii="Cambria" w:cs="Cambria" w:eastAsia="Cambria" w:hAnsi="Cambria"/>
        </w:rPr>
      </w:pPr>
      <w:r w:rsidDel="00000000" w:rsidR="00000000" w:rsidRPr="00000000">
        <w:rPr>
          <w:rFonts w:ascii="Cambria" w:cs="Cambria" w:eastAsia="Cambria" w:hAnsi="Cambria"/>
          <w:rtl w:val="0"/>
        </w:rPr>
        <w:t xml:space="preserve">After reading through this paper, it can be concluded that it is very well constructed, with a highly qualified team of researchers to thank for it. Though it could be said that with the amount of experience these researchers carry, they would have spotted and corrected the issues with their work. Perhaps if they were to repeat this study they could do a small-scale pilot study to catch these issues before they affect their work.</w:t>
      </w:r>
    </w:p>
    <w:p w:rsidR="00000000" w:rsidDel="00000000" w:rsidP="00000000" w:rsidRDefault="00000000" w:rsidRPr="00000000" w14:paraId="0000001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1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6">
      <w:pPr>
        <w:spacing w:line="276" w:lineRule="auto"/>
        <w:rPr>
          <w:rFonts w:ascii="Cambria" w:cs="Cambria" w:eastAsia="Cambria" w:hAnsi="Cambria"/>
        </w:rPr>
      </w:pPr>
      <w:r w:rsidDel="00000000" w:rsidR="00000000" w:rsidRPr="00000000">
        <w:rPr>
          <w:rFonts w:ascii="Cambria" w:cs="Cambria" w:eastAsia="Cambria" w:hAnsi="Cambria"/>
          <w:rtl w:val="0"/>
        </w:rPr>
        <w:t xml:space="preserve">Barrett, K., Lucas, E. &amp; Alexander, G.C. (2016) ‘How polypharmacy has become a medical burden worldwide’, Clinical Pharmacist, 8(6). (Date accessed: 04/01/2019) DOI: https://doi.org/10.1211/CP.2016.20201251</w:t>
      </w:r>
    </w:p>
    <w:p w:rsidR="00000000" w:rsidDel="00000000" w:rsidP="00000000" w:rsidRDefault="00000000" w:rsidRPr="00000000" w14:paraId="0000002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8">
      <w:pPr>
        <w:spacing w:line="276" w:lineRule="auto"/>
        <w:rPr>
          <w:rFonts w:ascii="Cambria" w:cs="Cambria" w:eastAsia="Cambria" w:hAnsi="Cambria"/>
        </w:rPr>
      </w:pPr>
      <w:r w:rsidDel="00000000" w:rsidR="00000000" w:rsidRPr="00000000">
        <w:rPr>
          <w:rFonts w:ascii="Cambria" w:cs="Cambria" w:eastAsia="Cambria" w:hAnsi="Cambria"/>
          <w:rtl w:val="0"/>
        </w:rPr>
        <w:t xml:space="preserve">Cherry, K. (2018) Cross-Sectional Research Method: How Does It Work?:</w:t>
      </w:r>
    </w:p>
    <w:p w:rsidR="00000000" w:rsidDel="00000000" w:rsidP="00000000" w:rsidRDefault="00000000" w:rsidRPr="00000000" w14:paraId="00000029">
      <w:pPr>
        <w:spacing w:line="276" w:lineRule="auto"/>
        <w:rPr>
          <w:rFonts w:ascii="Cambria" w:cs="Cambria" w:eastAsia="Cambria" w:hAnsi="Cambria"/>
        </w:rPr>
      </w:pPr>
      <w:r w:rsidDel="00000000" w:rsidR="00000000" w:rsidRPr="00000000">
        <w:rPr>
          <w:rFonts w:ascii="Cambria" w:cs="Cambria" w:eastAsia="Cambria" w:hAnsi="Cambria"/>
          <w:rtl w:val="0"/>
        </w:rPr>
        <w:t xml:space="preserve">Advantages and Challenges. Available at: https://www.verywellmind.com/what-is-a-cross-sectional-study-2794978 (Date accessed: 04/01/2019)</w:t>
      </w:r>
    </w:p>
    <w:p w:rsidR="00000000" w:rsidDel="00000000" w:rsidP="00000000" w:rsidRDefault="00000000" w:rsidRPr="00000000" w14:paraId="0000002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B">
      <w:pPr>
        <w:spacing w:line="276" w:lineRule="auto"/>
        <w:rPr>
          <w:rFonts w:ascii="Cambria" w:cs="Cambria" w:eastAsia="Cambria" w:hAnsi="Cambria"/>
        </w:rPr>
      </w:pPr>
      <w:r w:rsidDel="00000000" w:rsidR="00000000" w:rsidRPr="00000000">
        <w:rPr>
          <w:rFonts w:ascii="Cambria" w:cs="Cambria" w:eastAsia="Cambria" w:hAnsi="Cambria"/>
          <w:rtl w:val="0"/>
        </w:rPr>
        <w:t xml:space="preserve">George, J. et al (2004) ‘Development and validation of the medication regimen complexity index’, Annals of Pharmacology. 38(9) pp. 1369-1376. https://dpoi.org/10.1345/aph.1D479</w:t>
      </w:r>
    </w:p>
    <w:p w:rsidR="00000000" w:rsidDel="00000000" w:rsidP="00000000" w:rsidRDefault="00000000" w:rsidRPr="00000000" w14:paraId="0000002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D">
      <w:pPr>
        <w:spacing w:line="276" w:lineRule="auto"/>
        <w:rPr>
          <w:rFonts w:ascii="Cambria" w:cs="Cambria" w:eastAsia="Cambria" w:hAnsi="Cambria"/>
        </w:rPr>
      </w:pPr>
      <w:r w:rsidDel="00000000" w:rsidR="00000000" w:rsidRPr="00000000">
        <w:rPr>
          <w:rFonts w:ascii="Cambria" w:cs="Cambria" w:eastAsia="Cambria" w:hAnsi="Cambria"/>
          <w:rtl w:val="0"/>
        </w:rPr>
        <w:t xml:space="preserve">Katusiime, B., Corlett, S.A. and Krska, J. (2018) ‘Development and validation of a revised instrument to measure burden of long-term medicines use: the Living with Medicines Questionnaire version 3’, Patient Related Outcome Measures. 9 pp. 155-168. (Date accessed: 09/01/2019) DOI: https://doi.org/10.2147/PROM.S151143</w:t>
      </w:r>
    </w:p>
    <w:p w:rsidR="00000000" w:rsidDel="00000000" w:rsidP="00000000" w:rsidRDefault="00000000" w:rsidRPr="00000000" w14:paraId="0000002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2F">
      <w:pPr>
        <w:spacing w:line="276" w:lineRule="auto"/>
        <w:rPr>
          <w:rFonts w:ascii="Cambria" w:cs="Cambria" w:eastAsia="Cambria" w:hAnsi="Cambria"/>
        </w:rPr>
      </w:pPr>
      <w:r w:rsidDel="00000000" w:rsidR="00000000" w:rsidRPr="00000000">
        <w:rPr>
          <w:rFonts w:ascii="Cambria" w:cs="Cambria" w:eastAsia="Cambria" w:hAnsi="Cambria"/>
          <w:rtl w:val="0"/>
        </w:rPr>
        <w:t xml:space="preserve">Krska, J, et al. (2013)  ‘Issues potentially affecting quality of life arising from long‐term medicines use: A qualitative study’, International Journal of Clinical Pharmacy, 35(6), pp. 1161–1169. (Date accessed: 04/01/2019) DOI: https://doi.org/10.1007/s11096-013-9841-5</w:t>
      </w:r>
    </w:p>
    <w:p w:rsidR="00000000" w:rsidDel="00000000" w:rsidP="00000000" w:rsidRDefault="00000000" w:rsidRPr="00000000" w14:paraId="0000003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1">
      <w:pPr>
        <w:spacing w:line="276" w:lineRule="auto"/>
        <w:rPr>
          <w:rFonts w:ascii="Cambria" w:cs="Cambria" w:eastAsia="Cambria" w:hAnsi="Cambria"/>
        </w:rPr>
      </w:pPr>
      <w:r w:rsidDel="00000000" w:rsidR="00000000" w:rsidRPr="00000000">
        <w:rPr>
          <w:rFonts w:ascii="Cambria" w:cs="Cambria" w:eastAsia="Cambria" w:hAnsi="Cambria"/>
          <w:rtl w:val="0"/>
        </w:rPr>
        <w:t xml:space="preserve">Krska, J., Katusiime, B. and Corlett, S.A. (2018) ‘Patient experiences of the burden of using medicines for long-term conditions and factors affecting burden: A cross-sectional survey’, Health and Social care in the community, 26(6), pp. 946-959. (Date accessed: 11/12/2018) DOI: https://doi.org/10.1111/hsc.12624</w:t>
      </w:r>
    </w:p>
    <w:p w:rsidR="00000000" w:rsidDel="00000000" w:rsidP="00000000" w:rsidRDefault="00000000" w:rsidRPr="00000000" w14:paraId="0000003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3">
      <w:pPr>
        <w:spacing w:line="276" w:lineRule="auto"/>
        <w:rPr>
          <w:rFonts w:ascii="Cambria" w:cs="Cambria" w:eastAsia="Cambria" w:hAnsi="Cambria"/>
        </w:rPr>
      </w:pPr>
      <w:r w:rsidDel="00000000" w:rsidR="00000000" w:rsidRPr="00000000">
        <w:rPr>
          <w:rFonts w:ascii="Cambria" w:cs="Cambria" w:eastAsia="Cambria" w:hAnsi="Cambria"/>
          <w:rtl w:val="0"/>
        </w:rPr>
        <w:t xml:space="preserve">Leach, M., Neale, J. and Kemp, P.A. (2009) ‘Research Methods For Health And Social Care’, in Neale, J. (ed.) Literature Reviews. Basingstoke: Palgrave Macmillan.</w:t>
      </w:r>
    </w:p>
    <w:p w:rsidR="00000000" w:rsidDel="00000000" w:rsidP="00000000" w:rsidRDefault="00000000" w:rsidRPr="00000000" w14:paraId="0000003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5">
      <w:pPr>
        <w:spacing w:line="276" w:lineRule="auto"/>
        <w:rPr>
          <w:rFonts w:ascii="Cambria" w:cs="Cambria" w:eastAsia="Cambria" w:hAnsi="Cambria"/>
        </w:rPr>
      </w:pPr>
      <w:r w:rsidDel="00000000" w:rsidR="00000000" w:rsidRPr="00000000">
        <w:rPr>
          <w:rFonts w:ascii="Cambria" w:cs="Cambria" w:eastAsia="Cambria" w:hAnsi="Cambria"/>
          <w:rtl w:val="0"/>
        </w:rPr>
        <w:t xml:space="preserve">Malterud, K., Siersma, V.K. and Guasorra, A.D. (2016) ‘Sample Size in Qualitative Interview</w:t>
      </w:r>
    </w:p>
    <w:p w:rsidR="00000000" w:rsidDel="00000000" w:rsidP="00000000" w:rsidRDefault="00000000" w:rsidRPr="00000000" w14:paraId="00000036">
      <w:pPr>
        <w:spacing w:line="276" w:lineRule="auto"/>
        <w:rPr>
          <w:rFonts w:ascii="Cambria" w:cs="Cambria" w:eastAsia="Cambria" w:hAnsi="Cambria"/>
        </w:rPr>
      </w:pPr>
      <w:r w:rsidDel="00000000" w:rsidR="00000000" w:rsidRPr="00000000">
        <w:rPr>
          <w:rFonts w:ascii="Cambria" w:cs="Cambria" w:eastAsia="Cambria" w:hAnsi="Cambria"/>
          <w:rtl w:val="0"/>
        </w:rPr>
        <w:t xml:space="preserve">Studies: Guided by Information Power’, Qualitative Health Research. 26(13) pp. 1753–1760. (Date accessed: 08/01/2019) DOI: https://doi.org/10.1177/1049732315617444</w:t>
      </w:r>
    </w:p>
    <w:p w:rsidR="00000000" w:rsidDel="00000000" w:rsidP="00000000" w:rsidRDefault="00000000" w:rsidRPr="00000000" w14:paraId="0000003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8">
      <w:pPr>
        <w:spacing w:line="276" w:lineRule="auto"/>
        <w:rPr>
          <w:rFonts w:ascii="Cambria" w:cs="Cambria" w:eastAsia="Cambria" w:hAnsi="Cambria"/>
        </w:rPr>
      </w:pPr>
      <w:r w:rsidDel="00000000" w:rsidR="00000000" w:rsidRPr="00000000">
        <w:rPr>
          <w:rFonts w:ascii="Cambria" w:cs="Cambria" w:eastAsia="Cambria" w:hAnsi="Cambria"/>
          <w:rtl w:val="0"/>
        </w:rPr>
        <w:t xml:space="preserve">Medway School of Pharmacy (2018) Staff List. Available at: https://www.msp.ac.uk/about/staff/# (Date accessed: 29/12/2018)</w:t>
      </w:r>
    </w:p>
    <w:p w:rsidR="00000000" w:rsidDel="00000000" w:rsidP="00000000" w:rsidRDefault="00000000" w:rsidRPr="00000000" w14:paraId="0000003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A">
      <w:pPr>
        <w:spacing w:line="276" w:lineRule="auto"/>
        <w:rPr>
          <w:rFonts w:ascii="Cambria" w:cs="Cambria" w:eastAsia="Cambria" w:hAnsi="Cambria"/>
        </w:rPr>
      </w:pPr>
      <w:r w:rsidDel="00000000" w:rsidR="00000000" w:rsidRPr="00000000">
        <w:rPr>
          <w:rFonts w:ascii="Cambria" w:cs="Cambria" w:eastAsia="Cambria" w:hAnsi="Cambria"/>
          <w:rtl w:val="0"/>
        </w:rPr>
        <w:t xml:space="preserve">Polit, D.F. and Hungler, B.P. (1999) Nursing Research Principles and Methods (6th edn). London: Lippincott.</w:t>
      </w:r>
    </w:p>
    <w:p w:rsidR="00000000" w:rsidDel="00000000" w:rsidP="00000000" w:rsidRDefault="00000000" w:rsidRPr="00000000" w14:paraId="0000003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C">
      <w:pPr>
        <w:spacing w:line="276" w:lineRule="auto"/>
        <w:rPr>
          <w:rFonts w:ascii="Cambria" w:cs="Cambria" w:eastAsia="Cambria" w:hAnsi="Cambria"/>
        </w:rPr>
      </w:pPr>
      <w:r w:rsidDel="00000000" w:rsidR="00000000" w:rsidRPr="00000000">
        <w:rPr>
          <w:rFonts w:ascii="Cambria" w:cs="Cambria" w:eastAsia="Cambria" w:hAnsi="Cambria"/>
          <w:rtl w:val="0"/>
        </w:rPr>
        <w:t xml:space="preserve">Timmons, S. (2017) Why Critique Research?. Available at: https://www.nottingham.ac.uk/nmp/sonet/rlos/ebp/research_critique/index.html (Date accessed: 21/12/2018)</w:t>
      </w:r>
    </w:p>
    <w:p w:rsidR="00000000" w:rsidDel="00000000" w:rsidP="00000000" w:rsidRDefault="00000000" w:rsidRPr="00000000" w14:paraId="0000003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3E">
      <w:pPr>
        <w:spacing w:line="276" w:lineRule="auto"/>
        <w:rPr>
          <w:rFonts w:ascii="Cambria" w:cs="Cambria" w:eastAsia="Cambria" w:hAnsi="Cambria"/>
        </w:rPr>
      </w:pPr>
      <w:r w:rsidDel="00000000" w:rsidR="00000000" w:rsidRPr="00000000">
        <w:rPr>
          <w:rFonts w:ascii="Cambria" w:cs="Cambria" w:eastAsia="Cambria" w:hAnsi="Cambria"/>
          <w:rtl w:val="0"/>
        </w:rPr>
        <w:t xml:space="preserve">UCLA: Statistical Consulting Group (2019) What does Cronbach’s alpha mean? Available at: https://stats.idre.ucla.edu/spss/faq/what-does-cronbachs-alpha-mean/ (Date accessed: 09/01/2019)</w:t>
      </w:r>
    </w:p>
    <w:p w:rsidR="00000000" w:rsidDel="00000000" w:rsidP="00000000" w:rsidRDefault="00000000" w:rsidRPr="00000000" w14:paraId="0000003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4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41">
      <w:pPr>
        <w:spacing w:line="276" w:lineRule="auto"/>
        <w:rPr>
          <w:rFonts w:ascii="Cambria" w:cs="Cambria" w:eastAsia="Cambria" w:hAnsi="Cambria"/>
        </w:rPr>
      </w:pPr>
      <w:r w:rsidDel="00000000" w:rsidR="00000000" w:rsidRPr="00000000">
        <w:rPr>
          <w:rFonts w:ascii="Cambria" w:cs="Cambria" w:eastAsia="Cambria" w:hAnsi="Cambria"/>
          <w:rtl w:val="0"/>
        </w:rPr>
        <w:t xml:space="preserve">UK Essays (2018) Writing a Dissertation Abstract. Available at: https://www.ukessays.com/resources/undergraduate/dissertation/abstract.php (Date accessed: 30/12/2018)</w:t>
      </w:r>
    </w:p>
    <w:p w:rsidR="00000000" w:rsidDel="00000000" w:rsidP="00000000" w:rsidRDefault="00000000" w:rsidRPr="00000000" w14:paraId="0000004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43">
      <w:pPr>
        <w:spacing w:line="276" w:lineRule="auto"/>
        <w:rPr>
          <w:rFonts w:ascii="Cambria" w:cs="Cambria" w:eastAsia="Cambria" w:hAnsi="Cambria"/>
        </w:rPr>
      </w:pPr>
      <w:r w:rsidDel="00000000" w:rsidR="00000000" w:rsidRPr="00000000">
        <w:rPr>
          <w:rFonts w:ascii="Cambria" w:cs="Cambria" w:eastAsia="Cambria" w:hAnsi="Cambria"/>
          <w:rtl w:val="0"/>
        </w:rPr>
        <w:t xml:space="preserve">University of Warwick (2018) Moderation Guidance. Available at: https://warwick.ac.uk/services/aro/dar/quality/categories/examinations/moderation/#whatismoderation (Date accessed: 07/01/2019)</w:t>
      </w:r>
    </w:p>
    <w:p w:rsidR="00000000" w:rsidDel="00000000" w:rsidP="00000000" w:rsidRDefault="00000000" w:rsidRPr="00000000" w14:paraId="0000004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045">
      <w:pPr>
        <w:spacing w:line="276" w:lineRule="auto"/>
        <w:rPr>
          <w:rFonts w:ascii="Cambria" w:cs="Cambria" w:eastAsia="Cambria" w:hAnsi="Cambria"/>
        </w:rPr>
      </w:pPr>
      <w:r w:rsidDel="00000000" w:rsidR="00000000" w:rsidRPr="00000000">
        <w:rPr>
          <w:rFonts w:ascii="Cambria" w:cs="Cambria" w:eastAsia="Cambria" w:hAnsi="Cambria"/>
          <w:rtl w:val="0"/>
        </w:rPr>
        <w:t xml:space="preserve">Whissell, C. (2012) ‘The Trend toward more Attractive and Informative Titles: American Psychologist 1946–2010’, Psychological Reports, 110(2), pp. 427–444. (Date accessed: 24/12/2018) DOI: https://doi.org/10.2466/17.28.PR0.110.2.427-444</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