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40"/>
        <w:ind w:right="0" w:left="0" w:firstLine="0"/>
        <w:jc w:val="center"/>
        <w:rPr>
          <w:rFonts w:ascii="Arial" w:hAnsi="Arial" w:cs="Arial" w:eastAsia="Arial"/>
          <w:b/>
          <w:color w:val="auto"/>
          <w:spacing w:val="0"/>
          <w:position w:val="0"/>
          <w:sz w:val="32"/>
          <w:shd w:fill="auto" w:val="clear"/>
        </w:rPr>
      </w:pPr>
    </w:p>
    <w:p>
      <w:pPr>
        <w:spacing w:before="0" w:after="200" w:line="24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Task 3</w:t>
      </w:r>
    </w:p>
    <w:p>
      <w:pPr>
        <w:spacing w:before="0" w:after="200" w:line="24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Module Code and Title: LCHS4001 Academic and Employability Skills</w:t>
      </w:r>
    </w:p>
    <w:p>
      <w:pPr>
        <w:spacing w:before="0" w:after="200" w:line="240"/>
        <w:ind w:right="0" w:left="0" w:firstLine="0"/>
        <w:jc w:val="center"/>
        <w:rPr>
          <w:rFonts w:ascii="Arial" w:hAnsi="Arial" w:cs="Arial" w:eastAsia="Arial"/>
          <w:b/>
          <w:color w:val="auto"/>
          <w:spacing w:val="0"/>
          <w:position w:val="0"/>
          <w:sz w:val="32"/>
          <w:shd w:fill="auto" w:val="clear"/>
        </w:rPr>
      </w:pPr>
    </w:p>
    <w:p>
      <w:pPr>
        <w:spacing w:before="0" w:after="200" w:line="360"/>
        <w:ind w:right="0" w:left="0" w:firstLine="0"/>
        <w:jc w:val="center"/>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Assignment Title: The Role of a Counsellor in a SEND School: Essential Skills and Development Strategies</w:t>
      </w:r>
    </w:p>
    <w:p>
      <w:pPr>
        <w:spacing w:before="0" w:after="120" w:line="240"/>
        <w:ind w:right="0" w:left="0" w:firstLine="0"/>
        <w:jc w:val="center"/>
        <w:rPr>
          <w:rFonts w:ascii="Arial" w:hAnsi="Arial" w:cs="Arial" w:eastAsia="Arial"/>
          <w:color w:val="auto"/>
          <w:spacing w:val="0"/>
          <w:position w:val="0"/>
          <w:sz w:val="24"/>
          <w:shd w:fill="auto" w:val="clear"/>
        </w:rPr>
      </w:pPr>
    </w:p>
    <w:p>
      <w:pPr>
        <w:spacing w:before="0" w:after="120" w:line="360"/>
        <w:ind w:right="0" w:left="0" w:firstLine="0"/>
        <w:jc w:val="center"/>
        <w:rPr>
          <w:rFonts w:ascii="Arial" w:hAnsi="Arial" w:cs="Arial" w:eastAsia="Arial"/>
          <w:color w:val="auto"/>
          <w:spacing w:val="0"/>
          <w:position w:val="0"/>
          <w:sz w:val="24"/>
          <w:shd w:fill="auto" w:val="clear"/>
        </w:rPr>
      </w:pPr>
    </w:p>
    <w:p>
      <w:pPr>
        <w:spacing w:before="0" w:after="12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Name: Alin Constantin Fencicuc</w:t>
      </w:r>
    </w:p>
    <w:p>
      <w:pPr>
        <w:spacing w:before="0" w:after="12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Number: 2532185</w:t>
      </w:r>
    </w:p>
    <w:p>
      <w:pPr>
        <w:spacing w:before="0" w:after="120" w:line="240"/>
        <w:ind w:right="0" w:left="0" w:firstLine="0"/>
        <w:jc w:val="center"/>
        <w:rPr>
          <w:rFonts w:ascii="Arial" w:hAnsi="Arial" w:cs="Arial" w:eastAsia="Arial"/>
          <w:color w:val="auto"/>
          <w:spacing w:val="0"/>
          <w:position w:val="0"/>
          <w:sz w:val="24"/>
          <w:shd w:fill="auto" w:val="clear"/>
        </w:rPr>
      </w:pPr>
    </w:p>
    <w:p>
      <w:pPr>
        <w:spacing w:before="0" w:after="12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Total Word Count: 1241</w:t>
      </w:r>
    </w:p>
    <w:p>
      <w:pPr>
        <w:spacing w:before="0" w:after="120" w:line="240"/>
        <w:ind w:right="0" w:left="0" w:firstLine="0"/>
        <w:jc w:val="center"/>
        <w:rPr>
          <w:rFonts w:ascii="Arial" w:hAnsi="Arial" w:cs="Arial" w:eastAsia="Arial"/>
          <w:b/>
          <w:color w:val="auto"/>
          <w:spacing w:val="0"/>
          <w:position w:val="0"/>
          <w:sz w:val="24"/>
          <w:shd w:fill="auto" w:val="clear"/>
        </w:rPr>
      </w:pPr>
    </w:p>
    <w:p>
      <w:pPr>
        <w:spacing w:before="0" w:after="120" w:line="240"/>
        <w:ind w:right="0" w:left="0" w:firstLine="0"/>
        <w:jc w:val="center"/>
        <w:rPr>
          <w:rFonts w:ascii="Arial" w:hAnsi="Arial" w:cs="Arial" w:eastAsia="Arial"/>
          <w:b/>
          <w:color w:val="auto"/>
          <w:spacing w:val="0"/>
          <w:position w:val="0"/>
          <w:sz w:val="24"/>
          <w:shd w:fill="auto" w:val="clear"/>
        </w:rPr>
      </w:pPr>
    </w:p>
    <w:p>
      <w:pPr>
        <w:spacing w:before="0" w:after="120" w:line="240"/>
        <w:ind w:right="0" w:left="0" w:firstLine="0"/>
        <w:jc w:val="center"/>
        <w:rPr>
          <w:rFonts w:ascii="Arial" w:hAnsi="Arial" w:cs="Arial" w:eastAsia="Arial"/>
          <w:b/>
          <w:color w:val="auto"/>
          <w:spacing w:val="0"/>
          <w:position w:val="0"/>
          <w:sz w:val="24"/>
          <w:shd w:fill="auto" w:val="clear"/>
        </w:rPr>
      </w:pPr>
    </w:p>
    <w:p>
      <w:pPr>
        <w:spacing w:before="0" w:after="240" w:line="240"/>
        <w:ind w:right="0" w:left="0" w:firstLine="0"/>
        <w:jc w:val="left"/>
        <w:rPr>
          <w:rFonts w:ascii="Arial" w:hAnsi="Arial" w:cs="Arial" w:eastAsia="Arial"/>
          <w:b/>
          <w:color w:val="000000"/>
          <w:spacing w:val="0"/>
          <w:position w:val="0"/>
          <w:sz w:val="28"/>
          <w:shd w:fill="auto" w:val="clear"/>
        </w:rPr>
      </w:pPr>
    </w:p>
    <w:p>
      <w:pPr>
        <w:spacing w:before="0" w:after="240" w:line="24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1. Introduction</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report identifies the role of a counsellor in a Special Educational Needs and Disabilities (SEND) school which is a context that fits within the health and social care sector and in which a very specialised approach is necessary. SEND schools are affiliated with children and young people in need over a broad spectrum such as autism spectrum conditions, learning disabilities, social, emotional and mental health (SEMH) and physical disabilities (Howard, 2023). A counsellor within such a setting has a key therapeutic role to play, collaborating with teachers, Higher Level Teaching Assistants (HLTAs), speech and language therapists, and families to enhance the emotional wellbeing and mental wellbeing of pupils.</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main responsibilities of SEND school counsellor are regular one-to-one counselling sessions, involvement in the Education, Health and Care (EHC) plans of pupils, communication with the external agencies, like the Child and Adolescent Mental Health Services (CAMHS), and group sessions dedicated to emotional regulation and the development of social skills (Smythe, 2025). Counsellor should also assist with crisis support where the pupil becomes overwhelmed or distressed and maintain accurate and confidential case notes and ensure records are safeguarded as per legal requirements. </w:t>
      </w:r>
    </w:p>
    <w:p>
      <w:pPr>
        <w:spacing w:before="240" w:after="240" w:line="24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2. Essential Skills</w:t>
      </w:r>
    </w:p>
    <w:p>
      <w:pPr>
        <w:spacing w:before="200" w:after="120" w:line="240"/>
        <w:ind w:right="0" w:left="0" w:firstLine="0"/>
        <w:jc w:val="left"/>
        <w:rPr>
          <w:rFonts w:ascii="Arial" w:hAnsi="Arial" w:cs="Arial" w:eastAsia="Arial"/>
          <w:b/>
          <w:color w:val="000000"/>
          <w:spacing w:val="0"/>
          <w:position w:val="0"/>
          <w:sz w:val="26"/>
          <w:shd w:fill="auto" w:val="clear"/>
        </w:rPr>
      </w:pPr>
      <w:r>
        <w:rPr>
          <w:rFonts w:ascii="Arial" w:hAnsi="Arial" w:cs="Arial" w:eastAsia="Arial"/>
          <w:b/>
          <w:color w:val="000000"/>
          <w:spacing w:val="0"/>
          <w:position w:val="0"/>
          <w:sz w:val="26"/>
          <w:shd w:fill="auto" w:val="clear"/>
        </w:rPr>
        <w:t xml:space="preserve">2.1 Communication</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most basic skill of a SEND school counsellor is good communication. Pupils in such environments might lack verbal skills and may use Augmentative and Alternative Communication (AAC) devices, or communicate non-verbally, so the counsellor should be skilled in verbal and non-verbal communications (Menz, 2020). Comparatively speaking, in case of non-speaking autistic pupil, the counsellor might work with visual emotion cards, Makaton signing or, object-based cue to help the pupil express and understand. The rapport in the therapeutic processes relies on how well the counsellor expresses empathy and unconditional positive regard because it is a genuine expression of the sincerity of the counsellors. In the absence of such good communicative abilities, the counsellor would not be able to establish a productive rapport, collect the right information concerning the needs of a pupil or be able to express support in a manner that the young person can interpret and comprehend (Souppez, 2025).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Strategies to Develop Communication:</w:t>
      </w:r>
      <w:r>
        <w:rPr>
          <w:rFonts w:ascii="Arial" w:hAnsi="Arial" w:cs="Arial" w:eastAsia="Arial"/>
          <w:color w:val="auto"/>
          <w:spacing w:val="0"/>
          <w:position w:val="0"/>
          <w:sz w:val="22"/>
          <w:shd w:fill="auto" w:val="clear"/>
        </w:rPr>
        <w:t xml:space="preserve"> Communication skills can be developed by use of three strategies. First, formal training in Makaton or some other alternative communication system would bring the direct benefit of opening the counsellor up to non-verbal and minimally verbal pupils, and make the sessions really accessible. Second, it is possible to practice frequent clinical supervision, which offers guided chances to consider communicative patterns, recognize unhelpful habits, and obtain constructive practitioner professional feedback; supervision enhances therapeutic competence and manifests a lower incidence of practitioner error (Nisha and Rajasekaran, 2018). Third, by engaging in reflective journalling post-session (at the end of sessions) or peer role-play activities (during set intervals), practising active listening helps the counsellor to develop the ability to hear the not-said, which is especially effective with pupils who communicate indirectly.</w:t>
      </w:r>
    </w:p>
    <w:p>
      <w:pPr>
        <w:spacing w:before="200" w:after="100" w:line="240"/>
        <w:ind w:right="0" w:left="0" w:firstLine="0"/>
        <w:jc w:val="left"/>
        <w:rPr>
          <w:rFonts w:ascii="Arial" w:hAnsi="Arial" w:cs="Arial" w:eastAsia="Arial"/>
          <w:b/>
          <w:color w:val="000000"/>
          <w:spacing w:val="0"/>
          <w:position w:val="0"/>
          <w:sz w:val="26"/>
          <w:shd w:fill="auto" w:val="clear"/>
        </w:rPr>
      </w:pPr>
      <w:r>
        <w:rPr>
          <w:rFonts w:ascii="Arial" w:hAnsi="Arial" w:cs="Arial" w:eastAsia="Arial"/>
          <w:b/>
          <w:color w:val="000000"/>
          <w:spacing w:val="0"/>
          <w:position w:val="0"/>
          <w:sz w:val="26"/>
          <w:shd w:fill="auto" w:val="clear"/>
        </w:rPr>
        <w:t xml:space="preserve">2.2 Patience</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Patience stands out as an essential tool within the SEND counselling setting since improvements are not generally a straight line or quick one. A pupil with SEMH issues can switch off to sessions many times before he or she feels a level of trust to open up or can seem to reverse well back after a trauma in school or home (Robertson, 2024). The counsellor needs to have patience, to be able to stand unperturbed and constant without exerting pressure or expressing displeasure, particularly when dealing with traumatized, neglected, or unstable kids. An example is where a pupil has a problem with attachment and the counsellor would be subjected to test his reliability and limits alongside the pupil through many weeks of therapy before the pupil can really respond to the therapy process. A counsellor who reacts to this testing pattern, in such a way that they become visibly frustrated, is likely to be recreating the exact type of relational dynamics that the young person has gone through in the past, totally negating the intent behind the intervention.</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Strategies to Develop Patience: </w:t>
      </w:r>
      <w:r>
        <w:rPr>
          <w:rFonts w:ascii="Arial" w:hAnsi="Arial" w:cs="Arial" w:eastAsia="Arial"/>
          <w:color w:val="auto"/>
          <w:spacing w:val="0"/>
          <w:position w:val="0"/>
          <w:sz w:val="22"/>
          <w:shd w:fill="auto" w:val="clear"/>
        </w:rPr>
        <w:t xml:space="preserve">Three real-life strategies can be used to help evolve patience. To begin with, daily mindfulness such as guided meditation or guided breathing has been evidenced to make the counsellor less emotionally reactive to emotional situations in addition to being less frustration intolerant so that they can leave the room calm and collected though the session may be demanding (Collett, 2024). Second, planning of longer-term milestone-based outcome targets and targets per individual pupil on a shared platform within the broader SEND team assists the counsellor in identifying and perceiving the incremental achievements as deliberate and trained, instead of feeling as an automatic default. Third, working with trauma-informed practice training allows the counsellor to stress-test the behaviour he or she finds difficult by considering it a reaction to negative experiences in the past and not a rejection of a person, which would automatically lead to a more patient and understanding attitude to even the most challenging presentations (Mwita, 2024).</w:t>
      </w:r>
    </w:p>
    <w:p>
      <w:pPr>
        <w:spacing w:before="200" w:after="100" w:line="240"/>
        <w:ind w:right="0" w:left="0" w:firstLine="0"/>
        <w:jc w:val="left"/>
        <w:rPr>
          <w:rFonts w:ascii="Arial" w:hAnsi="Arial" w:cs="Arial" w:eastAsia="Arial"/>
          <w:b/>
          <w:color w:val="000000"/>
          <w:spacing w:val="0"/>
          <w:position w:val="0"/>
          <w:sz w:val="26"/>
          <w:shd w:fill="auto" w:val="clear"/>
        </w:rPr>
      </w:pPr>
      <w:r>
        <w:rPr>
          <w:rFonts w:ascii="Arial" w:hAnsi="Arial" w:cs="Arial" w:eastAsia="Arial"/>
          <w:b/>
          <w:color w:val="000000"/>
          <w:spacing w:val="0"/>
          <w:position w:val="0"/>
          <w:sz w:val="26"/>
          <w:shd w:fill="auto" w:val="clear"/>
        </w:rPr>
        <w:t xml:space="preserve">2.3 Building Trust</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Effective therapeutic work is built on trust, and especially difficult to achieve in a SEND school where pupils might have been the victim of frequent disillusionment, lack of consistency or even wrongdoing by the adults in their lives. A pupil will not be likely to reveal his or her feelings and will not interact constructively in the counselling process in the absence of a trusting relationship. Developing trust in the relationship comes with the counsellor being dependable in all ways, respecting confidentiality with adequate protection measures, and whether one fulfills every promise, no matter how minor (Howard, 2023). To illustrate on an example, should a counsellor promise to meet a pupil at a given time and do not fulfill the promise by even any means, even once, such would be detrimental to the therapeutic relationship. It is also important in building on trust where the pupil in the understanding of confidentiality and therefore the counsellor should ensure that he articulates clearly under what and why information may need to be disclosed to other professionals.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Strategies to Develop Trust-Building: </w:t>
      </w:r>
      <w:r>
        <w:rPr>
          <w:rFonts w:ascii="Arial" w:hAnsi="Arial" w:cs="Arial" w:eastAsia="Arial"/>
          <w:color w:val="auto"/>
          <w:spacing w:val="0"/>
          <w:position w:val="0"/>
          <w:sz w:val="22"/>
          <w:shd w:fill="auto" w:val="clear"/>
        </w:rPr>
        <w:t xml:space="preserve">The counsellor can enhance their capacity to establish trust using three approaches. First, routine practices within the sessions, including starting and leaving the same (or the same physical place) is a means to instill a feeling of predictability that some pupils with autism or SEMH problems especially struggle with (Smythe, 2025). Second, engaging in a continuous process of professional growth in person-centred counselling enhances the capability of the counsellor to express authenticity, warmth and unconditional positive regard which are the essential conditions of which true therapeutic transformation and a trusting relationship characterise a therapeutic relationship. Third, end-of-session feedback systems that can be age-appropriate, like visual rating scales or emoji-based check-out, will enable the counsellor to understand the extent to which the pupil feels safe and trusted and make meaningful changes to it or to show the young person that the experience s/he shares genuinely matters.</w:t>
      </w:r>
    </w:p>
    <w:p>
      <w:pPr>
        <w:spacing w:before="240" w:after="240" w:line="24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3. Conclusion</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conclusion, the profession of a counsellor in a SEND school is challenging and highly gratifying, which preconditions a strong professional skill and emotional intuition level and personal stability. The three key elements in all effective work with some of the most vulnerable and marginalised of children in the society are communication, patience as well as building trust. All of these skills can be systematically developed and improved with time through a combination of specific skills and techniques, such as alternative communication skills training, mindfulness, trauma-informed professional development, or continuous person-centred methods.</w:t>
      </w: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40" w:line="24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References</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Collett, K. (2024) Comparing Young People With and Without SEND and Teaching Staff’s Experiences of ‘Inclusions’ in English Secondary School Classrooms. University of Exeter (United Kingdom).</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Howard, L. (2023) The Commodification of Children in UK Secondary Schools: Impact on Pupils with SEND.</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Menz, M. (2020) Integrating academic skills and employability-revisiting the learning journal. Journal of Research in Higher Education, 4(2).</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Mwita, K. (2024) The role of soft skills, technical skills and academic performance on graduate employability. Technical Skills and Academic Performance on Graduate Employability (January 30, 2024).</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Nisha, S.M. and Rajasekaran, V. (2018) Employability skills: A review. IUP Journal of Soft Skills, 12(1), pp.29-37.</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Robertson, C. (2024) Education policy development in England: Effective ‘mainstreaming’of SEND provision. British Journal of Special Education, 51(3), pp.1-2.</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Smythe, F. (2025) Collaborative Practices for Inclusion of Pupils with SEND in England: Teachers’ Views from Mainstream and SEND Schools. British Journal of Educational Studies, 73(4), pp.501-520.</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Souppez, J.B.R. (2025) Engineering employability skills: Students, academics, and industry professionals perception. International Journal of Mechanical Engineering Education, 53(1), pp.125-142.</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