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7840A" w14:textId="144F6075" w:rsidR="00DD2471" w:rsidRPr="00DD2471" w:rsidRDefault="00DD2471" w:rsidP="00DD2471">
      <w:pPr>
        <w:spacing w:line="259" w:lineRule="auto"/>
        <w:jc w:val="center"/>
        <w:rPr>
          <w:rFonts w:ascii="Arial" w:hAnsi="Arial" w:cs="Arial"/>
          <w:b/>
          <w:sz w:val="40"/>
          <w:lang w:val="en-GB"/>
        </w:rPr>
      </w:pPr>
      <w:r w:rsidRPr="00DD2471">
        <w:rPr>
          <w:rFonts w:ascii="Arial" w:hAnsi="Arial" w:cs="Arial"/>
          <w:b/>
          <w:bCs/>
          <w:noProof/>
        </w:rPr>
        <w:drawing>
          <wp:anchor distT="0" distB="0" distL="114300" distR="114300" simplePos="0" relativeHeight="251659264" behindDoc="0" locked="0" layoutInCell="1" allowOverlap="1" wp14:anchorId="44341589" wp14:editId="1D2B08FB">
            <wp:simplePos x="0" y="0"/>
            <wp:positionH relativeFrom="column">
              <wp:posOffset>0</wp:posOffset>
            </wp:positionH>
            <wp:positionV relativeFrom="paragraph">
              <wp:posOffset>19050</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C611B59" w14:textId="77777777" w:rsidR="00DD2471" w:rsidRPr="00DD2471" w:rsidRDefault="00DD2471" w:rsidP="00DD2471">
      <w:pPr>
        <w:spacing w:line="259" w:lineRule="auto"/>
        <w:jc w:val="center"/>
        <w:rPr>
          <w:rFonts w:ascii="Arial" w:hAnsi="Arial" w:cs="Arial"/>
          <w:b/>
          <w:sz w:val="40"/>
          <w:lang w:val="en-GB"/>
        </w:rPr>
      </w:pPr>
    </w:p>
    <w:p w14:paraId="0462E327" w14:textId="77777777" w:rsidR="00DD2471" w:rsidRPr="00DD2471" w:rsidRDefault="00DD2471" w:rsidP="00DD2471">
      <w:pPr>
        <w:spacing w:line="259" w:lineRule="auto"/>
        <w:jc w:val="center"/>
        <w:rPr>
          <w:rFonts w:ascii="Arial" w:hAnsi="Arial" w:cs="Arial"/>
          <w:b/>
          <w:sz w:val="40"/>
          <w:lang w:val="en-GB"/>
        </w:rPr>
      </w:pPr>
    </w:p>
    <w:p w14:paraId="60B0FD06" w14:textId="77777777" w:rsidR="00DD2471" w:rsidRDefault="00DD2471" w:rsidP="00DD2471">
      <w:pPr>
        <w:spacing w:line="259" w:lineRule="auto"/>
        <w:jc w:val="center"/>
        <w:rPr>
          <w:rFonts w:ascii="Arial" w:hAnsi="Arial" w:cs="Arial"/>
          <w:b/>
          <w:sz w:val="40"/>
          <w:lang w:val="en-GB"/>
        </w:rPr>
      </w:pPr>
    </w:p>
    <w:p w14:paraId="6BA5980B" w14:textId="77777777" w:rsidR="004A31D9" w:rsidRDefault="004A31D9" w:rsidP="00DD2471">
      <w:pPr>
        <w:spacing w:line="259" w:lineRule="auto"/>
        <w:jc w:val="center"/>
        <w:rPr>
          <w:rFonts w:ascii="Arial" w:hAnsi="Arial" w:cs="Arial"/>
          <w:b/>
          <w:sz w:val="40"/>
          <w:lang w:val="en-GB"/>
        </w:rPr>
      </w:pPr>
    </w:p>
    <w:p w14:paraId="4875713A" w14:textId="77777777" w:rsidR="004A31D9" w:rsidRPr="00DD2471" w:rsidRDefault="004A31D9" w:rsidP="00DD2471">
      <w:pPr>
        <w:spacing w:line="259" w:lineRule="auto"/>
        <w:jc w:val="center"/>
        <w:rPr>
          <w:rFonts w:ascii="Arial" w:hAnsi="Arial" w:cs="Arial"/>
          <w:b/>
          <w:sz w:val="40"/>
          <w:lang w:val="en-GB"/>
        </w:rPr>
      </w:pPr>
    </w:p>
    <w:p w14:paraId="00E7AF51" w14:textId="5E637741" w:rsidR="00DD2471" w:rsidRPr="00DD2471" w:rsidRDefault="00DD2471" w:rsidP="00DD2471">
      <w:pPr>
        <w:spacing w:line="259" w:lineRule="auto"/>
        <w:jc w:val="center"/>
        <w:rPr>
          <w:rFonts w:ascii="Arial" w:hAnsi="Arial" w:cs="Arial"/>
          <w:b/>
          <w:bCs/>
          <w:color w:val="000000" w:themeColor="text1"/>
          <w:sz w:val="96"/>
          <w:szCs w:val="96"/>
          <w:lang w:val="en-GB"/>
        </w:rPr>
      </w:pPr>
      <w:r w:rsidRPr="00DD2471">
        <w:rPr>
          <w:rFonts w:ascii="Arial" w:hAnsi="Arial" w:cs="Arial"/>
          <w:b/>
          <w:bCs/>
          <w:color w:val="000000" w:themeColor="text1"/>
          <w:sz w:val="96"/>
          <w:szCs w:val="96"/>
        </w:rPr>
        <w:t>Report Case Study: Urban Heights Hotel</w:t>
      </w:r>
    </w:p>
    <w:p w14:paraId="533D6BA0" w14:textId="77777777" w:rsidR="00DD2471" w:rsidRPr="00DD2471" w:rsidRDefault="00DD2471" w:rsidP="00DD2471">
      <w:pPr>
        <w:spacing w:line="259" w:lineRule="auto"/>
        <w:jc w:val="center"/>
        <w:rPr>
          <w:rFonts w:ascii="Arial" w:hAnsi="Arial" w:cs="Arial"/>
          <w:b/>
          <w:sz w:val="40"/>
          <w:lang w:val="en-GB"/>
        </w:rPr>
      </w:pPr>
    </w:p>
    <w:p w14:paraId="740A684A" w14:textId="77777777" w:rsidR="00DD2471" w:rsidRPr="00DD2471" w:rsidRDefault="00DD2471" w:rsidP="00DD2471">
      <w:pPr>
        <w:spacing w:line="240" w:lineRule="auto"/>
        <w:jc w:val="center"/>
        <w:rPr>
          <w:rFonts w:ascii="Arial" w:hAnsi="Arial" w:cs="Arial"/>
          <w:b/>
          <w:bCs/>
          <w:i/>
          <w:iCs/>
          <w:szCs w:val="24"/>
        </w:rPr>
      </w:pPr>
      <w:r w:rsidRPr="00DD2471">
        <w:rPr>
          <w:rFonts w:ascii="Arial" w:eastAsia="Times New Roman" w:hAnsi="Arial" w:cs="Arial"/>
          <w:b/>
          <w:bCs/>
          <w:szCs w:val="24"/>
        </w:rPr>
        <w:t xml:space="preserve">Student Name: </w:t>
      </w:r>
      <w:r w:rsidRPr="00DD2471">
        <w:rPr>
          <w:rFonts w:ascii="Arial" w:hAnsi="Arial" w:cs="Arial"/>
          <w:b/>
          <w:bCs/>
          <w:i/>
          <w:iCs/>
          <w:szCs w:val="24"/>
        </w:rPr>
        <w:t>LOREDANA LEONTE</w:t>
      </w:r>
    </w:p>
    <w:p w14:paraId="4E4FE2C2" w14:textId="77777777" w:rsidR="00DD2471" w:rsidRPr="00DD2471" w:rsidRDefault="00DD2471" w:rsidP="00DD2471">
      <w:pPr>
        <w:keepNext/>
        <w:spacing w:before="120" w:after="0" w:line="240" w:lineRule="auto"/>
        <w:jc w:val="center"/>
        <w:rPr>
          <w:rFonts w:ascii="Arial" w:hAnsi="Arial" w:cs="Arial"/>
          <w:i/>
          <w:iCs/>
          <w:szCs w:val="24"/>
        </w:rPr>
      </w:pPr>
      <w:r w:rsidRPr="00DD2471">
        <w:rPr>
          <w:rFonts w:ascii="Arial" w:eastAsia="Times New Roman" w:hAnsi="Arial" w:cs="Arial"/>
          <w:b/>
          <w:bCs/>
          <w:szCs w:val="24"/>
        </w:rPr>
        <w:t>Student ID:</w:t>
      </w:r>
      <w:r w:rsidRPr="00DD2471">
        <w:rPr>
          <w:rFonts w:ascii="Arial" w:hAnsi="Arial" w:cs="Arial"/>
          <w:b/>
          <w:bCs/>
          <w:noProof/>
          <w:szCs w:val="24"/>
          <w:lang w:eastAsia="en-GB"/>
        </w:rPr>
        <w:t xml:space="preserve"> 2234509</w:t>
      </w:r>
    </w:p>
    <w:p w14:paraId="69BAFA53" w14:textId="77777777" w:rsidR="00DD2471" w:rsidRPr="00DD2471" w:rsidRDefault="00DD2471" w:rsidP="00DD2471">
      <w:pPr>
        <w:keepNext/>
        <w:spacing w:before="120" w:after="0" w:line="240" w:lineRule="auto"/>
        <w:jc w:val="center"/>
        <w:rPr>
          <w:rFonts w:ascii="Arial" w:hAnsi="Arial" w:cs="Arial"/>
          <w:b/>
          <w:bCs/>
          <w:i/>
          <w:iCs/>
          <w:color w:val="BFBFBF" w:themeColor="background1" w:themeShade="BF"/>
          <w:szCs w:val="24"/>
        </w:rPr>
      </w:pPr>
    </w:p>
    <w:p w14:paraId="452237CA" w14:textId="77777777" w:rsidR="00DD2471" w:rsidRPr="00DD2471" w:rsidRDefault="00DD2471" w:rsidP="00DD2471">
      <w:pPr>
        <w:pStyle w:val="Heading1"/>
        <w:shd w:val="clear" w:color="auto" w:fill="FFFFFF"/>
        <w:spacing w:before="0"/>
        <w:jc w:val="center"/>
        <w:textAlignment w:val="center"/>
        <w:rPr>
          <w:rFonts w:ascii="Arial" w:hAnsi="Arial" w:cs="Arial"/>
          <w:b/>
          <w:bCs/>
          <w:color w:val="000000" w:themeColor="text1"/>
          <w:sz w:val="24"/>
          <w:szCs w:val="24"/>
        </w:rPr>
      </w:pPr>
      <w:r w:rsidRPr="00DD2471">
        <w:rPr>
          <w:rFonts w:ascii="Arial" w:hAnsi="Arial" w:cs="Arial"/>
          <w:b/>
          <w:bCs/>
          <w:color w:val="000000" w:themeColor="text1"/>
          <w:sz w:val="24"/>
          <w:szCs w:val="24"/>
        </w:rPr>
        <w:t>Module Title:</w:t>
      </w:r>
      <w:r w:rsidRPr="00DD2471">
        <w:rPr>
          <w:rFonts w:ascii="Arial" w:hAnsi="Arial" w:cs="Arial"/>
          <w:b/>
          <w:bCs/>
          <w:i/>
          <w:iCs/>
          <w:color w:val="000000" w:themeColor="text1"/>
          <w:sz w:val="24"/>
          <w:szCs w:val="24"/>
        </w:rPr>
        <w:t xml:space="preserve"> </w:t>
      </w:r>
      <w:r w:rsidRPr="00DD2471">
        <w:rPr>
          <w:rFonts w:ascii="Arial" w:hAnsi="Arial" w:cs="Arial"/>
          <w:b/>
          <w:bCs/>
          <w:color w:val="000000" w:themeColor="text1"/>
          <w:sz w:val="24"/>
          <w:szCs w:val="24"/>
        </w:rPr>
        <w:t>Financial Management for the Hotel Industry</w:t>
      </w:r>
    </w:p>
    <w:p w14:paraId="4CC320F7" w14:textId="77777777" w:rsidR="00DD2471" w:rsidRPr="00DD2471" w:rsidRDefault="00DD2471" w:rsidP="00DD2471">
      <w:pPr>
        <w:pStyle w:val="Heading1"/>
        <w:shd w:val="clear" w:color="auto" w:fill="FFFFFF"/>
        <w:spacing w:before="0"/>
        <w:jc w:val="center"/>
        <w:textAlignment w:val="center"/>
        <w:rPr>
          <w:rFonts w:ascii="Arial" w:hAnsi="Arial" w:cs="Arial"/>
          <w:b/>
          <w:bCs/>
          <w:color w:val="000000" w:themeColor="text1"/>
          <w:sz w:val="24"/>
          <w:szCs w:val="24"/>
        </w:rPr>
      </w:pPr>
      <w:r w:rsidRPr="00DD2471">
        <w:rPr>
          <w:rFonts w:ascii="Arial" w:hAnsi="Arial" w:cs="Arial"/>
          <w:b/>
          <w:bCs/>
          <w:color w:val="000000" w:themeColor="text1"/>
          <w:sz w:val="24"/>
          <w:szCs w:val="24"/>
        </w:rPr>
        <w:t>Module Code:</w:t>
      </w:r>
      <w:r w:rsidRPr="00DD2471">
        <w:rPr>
          <w:rFonts w:ascii="Arial" w:hAnsi="Arial" w:cs="Arial"/>
          <w:b/>
          <w:bCs/>
          <w:i/>
          <w:iCs/>
          <w:color w:val="000000" w:themeColor="text1"/>
          <w:sz w:val="24"/>
          <w:szCs w:val="24"/>
        </w:rPr>
        <w:t xml:space="preserve"> </w:t>
      </w:r>
      <w:r w:rsidRPr="00DD2471">
        <w:rPr>
          <w:rFonts w:ascii="Arial" w:hAnsi="Arial" w:cs="Arial"/>
          <w:b/>
          <w:bCs/>
          <w:color w:val="000000" w:themeColor="text1"/>
          <w:sz w:val="24"/>
          <w:szCs w:val="24"/>
        </w:rPr>
        <w:t>BMIH5007</w:t>
      </w:r>
    </w:p>
    <w:p w14:paraId="74D482BD" w14:textId="77777777" w:rsidR="00DD2471" w:rsidRPr="00DD2471" w:rsidRDefault="00DD2471" w:rsidP="00DD2471">
      <w:pPr>
        <w:rPr>
          <w:rFonts w:ascii="Arial" w:hAnsi="Arial" w:cs="Arial"/>
        </w:rPr>
      </w:pPr>
    </w:p>
    <w:p w14:paraId="17A872CA" w14:textId="77777777" w:rsidR="00DD2471" w:rsidRPr="00DD2471" w:rsidRDefault="00DD2471" w:rsidP="00DD2471">
      <w:pPr>
        <w:rPr>
          <w:rFonts w:ascii="Arial" w:hAnsi="Arial" w:cs="Arial"/>
        </w:rPr>
      </w:pPr>
    </w:p>
    <w:p w14:paraId="3448790A" w14:textId="77777777" w:rsidR="00DD2471" w:rsidRPr="00DD2471" w:rsidRDefault="00DD2471" w:rsidP="00DD2471">
      <w:pPr>
        <w:keepNext/>
        <w:spacing w:before="120" w:after="0" w:line="240" w:lineRule="auto"/>
        <w:jc w:val="center"/>
        <w:rPr>
          <w:rFonts w:ascii="Arial" w:eastAsia="Times New Roman" w:hAnsi="Arial" w:cs="Arial"/>
          <w:b/>
          <w:bCs/>
          <w:szCs w:val="24"/>
        </w:rPr>
      </w:pPr>
      <w:r w:rsidRPr="00DD2471">
        <w:rPr>
          <w:rFonts w:ascii="Arial" w:eastAsia="Times New Roman" w:hAnsi="Arial" w:cs="Arial"/>
          <w:b/>
          <w:bCs/>
          <w:szCs w:val="24"/>
        </w:rPr>
        <w:t>Lecturer:</w:t>
      </w:r>
      <w:r w:rsidRPr="00DD2471">
        <w:rPr>
          <w:rFonts w:ascii="Arial" w:hAnsi="Arial" w:cs="Arial"/>
          <w:b/>
          <w:bCs/>
          <w:i/>
          <w:iCs/>
          <w:color w:val="BFBFBF" w:themeColor="background1" w:themeShade="BF"/>
          <w:szCs w:val="24"/>
        </w:rPr>
        <w:t xml:space="preserve"> </w:t>
      </w:r>
      <w:r w:rsidRPr="00DD2471">
        <w:rPr>
          <w:rFonts w:ascii="Arial" w:hAnsi="Arial" w:cs="Arial"/>
          <w:b/>
          <w:bCs/>
          <w:i/>
          <w:iCs/>
          <w:szCs w:val="24"/>
        </w:rPr>
        <w:t>Tristan Hawkins</w:t>
      </w:r>
    </w:p>
    <w:p w14:paraId="5B583D50" w14:textId="7B9AD8F7" w:rsidR="00DD2471" w:rsidRPr="00DD2471" w:rsidRDefault="00DD2471" w:rsidP="00DD2471">
      <w:pPr>
        <w:spacing w:before="120" w:after="120" w:line="240" w:lineRule="auto"/>
        <w:rPr>
          <w:rFonts w:ascii="Arial" w:hAnsi="Arial" w:cs="Arial"/>
          <w:szCs w:val="24"/>
        </w:rPr>
      </w:pPr>
      <w:r w:rsidRPr="00DD2471">
        <w:rPr>
          <w:rFonts w:ascii="Arial" w:hAnsi="Arial" w:cs="Arial"/>
          <w:b/>
          <w:bCs/>
          <w:noProof/>
          <w:szCs w:val="24"/>
        </w:rPr>
        <w:t xml:space="preserve">                                                      Date:</w:t>
      </w:r>
      <w:r w:rsidRPr="00DD2471">
        <w:rPr>
          <w:rFonts w:ascii="Arial" w:hAnsi="Arial" w:cs="Arial"/>
          <w:b/>
          <w:bCs/>
          <w:i/>
          <w:iCs/>
          <w:szCs w:val="24"/>
        </w:rPr>
        <w:t xml:space="preserve"> 06.06.2024</w:t>
      </w:r>
    </w:p>
    <w:p w14:paraId="5C14C610" w14:textId="127A2C83" w:rsidR="00DD2471" w:rsidRPr="00DD2471" w:rsidRDefault="00DD2471" w:rsidP="00DD2471">
      <w:pPr>
        <w:spacing w:line="259" w:lineRule="auto"/>
        <w:jc w:val="center"/>
        <w:rPr>
          <w:rFonts w:ascii="Arial" w:hAnsi="Arial" w:cs="Arial"/>
          <w:b/>
          <w:sz w:val="32"/>
          <w:lang w:val="en-GB"/>
        </w:rPr>
      </w:pPr>
      <w:r w:rsidRPr="00DD2471">
        <w:rPr>
          <w:rFonts w:ascii="Arial" w:hAnsi="Arial" w:cs="Arial"/>
          <w:b/>
          <w:sz w:val="32"/>
          <w:lang w:val="en-GB"/>
        </w:rPr>
        <w:br w:type="page"/>
      </w:r>
    </w:p>
    <w:p w14:paraId="23FF37FE" w14:textId="77777777" w:rsidR="00DD2471" w:rsidRPr="00DD2471" w:rsidRDefault="00DD2471" w:rsidP="00DD2471">
      <w:pPr>
        <w:jc w:val="center"/>
        <w:rPr>
          <w:rFonts w:ascii="Arial" w:hAnsi="Arial" w:cs="Arial"/>
          <w:b/>
          <w:lang w:val="en-GB"/>
        </w:rPr>
      </w:pPr>
      <w:r w:rsidRPr="00DD2471">
        <w:rPr>
          <w:rFonts w:ascii="Arial" w:hAnsi="Arial" w:cs="Arial"/>
          <w:b/>
          <w:lang w:val="en-GB"/>
        </w:rPr>
        <w:lastRenderedPageBreak/>
        <w:t>Executive Summary</w:t>
      </w:r>
    </w:p>
    <w:p w14:paraId="174FBA2F" w14:textId="70CE1A98" w:rsidR="00FD147E" w:rsidRPr="00DD2471" w:rsidRDefault="00FD147E" w:rsidP="00FD147E">
      <w:pPr>
        <w:rPr>
          <w:rFonts w:ascii="Arial" w:hAnsi="Arial" w:cs="Arial"/>
          <w:lang w:val="en-GB"/>
        </w:rPr>
      </w:pPr>
      <w:r w:rsidRPr="00DD2471">
        <w:rPr>
          <w:rFonts w:ascii="Arial" w:hAnsi="Arial" w:cs="Arial"/>
          <w:lang w:val="en-GB"/>
        </w:rPr>
        <w:t>The report evaluate</w:t>
      </w:r>
      <w:r w:rsidR="00954F55">
        <w:rPr>
          <w:rFonts w:ascii="Arial" w:hAnsi="Arial" w:cs="Arial"/>
          <w:lang w:val="en-GB"/>
        </w:rPr>
        <w:t>s</w:t>
      </w:r>
      <w:r w:rsidRPr="00DD2471">
        <w:rPr>
          <w:rFonts w:ascii="Arial" w:hAnsi="Arial" w:cs="Arial"/>
          <w:lang w:val="en-GB"/>
        </w:rPr>
        <w:t xml:space="preserve"> and thoroughly discuss</w:t>
      </w:r>
      <w:r w:rsidR="00954F55">
        <w:rPr>
          <w:rFonts w:ascii="Arial" w:hAnsi="Arial" w:cs="Arial"/>
          <w:lang w:val="en-GB"/>
        </w:rPr>
        <w:t>es</w:t>
      </w:r>
      <w:r w:rsidRPr="00DD2471">
        <w:rPr>
          <w:rFonts w:ascii="Arial" w:hAnsi="Arial" w:cs="Arial"/>
          <w:lang w:val="en-GB"/>
        </w:rPr>
        <w:t xml:space="preserve"> the concept of financial management in the hotel industry by outlining a hotel business named “Urban Heights Hotel”. Based on this hotel business </w:t>
      </w:r>
      <w:proofErr w:type="gramStart"/>
      <w:r w:rsidRPr="00DD2471">
        <w:rPr>
          <w:rFonts w:ascii="Arial" w:hAnsi="Arial" w:cs="Arial"/>
          <w:lang w:val="en-GB"/>
        </w:rPr>
        <w:t>a number of</w:t>
      </w:r>
      <w:proofErr w:type="gramEnd"/>
      <w:r w:rsidRPr="00DD2471">
        <w:rPr>
          <w:rFonts w:ascii="Arial" w:hAnsi="Arial" w:cs="Arial"/>
          <w:lang w:val="en-GB"/>
        </w:rPr>
        <w:t xml:space="preserve"> profitability ratios, liquidity ratios and solvency calculations </w:t>
      </w:r>
      <w:r w:rsidR="006A17F3">
        <w:rPr>
          <w:rFonts w:ascii="Arial" w:hAnsi="Arial" w:cs="Arial"/>
          <w:lang w:val="en-GB"/>
        </w:rPr>
        <w:t xml:space="preserve">are </w:t>
      </w:r>
      <w:r w:rsidRPr="00DD2471">
        <w:rPr>
          <w:rFonts w:ascii="Arial" w:hAnsi="Arial" w:cs="Arial"/>
          <w:lang w:val="en-GB"/>
        </w:rPr>
        <w:t>be</w:t>
      </w:r>
      <w:r w:rsidR="006A17F3">
        <w:rPr>
          <w:rFonts w:ascii="Arial" w:hAnsi="Arial" w:cs="Arial"/>
          <w:lang w:val="en-GB"/>
        </w:rPr>
        <w:t>ing</w:t>
      </w:r>
      <w:r w:rsidRPr="00DD2471">
        <w:rPr>
          <w:rFonts w:ascii="Arial" w:hAnsi="Arial" w:cs="Arial"/>
          <w:lang w:val="en-GB"/>
        </w:rPr>
        <w:t xml:space="preserve"> performed. Additionally, a performance evaluation </w:t>
      </w:r>
      <w:r w:rsidR="006A17F3">
        <w:rPr>
          <w:rFonts w:ascii="Arial" w:hAnsi="Arial" w:cs="Arial"/>
          <w:lang w:val="en-GB"/>
        </w:rPr>
        <w:t xml:space="preserve">is </w:t>
      </w:r>
      <w:r w:rsidRPr="00DD2471">
        <w:rPr>
          <w:rFonts w:ascii="Arial" w:hAnsi="Arial" w:cs="Arial"/>
          <w:lang w:val="en-GB"/>
        </w:rPr>
        <w:t>delivered based on those ratio calculations of the hotel business. Moreover, the report include</w:t>
      </w:r>
      <w:r w:rsidR="006A17F3">
        <w:rPr>
          <w:rFonts w:ascii="Arial" w:hAnsi="Arial" w:cs="Arial"/>
          <w:lang w:val="en-GB"/>
        </w:rPr>
        <w:t>s</w:t>
      </w:r>
      <w:r w:rsidRPr="00DD2471">
        <w:rPr>
          <w:rFonts w:ascii="Arial" w:hAnsi="Arial" w:cs="Arial"/>
          <w:lang w:val="en-GB"/>
        </w:rPr>
        <w:t xml:space="preserve"> a discussion of key reasons behind the disruptions in the financial health and profitability of the business. Additionally, the report conclude</w:t>
      </w:r>
      <w:r w:rsidR="006A17F3">
        <w:rPr>
          <w:rFonts w:ascii="Arial" w:hAnsi="Arial" w:cs="Arial"/>
          <w:lang w:val="en-GB"/>
        </w:rPr>
        <w:t>s</w:t>
      </w:r>
      <w:r w:rsidRPr="00DD2471">
        <w:rPr>
          <w:rFonts w:ascii="Arial" w:hAnsi="Arial" w:cs="Arial"/>
          <w:lang w:val="en-GB"/>
        </w:rPr>
        <w:t xml:space="preserve"> its demonstration process by providing a clear and informed recommendation towards the financial improvements of the Urban Heights Hotel business. </w:t>
      </w:r>
    </w:p>
    <w:p w14:paraId="72A0A10F" w14:textId="77777777" w:rsidR="00FD147E" w:rsidRPr="00DD2471" w:rsidRDefault="00FD147E" w:rsidP="00DD2471">
      <w:pPr>
        <w:rPr>
          <w:rFonts w:ascii="Arial" w:hAnsi="Arial" w:cs="Arial"/>
          <w:lang w:val="en-GB"/>
        </w:rPr>
      </w:pPr>
    </w:p>
    <w:p w14:paraId="4271C4E8" w14:textId="77777777" w:rsidR="00DD2471" w:rsidRPr="00DD2471" w:rsidRDefault="00DD2471" w:rsidP="00DD2471">
      <w:pPr>
        <w:spacing w:line="259" w:lineRule="auto"/>
        <w:jc w:val="left"/>
        <w:rPr>
          <w:rFonts w:ascii="Arial" w:hAnsi="Arial" w:cs="Arial"/>
          <w:lang w:val="en-GB"/>
        </w:rPr>
      </w:pPr>
      <w:r w:rsidRPr="00DD2471">
        <w:rPr>
          <w:rFonts w:ascii="Arial" w:hAnsi="Arial" w:cs="Arial"/>
          <w:lang w:val="en-GB"/>
        </w:rPr>
        <w:br w:type="page"/>
      </w:r>
    </w:p>
    <w:sdt>
      <w:sdtPr>
        <w:rPr>
          <w:rFonts w:ascii="Arial" w:eastAsiaTheme="minorHAnsi" w:hAnsi="Arial" w:cs="Arial"/>
          <w:color w:val="auto"/>
          <w:sz w:val="24"/>
          <w:szCs w:val="22"/>
          <w:lang w:val="en-GB"/>
        </w:rPr>
        <w:id w:val="913595584"/>
        <w:docPartObj>
          <w:docPartGallery w:val="Table of Contents"/>
          <w:docPartUnique/>
        </w:docPartObj>
      </w:sdtPr>
      <w:sdtEndPr>
        <w:rPr>
          <w:b/>
          <w:bCs/>
        </w:rPr>
      </w:sdtEndPr>
      <w:sdtContent>
        <w:p w14:paraId="219BD3D9" w14:textId="77777777" w:rsidR="00DD2471" w:rsidRPr="00DD2471" w:rsidRDefault="00DD2471" w:rsidP="00DD2471">
          <w:pPr>
            <w:pStyle w:val="TOCHeading"/>
            <w:rPr>
              <w:rFonts w:ascii="Arial" w:hAnsi="Arial" w:cs="Arial"/>
              <w:b/>
              <w:color w:val="auto"/>
              <w:lang w:val="en-GB"/>
            </w:rPr>
          </w:pPr>
          <w:r w:rsidRPr="00DD2471">
            <w:rPr>
              <w:rFonts w:ascii="Arial" w:hAnsi="Arial" w:cs="Arial"/>
              <w:b/>
              <w:color w:val="auto"/>
              <w:lang w:val="en-GB"/>
            </w:rPr>
            <w:t>Table of Contents</w:t>
          </w:r>
        </w:p>
        <w:p w14:paraId="721ADDF5" w14:textId="77777777" w:rsidR="00DD2471" w:rsidRPr="00DD2471" w:rsidRDefault="00DD2471" w:rsidP="00DD2471">
          <w:pPr>
            <w:pStyle w:val="TOC1"/>
            <w:tabs>
              <w:tab w:val="right" w:leader="dot" w:pos="9350"/>
            </w:tabs>
            <w:rPr>
              <w:rFonts w:ascii="Arial" w:hAnsi="Arial" w:cs="Arial"/>
              <w:lang w:val="en-GB"/>
            </w:rPr>
          </w:pPr>
          <w:r w:rsidRPr="00DD2471">
            <w:rPr>
              <w:rFonts w:ascii="Arial" w:hAnsi="Arial" w:cs="Arial"/>
              <w:b/>
              <w:bCs/>
              <w:lang w:val="en-GB"/>
            </w:rPr>
            <w:fldChar w:fldCharType="begin"/>
          </w:r>
          <w:r w:rsidRPr="00DD2471">
            <w:rPr>
              <w:rFonts w:ascii="Arial" w:hAnsi="Arial" w:cs="Arial"/>
              <w:b/>
              <w:bCs/>
              <w:lang w:val="en-GB"/>
            </w:rPr>
            <w:instrText xml:space="preserve"> TOC \o "1-3" \h \z \u </w:instrText>
          </w:r>
          <w:r w:rsidRPr="00DD2471">
            <w:rPr>
              <w:rFonts w:ascii="Arial" w:hAnsi="Arial" w:cs="Arial"/>
              <w:b/>
              <w:bCs/>
              <w:lang w:val="en-GB"/>
            </w:rPr>
            <w:fldChar w:fldCharType="separate"/>
          </w:r>
          <w:hyperlink w:anchor="_Toc167816476" w:history="1">
            <w:r w:rsidRPr="00DD2471">
              <w:rPr>
                <w:rStyle w:val="Hyperlink"/>
                <w:rFonts w:ascii="Arial" w:hAnsi="Arial" w:cs="Arial"/>
                <w:lang w:val="en-GB"/>
              </w:rPr>
              <w:t>Introduction</w:t>
            </w:r>
            <w:r w:rsidRPr="00DD2471">
              <w:rPr>
                <w:rFonts w:ascii="Arial" w:hAnsi="Arial" w:cs="Arial"/>
                <w:webHidden/>
                <w:lang w:val="en-GB"/>
              </w:rPr>
              <w:tab/>
            </w:r>
            <w:r w:rsidRPr="00DD2471">
              <w:rPr>
                <w:rFonts w:ascii="Arial" w:hAnsi="Arial" w:cs="Arial"/>
                <w:webHidden/>
                <w:lang w:val="en-GB"/>
              </w:rPr>
              <w:fldChar w:fldCharType="begin"/>
            </w:r>
            <w:r w:rsidRPr="00DD2471">
              <w:rPr>
                <w:rFonts w:ascii="Arial" w:hAnsi="Arial" w:cs="Arial"/>
                <w:webHidden/>
                <w:lang w:val="en-GB"/>
              </w:rPr>
              <w:instrText xml:space="preserve"> PAGEREF _Toc167816476 \h </w:instrText>
            </w:r>
            <w:r w:rsidRPr="00DD2471">
              <w:rPr>
                <w:rFonts w:ascii="Arial" w:hAnsi="Arial" w:cs="Arial"/>
                <w:webHidden/>
                <w:lang w:val="en-GB"/>
              </w:rPr>
            </w:r>
            <w:r w:rsidRPr="00DD2471">
              <w:rPr>
                <w:rFonts w:ascii="Arial" w:hAnsi="Arial" w:cs="Arial"/>
                <w:webHidden/>
                <w:lang w:val="en-GB"/>
              </w:rPr>
              <w:fldChar w:fldCharType="separate"/>
            </w:r>
            <w:r w:rsidRPr="00DD2471">
              <w:rPr>
                <w:rFonts w:ascii="Arial" w:hAnsi="Arial" w:cs="Arial"/>
                <w:webHidden/>
                <w:lang w:val="en-GB"/>
              </w:rPr>
              <w:t>4</w:t>
            </w:r>
            <w:r w:rsidRPr="00DD2471">
              <w:rPr>
                <w:rFonts w:ascii="Arial" w:hAnsi="Arial" w:cs="Arial"/>
                <w:webHidden/>
                <w:lang w:val="en-GB"/>
              </w:rPr>
              <w:fldChar w:fldCharType="end"/>
            </w:r>
          </w:hyperlink>
        </w:p>
        <w:p w14:paraId="29C8C2DF" w14:textId="77777777" w:rsidR="00DD2471" w:rsidRPr="00DD2471" w:rsidRDefault="00474330" w:rsidP="00DD2471">
          <w:pPr>
            <w:pStyle w:val="TOC3"/>
            <w:tabs>
              <w:tab w:val="right" w:leader="dot" w:pos="9350"/>
            </w:tabs>
            <w:rPr>
              <w:rFonts w:ascii="Arial" w:hAnsi="Arial" w:cs="Arial"/>
              <w:lang w:val="en-GB"/>
            </w:rPr>
          </w:pPr>
          <w:hyperlink w:anchor="_Toc167816478" w:history="1">
            <w:r w:rsidR="00DD2471" w:rsidRPr="00DD2471">
              <w:rPr>
                <w:rStyle w:val="Hyperlink"/>
                <w:rFonts w:ascii="Arial" w:hAnsi="Arial" w:cs="Arial"/>
                <w:lang w:val="en-GB"/>
              </w:rPr>
              <w:t>i) Evaluation of the trends and patterns in Urban Heights Hotel</w:t>
            </w:r>
            <w:r w:rsidR="00DD2471" w:rsidRPr="00DD2471">
              <w:rPr>
                <w:rFonts w:ascii="Arial" w:hAnsi="Arial" w:cs="Arial"/>
                <w:webHidden/>
                <w:lang w:val="en-GB"/>
              </w:rPr>
              <w:tab/>
            </w:r>
            <w:r w:rsidR="00DD2471" w:rsidRPr="00DD2471">
              <w:rPr>
                <w:rFonts w:ascii="Arial" w:hAnsi="Arial" w:cs="Arial"/>
                <w:webHidden/>
                <w:lang w:val="en-GB"/>
              </w:rPr>
              <w:fldChar w:fldCharType="begin"/>
            </w:r>
            <w:r w:rsidR="00DD2471" w:rsidRPr="00DD2471">
              <w:rPr>
                <w:rFonts w:ascii="Arial" w:hAnsi="Arial" w:cs="Arial"/>
                <w:webHidden/>
                <w:lang w:val="en-GB"/>
              </w:rPr>
              <w:instrText xml:space="preserve"> PAGEREF _Toc167816478 \h </w:instrText>
            </w:r>
            <w:r w:rsidR="00DD2471" w:rsidRPr="00DD2471">
              <w:rPr>
                <w:rFonts w:ascii="Arial" w:hAnsi="Arial" w:cs="Arial"/>
                <w:webHidden/>
                <w:lang w:val="en-GB"/>
              </w:rPr>
            </w:r>
            <w:r w:rsidR="00DD2471" w:rsidRPr="00DD2471">
              <w:rPr>
                <w:rFonts w:ascii="Arial" w:hAnsi="Arial" w:cs="Arial"/>
                <w:webHidden/>
                <w:lang w:val="en-GB"/>
              </w:rPr>
              <w:fldChar w:fldCharType="separate"/>
            </w:r>
            <w:r w:rsidR="00DD2471" w:rsidRPr="00DD2471">
              <w:rPr>
                <w:rFonts w:ascii="Arial" w:hAnsi="Arial" w:cs="Arial"/>
                <w:webHidden/>
                <w:lang w:val="en-GB"/>
              </w:rPr>
              <w:t>5</w:t>
            </w:r>
            <w:r w:rsidR="00DD2471" w:rsidRPr="00DD2471">
              <w:rPr>
                <w:rFonts w:ascii="Arial" w:hAnsi="Arial" w:cs="Arial"/>
                <w:webHidden/>
                <w:lang w:val="en-GB"/>
              </w:rPr>
              <w:fldChar w:fldCharType="end"/>
            </w:r>
          </w:hyperlink>
        </w:p>
        <w:p w14:paraId="15E8AC7F" w14:textId="77777777" w:rsidR="00DD2471" w:rsidRPr="00DD2471" w:rsidRDefault="00474330" w:rsidP="00DD2471">
          <w:pPr>
            <w:pStyle w:val="TOC3"/>
            <w:tabs>
              <w:tab w:val="right" w:leader="dot" w:pos="9350"/>
            </w:tabs>
            <w:rPr>
              <w:rFonts w:ascii="Arial" w:hAnsi="Arial" w:cs="Arial"/>
              <w:lang w:val="en-GB"/>
            </w:rPr>
          </w:pPr>
          <w:hyperlink w:anchor="_Toc167816479" w:history="1">
            <w:r w:rsidR="00DD2471" w:rsidRPr="00DD2471">
              <w:rPr>
                <w:rStyle w:val="Hyperlink"/>
                <w:rFonts w:ascii="Arial" w:hAnsi="Arial" w:cs="Arial"/>
                <w:lang w:val="en-GB"/>
              </w:rPr>
              <w:t>ii) Key reasons behind the decline in profitability, liquidity and solvency</w:t>
            </w:r>
            <w:r w:rsidR="00DD2471" w:rsidRPr="00DD2471">
              <w:rPr>
                <w:rFonts w:ascii="Arial" w:hAnsi="Arial" w:cs="Arial"/>
                <w:webHidden/>
                <w:lang w:val="en-GB"/>
              </w:rPr>
              <w:tab/>
            </w:r>
            <w:r w:rsidR="00DD2471" w:rsidRPr="00DD2471">
              <w:rPr>
                <w:rFonts w:ascii="Arial" w:hAnsi="Arial" w:cs="Arial"/>
                <w:webHidden/>
                <w:lang w:val="en-GB"/>
              </w:rPr>
              <w:fldChar w:fldCharType="begin"/>
            </w:r>
            <w:r w:rsidR="00DD2471" w:rsidRPr="00DD2471">
              <w:rPr>
                <w:rFonts w:ascii="Arial" w:hAnsi="Arial" w:cs="Arial"/>
                <w:webHidden/>
                <w:lang w:val="en-GB"/>
              </w:rPr>
              <w:instrText xml:space="preserve"> PAGEREF _Toc167816479 \h </w:instrText>
            </w:r>
            <w:r w:rsidR="00DD2471" w:rsidRPr="00DD2471">
              <w:rPr>
                <w:rFonts w:ascii="Arial" w:hAnsi="Arial" w:cs="Arial"/>
                <w:webHidden/>
                <w:lang w:val="en-GB"/>
              </w:rPr>
            </w:r>
            <w:r w:rsidR="00DD2471" w:rsidRPr="00DD2471">
              <w:rPr>
                <w:rFonts w:ascii="Arial" w:hAnsi="Arial" w:cs="Arial"/>
                <w:webHidden/>
                <w:lang w:val="en-GB"/>
              </w:rPr>
              <w:fldChar w:fldCharType="separate"/>
            </w:r>
            <w:r w:rsidR="00DD2471" w:rsidRPr="00DD2471">
              <w:rPr>
                <w:rFonts w:ascii="Arial" w:hAnsi="Arial" w:cs="Arial"/>
                <w:webHidden/>
                <w:lang w:val="en-GB"/>
              </w:rPr>
              <w:t>8</w:t>
            </w:r>
            <w:r w:rsidR="00DD2471" w:rsidRPr="00DD2471">
              <w:rPr>
                <w:rFonts w:ascii="Arial" w:hAnsi="Arial" w:cs="Arial"/>
                <w:webHidden/>
                <w:lang w:val="en-GB"/>
              </w:rPr>
              <w:fldChar w:fldCharType="end"/>
            </w:r>
          </w:hyperlink>
        </w:p>
        <w:p w14:paraId="1A2E428E" w14:textId="77777777" w:rsidR="00DD2471" w:rsidRPr="00DD2471" w:rsidRDefault="00474330" w:rsidP="00DD2471">
          <w:pPr>
            <w:pStyle w:val="TOC3"/>
            <w:tabs>
              <w:tab w:val="right" w:leader="dot" w:pos="9350"/>
            </w:tabs>
            <w:rPr>
              <w:rFonts w:ascii="Arial" w:hAnsi="Arial" w:cs="Arial"/>
              <w:lang w:val="en-GB"/>
            </w:rPr>
          </w:pPr>
          <w:hyperlink w:anchor="_Toc167816480" w:history="1">
            <w:r w:rsidR="00DD2471" w:rsidRPr="00DD2471">
              <w:rPr>
                <w:rStyle w:val="Hyperlink"/>
                <w:rFonts w:ascii="Arial" w:hAnsi="Arial" w:cs="Arial"/>
                <w:lang w:val="en-GB"/>
              </w:rPr>
              <w:t>iii) Comprehensive turnaround strategy</w:t>
            </w:r>
            <w:r w:rsidR="00DD2471" w:rsidRPr="00DD2471">
              <w:rPr>
                <w:rFonts w:ascii="Arial" w:hAnsi="Arial" w:cs="Arial"/>
                <w:webHidden/>
                <w:lang w:val="en-GB"/>
              </w:rPr>
              <w:tab/>
            </w:r>
            <w:r w:rsidR="00DD2471" w:rsidRPr="00DD2471">
              <w:rPr>
                <w:rFonts w:ascii="Arial" w:hAnsi="Arial" w:cs="Arial"/>
                <w:webHidden/>
                <w:lang w:val="en-GB"/>
              </w:rPr>
              <w:fldChar w:fldCharType="begin"/>
            </w:r>
            <w:r w:rsidR="00DD2471" w:rsidRPr="00DD2471">
              <w:rPr>
                <w:rFonts w:ascii="Arial" w:hAnsi="Arial" w:cs="Arial"/>
                <w:webHidden/>
                <w:lang w:val="en-GB"/>
              </w:rPr>
              <w:instrText xml:space="preserve"> PAGEREF _Toc167816480 \h </w:instrText>
            </w:r>
            <w:r w:rsidR="00DD2471" w:rsidRPr="00DD2471">
              <w:rPr>
                <w:rFonts w:ascii="Arial" w:hAnsi="Arial" w:cs="Arial"/>
                <w:webHidden/>
                <w:lang w:val="en-GB"/>
              </w:rPr>
            </w:r>
            <w:r w:rsidR="00DD2471" w:rsidRPr="00DD2471">
              <w:rPr>
                <w:rFonts w:ascii="Arial" w:hAnsi="Arial" w:cs="Arial"/>
                <w:webHidden/>
                <w:lang w:val="en-GB"/>
              </w:rPr>
              <w:fldChar w:fldCharType="separate"/>
            </w:r>
            <w:r w:rsidR="00DD2471" w:rsidRPr="00DD2471">
              <w:rPr>
                <w:rFonts w:ascii="Arial" w:hAnsi="Arial" w:cs="Arial"/>
                <w:webHidden/>
                <w:lang w:val="en-GB"/>
              </w:rPr>
              <w:t>8</w:t>
            </w:r>
            <w:r w:rsidR="00DD2471" w:rsidRPr="00DD2471">
              <w:rPr>
                <w:rFonts w:ascii="Arial" w:hAnsi="Arial" w:cs="Arial"/>
                <w:webHidden/>
                <w:lang w:val="en-GB"/>
              </w:rPr>
              <w:fldChar w:fldCharType="end"/>
            </w:r>
          </w:hyperlink>
        </w:p>
        <w:p w14:paraId="7BBC00D2" w14:textId="77777777" w:rsidR="00DD2471" w:rsidRPr="00DD2471" w:rsidRDefault="00474330" w:rsidP="00DD2471">
          <w:pPr>
            <w:pStyle w:val="TOC1"/>
            <w:tabs>
              <w:tab w:val="right" w:leader="dot" w:pos="9350"/>
            </w:tabs>
            <w:rPr>
              <w:rFonts w:ascii="Arial" w:hAnsi="Arial" w:cs="Arial"/>
              <w:lang w:val="en-GB"/>
            </w:rPr>
          </w:pPr>
          <w:hyperlink w:anchor="_Toc167816481" w:history="1">
            <w:r w:rsidR="00DD2471" w:rsidRPr="00DD2471">
              <w:rPr>
                <w:rStyle w:val="Hyperlink"/>
                <w:rFonts w:ascii="Arial" w:hAnsi="Arial" w:cs="Arial"/>
                <w:lang w:val="en-GB"/>
              </w:rPr>
              <w:t>Conclusion</w:t>
            </w:r>
            <w:r w:rsidR="00DD2471" w:rsidRPr="00DD2471">
              <w:rPr>
                <w:rFonts w:ascii="Arial" w:hAnsi="Arial" w:cs="Arial"/>
                <w:webHidden/>
                <w:lang w:val="en-GB"/>
              </w:rPr>
              <w:tab/>
            </w:r>
            <w:r w:rsidR="00DD2471" w:rsidRPr="00DD2471">
              <w:rPr>
                <w:rFonts w:ascii="Arial" w:hAnsi="Arial" w:cs="Arial"/>
                <w:webHidden/>
                <w:lang w:val="en-GB"/>
              </w:rPr>
              <w:fldChar w:fldCharType="begin"/>
            </w:r>
            <w:r w:rsidR="00DD2471" w:rsidRPr="00DD2471">
              <w:rPr>
                <w:rFonts w:ascii="Arial" w:hAnsi="Arial" w:cs="Arial"/>
                <w:webHidden/>
                <w:lang w:val="en-GB"/>
              </w:rPr>
              <w:instrText xml:space="preserve"> PAGEREF _Toc167816481 \h </w:instrText>
            </w:r>
            <w:r w:rsidR="00DD2471" w:rsidRPr="00DD2471">
              <w:rPr>
                <w:rFonts w:ascii="Arial" w:hAnsi="Arial" w:cs="Arial"/>
                <w:webHidden/>
                <w:lang w:val="en-GB"/>
              </w:rPr>
            </w:r>
            <w:r w:rsidR="00DD2471" w:rsidRPr="00DD2471">
              <w:rPr>
                <w:rFonts w:ascii="Arial" w:hAnsi="Arial" w:cs="Arial"/>
                <w:webHidden/>
                <w:lang w:val="en-GB"/>
              </w:rPr>
              <w:fldChar w:fldCharType="separate"/>
            </w:r>
            <w:r w:rsidR="00DD2471" w:rsidRPr="00DD2471">
              <w:rPr>
                <w:rFonts w:ascii="Arial" w:hAnsi="Arial" w:cs="Arial"/>
                <w:webHidden/>
                <w:lang w:val="en-GB"/>
              </w:rPr>
              <w:t>10</w:t>
            </w:r>
            <w:r w:rsidR="00DD2471" w:rsidRPr="00DD2471">
              <w:rPr>
                <w:rFonts w:ascii="Arial" w:hAnsi="Arial" w:cs="Arial"/>
                <w:webHidden/>
                <w:lang w:val="en-GB"/>
              </w:rPr>
              <w:fldChar w:fldCharType="end"/>
            </w:r>
          </w:hyperlink>
        </w:p>
        <w:p w14:paraId="7678842D" w14:textId="77777777" w:rsidR="00DD2471" w:rsidRPr="00DD2471" w:rsidRDefault="00474330" w:rsidP="00DD2471">
          <w:pPr>
            <w:pStyle w:val="TOC1"/>
            <w:tabs>
              <w:tab w:val="right" w:leader="dot" w:pos="9350"/>
            </w:tabs>
            <w:rPr>
              <w:rFonts w:ascii="Arial" w:hAnsi="Arial" w:cs="Arial"/>
              <w:lang w:val="en-GB"/>
            </w:rPr>
          </w:pPr>
          <w:hyperlink w:anchor="_Toc167816482" w:history="1">
            <w:r w:rsidR="00DD2471" w:rsidRPr="00DD2471">
              <w:rPr>
                <w:rStyle w:val="Hyperlink"/>
                <w:rFonts w:ascii="Arial" w:hAnsi="Arial" w:cs="Arial"/>
                <w:lang w:val="en-GB"/>
              </w:rPr>
              <w:t>References</w:t>
            </w:r>
            <w:r w:rsidR="00DD2471" w:rsidRPr="00DD2471">
              <w:rPr>
                <w:rFonts w:ascii="Arial" w:hAnsi="Arial" w:cs="Arial"/>
                <w:webHidden/>
                <w:lang w:val="en-GB"/>
              </w:rPr>
              <w:tab/>
            </w:r>
            <w:r w:rsidR="00DD2471" w:rsidRPr="00DD2471">
              <w:rPr>
                <w:rFonts w:ascii="Arial" w:hAnsi="Arial" w:cs="Arial"/>
                <w:webHidden/>
                <w:lang w:val="en-GB"/>
              </w:rPr>
              <w:fldChar w:fldCharType="begin"/>
            </w:r>
            <w:r w:rsidR="00DD2471" w:rsidRPr="00DD2471">
              <w:rPr>
                <w:rFonts w:ascii="Arial" w:hAnsi="Arial" w:cs="Arial"/>
                <w:webHidden/>
                <w:lang w:val="en-GB"/>
              </w:rPr>
              <w:instrText xml:space="preserve"> PAGEREF _Toc167816482 \h </w:instrText>
            </w:r>
            <w:r w:rsidR="00DD2471" w:rsidRPr="00DD2471">
              <w:rPr>
                <w:rFonts w:ascii="Arial" w:hAnsi="Arial" w:cs="Arial"/>
                <w:webHidden/>
                <w:lang w:val="en-GB"/>
              </w:rPr>
            </w:r>
            <w:r w:rsidR="00DD2471" w:rsidRPr="00DD2471">
              <w:rPr>
                <w:rFonts w:ascii="Arial" w:hAnsi="Arial" w:cs="Arial"/>
                <w:webHidden/>
                <w:lang w:val="en-GB"/>
              </w:rPr>
              <w:fldChar w:fldCharType="separate"/>
            </w:r>
            <w:r w:rsidR="00DD2471" w:rsidRPr="00DD2471">
              <w:rPr>
                <w:rFonts w:ascii="Arial" w:hAnsi="Arial" w:cs="Arial"/>
                <w:webHidden/>
                <w:lang w:val="en-GB"/>
              </w:rPr>
              <w:t>11</w:t>
            </w:r>
            <w:r w:rsidR="00DD2471" w:rsidRPr="00DD2471">
              <w:rPr>
                <w:rFonts w:ascii="Arial" w:hAnsi="Arial" w:cs="Arial"/>
                <w:webHidden/>
                <w:lang w:val="en-GB"/>
              </w:rPr>
              <w:fldChar w:fldCharType="end"/>
            </w:r>
          </w:hyperlink>
        </w:p>
        <w:p w14:paraId="0873B759" w14:textId="77777777" w:rsidR="00DD2471" w:rsidRPr="00DD2471" w:rsidRDefault="00DD2471" w:rsidP="00DD2471">
          <w:pPr>
            <w:rPr>
              <w:rFonts w:ascii="Arial" w:hAnsi="Arial" w:cs="Arial"/>
              <w:lang w:val="en-GB"/>
            </w:rPr>
          </w:pPr>
          <w:r w:rsidRPr="00DD2471">
            <w:rPr>
              <w:rFonts w:ascii="Arial" w:hAnsi="Arial" w:cs="Arial"/>
              <w:b/>
              <w:bCs/>
              <w:lang w:val="en-GB"/>
            </w:rPr>
            <w:fldChar w:fldCharType="end"/>
          </w:r>
        </w:p>
      </w:sdtContent>
    </w:sdt>
    <w:p w14:paraId="5A4D94B1" w14:textId="77777777" w:rsidR="00DD2471" w:rsidRPr="00DD2471" w:rsidRDefault="00DD2471" w:rsidP="00DD2471">
      <w:pPr>
        <w:rPr>
          <w:rFonts w:ascii="Arial" w:hAnsi="Arial" w:cs="Arial"/>
          <w:lang w:val="en-GB"/>
        </w:rPr>
      </w:pPr>
    </w:p>
    <w:p w14:paraId="6D4E2F74" w14:textId="77777777" w:rsidR="00DD2471" w:rsidRPr="00DD2471" w:rsidRDefault="00DD2471" w:rsidP="00DD2471">
      <w:pPr>
        <w:spacing w:line="259" w:lineRule="auto"/>
        <w:jc w:val="left"/>
        <w:rPr>
          <w:rFonts w:ascii="Arial" w:eastAsia="Times New Roman" w:hAnsi="Arial" w:cs="Arial"/>
          <w:b/>
          <w:bCs/>
          <w:color w:val="000000"/>
          <w:szCs w:val="24"/>
          <w:lang w:val="en-GB"/>
        </w:rPr>
      </w:pPr>
      <w:r w:rsidRPr="00DD2471">
        <w:rPr>
          <w:rFonts w:ascii="Arial" w:hAnsi="Arial" w:cs="Arial"/>
          <w:b/>
          <w:bCs/>
          <w:color w:val="000000"/>
          <w:lang w:val="en-GB"/>
        </w:rPr>
        <w:br w:type="page"/>
      </w:r>
    </w:p>
    <w:p w14:paraId="6B7F5738" w14:textId="77777777" w:rsidR="00DD2471" w:rsidRPr="004A31D9" w:rsidRDefault="00DD2471" w:rsidP="00DD2471">
      <w:pPr>
        <w:pStyle w:val="Heading1"/>
        <w:rPr>
          <w:rFonts w:ascii="Arial" w:hAnsi="Arial" w:cs="Arial"/>
          <w:color w:val="000000" w:themeColor="text1"/>
          <w:lang w:val="en-GB"/>
        </w:rPr>
      </w:pPr>
      <w:bookmarkStart w:id="0" w:name="_Toc167816476"/>
      <w:r w:rsidRPr="004A31D9">
        <w:rPr>
          <w:rFonts w:ascii="Arial" w:hAnsi="Arial" w:cs="Arial"/>
          <w:color w:val="000000" w:themeColor="text1"/>
          <w:lang w:val="en-GB"/>
        </w:rPr>
        <w:lastRenderedPageBreak/>
        <w:t>Introduction</w:t>
      </w:r>
      <w:bookmarkEnd w:id="0"/>
    </w:p>
    <w:p w14:paraId="442FC583" w14:textId="675F43FA" w:rsidR="00FD147E" w:rsidRDefault="00FD147E" w:rsidP="00FD147E">
      <w:pPr>
        <w:rPr>
          <w:rFonts w:ascii="Arial" w:hAnsi="Arial" w:cs="Arial"/>
          <w:lang w:val="en-GB"/>
        </w:rPr>
      </w:pPr>
      <w:r w:rsidRPr="00DD2471">
        <w:rPr>
          <w:rFonts w:ascii="Arial" w:hAnsi="Arial" w:cs="Arial"/>
          <w:lang w:val="en-GB"/>
        </w:rPr>
        <w:t xml:space="preserve">The report </w:t>
      </w:r>
      <w:r w:rsidR="006A17F3">
        <w:rPr>
          <w:rFonts w:ascii="Arial" w:hAnsi="Arial" w:cs="Arial"/>
          <w:lang w:val="en-GB"/>
        </w:rPr>
        <w:t>will</w:t>
      </w:r>
      <w:r w:rsidRPr="00DD2471">
        <w:rPr>
          <w:rFonts w:ascii="Arial" w:hAnsi="Arial" w:cs="Arial"/>
          <w:lang w:val="en-GB"/>
        </w:rPr>
        <w:t xml:space="preserve"> discuss some essential topics regarding financial management in a hotel business. </w:t>
      </w:r>
      <w:r w:rsidR="006A17F3">
        <w:rPr>
          <w:rFonts w:ascii="Arial" w:hAnsi="Arial" w:cs="Arial"/>
          <w:lang w:val="en-GB"/>
        </w:rPr>
        <w:t xml:space="preserve">It will </w:t>
      </w:r>
      <w:r w:rsidRPr="00DD2471">
        <w:rPr>
          <w:rFonts w:ascii="Arial" w:hAnsi="Arial" w:cs="Arial"/>
          <w:lang w:val="en-GB"/>
        </w:rPr>
        <w:t xml:space="preserve">deliver the performance evaluation of the hotel business by covering the revenues, expenses, profitability, liquidity and solvency. </w:t>
      </w:r>
      <w:r w:rsidR="006A17F3">
        <w:rPr>
          <w:rFonts w:ascii="Arial" w:hAnsi="Arial" w:cs="Arial"/>
          <w:lang w:val="en-GB"/>
        </w:rPr>
        <w:t>A</w:t>
      </w:r>
      <w:r w:rsidRPr="00DD2471">
        <w:rPr>
          <w:rFonts w:ascii="Arial" w:hAnsi="Arial" w:cs="Arial"/>
          <w:lang w:val="en-GB"/>
        </w:rPr>
        <w:t>lso</w:t>
      </w:r>
      <w:r w:rsidR="006A17F3">
        <w:rPr>
          <w:rFonts w:ascii="Arial" w:hAnsi="Arial" w:cs="Arial"/>
          <w:lang w:val="en-GB"/>
        </w:rPr>
        <w:t xml:space="preserve">, </w:t>
      </w:r>
      <w:r w:rsidR="00DC34B7">
        <w:rPr>
          <w:rFonts w:ascii="Arial" w:hAnsi="Arial" w:cs="Arial"/>
          <w:lang w:val="en-GB"/>
        </w:rPr>
        <w:t>it will</w:t>
      </w:r>
      <w:r w:rsidRPr="00DD2471">
        <w:rPr>
          <w:rFonts w:ascii="Arial" w:hAnsi="Arial" w:cs="Arial"/>
          <w:lang w:val="en-GB"/>
        </w:rPr>
        <w:t xml:space="preserve"> deliver the key reasons behind the profitability and liquidity decline in the past three years. Furthermore, the report </w:t>
      </w:r>
      <w:r w:rsidR="00DC34B7">
        <w:rPr>
          <w:rFonts w:ascii="Arial" w:hAnsi="Arial" w:cs="Arial"/>
          <w:lang w:val="en-GB"/>
        </w:rPr>
        <w:t xml:space="preserve">will </w:t>
      </w:r>
      <w:r w:rsidRPr="00DD2471">
        <w:rPr>
          <w:rFonts w:ascii="Arial" w:hAnsi="Arial" w:cs="Arial"/>
          <w:lang w:val="en-GB"/>
        </w:rPr>
        <w:t>conclud</w:t>
      </w:r>
      <w:r w:rsidR="00DC34B7">
        <w:rPr>
          <w:rFonts w:ascii="Arial" w:hAnsi="Arial" w:cs="Arial"/>
          <w:lang w:val="en-GB"/>
        </w:rPr>
        <w:t>e</w:t>
      </w:r>
      <w:r w:rsidRPr="00DD2471">
        <w:rPr>
          <w:rFonts w:ascii="Arial" w:hAnsi="Arial" w:cs="Arial"/>
          <w:lang w:val="en-GB"/>
        </w:rPr>
        <w:t xml:space="preserve"> with a detailed recommendation to improve the performance of the business in future. </w:t>
      </w:r>
    </w:p>
    <w:p w14:paraId="1B529E92" w14:textId="2A6B2ADD" w:rsidR="00DD2471" w:rsidRPr="004A31D9" w:rsidRDefault="00DD2471" w:rsidP="004A31D9">
      <w:pPr>
        <w:spacing w:line="259" w:lineRule="auto"/>
        <w:jc w:val="left"/>
        <w:rPr>
          <w:rFonts w:ascii="Arial" w:eastAsia="Times New Roman" w:hAnsi="Arial" w:cs="Arial"/>
          <w:b/>
          <w:bCs/>
          <w:color w:val="000000"/>
          <w:szCs w:val="24"/>
          <w:lang w:val="en-GB"/>
        </w:rPr>
      </w:pPr>
      <w:r w:rsidRPr="00DD2471">
        <w:rPr>
          <w:rFonts w:ascii="Arial" w:hAnsi="Arial" w:cs="Arial"/>
          <w:b/>
          <w:bCs/>
          <w:color w:val="000000"/>
          <w:lang w:val="en-GB"/>
        </w:rPr>
        <w:br w:type="page"/>
      </w:r>
      <w:r w:rsidRPr="00DD2471">
        <w:rPr>
          <w:rFonts w:ascii="Arial" w:hAnsi="Arial" w:cs="Arial"/>
          <w:lang w:val="en-GB"/>
        </w:rPr>
        <w:lastRenderedPageBreak/>
        <w:t> </w:t>
      </w:r>
    </w:p>
    <w:p w14:paraId="4B9A0B4C" w14:textId="77777777" w:rsidR="00DD2471" w:rsidRPr="004A31D9" w:rsidRDefault="00DD2471" w:rsidP="00DD2471">
      <w:pPr>
        <w:pStyle w:val="Heading3"/>
        <w:rPr>
          <w:rFonts w:ascii="Arial" w:hAnsi="Arial" w:cs="Arial"/>
          <w:color w:val="000000" w:themeColor="text1"/>
          <w:lang w:val="en-GB"/>
        </w:rPr>
      </w:pPr>
      <w:bookmarkStart w:id="1" w:name="_Toc167816478"/>
      <w:proofErr w:type="spellStart"/>
      <w:r w:rsidRPr="004A31D9">
        <w:rPr>
          <w:rFonts w:ascii="Arial" w:hAnsi="Arial" w:cs="Arial"/>
          <w:color w:val="000000" w:themeColor="text1"/>
          <w:lang w:val="en-GB"/>
        </w:rPr>
        <w:t>i</w:t>
      </w:r>
      <w:proofErr w:type="spellEnd"/>
      <w:r w:rsidRPr="004A31D9">
        <w:rPr>
          <w:rFonts w:ascii="Arial" w:hAnsi="Arial" w:cs="Arial"/>
          <w:color w:val="000000" w:themeColor="text1"/>
          <w:lang w:val="en-GB"/>
        </w:rPr>
        <w:t>) Evaluation of the trends and patterns in Urban Heights Hotel</w:t>
      </w:r>
      <w:bookmarkEnd w:id="1"/>
      <w:r w:rsidRPr="004A31D9">
        <w:rPr>
          <w:rFonts w:ascii="Arial" w:hAnsi="Arial" w:cs="Arial"/>
          <w:color w:val="000000" w:themeColor="text1"/>
          <w:lang w:val="en-GB"/>
        </w:rPr>
        <w:t> </w:t>
      </w:r>
    </w:p>
    <w:tbl>
      <w:tblPr>
        <w:tblW w:w="7520" w:type="dxa"/>
        <w:jc w:val="center"/>
        <w:tblLook w:val="04A0" w:firstRow="1" w:lastRow="0" w:firstColumn="1" w:lastColumn="0" w:noHBand="0" w:noVBand="1"/>
      </w:tblPr>
      <w:tblGrid>
        <w:gridCol w:w="1427"/>
        <w:gridCol w:w="2520"/>
        <w:gridCol w:w="1260"/>
        <w:gridCol w:w="1280"/>
        <w:gridCol w:w="1260"/>
      </w:tblGrid>
      <w:tr w:rsidR="00DD2471" w:rsidRPr="00DD2471" w14:paraId="357031F0" w14:textId="77777777" w:rsidTr="000A752B">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04EA7"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14:paraId="59C65A06"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29786DAD" w14:textId="77777777" w:rsidR="00DD2471" w:rsidRPr="00DD2471" w:rsidRDefault="00DD2471" w:rsidP="000A752B">
            <w:pPr>
              <w:spacing w:after="0" w:line="240" w:lineRule="auto"/>
              <w:jc w:val="righ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2021</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0C1442FE" w14:textId="77777777" w:rsidR="00DD2471" w:rsidRPr="00DD2471" w:rsidRDefault="00DD2471" w:rsidP="000A752B">
            <w:pPr>
              <w:spacing w:after="0" w:line="240" w:lineRule="auto"/>
              <w:jc w:val="righ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2022</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005AC625" w14:textId="77777777" w:rsidR="00DD2471" w:rsidRPr="00DD2471" w:rsidRDefault="00DD2471" w:rsidP="000A752B">
            <w:pPr>
              <w:spacing w:after="0" w:line="240" w:lineRule="auto"/>
              <w:jc w:val="righ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2023</w:t>
            </w:r>
          </w:p>
        </w:tc>
      </w:tr>
      <w:tr w:rsidR="00DD2471" w:rsidRPr="00DD2471" w14:paraId="5172EC35"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C389C62"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 xml:space="preserve">Profitability </w:t>
            </w:r>
          </w:p>
        </w:tc>
        <w:tc>
          <w:tcPr>
            <w:tcW w:w="2520" w:type="dxa"/>
            <w:tcBorders>
              <w:top w:val="nil"/>
              <w:left w:val="nil"/>
              <w:bottom w:val="single" w:sz="4" w:space="0" w:color="auto"/>
              <w:right w:val="single" w:sz="4" w:space="0" w:color="auto"/>
            </w:tcBorders>
            <w:shd w:val="clear" w:color="auto" w:fill="auto"/>
            <w:noWrap/>
            <w:vAlign w:val="bottom"/>
            <w:hideMark/>
          </w:tcPr>
          <w:p w14:paraId="12D41573"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Net profit margin</w:t>
            </w:r>
          </w:p>
        </w:tc>
        <w:tc>
          <w:tcPr>
            <w:tcW w:w="1260" w:type="dxa"/>
            <w:tcBorders>
              <w:top w:val="nil"/>
              <w:left w:val="nil"/>
              <w:bottom w:val="single" w:sz="4" w:space="0" w:color="auto"/>
              <w:right w:val="single" w:sz="4" w:space="0" w:color="auto"/>
            </w:tcBorders>
            <w:shd w:val="clear" w:color="auto" w:fill="auto"/>
            <w:noWrap/>
            <w:vAlign w:val="bottom"/>
            <w:hideMark/>
          </w:tcPr>
          <w:p w14:paraId="6D4798F1"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0.28</w:t>
            </w:r>
          </w:p>
        </w:tc>
        <w:tc>
          <w:tcPr>
            <w:tcW w:w="1280" w:type="dxa"/>
            <w:tcBorders>
              <w:top w:val="nil"/>
              <w:left w:val="nil"/>
              <w:bottom w:val="single" w:sz="4" w:space="0" w:color="auto"/>
              <w:right w:val="single" w:sz="4" w:space="0" w:color="auto"/>
            </w:tcBorders>
            <w:shd w:val="clear" w:color="auto" w:fill="auto"/>
            <w:noWrap/>
            <w:vAlign w:val="bottom"/>
            <w:hideMark/>
          </w:tcPr>
          <w:p w14:paraId="6EC35048"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0.09</w:t>
            </w:r>
          </w:p>
        </w:tc>
        <w:tc>
          <w:tcPr>
            <w:tcW w:w="1260" w:type="dxa"/>
            <w:tcBorders>
              <w:top w:val="nil"/>
              <w:left w:val="nil"/>
              <w:bottom w:val="single" w:sz="4" w:space="0" w:color="auto"/>
              <w:right w:val="single" w:sz="4" w:space="0" w:color="auto"/>
            </w:tcBorders>
            <w:shd w:val="clear" w:color="auto" w:fill="auto"/>
            <w:noWrap/>
            <w:vAlign w:val="bottom"/>
            <w:hideMark/>
          </w:tcPr>
          <w:p w14:paraId="55EBC860"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0.28</w:t>
            </w:r>
          </w:p>
        </w:tc>
      </w:tr>
      <w:tr w:rsidR="00DD2471" w:rsidRPr="00DD2471" w14:paraId="350E1D90"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40DC8538"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2520" w:type="dxa"/>
            <w:tcBorders>
              <w:top w:val="nil"/>
              <w:left w:val="nil"/>
              <w:bottom w:val="single" w:sz="4" w:space="0" w:color="auto"/>
              <w:right w:val="single" w:sz="4" w:space="0" w:color="auto"/>
            </w:tcBorders>
            <w:shd w:val="clear" w:color="auto" w:fill="auto"/>
            <w:noWrap/>
            <w:vAlign w:val="bottom"/>
            <w:hideMark/>
          </w:tcPr>
          <w:p w14:paraId="66EF989F"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1260" w:type="dxa"/>
            <w:tcBorders>
              <w:top w:val="nil"/>
              <w:left w:val="nil"/>
              <w:bottom w:val="single" w:sz="4" w:space="0" w:color="auto"/>
              <w:right w:val="single" w:sz="4" w:space="0" w:color="auto"/>
            </w:tcBorders>
            <w:shd w:val="clear" w:color="auto" w:fill="auto"/>
            <w:noWrap/>
            <w:vAlign w:val="bottom"/>
            <w:hideMark/>
          </w:tcPr>
          <w:p w14:paraId="10BEFF74"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0A5ACA01"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1260" w:type="dxa"/>
            <w:tcBorders>
              <w:top w:val="nil"/>
              <w:left w:val="nil"/>
              <w:bottom w:val="single" w:sz="4" w:space="0" w:color="auto"/>
              <w:right w:val="single" w:sz="4" w:space="0" w:color="auto"/>
            </w:tcBorders>
            <w:shd w:val="clear" w:color="auto" w:fill="auto"/>
            <w:noWrap/>
            <w:vAlign w:val="bottom"/>
            <w:hideMark/>
          </w:tcPr>
          <w:p w14:paraId="58043911"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r>
      <w:tr w:rsidR="00DD2471" w:rsidRPr="00DD2471" w14:paraId="6548C117"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7990F5BA"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Liquidity</w:t>
            </w:r>
          </w:p>
        </w:tc>
        <w:tc>
          <w:tcPr>
            <w:tcW w:w="2520" w:type="dxa"/>
            <w:tcBorders>
              <w:top w:val="nil"/>
              <w:left w:val="nil"/>
              <w:bottom w:val="single" w:sz="4" w:space="0" w:color="auto"/>
              <w:right w:val="single" w:sz="4" w:space="0" w:color="auto"/>
            </w:tcBorders>
            <w:shd w:val="clear" w:color="auto" w:fill="auto"/>
            <w:noWrap/>
            <w:vAlign w:val="bottom"/>
            <w:hideMark/>
          </w:tcPr>
          <w:p w14:paraId="492FC74C"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Current ratio</w:t>
            </w:r>
          </w:p>
        </w:tc>
        <w:tc>
          <w:tcPr>
            <w:tcW w:w="1260" w:type="dxa"/>
            <w:tcBorders>
              <w:top w:val="nil"/>
              <w:left w:val="nil"/>
              <w:bottom w:val="single" w:sz="4" w:space="0" w:color="auto"/>
              <w:right w:val="single" w:sz="4" w:space="0" w:color="auto"/>
            </w:tcBorders>
            <w:shd w:val="clear" w:color="auto" w:fill="auto"/>
            <w:noWrap/>
            <w:vAlign w:val="bottom"/>
            <w:hideMark/>
          </w:tcPr>
          <w:p w14:paraId="48FD89A6"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1.80</w:t>
            </w:r>
          </w:p>
        </w:tc>
        <w:tc>
          <w:tcPr>
            <w:tcW w:w="1280" w:type="dxa"/>
            <w:tcBorders>
              <w:top w:val="nil"/>
              <w:left w:val="nil"/>
              <w:bottom w:val="single" w:sz="4" w:space="0" w:color="auto"/>
              <w:right w:val="single" w:sz="4" w:space="0" w:color="auto"/>
            </w:tcBorders>
            <w:shd w:val="clear" w:color="auto" w:fill="auto"/>
            <w:noWrap/>
            <w:vAlign w:val="bottom"/>
            <w:hideMark/>
          </w:tcPr>
          <w:p w14:paraId="41967361"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1.11</w:t>
            </w:r>
          </w:p>
        </w:tc>
        <w:tc>
          <w:tcPr>
            <w:tcW w:w="1260" w:type="dxa"/>
            <w:tcBorders>
              <w:top w:val="nil"/>
              <w:left w:val="nil"/>
              <w:bottom w:val="single" w:sz="4" w:space="0" w:color="auto"/>
              <w:right w:val="single" w:sz="4" w:space="0" w:color="auto"/>
            </w:tcBorders>
            <w:shd w:val="clear" w:color="auto" w:fill="auto"/>
            <w:noWrap/>
            <w:vAlign w:val="bottom"/>
            <w:hideMark/>
          </w:tcPr>
          <w:p w14:paraId="43D5346B"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0.60</w:t>
            </w:r>
          </w:p>
        </w:tc>
      </w:tr>
      <w:tr w:rsidR="00DD2471" w:rsidRPr="00DD2471" w14:paraId="66DC046F"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33246F7D"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2520" w:type="dxa"/>
            <w:tcBorders>
              <w:top w:val="nil"/>
              <w:left w:val="nil"/>
              <w:bottom w:val="single" w:sz="4" w:space="0" w:color="auto"/>
              <w:right w:val="single" w:sz="4" w:space="0" w:color="auto"/>
            </w:tcBorders>
            <w:shd w:val="clear" w:color="auto" w:fill="auto"/>
            <w:noWrap/>
            <w:vAlign w:val="bottom"/>
            <w:hideMark/>
          </w:tcPr>
          <w:p w14:paraId="17D5E9FA"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 </w:t>
            </w:r>
          </w:p>
        </w:tc>
        <w:tc>
          <w:tcPr>
            <w:tcW w:w="1260" w:type="dxa"/>
            <w:tcBorders>
              <w:top w:val="nil"/>
              <w:left w:val="nil"/>
              <w:bottom w:val="single" w:sz="4" w:space="0" w:color="auto"/>
              <w:right w:val="single" w:sz="4" w:space="0" w:color="auto"/>
            </w:tcBorders>
            <w:shd w:val="clear" w:color="auto" w:fill="auto"/>
            <w:noWrap/>
            <w:vAlign w:val="bottom"/>
            <w:hideMark/>
          </w:tcPr>
          <w:p w14:paraId="047DCDF4"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1280" w:type="dxa"/>
            <w:tcBorders>
              <w:top w:val="nil"/>
              <w:left w:val="nil"/>
              <w:bottom w:val="single" w:sz="4" w:space="0" w:color="auto"/>
              <w:right w:val="single" w:sz="4" w:space="0" w:color="auto"/>
            </w:tcBorders>
            <w:shd w:val="clear" w:color="auto" w:fill="auto"/>
            <w:noWrap/>
            <w:vAlign w:val="bottom"/>
            <w:hideMark/>
          </w:tcPr>
          <w:p w14:paraId="6952AA9B"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1260" w:type="dxa"/>
            <w:tcBorders>
              <w:top w:val="nil"/>
              <w:left w:val="nil"/>
              <w:bottom w:val="single" w:sz="4" w:space="0" w:color="auto"/>
              <w:right w:val="single" w:sz="4" w:space="0" w:color="auto"/>
            </w:tcBorders>
            <w:shd w:val="clear" w:color="auto" w:fill="auto"/>
            <w:noWrap/>
            <w:vAlign w:val="bottom"/>
            <w:hideMark/>
          </w:tcPr>
          <w:p w14:paraId="2367F984"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r>
      <w:tr w:rsidR="00DD2471" w:rsidRPr="00DD2471" w14:paraId="5A770BF8"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1A2FB1B"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Solvency</w:t>
            </w:r>
          </w:p>
        </w:tc>
        <w:tc>
          <w:tcPr>
            <w:tcW w:w="2520" w:type="dxa"/>
            <w:tcBorders>
              <w:top w:val="nil"/>
              <w:left w:val="nil"/>
              <w:bottom w:val="single" w:sz="4" w:space="0" w:color="auto"/>
              <w:right w:val="single" w:sz="4" w:space="0" w:color="auto"/>
            </w:tcBorders>
            <w:shd w:val="clear" w:color="auto" w:fill="auto"/>
            <w:noWrap/>
            <w:vAlign w:val="bottom"/>
            <w:hideMark/>
          </w:tcPr>
          <w:p w14:paraId="0487FA0D"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Gearing ratio</w:t>
            </w:r>
          </w:p>
        </w:tc>
        <w:tc>
          <w:tcPr>
            <w:tcW w:w="1260" w:type="dxa"/>
            <w:tcBorders>
              <w:top w:val="nil"/>
              <w:left w:val="nil"/>
              <w:bottom w:val="single" w:sz="4" w:space="0" w:color="auto"/>
              <w:right w:val="single" w:sz="4" w:space="0" w:color="auto"/>
            </w:tcBorders>
            <w:shd w:val="clear" w:color="auto" w:fill="auto"/>
            <w:noWrap/>
            <w:vAlign w:val="bottom"/>
            <w:hideMark/>
          </w:tcPr>
          <w:p w14:paraId="6F9083E2"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1.48</w:t>
            </w:r>
          </w:p>
        </w:tc>
        <w:tc>
          <w:tcPr>
            <w:tcW w:w="1280" w:type="dxa"/>
            <w:tcBorders>
              <w:top w:val="nil"/>
              <w:left w:val="nil"/>
              <w:bottom w:val="single" w:sz="4" w:space="0" w:color="auto"/>
              <w:right w:val="single" w:sz="4" w:space="0" w:color="auto"/>
            </w:tcBorders>
            <w:shd w:val="clear" w:color="auto" w:fill="auto"/>
            <w:noWrap/>
            <w:vAlign w:val="bottom"/>
            <w:hideMark/>
          </w:tcPr>
          <w:p w14:paraId="16207A07"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1.79</w:t>
            </w:r>
          </w:p>
        </w:tc>
        <w:tc>
          <w:tcPr>
            <w:tcW w:w="1260" w:type="dxa"/>
            <w:tcBorders>
              <w:top w:val="nil"/>
              <w:left w:val="nil"/>
              <w:bottom w:val="single" w:sz="4" w:space="0" w:color="auto"/>
              <w:right w:val="single" w:sz="4" w:space="0" w:color="auto"/>
            </w:tcBorders>
            <w:shd w:val="clear" w:color="auto" w:fill="auto"/>
            <w:noWrap/>
            <w:vAlign w:val="bottom"/>
            <w:hideMark/>
          </w:tcPr>
          <w:p w14:paraId="76F61B02"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2.39</w:t>
            </w:r>
          </w:p>
        </w:tc>
      </w:tr>
      <w:tr w:rsidR="00DD2471" w:rsidRPr="00DD2471" w14:paraId="1B54C767"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241306D5"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2520" w:type="dxa"/>
            <w:tcBorders>
              <w:top w:val="nil"/>
              <w:left w:val="nil"/>
              <w:bottom w:val="single" w:sz="4" w:space="0" w:color="auto"/>
              <w:right w:val="single" w:sz="4" w:space="0" w:color="auto"/>
            </w:tcBorders>
            <w:shd w:val="clear" w:color="auto" w:fill="auto"/>
            <w:noWrap/>
            <w:vAlign w:val="bottom"/>
            <w:hideMark/>
          </w:tcPr>
          <w:p w14:paraId="08F9D5C6"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 xml:space="preserve">Accounts receivable days </w:t>
            </w:r>
          </w:p>
        </w:tc>
        <w:tc>
          <w:tcPr>
            <w:tcW w:w="1260" w:type="dxa"/>
            <w:tcBorders>
              <w:top w:val="nil"/>
              <w:left w:val="nil"/>
              <w:bottom w:val="single" w:sz="4" w:space="0" w:color="auto"/>
              <w:right w:val="single" w:sz="4" w:space="0" w:color="auto"/>
            </w:tcBorders>
            <w:shd w:val="clear" w:color="auto" w:fill="auto"/>
            <w:noWrap/>
            <w:vAlign w:val="bottom"/>
            <w:hideMark/>
          </w:tcPr>
          <w:p w14:paraId="738ACFD6"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21.90</w:t>
            </w:r>
          </w:p>
        </w:tc>
        <w:tc>
          <w:tcPr>
            <w:tcW w:w="1280" w:type="dxa"/>
            <w:tcBorders>
              <w:top w:val="nil"/>
              <w:left w:val="nil"/>
              <w:bottom w:val="single" w:sz="4" w:space="0" w:color="auto"/>
              <w:right w:val="single" w:sz="4" w:space="0" w:color="auto"/>
            </w:tcBorders>
            <w:shd w:val="clear" w:color="auto" w:fill="auto"/>
            <w:noWrap/>
            <w:vAlign w:val="bottom"/>
            <w:hideMark/>
          </w:tcPr>
          <w:p w14:paraId="2F544CD0"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16.59</w:t>
            </w:r>
          </w:p>
        </w:tc>
        <w:tc>
          <w:tcPr>
            <w:tcW w:w="1260" w:type="dxa"/>
            <w:tcBorders>
              <w:top w:val="nil"/>
              <w:left w:val="nil"/>
              <w:bottom w:val="single" w:sz="4" w:space="0" w:color="auto"/>
              <w:right w:val="single" w:sz="4" w:space="0" w:color="auto"/>
            </w:tcBorders>
            <w:shd w:val="clear" w:color="auto" w:fill="auto"/>
            <w:noWrap/>
            <w:vAlign w:val="bottom"/>
            <w:hideMark/>
          </w:tcPr>
          <w:p w14:paraId="50139C02"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16.22</w:t>
            </w:r>
          </w:p>
        </w:tc>
      </w:tr>
      <w:tr w:rsidR="00DD2471" w:rsidRPr="00DD2471" w14:paraId="10729165" w14:textId="77777777" w:rsidTr="000A752B">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14:paraId="1E72899F" w14:textId="77777777" w:rsidR="00DD2471" w:rsidRPr="00DD2471" w:rsidRDefault="00DD2471" w:rsidP="000A752B">
            <w:pPr>
              <w:spacing w:after="0" w:line="240" w:lineRule="auto"/>
              <w:jc w:val="left"/>
              <w:rPr>
                <w:rFonts w:ascii="Arial" w:eastAsia="Times New Roman" w:hAnsi="Arial" w:cs="Arial"/>
                <w:color w:val="000000"/>
                <w:sz w:val="22"/>
                <w:lang w:val="en-GB"/>
              </w:rPr>
            </w:pPr>
            <w:r w:rsidRPr="00DD2471">
              <w:rPr>
                <w:rFonts w:ascii="Arial" w:eastAsia="Times New Roman" w:hAnsi="Arial" w:cs="Arial"/>
                <w:color w:val="000000"/>
                <w:sz w:val="22"/>
                <w:lang w:val="en-GB"/>
              </w:rPr>
              <w:t> </w:t>
            </w:r>
          </w:p>
        </w:tc>
        <w:tc>
          <w:tcPr>
            <w:tcW w:w="2520" w:type="dxa"/>
            <w:tcBorders>
              <w:top w:val="nil"/>
              <w:left w:val="nil"/>
              <w:bottom w:val="single" w:sz="4" w:space="0" w:color="auto"/>
              <w:right w:val="single" w:sz="4" w:space="0" w:color="auto"/>
            </w:tcBorders>
            <w:shd w:val="clear" w:color="auto" w:fill="auto"/>
            <w:noWrap/>
            <w:vAlign w:val="bottom"/>
            <w:hideMark/>
          </w:tcPr>
          <w:p w14:paraId="2B164C04" w14:textId="77777777" w:rsidR="00DD2471" w:rsidRPr="00DD2471" w:rsidRDefault="00DD2471" w:rsidP="000A752B">
            <w:pPr>
              <w:spacing w:after="0" w:line="240" w:lineRule="auto"/>
              <w:jc w:val="left"/>
              <w:rPr>
                <w:rFonts w:ascii="Arial" w:eastAsia="Times New Roman" w:hAnsi="Arial" w:cs="Arial"/>
                <w:b/>
                <w:bCs/>
                <w:color w:val="000000"/>
                <w:sz w:val="22"/>
                <w:lang w:val="en-GB"/>
              </w:rPr>
            </w:pPr>
            <w:r w:rsidRPr="00DD2471">
              <w:rPr>
                <w:rFonts w:ascii="Arial" w:eastAsia="Times New Roman" w:hAnsi="Arial" w:cs="Arial"/>
                <w:b/>
                <w:bCs/>
                <w:color w:val="000000"/>
                <w:sz w:val="22"/>
                <w:lang w:val="en-GB"/>
              </w:rPr>
              <w:t xml:space="preserve">Return on equity </w:t>
            </w:r>
          </w:p>
        </w:tc>
        <w:tc>
          <w:tcPr>
            <w:tcW w:w="1260" w:type="dxa"/>
            <w:tcBorders>
              <w:top w:val="nil"/>
              <w:left w:val="nil"/>
              <w:bottom w:val="single" w:sz="4" w:space="0" w:color="auto"/>
              <w:right w:val="single" w:sz="4" w:space="0" w:color="auto"/>
            </w:tcBorders>
            <w:shd w:val="clear" w:color="auto" w:fill="auto"/>
            <w:noWrap/>
            <w:vAlign w:val="bottom"/>
            <w:hideMark/>
          </w:tcPr>
          <w:p w14:paraId="116EF239"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0.32</w:t>
            </w:r>
          </w:p>
        </w:tc>
        <w:tc>
          <w:tcPr>
            <w:tcW w:w="1280" w:type="dxa"/>
            <w:tcBorders>
              <w:top w:val="nil"/>
              <w:left w:val="nil"/>
              <w:bottom w:val="single" w:sz="4" w:space="0" w:color="auto"/>
              <w:right w:val="single" w:sz="4" w:space="0" w:color="auto"/>
            </w:tcBorders>
            <w:shd w:val="clear" w:color="auto" w:fill="auto"/>
            <w:noWrap/>
            <w:vAlign w:val="bottom"/>
            <w:hideMark/>
          </w:tcPr>
          <w:p w14:paraId="684F3418"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0.11</w:t>
            </w:r>
          </w:p>
        </w:tc>
        <w:tc>
          <w:tcPr>
            <w:tcW w:w="1260" w:type="dxa"/>
            <w:tcBorders>
              <w:top w:val="nil"/>
              <w:left w:val="nil"/>
              <w:bottom w:val="single" w:sz="4" w:space="0" w:color="auto"/>
              <w:right w:val="single" w:sz="4" w:space="0" w:color="auto"/>
            </w:tcBorders>
            <w:shd w:val="clear" w:color="auto" w:fill="auto"/>
            <w:noWrap/>
            <w:vAlign w:val="bottom"/>
            <w:hideMark/>
          </w:tcPr>
          <w:p w14:paraId="418E702F" w14:textId="77777777" w:rsidR="00DD2471" w:rsidRPr="00DD2471" w:rsidRDefault="00DD2471" w:rsidP="000A752B">
            <w:pPr>
              <w:spacing w:after="0" w:line="240" w:lineRule="auto"/>
              <w:jc w:val="right"/>
              <w:rPr>
                <w:rFonts w:ascii="Arial" w:eastAsia="Times New Roman" w:hAnsi="Arial" w:cs="Arial"/>
                <w:color w:val="000000"/>
                <w:sz w:val="22"/>
                <w:lang w:val="en-GB"/>
              </w:rPr>
            </w:pPr>
            <w:r w:rsidRPr="00DD2471">
              <w:rPr>
                <w:rFonts w:ascii="Arial" w:eastAsia="Times New Roman" w:hAnsi="Arial" w:cs="Arial"/>
                <w:color w:val="000000"/>
                <w:sz w:val="22"/>
                <w:lang w:val="en-GB"/>
              </w:rPr>
              <w:t>0.36</w:t>
            </w:r>
          </w:p>
        </w:tc>
      </w:tr>
    </w:tbl>
    <w:p w14:paraId="16408CC3" w14:textId="77777777" w:rsidR="00DD2471" w:rsidRPr="00DD2471" w:rsidRDefault="00DD2471" w:rsidP="00DD2471">
      <w:pPr>
        <w:jc w:val="center"/>
        <w:rPr>
          <w:rFonts w:ascii="Arial" w:hAnsi="Arial" w:cs="Arial"/>
          <w:lang w:val="en-GB"/>
        </w:rPr>
      </w:pPr>
      <w:r w:rsidRPr="00DD2471">
        <w:rPr>
          <w:rFonts w:ascii="Arial" w:hAnsi="Arial" w:cs="Arial"/>
          <w:lang w:val="en-GB"/>
        </w:rPr>
        <w:t>(Source: Author)</w:t>
      </w:r>
    </w:p>
    <w:p w14:paraId="4564C9BD" w14:textId="77777777" w:rsidR="00DD2471" w:rsidRPr="00DD2471" w:rsidRDefault="00DD2471" w:rsidP="00DD2471">
      <w:pPr>
        <w:rPr>
          <w:rFonts w:ascii="Arial" w:hAnsi="Arial" w:cs="Arial"/>
          <w:lang w:val="en-GB"/>
        </w:rPr>
      </w:pPr>
      <w:r w:rsidRPr="00DD2471">
        <w:rPr>
          <w:rFonts w:ascii="Arial" w:hAnsi="Arial" w:cs="Arial"/>
          <w:lang w:val="en-GB"/>
        </w:rPr>
        <w:t>Trend and pattern analysis is a traditional and effective method that is used in analysing financial position along with strengths and weaknesses in the financial structure of a business. Financial statements are a compilation of various types of financial information with multiple periods to determine the financial performance over a financial period. The financial trends and pattern evaluation of Urban Heights Hotel can be possible by analysing the data of balance sheets and income statements for the past three years (</w:t>
      </w:r>
      <w:proofErr w:type="spellStart"/>
      <w:r w:rsidRPr="00DD2471">
        <w:rPr>
          <w:rFonts w:ascii="Arial" w:hAnsi="Arial" w:cs="Arial"/>
          <w:lang w:val="en-GB"/>
        </w:rPr>
        <w:t>Farza</w:t>
      </w:r>
      <w:proofErr w:type="spellEnd"/>
      <w:r w:rsidRPr="00DD2471">
        <w:rPr>
          <w:rFonts w:ascii="Arial" w:hAnsi="Arial" w:cs="Arial"/>
          <w:lang w:val="en-GB"/>
        </w:rPr>
        <w:t xml:space="preserve"> et al., 2021).  </w:t>
      </w:r>
    </w:p>
    <w:p w14:paraId="469C3AA4" w14:textId="77777777" w:rsidR="00DD2471" w:rsidRPr="00DD2471" w:rsidRDefault="00DD2471" w:rsidP="00DD2471">
      <w:pPr>
        <w:rPr>
          <w:rFonts w:ascii="Arial" w:hAnsi="Arial" w:cs="Arial"/>
          <w:b/>
          <w:i/>
          <w:lang w:val="en-GB"/>
        </w:rPr>
      </w:pPr>
      <w:r w:rsidRPr="00DD2471">
        <w:rPr>
          <w:rFonts w:ascii="Arial" w:hAnsi="Arial" w:cs="Arial"/>
          <w:b/>
          <w:i/>
          <w:lang w:val="en-GB"/>
        </w:rPr>
        <w:t>Revenues </w:t>
      </w:r>
    </w:p>
    <w:p w14:paraId="72827D64" w14:textId="77777777" w:rsidR="00DD2471" w:rsidRDefault="00DD2471" w:rsidP="00DD2471">
      <w:pPr>
        <w:rPr>
          <w:rFonts w:ascii="Arial" w:hAnsi="Arial" w:cs="Arial"/>
          <w:lang w:val="en-GB"/>
        </w:rPr>
      </w:pPr>
      <w:r w:rsidRPr="00DD2471">
        <w:rPr>
          <w:rFonts w:ascii="Arial" w:hAnsi="Arial" w:cs="Arial"/>
          <w:lang w:val="en-GB"/>
        </w:rPr>
        <w:t>The hotel business generated £2,500,000 in 2021, £2,200,000 in 2022 and £1,800,000 in 2023. The constant lower performances in revenues may be negligence in marketing efforts and ignoring its competitors leads to losing the grip on capturing the market. Leadership inefficiency can also be another reason behind the low sales and revenues in the Hotel business (Drury, 2021). Another big reason behind the decrease in revenues may be disregarding each business transaction and their proper recording in financial statements. Additionally, misjudgements in financial performance evaluation after each year may also result in low revenues for three consecutive years of the hotel business (Okafor et al., 2021). </w:t>
      </w:r>
    </w:p>
    <w:p w14:paraId="078BD51D" w14:textId="77777777" w:rsidR="004A31D9" w:rsidRDefault="004A31D9" w:rsidP="00DD2471">
      <w:pPr>
        <w:rPr>
          <w:rFonts w:ascii="Arial" w:hAnsi="Arial" w:cs="Arial"/>
          <w:lang w:val="en-GB"/>
        </w:rPr>
      </w:pPr>
    </w:p>
    <w:p w14:paraId="0CAB0042" w14:textId="77777777" w:rsidR="004A31D9" w:rsidRPr="00DD2471" w:rsidRDefault="004A31D9" w:rsidP="00DD2471">
      <w:pPr>
        <w:rPr>
          <w:rFonts w:ascii="Arial" w:hAnsi="Arial" w:cs="Arial"/>
          <w:lang w:val="en-GB"/>
        </w:rPr>
      </w:pPr>
    </w:p>
    <w:p w14:paraId="1311610A" w14:textId="77777777" w:rsidR="00DD2471" w:rsidRPr="00DD2471" w:rsidRDefault="00DD2471" w:rsidP="00DD2471">
      <w:pPr>
        <w:rPr>
          <w:rFonts w:ascii="Arial" w:hAnsi="Arial" w:cs="Arial"/>
          <w:b/>
          <w:i/>
          <w:lang w:val="en-GB"/>
        </w:rPr>
      </w:pPr>
      <w:r w:rsidRPr="00DD2471">
        <w:rPr>
          <w:rFonts w:ascii="Arial" w:hAnsi="Arial" w:cs="Arial"/>
          <w:b/>
          <w:i/>
          <w:lang w:val="en-GB"/>
        </w:rPr>
        <w:lastRenderedPageBreak/>
        <w:t>Expenses</w:t>
      </w:r>
    </w:p>
    <w:p w14:paraId="1CC46BEA" w14:textId="31CEC89C" w:rsidR="00DD2471" w:rsidRPr="00DD2471" w:rsidRDefault="00DD2471" w:rsidP="00DD2471">
      <w:pPr>
        <w:rPr>
          <w:rFonts w:ascii="Arial" w:hAnsi="Arial" w:cs="Arial"/>
          <w:lang w:val="en-GB"/>
        </w:rPr>
      </w:pPr>
      <w:r w:rsidRPr="00DD2471">
        <w:rPr>
          <w:rFonts w:ascii="Arial" w:hAnsi="Arial" w:cs="Arial"/>
          <w:lang w:val="en-GB"/>
        </w:rPr>
        <w:t xml:space="preserve">The information in the income statements of Urban Heights Hotel reflects that the business has continuously faced low revenues for three consecutive years from 2021, 2022 and 2023. Additionally, the income statement shows the business has also faced high operating expenses in the calculation of net incomes. The operating expenses of the business were recorded in 2021 with £1,800,000, 2022 with £2,000,000 and 2023 with £2,300,000. </w:t>
      </w:r>
      <w:r w:rsidR="00F8539F" w:rsidRPr="00DD2471">
        <w:rPr>
          <w:rFonts w:ascii="Arial" w:hAnsi="Arial" w:cs="Arial"/>
          <w:lang w:val="en-GB"/>
        </w:rPr>
        <w:t>Whereas</w:t>
      </w:r>
      <w:r w:rsidRPr="00DD2471">
        <w:rPr>
          <w:rFonts w:ascii="Arial" w:hAnsi="Arial" w:cs="Arial"/>
          <w:lang w:val="en-GB"/>
        </w:rPr>
        <w:t xml:space="preserve"> the revenues </w:t>
      </w:r>
      <w:proofErr w:type="gramStart"/>
      <w:r w:rsidRPr="00DD2471">
        <w:rPr>
          <w:rFonts w:ascii="Arial" w:hAnsi="Arial" w:cs="Arial"/>
          <w:lang w:val="en-GB"/>
        </w:rPr>
        <w:t>decreased</w:t>
      </w:r>
      <w:proofErr w:type="gramEnd"/>
      <w:r w:rsidRPr="00DD2471">
        <w:rPr>
          <w:rFonts w:ascii="Arial" w:hAnsi="Arial" w:cs="Arial"/>
          <w:lang w:val="en-GB"/>
        </w:rPr>
        <w:t xml:space="preserve"> and the operating profit has increased in three years. That is not a good sign for the business in maintaining the cash flows, sales management and income generation (Seal, 2019). </w:t>
      </w:r>
    </w:p>
    <w:p w14:paraId="366CBB16" w14:textId="77777777" w:rsidR="00DD2471" w:rsidRPr="00DD2471" w:rsidRDefault="00DD2471" w:rsidP="00DD2471">
      <w:pPr>
        <w:rPr>
          <w:rFonts w:ascii="Arial" w:hAnsi="Arial" w:cs="Arial"/>
          <w:lang w:val="en-GB"/>
        </w:rPr>
      </w:pPr>
      <w:r w:rsidRPr="00DD2471">
        <w:rPr>
          <w:rFonts w:ascii="Arial" w:hAnsi="Arial" w:cs="Arial"/>
          <w:lang w:val="en-GB"/>
        </w:rPr>
        <w:t>Due to low revenues and high opening costs for three consecutive years ultimately affected the net income of the hotel business. Even the year 2023 recorded a net loss due to the high operating cost of £2,300,000. The low and negative results in the income statements will carry forward to the balance sheet generations and that can impact the ratio calculations of the hotel business. This can be a threatening sign for the business in maintaining stability in future growth. Additionally, leads to present challenges in sustainability in the competitive hotel business in the operational areas (Feinberg and Zanardi, 2022). </w:t>
      </w:r>
    </w:p>
    <w:p w14:paraId="045214FC" w14:textId="77777777" w:rsidR="00DD2471" w:rsidRPr="00DD2471" w:rsidRDefault="00DD2471" w:rsidP="00DD2471">
      <w:pPr>
        <w:rPr>
          <w:rFonts w:ascii="Arial" w:hAnsi="Arial" w:cs="Arial"/>
          <w:b/>
          <w:i/>
          <w:lang w:val="en-GB"/>
        </w:rPr>
      </w:pPr>
      <w:r w:rsidRPr="00DD2471">
        <w:rPr>
          <w:rFonts w:ascii="Arial" w:hAnsi="Arial" w:cs="Arial"/>
          <w:b/>
          <w:i/>
          <w:lang w:val="en-GB"/>
        </w:rPr>
        <w:t>Profitability </w:t>
      </w:r>
    </w:p>
    <w:p w14:paraId="5BFBC0CA" w14:textId="77777777" w:rsidR="00DD2471" w:rsidRPr="00DD2471" w:rsidRDefault="00DD2471" w:rsidP="00DD2471">
      <w:pPr>
        <w:rPr>
          <w:rFonts w:ascii="Arial" w:hAnsi="Arial" w:cs="Arial"/>
          <w:lang w:val="en-GB"/>
        </w:rPr>
      </w:pPr>
      <w:r w:rsidRPr="00DD2471">
        <w:rPr>
          <w:rFonts w:ascii="Arial" w:hAnsi="Arial" w:cs="Arial"/>
          <w:lang w:val="en-GB"/>
        </w:rPr>
        <w:t xml:space="preserve">Following the previous discussions of revenues and expenses the profitability of the hotel business will </w:t>
      </w:r>
      <w:proofErr w:type="gramStart"/>
      <w:r w:rsidRPr="00DD2471">
        <w:rPr>
          <w:rFonts w:ascii="Arial" w:hAnsi="Arial" w:cs="Arial"/>
          <w:lang w:val="en-GB"/>
        </w:rPr>
        <w:t>definitely be</w:t>
      </w:r>
      <w:proofErr w:type="gramEnd"/>
      <w:r w:rsidRPr="00DD2471">
        <w:rPr>
          <w:rFonts w:ascii="Arial" w:hAnsi="Arial" w:cs="Arial"/>
          <w:lang w:val="en-GB"/>
        </w:rPr>
        <w:t xml:space="preserve"> impacted. However, the hotel business has not performed well in the areas of Cash and equivalents, Accounts receivables and Property and Equipment over each financial period as well. To analyse the results of profitability the net profit margin also indicates a downtrend in three years (Walker, 2021). The net profit margin indicates the efficiency in net profit generation of the business deducing the cost of goods sold and operating expenses. The efficiency of the hotel business must be affected due to low revenues and high operating profits comparatively each year. The profitability indicates a downtrend in the net profit margin as it resulted in 0.28 in 2021, 0.09 in 2022 and again 0.28 in 2023. The reason behind these results is low net profits each year such as £700,000 £200,000 even a net loss of £500,000 (Aydoğmuş et al., 2022). </w:t>
      </w:r>
    </w:p>
    <w:p w14:paraId="641FFCE4" w14:textId="77777777" w:rsidR="00DD2471" w:rsidRPr="00DD2471" w:rsidRDefault="00DD2471" w:rsidP="00DD2471">
      <w:pPr>
        <w:rPr>
          <w:rFonts w:ascii="Arial" w:hAnsi="Arial" w:cs="Arial"/>
          <w:b/>
          <w:i/>
          <w:lang w:val="en-GB"/>
        </w:rPr>
      </w:pPr>
      <w:r w:rsidRPr="00DD2471">
        <w:rPr>
          <w:rFonts w:ascii="Arial" w:hAnsi="Arial" w:cs="Arial"/>
          <w:b/>
          <w:i/>
          <w:lang w:val="en-GB"/>
        </w:rPr>
        <w:lastRenderedPageBreak/>
        <w:t>Liquidity </w:t>
      </w:r>
    </w:p>
    <w:p w14:paraId="3A35AC2B" w14:textId="77777777" w:rsidR="00DD2471" w:rsidRPr="00DD2471" w:rsidRDefault="00DD2471" w:rsidP="00DD2471">
      <w:pPr>
        <w:rPr>
          <w:rFonts w:ascii="Arial" w:hAnsi="Arial" w:cs="Arial"/>
          <w:lang w:val="en-GB"/>
        </w:rPr>
      </w:pPr>
      <w:r w:rsidRPr="00DD2471">
        <w:rPr>
          <w:rFonts w:ascii="Arial" w:hAnsi="Arial" w:cs="Arial"/>
          <w:lang w:val="en-GB"/>
        </w:rPr>
        <w:t>The discussion of liquidity is based on the results analysing the categories and their values in the income statement and balance sheet of Urban Heights Hotel. Due to the declined results in these areas, the total value of assets has not improvised. Even the balance sheet reflects that the business has increased its dependency on liabilities as it shows a rising trend in accounts payables with long-term debt of £3,000,000 for each year. </w:t>
      </w:r>
    </w:p>
    <w:p w14:paraId="381AB255" w14:textId="77777777" w:rsidR="00DD2471" w:rsidRPr="00DD2471" w:rsidRDefault="00DD2471" w:rsidP="00DD2471">
      <w:pPr>
        <w:rPr>
          <w:rFonts w:ascii="Arial" w:hAnsi="Arial" w:cs="Arial"/>
          <w:lang w:val="en-GB"/>
        </w:rPr>
      </w:pPr>
      <w:r w:rsidRPr="00DD2471">
        <w:rPr>
          <w:rFonts w:ascii="Arial" w:hAnsi="Arial" w:cs="Arial"/>
          <w:lang w:val="en-GB"/>
        </w:rPr>
        <w:t>Those elements resulted in a rising trend in the total value of liabilities that showcased £3,250,000 in 2021, £3,270,000 in 2022 and £3,300,000 in 2023. Furthermore, the hotel business has also decreased its equity value recorded as £2,200,000, £1,830,000 and £1,380,000 in 2021, 2022 and 2023 respectively. This means the hotel business has recorded poor performance in income generation and declined valuation of equity additionally, the increment in liabilities will overall impact the business in further improvements and sustainability (</w:t>
      </w:r>
      <w:proofErr w:type="spellStart"/>
      <w:r w:rsidRPr="00DD2471">
        <w:rPr>
          <w:rFonts w:ascii="Arial" w:hAnsi="Arial" w:cs="Arial"/>
          <w:lang w:val="en-GB"/>
        </w:rPr>
        <w:t>Atrill</w:t>
      </w:r>
      <w:proofErr w:type="spellEnd"/>
      <w:r w:rsidRPr="00DD2471">
        <w:rPr>
          <w:rFonts w:ascii="Arial" w:hAnsi="Arial" w:cs="Arial"/>
          <w:lang w:val="en-GB"/>
        </w:rPr>
        <w:t xml:space="preserve"> and McLaney, 2021).</w:t>
      </w:r>
    </w:p>
    <w:p w14:paraId="73383002" w14:textId="570BA00F" w:rsidR="00DD2471" w:rsidRPr="00DD2471" w:rsidRDefault="00DD2471" w:rsidP="00DD2471">
      <w:pPr>
        <w:rPr>
          <w:rFonts w:ascii="Arial" w:hAnsi="Arial" w:cs="Arial"/>
          <w:lang w:val="en-GB"/>
        </w:rPr>
      </w:pPr>
      <w:r w:rsidRPr="00DD2471">
        <w:rPr>
          <w:rFonts w:ascii="Arial" w:hAnsi="Arial" w:cs="Arial"/>
          <w:lang w:val="en-GB"/>
        </w:rPr>
        <w:t xml:space="preserve">The current ratio is considered the liquidity value that is used to determine the capacity of liquidity of the business. As </w:t>
      </w:r>
      <w:r w:rsidR="004A31D9" w:rsidRPr="00DD2471">
        <w:rPr>
          <w:rFonts w:ascii="Arial" w:hAnsi="Arial" w:cs="Arial"/>
          <w:lang w:val="en-GB"/>
        </w:rPr>
        <w:t>expected,</w:t>
      </w:r>
      <w:r w:rsidRPr="00DD2471">
        <w:rPr>
          <w:rFonts w:ascii="Arial" w:hAnsi="Arial" w:cs="Arial"/>
          <w:lang w:val="en-GB"/>
        </w:rPr>
        <w:t xml:space="preserve"> the current ratio has also resulted in a decline in three consecutive years. The current ratio is calculated by dividing the current assets by the current liabilities. </w:t>
      </w:r>
      <w:r w:rsidR="004A31D9" w:rsidRPr="00DD2471">
        <w:rPr>
          <w:rFonts w:ascii="Arial" w:hAnsi="Arial" w:cs="Arial"/>
          <w:lang w:val="en-GB"/>
        </w:rPr>
        <w:t>So,</w:t>
      </w:r>
      <w:r w:rsidRPr="00DD2471">
        <w:rPr>
          <w:rFonts w:ascii="Arial" w:hAnsi="Arial" w:cs="Arial"/>
          <w:lang w:val="en-GB"/>
        </w:rPr>
        <w:t xml:space="preserve"> the current asset of the business is valued at £450,000 in 2021, 300,000 in 2022 and 180,000 in 2023. Along with that, the current liability is valued at £250,000 in 2021, £270,000 in 2022 and £300,000 in 2023. Based on the rising values of liabilities and declined value of current assets the current ratio also indicates a declined nature such as 1.80, 1.11 and 0.60 from 2021 to 2023. The declined current ratio indicates the business does not have enough current assets against the current liabilities (Adusei, 2022). </w:t>
      </w:r>
    </w:p>
    <w:p w14:paraId="4D96A15B" w14:textId="77777777" w:rsidR="00DD2471" w:rsidRPr="00DD2471" w:rsidRDefault="00DD2471" w:rsidP="00DD2471">
      <w:pPr>
        <w:rPr>
          <w:rFonts w:ascii="Arial" w:hAnsi="Arial" w:cs="Arial"/>
          <w:b/>
          <w:i/>
          <w:lang w:val="en-GB"/>
        </w:rPr>
      </w:pPr>
      <w:r w:rsidRPr="00DD2471">
        <w:rPr>
          <w:rFonts w:ascii="Arial" w:hAnsi="Arial" w:cs="Arial"/>
          <w:b/>
          <w:i/>
          <w:lang w:val="en-GB"/>
        </w:rPr>
        <w:t>Solvency</w:t>
      </w:r>
    </w:p>
    <w:p w14:paraId="26B8F7CD" w14:textId="77777777" w:rsidR="00DD2471" w:rsidRPr="00DD2471" w:rsidRDefault="00DD2471" w:rsidP="00DD2471">
      <w:pPr>
        <w:rPr>
          <w:rFonts w:ascii="Arial" w:hAnsi="Arial" w:cs="Arial"/>
          <w:lang w:val="en-GB"/>
        </w:rPr>
      </w:pPr>
      <w:r w:rsidRPr="00DD2471">
        <w:rPr>
          <w:rFonts w:ascii="Arial" w:hAnsi="Arial" w:cs="Arial"/>
          <w:lang w:val="en-GB"/>
        </w:rPr>
        <w:t xml:space="preserve">Solvency is the ability of a business to align its long-term debts and other financial obligations in a particular financial period. The solvency of a business helps to measure financial health by the ability to manage the operations into the foreseeable future. Solvency in a business consists of various ratio calculations among those options are the </w:t>
      </w:r>
      <w:r w:rsidRPr="00DD2471">
        <w:rPr>
          <w:rFonts w:ascii="Arial" w:hAnsi="Arial" w:cs="Arial"/>
          <w:lang w:val="en-GB"/>
        </w:rPr>
        <w:lastRenderedPageBreak/>
        <w:t>gearing ratio, accounts receivable days and return on equity. In the gearing ratio, the formula uses total liability divided by the equity value. Implementing the formula resulted in 1.48 in 2021, 1.79 in 2022 and 2.39 in 2023. This means, that the hotel business has an increasing gearing ratio that indicates the business is increasing its financial leverage or dependence on debt money (</w:t>
      </w:r>
      <w:proofErr w:type="spellStart"/>
      <w:r w:rsidRPr="00DD2471">
        <w:rPr>
          <w:rFonts w:ascii="Arial" w:hAnsi="Arial" w:cs="Arial"/>
          <w:lang w:val="en-GB"/>
        </w:rPr>
        <w:t>Batrancea</w:t>
      </w:r>
      <w:proofErr w:type="spellEnd"/>
      <w:r w:rsidRPr="00DD2471">
        <w:rPr>
          <w:rFonts w:ascii="Arial" w:hAnsi="Arial" w:cs="Arial"/>
          <w:lang w:val="en-GB"/>
        </w:rPr>
        <w:t>, 2021). </w:t>
      </w:r>
    </w:p>
    <w:p w14:paraId="210741DA" w14:textId="77777777" w:rsidR="00DD2471" w:rsidRPr="00DD2471" w:rsidRDefault="00DD2471" w:rsidP="00DD2471">
      <w:pPr>
        <w:rPr>
          <w:rFonts w:ascii="Arial" w:hAnsi="Arial" w:cs="Arial"/>
          <w:lang w:val="en-GB"/>
        </w:rPr>
      </w:pPr>
      <w:r w:rsidRPr="00DD2471">
        <w:rPr>
          <w:rFonts w:ascii="Arial" w:hAnsi="Arial" w:cs="Arial"/>
          <w:lang w:val="en-GB"/>
        </w:rPr>
        <w:t>The accounts receivable days also decreased positively from 21.90 to 16.59 and 16.22 from 2021 to 2023. That is due to improvisation in recovering the dues from its debtor and this will help the business to enhance the cash flows and valuation of assets (Bhimani , 2006). The ROE or return on equity has also increased in 2023 with 0.36 compared to 2021 with 0.32 however, the ROE has decreased in 2022 to 0.11. </w:t>
      </w:r>
    </w:p>
    <w:p w14:paraId="2E75FB86" w14:textId="77777777" w:rsidR="00DD2471" w:rsidRPr="004A31D9" w:rsidRDefault="00DD2471" w:rsidP="00DD2471">
      <w:pPr>
        <w:pStyle w:val="Heading3"/>
        <w:rPr>
          <w:rFonts w:ascii="Arial" w:hAnsi="Arial" w:cs="Arial"/>
          <w:color w:val="000000" w:themeColor="text1"/>
          <w:lang w:val="en-GB"/>
        </w:rPr>
      </w:pPr>
      <w:bookmarkStart w:id="2" w:name="_Toc167816479"/>
      <w:r w:rsidRPr="004A31D9">
        <w:rPr>
          <w:rFonts w:ascii="Arial" w:hAnsi="Arial" w:cs="Arial"/>
          <w:color w:val="000000" w:themeColor="text1"/>
          <w:lang w:val="en-GB"/>
        </w:rPr>
        <w:t>ii) Key reasons behind the decline in profitability, liquidity and solvency</w:t>
      </w:r>
      <w:bookmarkEnd w:id="2"/>
    </w:p>
    <w:p w14:paraId="7F3F0769" w14:textId="77777777" w:rsidR="00DD2471" w:rsidRPr="00DD2471" w:rsidRDefault="00DD2471" w:rsidP="00DD2471">
      <w:pPr>
        <w:rPr>
          <w:rFonts w:ascii="Arial" w:hAnsi="Arial" w:cs="Arial"/>
          <w:lang w:val="en-GB"/>
        </w:rPr>
      </w:pPr>
      <w:r w:rsidRPr="00DD2471">
        <w:rPr>
          <w:rFonts w:ascii="Arial" w:hAnsi="Arial" w:cs="Arial"/>
          <w:lang w:val="en-GB"/>
        </w:rPr>
        <w:t>Based on the financial data of revenues in the hotel business in the last three consecutive years shows that the business has recorded a downfall in its sales figures continuously. Profitability and liquidity are both essential parts of a business that play a significant role in making the business sustainable and provide future assurance in developments and expansion (</w:t>
      </w:r>
      <w:proofErr w:type="spellStart"/>
      <w:r w:rsidRPr="00DD2471">
        <w:rPr>
          <w:rFonts w:ascii="Arial" w:hAnsi="Arial" w:cs="Arial"/>
          <w:lang w:val="en-GB"/>
        </w:rPr>
        <w:t>Guilding</w:t>
      </w:r>
      <w:proofErr w:type="spellEnd"/>
      <w:r w:rsidRPr="00DD2471">
        <w:rPr>
          <w:rFonts w:ascii="Arial" w:hAnsi="Arial" w:cs="Arial"/>
          <w:lang w:val="en-GB"/>
        </w:rPr>
        <w:t>, 2014). However, the liquidity ratio and solvency ratios have some key differences based on the obligations, ratio structures, risk involvements and many more. The hotel business Urban Heights Hotel is facing very hard times in managing their revenues, profits, assets management and liability controls for three consecutive years from 2021 to 2023 (</w:t>
      </w:r>
      <w:proofErr w:type="spellStart"/>
      <w:r w:rsidRPr="00DD2471">
        <w:rPr>
          <w:rFonts w:ascii="Arial" w:hAnsi="Arial" w:cs="Arial"/>
          <w:lang w:val="en-GB"/>
        </w:rPr>
        <w:t>Horobet</w:t>
      </w:r>
      <w:proofErr w:type="spellEnd"/>
      <w:r w:rsidRPr="00DD2471">
        <w:rPr>
          <w:rFonts w:ascii="Arial" w:hAnsi="Arial" w:cs="Arial"/>
          <w:lang w:val="en-GB"/>
        </w:rPr>
        <w:t xml:space="preserve"> et al., 2021). </w:t>
      </w:r>
    </w:p>
    <w:p w14:paraId="300C4F24" w14:textId="77777777" w:rsidR="00DD2471" w:rsidRPr="00DD2471" w:rsidRDefault="00DD2471" w:rsidP="00DD2471">
      <w:pPr>
        <w:pStyle w:val="ListParagraph"/>
        <w:numPr>
          <w:ilvl w:val="0"/>
          <w:numId w:val="1"/>
        </w:numPr>
        <w:rPr>
          <w:rFonts w:ascii="Arial" w:hAnsi="Arial" w:cs="Arial"/>
          <w:lang w:val="en-GB"/>
        </w:rPr>
      </w:pPr>
      <w:r w:rsidRPr="00DD2471">
        <w:rPr>
          <w:rFonts w:ascii="Arial" w:hAnsi="Arial" w:cs="Arial"/>
          <w:lang w:val="en-GB"/>
        </w:rPr>
        <w:t xml:space="preserve">There might be some serious problems in the hotel business that they might face difficulties in productivity or quality production that </w:t>
      </w:r>
      <w:proofErr w:type="gramStart"/>
      <w:r w:rsidRPr="00DD2471">
        <w:rPr>
          <w:rFonts w:ascii="Arial" w:hAnsi="Arial" w:cs="Arial"/>
          <w:lang w:val="en-GB"/>
        </w:rPr>
        <w:t>lead</w:t>
      </w:r>
      <w:proofErr w:type="gramEnd"/>
      <w:r w:rsidRPr="00DD2471">
        <w:rPr>
          <w:rFonts w:ascii="Arial" w:hAnsi="Arial" w:cs="Arial"/>
          <w:lang w:val="en-GB"/>
        </w:rPr>
        <w:t xml:space="preserve"> to unsatisfied outcomes from its customer end (Jagels, 2007). </w:t>
      </w:r>
    </w:p>
    <w:p w14:paraId="6344E5A1" w14:textId="77777777" w:rsidR="00DD2471" w:rsidRPr="00DD2471" w:rsidRDefault="00DD2471" w:rsidP="00DD2471">
      <w:pPr>
        <w:pStyle w:val="ListParagraph"/>
        <w:numPr>
          <w:ilvl w:val="0"/>
          <w:numId w:val="1"/>
        </w:numPr>
        <w:rPr>
          <w:rFonts w:ascii="Arial" w:hAnsi="Arial" w:cs="Arial"/>
          <w:lang w:val="en-GB"/>
        </w:rPr>
      </w:pPr>
      <w:r w:rsidRPr="00DD2471">
        <w:rPr>
          <w:rFonts w:ascii="Arial" w:hAnsi="Arial" w:cs="Arial"/>
          <w:lang w:val="en-GB"/>
        </w:rPr>
        <w:t>Low revenues might also involve insufficient management of raw material supplies or inventory management that leads to constantly fewer revenue insights over the last three financial years of the business. </w:t>
      </w:r>
    </w:p>
    <w:p w14:paraId="652A2B40" w14:textId="77777777" w:rsidR="00DD2471" w:rsidRPr="00DD2471" w:rsidRDefault="00DD2471" w:rsidP="00DD2471">
      <w:pPr>
        <w:pStyle w:val="ListParagraph"/>
        <w:numPr>
          <w:ilvl w:val="0"/>
          <w:numId w:val="1"/>
        </w:numPr>
        <w:rPr>
          <w:rFonts w:ascii="Arial" w:hAnsi="Arial" w:cs="Arial"/>
          <w:lang w:val="en-GB"/>
        </w:rPr>
      </w:pPr>
      <w:r w:rsidRPr="00DD2471">
        <w:rPr>
          <w:rFonts w:ascii="Arial" w:hAnsi="Arial" w:cs="Arial"/>
          <w:lang w:val="en-GB"/>
        </w:rPr>
        <w:t>The hotel business may be unable to maintain stability in investments and from both internal and external sources of finances (Wolpert et al., 2020). </w:t>
      </w:r>
    </w:p>
    <w:p w14:paraId="1DCA2752" w14:textId="77777777" w:rsidR="00DD2471" w:rsidRPr="00DD2471" w:rsidRDefault="00DD2471" w:rsidP="00DD2471">
      <w:pPr>
        <w:pStyle w:val="ListParagraph"/>
        <w:numPr>
          <w:ilvl w:val="0"/>
          <w:numId w:val="1"/>
        </w:numPr>
        <w:rPr>
          <w:rFonts w:ascii="Arial" w:hAnsi="Arial" w:cs="Arial"/>
          <w:lang w:val="en-GB"/>
        </w:rPr>
      </w:pPr>
      <w:r w:rsidRPr="00DD2471">
        <w:rPr>
          <w:rFonts w:ascii="Arial" w:hAnsi="Arial" w:cs="Arial"/>
          <w:lang w:val="en-GB"/>
        </w:rPr>
        <w:lastRenderedPageBreak/>
        <w:t>Therefore, it may be possible due to mismanagement of financial resources and malfunctions in the analysis of various significant financial statements properly. That leads to mistakes in decisions in low retention of stakeholders in the business. </w:t>
      </w:r>
    </w:p>
    <w:p w14:paraId="6F532BEF" w14:textId="77777777" w:rsidR="00DD2471" w:rsidRPr="00DD2471" w:rsidRDefault="00DD2471" w:rsidP="00DD2471">
      <w:pPr>
        <w:pStyle w:val="ListParagraph"/>
        <w:numPr>
          <w:ilvl w:val="0"/>
          <w:numId w:val="1"/>
        </w:numPr>
        <w:rPr>
          <w:rFonts w:ascii="Arial" w:hAnsi="Arial" w:cs="Arial"/>
          <w:lang w:val="en-GB"/>
        </w:rPr>
      </w:pPr>
      <w:r w:rsidRPr="00DD2471">
        <w:rPr>
          <w:rFonts w:ascii="Arial" w:hAnsi="Arial" w:cs="Arial"/>
          <w:lang w:val="en-GB"/>
        </w:rPr>
        <w:t>Leaders and other professionals are generally responsible for supervising each activity in the business and finding out the loopholes that need to be sorted out. It can avoid any suspicious mistakes however, an unprofessional approach by leaders and other higher administration of the business might lead to this drawback situation (Seal et al., 2008). </w:t>
      </w:r>
    </w:p>
    <w:p w14:paraId="64C96409" w14:textId="77777777" w:rsidR="00DD2471" w:rsidRPr="00DD2471" w:rsidRDefault="00DD2471" w:rsidP="00DD2471">
      <w:pPr>
        <w:pStyle w:val="ListParagraph"/>
        <w:numPr>
          <w:ilvl w:val="0"/>
          <w:numId w:val="1"/>
        </w:numPr>
        <w:rPr>
          <w:rFonts w:ascii="Arial" w:hAnsi="Arial" w:cs="Arial"/>
          <w:lang w:val="en-GB"/>
        </w:rPr>
      </w:pPr>
      <w:r w:rsidRPr="00DD2471">
        <w:rPr>
          <w:rFonts w:ascii="Arial" w:hAnsi="Arial" w:cs="Arial"/>
          <w:lang w:val="en-GB"/>
        </w:rPr>
        <w:t>Hotel business is a competitive field that constantly demands innovations, improvements and diversifications in services. Urban Heights Hotel might be staying behind in the race resulting in losses and doubts about sustainability (Kanike, 2023). </w:t>
      </w:r>
    </w:p>
    <w:p w14:paraId="1D0FA2FC" w14:textId="77777777" w:rsidR="00DD2471" w:rsidRPr="004A31D9" w:rsidRDefault="00DD2471" w:rsidP="00DD2471">
      <w:pPr>
        <w:pStyle w:val="Heading3"/>
        <w:rPr>
          <w:rFonts w:ascii="Arial" w:hAnsi="Arial" w:cs="Arial"/>
          <w:color w:val="000000" w:themeColor="text1"/>
          <w:lang w:val="en-GB"/>
        </w:rPr>
      </w:pPr>
      <w:bookmarkStart w:id="3" w:name="_Toc167816480"/>
      <w:r w:rsidRPr="004A31D9">
        <w:rPr>
          <w:rFonts w:ascii="Arial" w:hAnsi="Arial" w:cs="Arial"/>
          <w:color w:val="000000" w:themeColor="text1"/>
          <w:lang w:val="en-GB"/>
        </w:rPr>
        <w:t>iii) Comprehensive turnaround strategy</w:t>
      </w:r>
      <w:bookmarkEnd w:id="3"/>
    </w:p>
    <w:p w14:paraId="7BEC5EBB" w14:textId="77777777" w:rsidR="00DD2471" w:rsidRPr="00DD2471" w:rsidRDefault="00DD2471" w:rsidP="00DD2471">
      <w:pPr>
        <w:rPr>
          <w:rFonts w:ascii="Arial" w:hAnsi="Arial" w:cs="Arial"/>
          <w:lang w:val="en-GB"/>
        </w:rPr>
      </w:pPr>
      <w:r w:rsidRPr="00DD2471">
        <w:rPr>
          <w:rFonts w:ascii="Arial" w:hAnsi="Arial" w:cs="Arial"/>
          <w:lang w:val="en-GB"/>
        </w:rPr>
        <w:t xml:space="preserve">The hotel business is facing a hard time financially and it is affecting its reputation in the industry where it operates. The businesses must acquire some quick and efficient business strategies </w:t>
      </w:r>
      <w:proofErr w:type="gramStart"/>
      <w:r w:rsidRPr="00DD2471">
        <w:rPr>
          <w:rFonts w:ascii="Arial" w:hAnsi="Arial" w:cs="Arial"/>
          <w:lang w:val="en-GB"/>
        </w:rPr>
        <w:t>in order to</w:t>
      </w:r>
      <w:proofErr w:type="gramEnd"/>
      <w:r w:rsidRPr="00DD2471">
        <w:rPr>
          <w:rFonts w:ascii="Arial" w:hAnsi="Arial" w:cs="Arial"/>
          <w:lang w:val="en-GB"/>
        </w:rPr>
        <w:t xml:space="preserve"> revitalize their reputation in the competitive environment as well as a profitable business practice to ensure sustainability (Stefani and </w:t>
      </w:r>
      <w:proofErr w:type="spellStart"/>
      <w:r w:rsidRPr="00DD2471">
        <w:rPr>
          <w:rFonts w:ascii="Arial" w:hAnsi="Arial" w:cs="Arial"/>
          <w:lang w:val="en-GB"/>
        </w:rPr>
        <w:t>Priatmodjo</w:t>
      </w:r>
      <w:proofErr w:type="spellEnd"/>
      <w:r w:rsidRPr="00DD2471">
        <w:rPr>
          <w:rFonts w:ascii="Arial" w:hAnsi="Arial" w:cs="Arial"/>
          <w:lang w:val="en-GB"/>
        </w:rPr>
        <w:t>, 2021). </w:t>
      </w:r>
    </w:p>
    <w:p w14:paraId="35FB2D30" w14:textId="77777777" w:rsidR="00DD2471" w:rsidRPr="00DD2471" w:rsidRDefault="00DD2471" w:rsidP="00DD2471">
      <w:pPr>
        <w:pStyle w:val="ListParagraph"/>
        <w:numPr>
          <w:ilvl w:val="0"/>
          <w:numId w:val="2"/>
        </w:numPr>
        <w:rPr>
          <w:rFonts w:ascii="Arial" w:hAnsi="Arial" w:cs="Arial"/>
          <w:lang w:val="en-GB"/>
        </w:rPr>
      </w:pPr>
      <w:r w:rsidRPr="00DD2471">
        <w:rPr>
          <w:rFonts w:ascii="Arial" w:hAnsi="Arial" w:cs="Arial"/>
          <w:lang w:val="en-GB"/>
        </w:rPr>
        <w:t xml:space="preserve">Urban Heights Hotel must restructure its business management framework by recruiting fresh and expert candidates in its business. Additionally, the business </w:t>
      </w:r>
      <w:proofErr w:type="gramStart"/>
      <w:r w:rsidRPr="00DD2471">
        <w:rPr>
          <w:rFonts w:ascii="Arial" w:hAnsi="Arial" w:cs="Arial"/>
          <w:lang w:val="en-GB"/>
        </w:rPr>
        <w:t>has to</w:t>
      </w:r>
      <w:proofErr w:type="gramEnd"/>
      <w:r w:rsidRPr="00DD2471">
        <w:rPr>
          <w:rFonts w:ascii="Arial" w:hAnsi="Arial" w:cs="Arial"/>
          <w:lang w:val="en-GB"/>
        </w:rPr>
        <w:t xml:space="preserve"> invest its time and resources in training and development of new hirings. Appropriate training would contribute to the betterment of activities based on planning and achieving projected results on time. </w:t>
      </w:r>
    </w:p>
    <w:p w14:paraId="00014AA8" w14:textId="77777777" w:rsidR="00DD2471" w:rsidRPr="00DD2471" w:rsidRDefault="00DD2471" w:rsidP="00DD2471">
      <w:pPr>
        <w:pStyle w:val="ListParagraph"/>
        <w:numPr>
          <w:ilvl w:val="0"/>
          <w:numId w:val="2"/>
        </w:numPr>
        <w:rPr>
          <w:rFonts w:ascii="Arial" w:hAnsi="Arial" w:cs="Arial"/>
          <w:lang w:val="en-GB"/>
        </w:rPr>
      </w:pPr>
      <w:r w:rsidRPr="00DD2471">
        <w:rPr>
          <w:rFonts w:ascii="Arial" w:hAnsi="Arial" w:cs="Arial"/>
          <w:lang w:val="en-GB"/>
        </w:rPr>
        <w:t xml:space="preserve">The business </w:t>
      </w:r>
      <w:proofErr w:type="gramStart"/>
      <w:r w:rsidRPr="00DD2471">
        <w:rPr>
          <w:rFonts w:ascii="Arial" w:hAnsi="Arial" w:cs="Arial"/>
          <w:lang w:val="en-GB"/>
        </w:rPr>
        <w:t>has to</w:t>
      </w:r>
      <w:proofErr w:type="gramEnd"/>
      <w:r w:rsidRPr="00DD2471">
        <w:rPr>
          <w:rFonts w:ascii="Arial" w:hAnsi="Arial" w:cs="Arial"/>
          <w:lang w:val="en-GB"/>
        </w:rPr>
        <w:t xml:space="preserve"> identify and eliminate unnecessary expenses to increase the net profit margins and overall asset valuation. Elimination of expenses will not be enough, the business </w:t>
      </w:r>
      <w:proofErr w:type="gramStart"/>
      <w:r w:rsidRPr="00DD2471">
        <w:rPr>
          <w:rFonts w:ascii="Arial" w:hAnsi="Arial" w:cs="Arial"/>
          <w:lang w:val="en-GB"/>
        </w:rPr>
        <w:t>has to</w:t>
      </w:r>
      <w:proofErr w:type="gramEnd"/>
      <w:r w:rsidRPr="00DD2471">
        <w:rPr>
          <w:rFonts w:ascii="Arial" w:hAnsi="Arial" w:cs="Arial"/>
          <w:lang w:val="en-GB"/>
        </w:rPr>
        <w:t xml:space="preserve"> produce informed cash budgets to reinvest those amounts in those areas where it demands the most (Tranter et al., 2014). </w:t>
      </w:r>
    </w:p>
    <w:p w14:paraId="4C99B5B2" w14:textId="77777777" w:rsidR="00DD2471" w:rsidRPr="00DD2471" w:rsidRDefault="00DD2471" w:rsidP="00DD2471">
      <w:pPr>
        <w:pStyle w:val="ListParagraph"/>
        <w:numPr>
          <w:ilvl w:val="0"/>
          <w:numId w:val="2"/>
        </w:numPr>
        <w:rPr>
          <w:rFonts w:ascii="Arial" w:hAnsi="Arial" w:cs="Arial"/>
          <w:lang w:val="en-GB"/>
        </w:rPr>
      </w:pPr>
      <w:r w:rsidRPr="00DD2471">
        <w:rPr>
          <w:rFonts w:ascii="Arial" w:hAnsi="Arial" w:cs="Arial"/>
          <w:lang w:val="en-GB"/>
        </w:rPr>
        <w:t xml:space="preserve">The segment of improvisations in quality productivities to their customers to ensure customer satisfaction. That would directly impact the profitable results and an </w:t>
      </w:r>
      <w:r w:rsidRPr="00DD2471">
        <w:rPr>
          <w:rFonts w:ascii="Arial" w:hAnsi="Arial" w:cs="Arial"/>
          <w:lang w:val="en-GB"/>
        </w:rPr>
        <w:lastRenderedPageBreak/>
        <w:t>organic hike in business reputation. Customer satisfaction can also boost the impression in the market and the motivation of the employees in the business. </w:t>
      </w:r>
    </w:p>
    <w:p w14:paraId="3FDC3D04" w14:textId="77777777" w:rsidR="00DD2471" w:rsidRPr="00DD2471" w:rsidRDefault="00DD2471" w:rsidP="00DD2471">
      <w:pPr>
        <w:pStyle w:val="ListParagraph"/>
        <w:numPr>
          <w:ilvl w:val="0"/>
          <w:numId w:val="2"/>
        </w:numPr>
        <w:rPr>
          <w:rFonts w:ascii="Arial" w:hAnsi="Arial" w:cs="Arial"/>
          <w:lang w:val="en-GB"/>
        </w:rPr>
      </w:pPr>
      <w:r w:rsidRPr="00DD2471">
        <w:rPr>
          <w:rFonts w:ascii="Arial" w:hAnsi="Arial" w:cs="Arial"/>
          <w:lang w:val="en-GB"/>
        </w:rPr>
        <w:t>Good management of various significant financial statements including income statements, balance sheets, cash flows, budgets and ratio calculations and their analysis with the help of professionals can improve the decision-making. This is one of the important segments that can help the management to make strategic changes and assess the business performance in an ethical way. </w:t>
      </w:r>
    </w:p>
    <w:p w14:paraId="7F1D9180" w14:textId="77777777" w:rsidR="00DD2471" w:rsidRPr="00DD2471" w:rsidRDefault="00DD2471" w:rsidP="00DD2471">
      <w:pPr>
        <w:pStyle w:val="ListParagraph"/>
        <w:numPr>
          <w:ilvl w:val="0"/>
          <w:numId w:val="2"/>
        </w:numPr>
        <w:rPr>
          <w:rFonts w:ascii="Arial" w:hAnsi="Arial" w:cs="Arial"/>
          <w:lang w:val="en-GB"/>
        </w:rPr>
      </w:pPr>
      <w:r w:rsidRPr="00DD2471">
        <w:rPr>
          <w:rFonts w:ascii="Arial" w:hAnsi="Arial" w:cs="Arial"/>
          <w:lang w:val="en-GB"/>
        </w:rPr>
        <w:t>The hotel business must construct goals that might involve new service launches and the incorporation of new technologies that the digital era demands. Additionally, goals such as business expansion and collaboration tactics need to be prepared for a financial period to get the desired results through goal achievements. </w:t>
      </w:r>
    </w:p>
    <w:p w14:paraId="2C63CD8B" w14:textId="77777777" w:rsidR="00DD2471" w:rsidRPr="00DD2471" w:rsidRDefault="00DD2471" w:rsidP="00DD2471">
      <w:pPr>
        <w:pStyle w:val="ListParagraph"/>
        <w:numPr>
          <w:ilvl w:val="0"/>
          <w:numId w:val="2"/>
        </w:numPr>
        <w:rPr>
          <w:rFonts w:ascii="Arial" w:hAnsi="Arial" w:cs="Arial"/>
          <w:lang w:val="en-GB"/>
        </w:rPr>
      </w:pPr>
      <w:r w:rsidRPr="00DD2471">
        <w:rPr>
          <w:rFonts w:ascii="Arial" w:hAnsi="Arial" w:cs="Arial"/>
          <w:lang w:val="en-GB"/>
        </w:rPr>
        <w:t xml:space="preserve">Urban Heights Hotel might enhance investor engagement in its business to avoid fund shortages. The investments can be achieved through shareholders, angel investors, venture capitalists and many other ways (Vargas-Sanchez, 2022). </w:t>
      </w:r>
    </w:p>
    <w:p w14:paraId="0BD112A9" w14:textId="77777777" w:rsidR="00DD2471" w:rsidRPr="00DD2471" w:rsidRDefault="00DD2471" w:rsidP="00DD2471">
      <w:pPr>
        <w:spacing w:line="259" w:lineRule="auto"/>
        <w:jc w:val="left"/>
        <w:rPr>
          <w:rFonts w:ascii="Arial" w:hAnsi="Arial" w:cs="Arial"/>
          <w:b/>
          <w:bCs/>
          <w:lang w:val="en-GB"/>
        </w:rPr>
      </w:pPr>
      <w:r w:rsidRPr="00DD2471">
        <w:rPr>
          <w:rFonts w:ascii="Arial" w:hAnsi="Arial" w:cs="Arial"/>
          <w:b/>
          <w:bCs/>
          <w:lang w:val="en-GB"/>
        </w:rPr>
        <w:br w:type="page"/>
      </w:r>
    </w:p>
    <w:p w14:paraId="6EC5839B" w14:textId="77777777" w:rsidR="00DD2471" w:rsidRPr="004A31D9" w:rsidRDefault="00DD2471" w:rsidP="00DD2471">
      <w:pPr>
        <w:pStyle w:val="Heading1"/>
        <w:rPr>
          <w:rFonts w:ascii="Arial" w:hAnsi="Arial" w:cs="Arial"/>
          <w:color w:val="000000" w:themeColor="text1"/>
          <w:lang w:val="en-GB"/>
        </w:rPr>
      </w:pPr>
      <w:bookmarkStart w:id="4" w:name="_Toc167816481"/>
      <w:r w:rsidRPr="004A31D9">
        <w:rPr>
          <w:rFonts w:ascii="Arial" w:hAnsi="Arial" w:cs="Arial"/>
          <w:color w:val="000000" w:themeColor="text1"/>
          <w:lang w:val="en-GB"/>
        </w:rPr>
        <w:lastRenderedPageBreak/>
        <w:t>Conclusion</w:t>
      </w:r>
      <w:bookmarkEnd w:id="4"/>
      <w:r w:rsidRPr="004A31D9">
        <w:rPr>
          <w:rFonts w:ascii="Arial" w:hAnsi="Arial" w:cs="Arial"/>
          <w:color w:val="000000" w:themeColor="text1"/>
          <w:lang w:val="en-GB"/>
        </w:rPr>
        <w:t> </w:t>
      </w:r>
    </w:p>
    <w:p w14:paraId="2A56C393" w14:textId="77777777" w:rsidR="00DD2471" w:rsidRPr="00DD2471" w:rsidRDefault="00DD2471" w:rsidP="00DD2471">
      <w:pPr>
        <w:rPr>
          <w:rFonts w:ascii="Arial" w:hAnsi="Arial" w:cs="Arial"/>
          <w:lang w:val="en-GB"/>
        </w:rPr>
      </w:pPr>
      <w:r w:rsidRPr="00DD2471">
        <w:rPr>
          <w:rFonts w:ascii="Arial" w:hAnsi="Arial" w:cs="Arial"/>
          <w:lang w:val="en-GB"/>
        </w:rPr>
        <w:t xml:space="preserve">The report has discussed the subject of financial management in the Hotel industry by highlighting a hotel business named “Urban Heights Hotel”. Throughout the report, </w:t>
      </w:r>
      <w:proofErr w:type="gramStart"/>
      <w:r w:rsidRPr="00DD2471">
        <w:rPr>
          <w:rFonts w:ascii="Arial" w:hAnsi="Arial" w:cs="Arial"/>
          <w:lang w:val="en-GB"/>
        </w:rPr>
        <w:t>a number of</w:t>
      </w:r>
      <w:proofErr w:type="gramEnd"/>
      <w:r w:rsidRPr="00DD2471">
        <w:rPr>
          <w:rFonts w:ascii="Arial" w:hAnsi="Arial" w:cs="Arial"/>
          <w:lang w:val="en-GB"/>
        </w:rPr>
        <w:t xml:space="preserve"> financial evaluations have been performed of the hotel business. Initially, the report described the trends and patterns of the business to evaluate its financial performance over the past three years. Moreover, the report has delivered the prime reasons behind the decline in revenues and profitability. Furthermore, detailed recommendations have been included in the report aimed to help the business in making improvisations of the financial health and reputation in the competitive business environment. </w:t>
      </w:r>
    </w:p>
    <w:p w14:paraId="5D99B864" w14:textId="77777777" w:rsidR="00DD2471" w:rsidRPr="00DD2471" w:rsidRDefault="00DD2471" w:rsidP="00DD2471">
      <w:pPr>
        <w:spacing w:line="259" w:lineRule="auto"/>
        <w:jc w:val="left"/>
        <w:rPr>
          <w:rFonts w:ascii="Arial" w:hAnsi="Arial" w:cs="Arial"/>
          <w:lang w:val="en-GB"/>
        </w:rPr>
      </w:pPr>
      <w:r w:rsidRPr="00DD2471">
        <w:rPr>
          <w:rFonts w:ascii="Arial" w:hAnsi="Arial" w:cs="Arial"/>
          <w:lang w:val="en-GB"/>
        </w:rPr>
        <w:br w:type="page"/>
      </w:r>
    </w:p>
    <w:p w14:paraId="6D43B3EF" w14:textId="77777777" w:rsidR="00DD2471" w:rsidRPr="004A31D9" w:rsidRDefault="00DD2471" w:rsidP="00DD2471">
      <w:pPr>
        <w:pStyle w:val="Heading1"/>
        <w:rPr>
          <w:rFonts w:ascii="Arial" w:hAnsi="Arial" w:cs="Arial"/>
          <w:color w:val="000000" w:themeColor="text1"/>
          <w:lang w:val="en-GB"/>
        </w:rPr>
      </w:pPr>
      <w:bookmarkStart w:id="5" w:name="_Toc167816482"/>
      <w:r w:rsidRPr="004A31D9">
        <w:rPr>
          <w:rFonts w:ascii="Arial" w:hAnsi="Arial" w:cs="Arial"/>
          <w:color w:val="000000" w:themeColor="text1"/>
          <w:lang w:val="en-GB"/>
        </w:rPr>
        <w:lastRenderedPageBreak/>
        <w:t>References</w:t>
      </w:r>
      <w:bookmarkEnd w:id="5"/>
      <w:r w:rsidRPr="004A31D9">
        <w:rPr>
          <w:rFonts w:ascii="Arial" w:hAnsi="Arial" w:cs="Arial"/>
          <w:color w:val="000000" w:themeColor="text1"/>
          <w:lang w:val="en-GB"/>
        </w:rPr>
        <w:t xml:space="preserve"> </w:t>
      </w:r>
    </w:p>
    <w:p w14:paraId="595ACF55"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Adusei, M., (2022). </w:t>
      </w:r>
      <w:r w:rsidRPr="00474330">
        <w:rPr>
          <w:rFonts w:ascii="Arial" w:hAnsi="Arial" w:cs="Arial"/>
          <w:i/>
          <w:lang w:val="en-GB"/>
        </w:rPr>
        <w:t>The liquidity risk–financial performance nexus: Evidence from hybrid financial institutions. Managerial and Decision Economics</w:t>
      </w:r>
      <w:r w:rsidRPr="00474330">
        <w:rPr>
          <w:rFonts w:ascii="Arial" w:hAnsi="Arial" w:cs="Arial"/>
          <w:lang w:val="en-GB"/>
        </w:rPr>
        <w:t>, 43(1), pp.31-47.</w:t>
      </w:r>
    </w:p>
    <w:p w14:paraId="0BD0E54C" w14:textId="77777777" w:rsidR="00DD2471" w:rsidRPr="00474330" w:rsidRDefault="00DD2471" w:rsidP="00474330">
      <w:pPr>
        <w:pStyle w:val="ListParagraph"/>
        <w:numPr>
          <w:ilvl w:val="0"/>
          <w:numId w:val="3"/>
        </w:numPr>
        <w:ind w:left="426"/>
        <w:rPr>
          <w:rFonts w:ascii="Arial" w:hAnsi="Arial" w:cs="Arial"/>
          <w:lang w:val="en-GB"/>
        </w:rPr>
      </w:pPr>
      <w:proofErr w:type="spellStart"/>
      <w:r w:rsidRPr="00474330">
        <w:rPr>
          <w:rFonts w:ascii="Arial" w:hAnsi="Arial" w:cs="Arial"/>
          <w:lang w:val="en-GB"/>
        </w:rPr>
        <w:t>Atrill</w:t>
      </w:r>
      <w:proofErr w:type="spellEnd"/>
      <w:r w:rsidRPr="00474330">
        <w:rPr>
          <w:rFonts w:ascii="Arial" w:hAnsi="Arial" w:cs="Arial"/>
          <w:lang w:val="en-GB"/>
        </w:rPr>
        <w:t xml:space="preserve"> P, McLaney, E., (2021). </w:t>
      </w:r>
      <w:r w:rsidRPr="00474330">
        <w:rPr>
          <w:rFonts w:ascii="Arial" w:hAnsi="Arial" w:cs="Arial"/>
          <w:i/>
          <w:lang w:val="en-GB"/>
        </w:rPr>
        <w:t>Management Accounting for Decision Makers</w:t>
      </w:r>
      <w:r w:rsidRPr="00474330">
        <w:rPr>
          <w:rFonts w:ascii="Arial" w:hAnsi="Arial" w:cs="Arial"/>
          <w:lang w:val="en-GB"/>
        </w:rPr>
        <w:t>, FT Prentice Hall</w:t>
      </w:r>
    </w:p>
    <w:p w14:paraId="67F939EC"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Aydoğmuş, M., Gülay, G. and Ergun, K., (2022). </w:t>
      </w:r>
      <w:r w:rsidRPr="00474330">
        <w:rPr>
          <w:rFonts w:ascii="Arial" w:hAnsi="Arial" w:cs="Arial"/>
          <w:i/>
          <w:lang w:val="en-GB"/>
        </w:rPr>
        <w:t xml:space="preserve">Impact of ESG performance on firm value and profitability. </w:t>
      </w:r>
      <w:r w:rsidRPr="00474330">
        <w:rPr>
          <w:rFonts w:ascii="Arial" w:hAnsi="Arial" w:cs="Arial"/>
          <w:lang w:val="en-GB"/>
        </w:rPr>
        <w:t>Borsa Istanbul Review, 22, pp.S119-S127.</w:t>
      </w:r>
    </w:p>
    <w:p w14:paraId="5F2FFE1B" w14:textId="77777777" w:rsidR="00DD2471" w:rsidRPr="00474330" w:rsidRDefault="00DD2471" w:rsidP="00474330">
      <w:pPr>
        <w:pStyle w:val="ListParagraph"/>
        <w:numPr>
          <w:ilvl w:val="0"/>
          <w:numId w:val="3"/>
        </w:numPr>
        <w:ind w:left="426"/>
        <w:rPr>
          <w:rFonts w:ascii="Arial" w:hAnsi="Arial" w:cs="Arial"/>
          <w:lang w:val="en-GB"/>
        </w:rPr>
      </w:pPr>
      <w:proofErr w:type="spellStart"/>
      <w:r w:rsidRPr="00474330">
        <w:rPr>
          <w:rFonts w:ascii="Arial" w:hAnsi="Arial" w:cs="Arial"/>
          <w:lang w:val="en-GB"/>
        </w:rPr>
        <w:t>Batrancea</w:t>
      </w:r>
      <w:proofErr w:type="spellEnd"/>
      <w:r w:rsidRPr="00474330">
        <w:rPr>
          <w:rFonts w:ascii="Arial" w:hAnsi="Arial" w:cs="Arial"/>
          <w:lang w:val="en-GB"/>
        </w:rPr>
        <w:t xml:space="preserve">, L., (2021). </w:t>
      </w:r>
      <w:r w:rsidRPr="00474330">
        <w:rPr>
          <w:rFonts w:ascii="Arial" w:hAnsi="Arial" w:cs="Arial"/>
          <w:i/>
          <w:lang w:val="en-GB"/>
        </w:rPr>
        <w:t>The influence of liquidity and solvency on performance within the healthcare industry: Evidence from publicly listed companies. Mathematics</w:t>
      </w:r>
      <w:r w:rsidRPr="00474330">
        <w:rPr>
          <w:rFonts w:ascii="Arial" w:hAnsi="Arial" w:cs="Arial"/>
          <w:lang w:val="en-GB"/>
        </w:rPr>
        <w:t>, 9(18), p.2231.</w:t>
      </w:r>
    </w:p>
    <w:p w14:paraId="4F3436D0"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Bhimani, A, (Ed)., (2006). </w:t>
      </w:r>
      <w:r w:rsidRPr="00474330">
        <w:rPr>
          <w:rFonts w:ascii="Arial" w:hAnsi="Arial" w:cs="Arial"/>
          <w:i/>
          <w:lang w:val="en-GB"/>
        </w:rPr>
        <w:t>Contemporary Issues in Management Accounting</w:t>
      </w:r>
      <w:r w:rsidRPr="00474330">
        <w:rPr>
          <w:rFonts w:ascii="Arial" w:hAnsi="Arial" w:cs="Arial"/>
          <w:lang w:val="en-GB"/>
        </w:rPr>
        <w:t xml:space="preserve"> , Oxford</w:t>
      </w:r>
    </w:p>
    <w:p w14:paraId="21279DB6"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Drury, C., (2021). (11th Ed) </w:t>
      </w:r>
      <w:r w:rsidRPr="00474330">
        <w:rPr>
          <w:rFonts w:ascii="Arial" w:hAnsi="Arial" w:cs="Arial"/>
          <w:i/>
          <w:lang w:val="en-GB"/>
        </w:rPr>
        <w:t>Management and Cost Accounting</w:t>
      </w:r>
      <w:r w:rsidRPr="00474330">
        <w:rPr>
          <w:rFonts w:ascii="Arial" w:hAnsi="Arial" w:cs="Arial"/>
          <w:lang w:val="en-GB"/>
        </w:rPr>
        <w:t>, London, Prentice Hall</w:t>
      </w:r>
    </w:p>
    <w:p w14:paraId="07DA01EC" w14:textId="77777777" w:rsidR="00DD2471" w:rsidRPr="00474330" w:rsidRDefault="00DD2471" w:rsidP="00474330">
      <w:pPr>
        <w:pStyle w:val="ListParagraph"/>
        <w:numPr>
          <w:ilvl w:val="0"/>
          <w:numId w:val="3"/>
        </w:numPr>
        <w:ind w:left="426"/>
        <w:rPr>
          <w:rFonts w:ascii="Arial" w:hAnsi="Arial" w:cs="Arial"/>
          <w:lang w:val="en-GB"/>
        </w:rPr>
      </w:pPr>
      <w:proofErr w:type="spellStart"/>
      <w:r w:rsidRPr="00474330">
        <w:rPr>
          <w:rFonts w:ascii="Arial" w:hAnsi="Arial" w:cs="Arial"/>
          <w:lang w:val="en-GB"/>
        </w:rPr>
        <w:t>Farza</w:t>
      </w:r>
      <w:proofErr w:type="spellEnd"/>
      <w:r w:rsidRPr="00474330">
        <w:rPr>
          <w:rFonts w:ascii="Arial" w:hAnsi="Arial" w:cs="Arial"/>
          <w:lang w:val="en-GB"/>
        </w:rPr>
        <w:t xml:space="preserve">, K., </w:t>
      </w:r>
      <w:proofErr w:type="spellStart"/>
      <w:r w:rsidRPr="00474330">
        <w:rPr>
          <w:rFonts w:ascii="Arial" w:hAnsi="Arial" w:cs="Arial"/>
          <w:lang w:val="en-GB"/>
        </w:rPr>
        <w:t>Ftiti</w:t>
      </w:r>
      <w:proofErr w:type="spellEnd"/>
      <w:r w:rsidRPr="00474330">
        <w:rPr>
          <w:rFonts w:ascii="Arial" w:hAnsi="Arial" w:cs="Arial"/>
          <w:lang w:val="en-GB"/>
        </w:rPr>
        <w:t xml:space="preserve">, Z., </w:t>
      </w:r>
      <w:proofErr w:type="spellStart"/>
      <w:r w:rsidRPr="00474330">
        <w:rPr>
          <w:rFonts w:ascii="Arial" w:hAnsi="Arial" w:cs="Arial"/>
          <w:lang w:val="en-GB"/>
        </w:rPr>
        <w:t>Hlioui</w:t>
      </w:r>
      <w:proofErr w:type="spellEnd"/>
      <w:r w:rsidRPr="00474330">
        <w:rPr>
          <w:rFonts w:ascii="Arial" w:hAnsi="Arial" w:cs="Arial"/>
          <w:lang w:val="en-GB"/>
        </w:rPr>
        <w:t xml:space="preserve">, Z., </w:t>
      </w:r>
      <w:proofErr w:type="spellStart"/>
      <w:r w:rsidRPr="00474330">
        <w:rPr>
          <w:rFonts w:ascii="Arial" w:hAnsi="Arial" w:cs="Arial"/>
          <w:lang w:val="en-GB"/>
        </w:rPr>
        <w:t>Louhichi</w:t>
      </w:r>
      <w:proofErr w:type="spellEnd"/>
      <w:r w:rsidRPr="00474330">
        <w:rPr>
          <w:rFonts w:ascii="Arial" w:hAnsi="Arial" w:cs="Arial"/>
          <w:lang w:val="en-GB"/>
        </w:rPr>
        <w:t>, W. and Omri, A., (2021</w:t>
      </w:r>
      <w:r w:rsidRPr="00474330">
        <w:rPr>
          <w:rFonts w:ascii="Arial" w:hAnsi="Arial" w:cs="Arial"/>
          <w:i/>
          <w:lang w:val="en-GB"/>
        </w:rPr>
        <w:t>). Does it pay to go green? The environmental innovation effect on corporate financial performance. Journal of Environmental Management</w:t>
      </w:r>
      <w:r w:rsidRPr="00474330">
        <w:rPr>
          <w:rFonts w:ascii="Arial" w:hAnsi="Arial" w:cs="Arial"/>
          <w:lang w:val="en-GB"/>
        </w:rPr>
        <w:t>, 300, p.113695.</w:t>
      </w:r>
    </w:p>
    <w:p w14:paraId="5188740E"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Feinberg, B. and Zanardi, M., (2022). </w:t>
      </w:r>
      <w:r w:rsidRPr="00474330">
        <w:rPr>
          <w:rFonts w:ascii="Arial" w:hAnsi="Arial" w:cs="Arial"/>
          <w:i/>
          <w:lang w:val="en-GB"/>
        </w:rPr>
        <w:t>ANALYSIS OF THE INFLUENCE OF OPERATIONAL COSTS ON INCREASING THE FINANCIAL PERFORMANCE OF AMERICAN PUBLIC HELATH CORPORATION.</w:t>
      </w:r>
      <w:r w:rsidRPr="00474330">
        <w:rPr>
          <w:rFonts w:ascii="Arial" w:hAnsi="Arial" w:cs="Arial"/>
          <w:lang w:val="en-GB"/>
        </w:rPr>
        <w:t xml:space="preserve"> MEDALION JOURNAL: Medical Research, Nursing, Health and Midwife Participation, 3(2), pp.44-57.</w:t>
      </w:r>
    </w:p>
    <w:p w14:paraId="7AD91533" w14:textId="77777777" w:rsidR="00DD2471" w:rsidRPr="00474330" w:rsidRDefault="00DD2471" w:rsidP="00474330">
      <w:pPr>
        <w:pStyle w:val="ListParagraph"/>
        <w:numPr>
          <w:ilvl w:val="0"/>
          <w:numId w:val="3"/>
        </w:numPr>
        <w:ind w:left="426"/>
        <w:rPr>
          <w:rFonts w:ascii="Arial" w:hAnsi="Arial" w:cs="Arial"/>
          <w:lang w:val="en-GB"/>
        </w:rPr>
      </w:pPr>
      <w:proofErr w:type="spellStart"/>
      <w:r w:rsidRPr="00474330">
        <w:rPr>
          <w:rFonts w:ascii="Arial" w:hAnsi="Arial" w:cs="Arial"/>
          <w:lang w:val="en-GB"/>
        </w:rPr>
        <w:t>Guilding</w:t>
      </w:r>
      <w:proofErr w:type="spellEnd"/>
      <w:r w:rsidRPr="00474330">
        <w:rPr>
          <w:rFonts w:ascii="Arial" w:hAnsi="Arial" w:cs="Arial"/>
          <w:lang w:val="en-GB"/>
        </w:rPr>
        <w:t xml:space="preserve">, C., (2014). (3rd Edition) </w:t>
      </w:r>
      <w:r w:rsidRPr="00474330">
        <w:rPr>
          <w:rFonts w:ascii="Arial" w:hAnsi="Arial" w:cs="Arial"/>
          <w:i/>
          <w:lang w:val="en-GB"/>
        </w:rPr>
        <w:t>Accounting Essentials for Hospitality Managers</w:t>
      </w:r>
      <w:r w:rsidRPr="00474330">
        <w:rPr>
          <w:rFonts w:ascii="Arial" w:hAnsi="Arial" w:cs="Arial"/>
          <w:lang w:val="en-GB"/>
        </w:rPr>
        <w:t>, London, Routledge</w:t>
      </w:r>
    </w:p>
    <w:p w14:paraId="750F36BE" w14:textId="77777777" w:rsidR="00DD2471" w:rsidRPr="00474330" w:rsidRDefault="00DD2471" w:rsidP="00474330">
      <w:pPr>
        <w:pStyle w:val="ListParagraph"/>
        <w:numPr>
          <w:ilvl w:val="0"/>
          <w:numId w:val="3"/>
        </w:numPr>
        <w:ind w:left="426"/>
        <w:rPr>
          <w:rFonts w:ascii="Arial" w:hAnsi="Arial" w:cs="Arial"/>
          <w:lang w:val="en-GB"/>
        </w:rPr>
      </w:pPr>
      <w:proofErr w:type="spellStart"/>
      <w:r w:rsidRPr="00474330">
        <w:rPr>
          <w:rFonts w:ascii="Arial" w:hAnsi="Arial" w:cs="Arial"/>
          <w:lang w:val="en-GB"/>
        </w:rPr>
        <w:t>Horobet</w:t>
      </w:r>
      <w:proofErr w:type="spellEnd"/>
      <w:r w:rsidRPr="00474330">
        <w:rPr>
          <w:rFonts w:ascii="Arial" w:hAnsi="Arial" w:cs="Arial"/>
          <w:lang w:val="en-GB"/>
        </w:rPr>
        <w:t xml:space="preserve">, A., </w:t>
      </w:r>
      <w:proofErr w:type="spellStart"/>
      <w:r w:rsidRPr="00474330">
        <w:rPr>
          <w:rFonts w:ascii="Arial" w:hAnsi="Arial" w:cs="Arial"/>
          <w:lang w:val="en-GB"/>
        </w:rPr>
        <w:t>Curea</w:t>
      </w:r>
      <w:proofErr w:type="spellEnd"/>
      <w:r w:rsidRPr="00474330">
        <w:rPr>
          <w:rFonts w:ascii="Arial" w:hAnsi="Arial" w:cs="Arial"/>
          <w:lang w:val="en-GB"/>
        </w:rPr>
        <w:t xml:space="preserve">, S.C., </w:t>
      </w:r>
      <w:proofErr w:type="spellStart"/>
      <w:r w:rsidRPr="00474330">
        <w:rPr>
          <w:rFonts w:ascii="Arial" w:hAnsi="Arial" w:cs="Arial"/>
          <w:lang w:val="en-GB"/>
        </w:rPr>
        <w:t>Smedoiu</w:t>
      </w:r>
      <w:proofErr w:type="spellEnd"/>
      <w:r w:rsidRPr="00474330">
        <w:rPr>
          <w:rFonts w:ascii="Arial" w:hAnsi="Arial" w:cs="Arial"/>
          <w:lang w:val="en-GB"/>
        </w:rPr>
        <w:t xml:space="preserve"> </w:t>
      </w:r>
      <w:proofErr w:type="spellStart"/>
      <w:r w:rsidRPr="00474330">
        <w:rPr>
          <w:rFonts w:ascii="Arial" w:hAnsi="Arial" w:cs="Arial"/>
          <w:lang w:val="en-GB"/>
        </w:rPr>
        <w:t>Popoviciu</w:t>
      </w:r>
      <w:proofErr w:type="spellEnd"/>
      <w:r w:rsidRPr="00474330">
        <w:rPr>
          <w:rFonts w:ascii="Arial" w:hAnsi="Arial" w:cs="Arial"/>
          <w:lang w:val="en-GB"/>
        </w:rPr>
        <w:t xml:space="preserve">, A., </w:t>
      </w:r>
      <w:proofErr w:type="spellStart"/>
      <w:r w:rsidRPr="00474330">
        <w:rPr>
          <w:rFonts w:ascii="Arial" w:hAnsi="Arial" w:cs="Arial"/>
          <w:lang w:val="en-GB"/>
        </w:rPr>
        <w:t>Botoroga</w:t>
      </w:r>
      <w:proofErr w:type="spellEnd"/>
      <w:r w:rsidRPr="00474330">
        <w:rPr>
          <w:rFonts w:ascii="Arial" w:hAnsi="Arial" w:cs="Arial"/>
          <w:lang w:val="en-GB"/>
        </w:rPr>
        <w:t xml:space="preserve">, C.A., </w:t>
      </w:r>
      <w:proofErr w:type="spellStart"/>
      <w:r w:rsidRPr="00474330">
        <w:rPr>
          <w:rFonts w:ascii="Arial" w:hAnsi="Arial" w:cs="Arial"/>
          <w:lang w:val="en-GB"/>
        </w:rPr>
        <w:t>Belascu</w:t>
      </w:r>
      <w:proofErr w:type="spellEnd"/>
      <w:r w:rsidRPr="00474330">
        <w:rPr>
          <w:rFonts w:ascii="Arial" w:hAnsi="Arial" w:cs="Arial"/>
          <w:lang w:val="en-GB"/>
        </w:rPr>
        <w:t xml:space="preserve">, L. and Dumitrescu, D.G., (2021). </w:t>
      </w:r>
      <w:r w:rsidRPr="00474330">
        <w:rPr>
          <w:rFonts w:ascii="Arial" w:hAnsi="Arial" w:cs="Arial"/>
          <w:i/>
          <w:lang w:val="en-GB"/>
        </w:rPr>
        <w:t>Solvency risk and corporate performance: A case study on European retailers. Journal of Risk and Financial Management</w:t>
      </w:r>
      <w:r w:rsidRPr="00474330">
        <w:rPr>
          <w:rFonts w:ascii="Arial" w:hAnsi="Arial" w:cs="Arial"/>
          <w:lang w:val="en-GB"/>
        </w:rPr>
        <w:t>, 14(11), p.536.</w:t>
      </w:r>
    </w:p>
    <w:p w14:paraId="63B4028B"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Jagels, M., (2007). Hospitality Management Accounting, London, Wiley.</w:t>
      </w:r>
    </w:p>
    <w:p w14:paraId="0BD28184"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Kanike, U.K., (2023). </w:t>
      </w:r>
      <w:r w:rsidRPr="00474330">
        <w:rPr>
          <w:rFonts w:ascii="Arial" w:hAnsi="Arial" w:cs="Arial"/>
          <w:i/>
          <w:lang w:val="en-GB"/>
        </w:rPr>
        <w:t xml:space="preserve">Factors disrupting supply chain management in manufacturing industries. </w:t>
      </w:r>
      <w:r w:rsidRPr="00474330">
        <w:rPr>
          <w:rFonts w:ascii="Arial" w:hAnsi="Arial" w:cs="Arial"/>
          <w:lang w:val="en-GB"/>
        </w:rPr>
        <w:t>Journal of Supply Chain Management Science, 4(1-2), pp.1-24.</w:t>
      </w:r>
    </w:p>
    <w:p w14:paraId="25BF5176"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Okafor, A., Adeleye, B.N. and Adusei, M., (2021). </w:t>
      </w:r>
      <w:r w:rsidRPr="00474330">
        <w:rPr>
          <w:rFonts w:ascii="Arial" w:hAnsi="Arial" w:cs="Arial"/>
          <w:i/>
          <w:lang w:val="en-GB"/>
        </w:rPr>
        <w:t>Corporate social responsibility and financial performance: Evidence from US tech firms</w:t>
      </w:r>
      <w:r w:rsidRPr="00474330">
        <w:rPr>
          <w:rFonts w:ascii="Arial" w:hAnsi="Arial" w:cs="Arial"/>
          <w:lang w:val="en-GB"/>
        </w:rPr>
        <w:t>. Journal of cleaner production, 292, p.126078.</w:t>
      </w:r>
    </w:p>
    <w:p w14:paraId="37A4F1A9"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lastRenderedPageBreak/>
        <w:t xml:space="preserve">Seal W, Garrison RH, Noreen E., (2008). Management Accounting, McGraw </w:t>
      </w:r>
      <w:r w:rsidRPr="00474330">
        <w:rPr>
          <w:rFonts w:ascii="Arial" w:hAnsi="Arial" w:cs="Arial"/>
          <w:i/>
          <w:lang w:val="en-GB"/>
        </w:rPr>
        <w:t>Hill</w:t>
      </w:r>
    </w:p>
    <w:p w14:paraId="4DD7B969"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Seal, W., (2019). (6th Ed) </w:t>
      </w:r>
      <w:r w:rsidRPr="00474330">
        <w:rPr>
          <w:rFonts w:ascii="Arial" w:hAnsi="Arial" w:cs="Arial"/>
          <w:i/>
          <w:lang w:val="en-GB"/>
        </w:rPr>
        <w:t>Management Accounting, London, McGraw Hill</w:t>
      </w:r>
    </w:p>
    <w:p w14:paraId="67F0C2E4"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Stefani, S.F. and </w:t>
      </w:r>
      <w:proofErr w:type="spellStart"/>
      <w:r w:rsidRPr="00474330">
        <w:rPr>
          <w:rFonts w:ascii="Arial" w:hAnsi="Arial" w:cs="Arial"/>
          <w:lang w:val="en-GB"/>
        </w:rPr>
        <w:t>Priatmodjo</w:t>
      </w:r>
      <w:proofErr w:type="spellEnd"/>
      <w:r w:rsidRPr="00474330">
        <w:rPr>
          <w:rFonts w:ascii="Arial" w:hAnsi="Arial" w:cs="Arial"/>
          <w:lang w:val="en-GB"/>
        </w:rPr>
        <w:t>, D., (2021). TURNAROUND MANAGEMENT THROUGH BUSINESS PROCESS RE-ENGINEERING FOR SBH HOTEL BANDUNG INDONESIA. BIMP-EAGA Journal for Sustainable Tourism Development, 10(1), pp.105-119.</w:t>
      </w:r>
    </w:p>
    <w:p w14:paraId="1A718530"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Tranter, K. Stuart-</w:t>
      </w:r>
      <w:proofErr w:type="spellStart"/>
      <w:r w:rsidRPr="00474330">
        <w:rPr>
          <w:rFonts w:ascii="Arial" w:hAnsi="Arial" w:cs="Arial"/>
          <w:lang w:val="en-GB"/>
        </w:rPr>
        <w:t>Hill,T</w:t>
      </w:r>
      <w:proofErr w:type="spellEnd"/>
      <w:r w:rsidRPr="00474330">
        <w:rPr>
          <w:rFonts w:ascii="Arial" w:hAnsi="Arial" w:cs="Arial"/>
          <w:lang w:val="en-GB"/>
        </w:rPr>
        <w:t xml:space="preserve">. </w:t>
      </w:r>
      <w:proofErr w:type="spellStart"/>
      <w:r w:rsidRPr="00474330">
        <w:rPr>
          <w:rFonts w:ascii="Arial" w:hAnsi="Arial" w:cs="Arial"/>
          <w:lang w:val="en-GB"/>
        </w:rPr>
        <w:t>Parker,J</w:t>
      </w:r>
      <w:proofErr w:type="spellEnd"/>
      <w:r w:rsidRPr="00474330">
        <w:rPr>
          <w:rFonts w:ascii="Arial" w:hAnsi="Arial" w:cs="Arial"/>
          <w:lang w:val="en-GB"/>
        </w:rPr>
        <w:t xml:space="preserve">., (2014). </w:t>
      </w:r>
      <w:r w:rsidRPr="00474330">
        <w:rPr>
          <w:rFonts w:ascii="Arial" w:hAnsi="Arial" w:cs="Arial"/>
          <w:i/>
          <w:lang w:val="en-GB"/>
        </w:rPr>
        <w:t>Introduction to Revenue Management for the Hospitality Industry</w:t>
      </w:r>
      <w:r w:rsidRPr="00474330">
        <w:rPr>
          <w:rFonts w:ascii="Arial" w:hAnsi="Arial" w:cs="Arial"/>
          <w:lang w:val="en-GB"/>
        </w:rPr>
        <w:t>, London, Pearson</w:t>
      </w:r>
    </w:p>
    <w:p w14:paraId="100F4C8B"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Vargas-Sanchez, A., (2022). </w:t>
      </w:r>
      <w:r w:rsidRPr="00474330">
        <w:rPr>
          <w:rFonts w:ascii="Arial" w:hAnsi="Arial" w:cs="Arial"/>
          <w:i/>
          <w:lang w:val="en-GB"/>
        </w:rPr>
        <w:t>Towards a tourism industry turnaround: the need for a new metric of social success. Worldwide Hospitality and Tourism Themes</w:t>
      </w:r>
      <w:r w:rsidRPr="00474330">
        <w:rPr>
          <w:rFonts w:ascii="Arial" w:hAnsi="Arial" w:cs="Arial"/>
          <w:lang w:val="en-GB"/>
        </w:rPr>
        <w:t>, 14(1), pp.38-47.</w:t>
      </w:r>
    </w:p>
    <w:p w14:paraId="35F83CA0"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Walker, J., (2021). Introduction to Hospitality, Harlow, Pearson</w:t>
      </w:r>
    </w:p>
    <w:p w14:paraId="0F3A8E95" w14:textId="77777777" w:rsidR="00DD2471" w:rsidRPr="00474330" w:rsidRDefault="00DD2471" w:rsidP="00474330">
      <w:pPr>
        <w:pStyle w:val="ListParagraph"/>
        <w:numPr>
          <w:ilvl w:val="0"/>
          <w:numId w:val="3"/>
        </w:numPr>
        <w:ind w:left="426"/>
        <w:rPr>
          <w:rFonts w:ascii="Arial" w:hAnsi="Arial" w:cs="Arial"/>
          <w:lang w:val="en-GB"/>
        </w:rPr>
      </w:pPr>
      <w:r w:rsidRPr="00474330">
        <w:rPr>
          <w:rFonts w:ascii="Arial" w:hAnsi="Arial" w:cs="Arial"/>
          <w:lang w:val="en-GB"/>
        </w:rPr>
        <w:t xml:space="preserve">Wolpert, F., Quintas-Soriano, C. and </w:t>
      </w:r>
      <w:proofErr w:type="spellStart"/>
      <w:r w:rsidRPr="00474330">
        <w:rPr>
          <w:rFonts w:ascii="Arial" w:hAnsi="Arial" w:cs="Arial"/>
          <w:lang w:val="en-GB"/>
        </w:rPr>
        <w:t>Plieninger</w:t>
      </w:r>
      <w:proofErr w:type="spellEnd"/>
      <w:r w:rsidRPr="00474330">
        <w:rPr>
          <w:rFonts w:ascii="Arial" w:hAnsi="Arial" w:cs="Arial"/>
          <w:lang w:val="en-GB"/>
        </w:rPr>
        <w:t xml:space="preserve">, T., (2020). </w:t>
      </w:r>
      <w:r w:rsidRPr="00474330">
        <w:rPr>
          <w:rFonts w:ascii="Arial" w:hAnsi="Arial" w:cs="Arial"/>
          <w:i/>
          <w:lang w:val="en-GB"/>
        </w:rPr>
        <w:t>Exploring land-use histories of tree-crop landscapes: a cross-site comparison in the Mediterranean Basin</w:t>
      </w:r>
      <w:r w:rsidRPr="00474330">
        <w:rPr>
          <w:rFonts w:ascii="Arial" w:hAnsi="Arial" w:cs="Arial"/>
          <w:lang w:val="en-GB"/>
        </w:rPr>
        <w:t>. Sustainability Science, 15(5), pp.1267-1283.</w:t>
      </w:r>
    </w:p>
    <w:p w14:paraId="4958A5BB" w14:textId="77777777" w:rsidR="00C93F0D" w:rsidRPr="00DD2471" w:rsidRDefault="00C93F0D">
      <w:pPr>
        <w:rPr>
          <w:rFonts w:ascii="Arial" w:hAnsi="Arial" w:cs="Arial"/>
        </w:rPr>
      </w:pPr>
    </w:p>
    <w:sectPr w:rsidR="00C93F0D" w:rsidRPr="00DD2471" w:rsidSect="00DD247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F00AB" w14:textId="77777777" w:rsidR="00474330" w:rsidRDefault="00474330">
      <w:pPr>
        <w:spacing w:after="0" w:line="240" w:lineRule="auto"/>
      </w:pPr>
      <w:r>
        <w:separator/>
      </w:r>
    </w:p>
  </w:endnote>
  <w:endnote w:type="continuationSeparator" w:id="0">
    <w:p w14:paraId="720F05FE" w14:textId="77777777" w:rsidR="00474330" w:rsidRDefault="00474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465337"/>
      <w:docPartObj>
        <w:docPartGallery w:val="Page Numbers (Bottom of Page)"/>
        <w:docPartUnique/>
      </w:docPartObj>
    </w:sdtPr>
    <w:sdtEndPr/>
    <w:sdtContent>
      <w:sdt>
        <w:sdtPr>
          <w:id w:val="-1769616900"/>
          <w:docPartObj>
            <w:docPartGallery w:val="Page Numbers (Top of Page)"/>
            <w:docPartUnique/>
          </w:docPartObj>
        </w:sdtPr>
        <w:sdtEndPr/>
        <w:sdtContent>
          <w:p w14:paraId="462A1ABE" w14:textId="77777777" w:rsidR="003E4611" w:rsidRDefault="003E461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12</w:t>
            </w:r>
            <w:r>
              <w:rPr>
                <w:b/>
                <w:bCs/>
                <w:szCs w:val="24"/>
              </w:rPr>
              <w:fldChar w:fldCharType="end"/>
            </w:r>
          </w:p>
        </w:sdtContent>
      </w:sdt>
    </w:sdtContent>
  </w:sdt>
  <w:p w14:paraId="5850CE61" w14:textId="77777777" w:rsidR="003E4611" w:rsidRDefault="003E4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FDB89" w14:textId="77777777" w:rsidR="00474330" w:rsidRDefault="00474330">
      <w:pPr>
        <w:spacing w:after="0" w:line="240" w:lineRule="auto"/>
      </w:pPr>
      <w:r>
        <w:separator/>
      </w:r>
    </w:p>
  </w:footnote>
  <w:footnote w:type="continuationSeparator" w:id="0">
    <w:p w14:paraId="3BAEED6E" w14:textId="77777777" w:rsidR="00474330" w:rsidRDefault="00474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B668" w14:textId="77777777" w:rsidR="003E4611" w:rsidRDefault="003E4611" w:rsidP="00F24E1C">
    <w:pPr>
      <w:jc w:val="right"/>
    </w:pPr>
    <w:r w:rsidRPr="00F24E1C">
      <w:t>Financial Management for the Hotel Industry</w:t>
    </w:r>
  </w:p>
  <w:p w14:paraId="4F6E8A2C" w14:textId="77777777" w:rsidR="003E4611" w:rsidRDefault="003E4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2273F"/>
    <w:multiLevelType w:val="hybridMultilevel"/>
    <w:tmpl w:val="D010A4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AB78EB"/>
    <w:multiLevelType w:val="hybridMultilevel"/>
    <w:tmpl w:val="57302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264940"/>
    <w:multiLevelType w:val="hybridMultilevel"/>
    <w:tmpl w:val="C01A1F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2564343">
    <w:abstractNumId w:val="0"/>
  </w:num>
  <w:num w:numId="2" w16cid:durableId="1037239495">
    <w:abstractNumId w:val="2"/>
  </w:num>
  <w:num w:numId="3" w16cid:durableId="1226448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471"/>
    <w:rsid w:val="002F67D6"/>
    <w:rsid w:val="003E4611"/>
    <w:rsid w:val="00474330"/>
    <w:rsid w:val="004A31D9"/>
    <w:rsid w:val="006A17F3"/>
    <w:rsid w:val="00906B60"/>
    <w:rsid w:val="00954F55"/>
    <w:rsid w:val="00BD6822"/>
    <w:rsid w:val="00C93F0D"/>
    <w:rsid w:val="00DC34B7"/>
    <w:rsid w:val="00DD2471"/>
    <w:rsid w:val="00F8539F"/>
    <w:rsid w:val="00FD1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6C490"/>
  <w15:chartTrackingRefBased/>
  <w15:docId w15:val="{92CAFD36-FB90-4BD8-A38F-8C0672FA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471"/>
    <w:pPr>
      <w:spacing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DD24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24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24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4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4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4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4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4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4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24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24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4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4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4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4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4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471"/>
    <w:rPr>
      <w:rFonts w:eastAsiaTheme="majorEastAsia" w:cstheme="majorBidi"/>
      <w:color w:val="272727" w:themeColor="text1" w:themeTint="D8"/>
    </w:rPr>
  </w:style>
  <w:style w:type="paragraph" w:styleId="Title">
    <w:name w:val="Title"/>
    <w:basedOn w:val="Normal"/>
    <w:next w:val="Normal"/>
    <w:link w:val="TitleChar"/>
    <w:uiPriority w:val="10"/>
    <w:qFormat/>
    <w:rsid w:val="00DD24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4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4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4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471"/>
    <w:pPr>
      <w:spacing w:before="160"/>
      <w:jc w:val="center"/>
    </w:pPr>
    <w:rPr>
      <w:i/>
      <w:iCs/>
      <w:color w:val="404040" w:themeColor="text1" w:themeTint="BF"/>
    </w:rPr>
  </w:style>
  <w:style w:type="character" w:customStyle="1" w:styleId="QuoteChar">
    <w:name w:val="Quote Char"/>
    <w:basedOn w:val="DefaultParagraphFont"/>
    <w:link w:val="Quote"/>
    <w:uiPriority w:val="29"/>
    <w:rsid w:val="00DD2471"/>
    <w:rPr>
      <w:i/>
      <w:iCs/>
      <w:color w:val="404040" w:themeColor="text1" w:themeTint="BF"/>
    </w:rPr>
  </w:style>
  <w:style w:type="paragraph" w:styleId="ListParagraph">
    <w:name w:val="List Paragraph"/>
    <w:basedOn w:val="Normal"/>
    <w:uiPriority w:val="34"/>
    <w:qFormat/>
    <w:rsid w:val="00DD2471"/>
    <w:pPr>
      <w:ind w:left="720"/>
      <w:contextualSpacing/>
    </w:pPr>
  </w:style>
  <w:style w:type="character" w:styleId="IntenseEmphasis">
    <w:name w:val="Intense Emphasis"/>
    <w:basedOn w:val="DefaultParagraphFont"/>
    <w:uiPriority w:val="21"/>
    <w:qFormat/>
    <w:rsid w:val="00DD2471"/>
    <w:rPr>
      <w:i/>
      <w:iCs/>
      <w:color w:val="0F4761" w:themeColor="accent1" w:themeShade="BF"/>
    </w:rPr>
  </w:style>
  <w:style w:type="paragraph" w:styleId="IntenseQuote">
    <w:name w:val="Intense Quote"/>
    <w:basedOn w:val="Normal"/>
    <w:next w:val="Normal"/>
    <w:link w:val="IntenseQuoteChar"/>
    <w:uiPriority w:val="30"/>
    <w:qFormat/>
    <w:rsid w:val="00DD24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471"/>
    <w:rPr>
      <w:i/>
      <w:iCs/>
      <w:color w:val="0F4761" w:themeColor="accent1" w:themeShade="BF"/>
    </w:rPr>
  </w:style>
  <w:style w:type="character" w:styleId="IntenseReference">
    <w:name w:val="Intense Reference"/>
    <w:basedOn w:val="DefaultParagraphFont"/>
    <w:uiPriority w:val="32"/>
    <w:qFormat/>
    <w:rsid w:val="00DD2471"/>
    <w:rPr>
      <w:b/>
      <w:bCs/>
      <w:smallCaps/>
      <w:color w:val="0F4761" w:themeColor="accent1" w:themeShade="BF"/>
      <w:spacing w:val="5"/>
    </w:rPr>
  </w:style>
  <w:style w:type="paragraph" w:styleId="Header">
    <w:name w:val="header"/>
    <w:basedOn w:val="Normal"/>
    <w:link w:val="HeaderChar"/>
    <w:uiPriority w:val="99"/>
    <w:unhideWhenUsed/>
    <w:rsid w:val="00DD24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2471"/>
    <w:rPr>
      <w:rFonts w:ascii="Times New Roman" w:hAnsi="Times New Roman"/>
      <w:kern w:val="0"/>
      <w:sz w:val="24"/>
      <w:lang w:val="en-US"/>
      <w14:ligatures w14:val="none"/>
    </w:rPr>
  </w:style>
  <w:style w:type="paragraph" w:styleId="Footer">
    <w:name w:val="footer"/>
    <w:basedOn w:val="Normal"/>
    <w:link w:val="FooterChar"/>
    <w:uiPriority w:val="99"/>
    <w:unhideWhenUsed/>
    <w:rsid w:val="00DD24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2471"/>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DD2471"/>
    <w:pPr>
      <w:spacing w:before="240" w:after="0"/>
      <w:outlineLvl w:val="9"/>
    </w:pPr>
    <w:rPr>
      <w:sz w:val="32"/>
      <w:szCs w:val="32"/>
    </w:rPr>
  </w:style>
  <w:style w:type="paragraph" w:styleId="TOC1">
    <w:name w:val="toc 1"/>
    <w:basedOn w:val="Normal"/>
    <w:next w:val="Normal"/>
    <w:autoRedefine/>
    <w:uiPriority w:val="39"/>
    <w:unhideWhenUsed/>
    <w:rsid w:val="00DD2471"/>
    <w:pPr>
      <w:spacing w:after="100"/>
    </w:pPr>
  </w:style>
  <w:style w:type="paragraph" w:styleId="TOC2">
    <w:name w:val="toc 2"/>
    <w:basedOn w:val="Normal"/>
    <w:next w:val="Normal"/>
    <w:autoRedefine/>
    <w:uiPriority w:val="39"/>
    <w:unhideWhenUsed/>
    <w:rsid w:val="00DD2471"/>
    <w:pPr>
      <w:spacing w:after="100"/>
      <w:ind w:left="240"/>
    </w:pPr>
  </w:style>
  <w:style w:type="paragraph" w:styleId="TOC3">
    <w:name w:val="toc 3"/>
    <w:basedOn w:val="Normal"/>
    <w:next w:val="Normal"/>
    <w:autoRedefine/>
    <w:uiPriority w:val="39"/>
    <w:unhideWhenUsed/>
    <w:rsid w:val="00DD2471"/>
    <w:pPr>
      <w:spacing w:after="100"/>
      <w:ind w:left="480"/>
    </w:pPr>
  </w:style>
  <w:style w:type="character" w:styleId="Hyperlink">
    <w:name w:val="Hyperlink"/>
    <w:basedOn w:val="DefaultParagraphFont"/>
    <w:uiPriority w:val="99"/>
    <w:unhideWhenUsed/>
    <w:rsid w:val="00DD247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2578</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Ovidiu   Tatarau</cp:lastModifiedBy>
  <cp:revision>7</cp:revision>
  <dcterms:created xsi:type="dcterms:W3CDTF">2024-06-06T21:01:00Z</dcterms:created>
  <dcterms:modified xsi:type="dcterms:W3CDTF">2024-06-06T21:32:00Z</dcterms:modified>
</cp:coreProperties>
</file>