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A5F3241" wp14:paraId="5E5787A5" wp14:textId="427E5DB7">
      <w:pPr>
        <w:rPr>
          <w:rFonts w:ascii="Arial" w:hAnsi="Arial" w:eastAsia="Arial" w:cs="Arial"/>
          <w:sz w:val="36"/>
          <w:szCs w:val="36"/>
        </w:rPr>
      </w:pPr>
      <w:r w:rsidRPr="2A5F3241" w:rsidR="1B66461C">
        <w:rPr>
          <w:rFonts w:ascii="Arial" w:hAnsi="Arial" w:eastAsia="Arial" w:cs="Arial"/>
          <w:sz w:val="36"/>
          <w:szCs w:val="36"/>
        </w:rPr>
        <w:t xml:space="preserve">Psychology In Health and Social care (LCHS4010_BIRM) </w:t>
      </w:r>
    </w:p>
    <w:p w:rsidR="69562AC0" w:rsidP="2A5F3241" w:rsidRDefault="69562AC0" w14:paraId="2D6B4041" w14:textId="16B6F970">
      <w:pPr>
        <w:rPr>
          <w:rFonts w:ascii="Arial" w:hAnsi="Arial" w:eastAsia="Arial" w:cs="Arial"/>
          <w:sz w:val="36"/>
          <w:szCs w:val="36"/>
        </w:rPr>
      </w:pPr>
      <w:r w:rsidRPr="2A5F3241" w:rsidR="69562AC0">
        <w:rPr>
          <w:rFonts w:ascii="Arial" w:hAnsi="Arial" w:eastAsia="Arial" w:cs="Arial"/>
          <w:sz w:val="36"/>
          <w:szCs w:val="36"/>
        </w:rPr>
        <w:t xml:space="preserve">Nargis Ahmed 2329515 </w:t>
      </w:r>
    </w:p>
    <w:p w:rsidR="317A6F13" w:rsidP="2A5F3241" w:rsidRDefault="317A6F13" w14:paraId="0273641E" w14:textId="2C159D6A">
      <w:pPr>
        <w:rPr>
          <w:rFonts w:ascii="Arial" w:hAnsi="Arial" w:eastAsia="Arial" w:cs="Arial"/>
          <w:sz w:val="36"/>
          <w:szCs w:val="36"/>
        </w:rPr>
      </w:pPr>
      <w:r w:rsidRPr="2A5F3241" w:rsidR="317A6F13">
        <w:rPr>
          <w:rFonts w:ascii="Arial" w:hAnsi="Arial" w:eastAsia="Arial" w:cs="Arial"/>
          <w:sz w:val="36"/>
          <w:szCs w:val="36"/>
        </w:rPr>
        <w:t>Teacher: Samuel Assan</w:t>
      </w:r>
    </w:p>
    <w:p w:rsidR="2A5F3241" w:rsidP="2A5F3241" w:rsidRDefault="2A5F3241" w14:paraId="29EF62C2" w14:textId="4A75CF44">
      <w:pPr>
        <w:pStyle w:val="Normal"/>
        <w:rPr>
          <w:rFonts w:ascii="Arial" w:hAnsi="Arial" w:eastAsia="Arial" w:cs="Arial"/>
          <w:sz w:val="36"/>
          <w:szCs w:val="36"/>
        </w:rPr>
      </w:pPr>
    </w:p>
    <w:p w:rsidR="6BDE9ED7" w:rsidP="2A5F3241" w:rsidRDefault="6BDE9ED7" w14:paraId="22D23BBF" w14:textId="2270516F">
      <w:pPr>
        <w:rPr>
          <w:rFonts w:ascii="Arial" w:hAnsi="Arial" w:eastAsia="Arial" w:cs="Arial"/>
          <w:noProof w:val="0"/>
          <w:color w:val="000000" w:themeColor="text1" w:themeTint="FF" w:themeShade="FF"/>
          <w:sz w:val="22"/>
          <w:szCs w:val="22"/>
          <w:lang w:val="en-GB"/>
        </w:rPr>
      </w:pPr>
      <w:r w:rsidRPr="2A5F3241" w:rsidR="6BDE9ED7">
        <w:rPr>
          <w:rFonts w:ascii="Arial" w:hAnsi="Arial" w:eastAsia="Arial" w:cs="Arial"/>
          <w:noProof w:val="0"/>
          <w:color w:val="000000" w:themeColor="text1" w:themeTint="FF" w:themeShade="FF"/>
          <w:sz w:val="22"/>
          <w:szCs w:val="22"/>
          <w:lang w:val="en-GB"/>
        </w:rPr>
        <w:t>Supporting older adults with dementia in care homes requires a deep understanding of their psychological and emotional needs. Two important theories help care staff provide better support: Erikson's psychosocial theory and Maslow's hierarchy of needs. These frameworks offer valuable insights into what older people need to feel comfortable, respected, and valued during their final life stage.</w:t>
      </w:r>
    </w:p>
    <w:p w:rsidR="6BDE9ED7" w:rsidP="57A13AEB" w:rsidRDefault="6BDE9ED7" w14:paraId="6E75DC07" w14:textId="411A2196">
      <w:pPr>
        <w:pStyle w:val="Normal"/>
        <w:rPr>
          <w:rFonts w:ascii="Arial" w:hAnsi="Arial" w:eastAsia="Arial" w:cs="Arial"/>
          <w:noProof w:val="0"/>
          <w:color w:val="000000" w:themeColor="text1" w:themeTint="FF" w:themeShade="FF"/>
          <w:sz w:val="22"/>
          <w:szCs w:val="22"/>
          <w:lang w:val="en-GB"/>
        </w:rPr>
      </w:pPr>
      <w:r w:rsidRPr="57A13AEB" w:rsidR="6BDE9ED7">
        <w:rPr>
          <w:rFonts w:ascii="Arial" w:hAnsi="Arial" w:eastAsia="Arial" w:cs="Arial"/>
          <w:noProof w:val="0"/>
          <w:color w:val="000000" w:themeColor="text1" w:themeTint="FF" w:themeShade="FF"/>
          <w:sz w:val="22"/>
          <w:szCs w:val="22"/>
          <w:lang w:val="en-GB"/>
        </w:rPr>
        <w:t xml:space="preserve">Erikson's theory helps carers understand the emotional challenges that older adults face as they look back on their lives. For people with dementia living in care homes, this understanding is particularly important. Residents may struggle to express their feelings or remember their past achievements, making it essential for staff to help them </w:t>
      </w:r>
      <w:r w:rsidRPr="57A13AEB" w:rsidR="6BDE9ED7">
        <w:rPr>
          <w:rFonts w:ascii="Arial" w:hAnsi="Arial" w:eastAsia="Arial" w:cs="Arial"/>
          <w:noProof w:val="0"/>
          <w:color w:val="000000" w:themeColor="text1" w:themeTint="FF" w:themeShade="FF"/>
          <w:sz w:val="22"/>
          <w:szCs w:val="22"/>
          <w:lang w:val="en-GB"/>
        </w:rPr>
        <w:t>maintain</w:t>
      </w:r>
      <w:r w:rsidRPr="57A13AEB" w:rsidR="6BDE9ED7">
        <w:rPr>
          <w:rFonts w:ascii="Arial" w:hAnsi="Arial" w:eastAsia="Arial" w:cs="Arial"/>
          <w:noProof w:val="0"/>
          <w:color w:val="000000" w:themeColor="text1" w:themeTint="FF" w:themeShade="FF"/>
          <w:sz w:val="22"/>
          <w:szCs w:val="22"/>
          <w:lang w:val="en-GB"/>
        </w:rPr>
        <w:t xml:space="preserve"> dignity and find meaning in their daily experiences. By recognising where residents are in their life journey, carers can provide reassurance and create opportunities for reminiscence and connection. This approach helps residents feel valued and understood, even when cognitive decline makes communication difficult.</w:t>
      </w:r>
      <w:r w:rsidRPr="57A13AEB" w:rsidR="6062287C">
        <w:rPr>
          <w:rFonts w:ascii="Arial" w:hAnsi="Arial" w:eastAsia="Arial" w:cs="Arial"/>
          <w:noProof w:val="0"/>
          <w:color w:val="000000" w:themeColor="text1" w:themeTint="FF" w:themeShade="FF"/>
          <w:sz w:val="22"/>
          <w:szCs w:val="22"/>
          <w:lang w:val="en-GB"/>
        </w:rPr>
        <w:t xml:space="preserve"> (Kitwood, 1997).</w:t>
      </w:r>
    </w:p>
    <w:p w:rsidR="6BDE9ED7" w:rsidP="2A5F3241" w:rsidRDefault="6BDE9ED7" w14:paraId="47D365A6" w14:textId="700A7DB6">
      <w:pPr>
        <w:rPr>
          <w:rFonts w:ascii="Arial" w:hAnsi="Arial" w:eastAsia="Arial" w:cs="Arial"/>
          <w:noProof w:val="0"/>
          <w:color w:val="000000" w:themeColor="text1" w:themeTint="FF" w:themeShade="FF"/>
          <w:sz w:val="22"/>
          <w:szCs w:val="22"/>
          <w:lang w:val="en-GB"/>
        </w:rPr>
      </w:pPr>
      <w:r w:rsidRPr="57A13AEB" w:rsidR="6BDE9ED7">
        <w:rPr>
          <w:rFonts w:ascii="Arial" w:hAnsi="Arial" w:eastAsia="Arial" w:cs="Arial"/>
          <w:noProof w:val="0"/>
          <w:color w:val="000000" w:themeColor="text1" w:themeTint="FF" w:themeShade="FF"/>
          <w:sz w:val="22"/>
          <w:szCs w:val="22"/>
          <w:lang w:val="en-GB"/>
        </w:rPr>
        <w:t>Maslow's hierarchy of needs provides a practical guide for meeting the physical, emotional, and social requirements of care home residents. This theory reminds staff that basic needs like warmth, food, and safety must be met before addressing higher-level needs such as friendship and self-worth. For people with dementia, these needs become even more critical as they may struggle to communicate discomfort or distress. Understanding this hierarchy helps care teams prioritise effectively and respond appropriately to residents' changing needs throughout the day.</w:t>
      </w:r>
      <w:r w:rsidRPr="57A13AEB" w:rsidR="41D0273A">
        <w:rPr>
          <w:rFonts w:ascii="Arial" w:hAnsi="Arial" w:eastAsia="Arial" w:cs="Arial"/>
          <w:noProof w:val="0"/>
          <w:color w:val="000000" w:themeColor="text1" w:themeTint="FF" w:themeShade="FF"/>
          <w:sz w:val="22"/>
          <w:szCs w:val="22"/>
          <w:lang w:val="en-GB"/>
        </w:rPr>
        <w:t xml:space="preserve"> (Brooker, 2007)</w:t>
      </w:r>
    </w:p>
    <w:p w:rsidR="6BDE9ED7" w:rsidP="57A13AEB" w:rsidRDefault="6BDE9ED7" w14:paraId="14024276" w14:textId="078C7CB9">
      <w:pPr>
        <w:pStyle w:val="Normal"/>
        <w:rPr>
          <w:rFonts w:ascii="Arial" w:hAnsi="Arial" w:eastAsia="Arial" w:cs="Arial"/>
          <w:noProof w:val="0"/>
          <w:color w:val="000000" w:themeColor="text1" w:themeTint="FF" w:themeShade="FF"/>
          <w:sz w:val="22"/>
          <w:szCs w:val="22"/>
          <w:lang w:val="en-GB"/>
        </w:rPr>
      </w:pPr>
      <w:r w:rsidRPr="57A13AEB" w:rsidR="6BDE9ED7">
        <w:rPr>
          <w:rFonts w:ascii="Arial" w:hAnsi="Arial" w:eastAsia="Arial" w:cs="Arial"/>
          <w:noProof w:val="0"/>
          <w:color w:val="000000" w:themeColor="text1" w:themeTint="FF" w:themeShade="FF"/>
          <w:sz w:val="22"/>
          <w:szCs w:val="22"/>
          <w:lang w:val="en-GB"/>
        </w:rPr>
        <w:t>Together, these theories form a foundation for person-centred care. They encourage staff to see beyond the medical diagnosis and recognise each resident as a whole person with a unique life story, relationships, and ongoing needs. Understanding these frameworks helps care teams create supportive environments where older adults feel safe, respected, and connected to others. This approach improves quality of life, reduces distress, and ensures that every resident receives compassionate care that honours their humanity and individual experiences throughout their time in the care home. By applying these theories in daily practice, care staff can make meaningful differences to residents' wellbeing and happiness.</w:t>
      </w:r>
      <w:r w:rsidRPr="57A13AEB" w:rsidR="2ED14791">
        <w:rPr>
          <w:rFonts w:ascii="Arial" w:hAnsi="Arial" w:eastAsia="Arial" w:cs="Arial"/>
          <w:noProof w:val="0"/>
          <w:color w:val="000000" w:themeColor="text1" w:themeTint="FF" w:themeShade="FF"/>
          <w:sz w:val="22"/>
          <w:szCs w:val="22"/>
          <w:lang w:val="en-GB"/>
        </w:rPr>
        <w:t xml:space="preserve"> (Innes, 2009).</w:t>
      </w:r>
    </w:p>
    <w:p w:rsidR="6BDE9ED7" w:rsidP="2A5F3241" w:rsidRDefault="6BDE9ED7" w14:paraId="5D00E697" w14:textId="514E5F84">
      <w:pPr>
        <w:rPr>
          <w:rFonts w:ascii="Arial" w:hAnsi="Arial" w:eastAsia="Arial" w:cs="Arial"/>
          <w:b w:val="1"/>
          <w:bCs w:val="1"/>
          <w:noProof w:val="0"/>
          <w:color w:val="000000" w:themeColor="text1" w:themeTint="FF" w:themeShade="FF"/>
          <w:sz w:val="22"/>
          <w:szCs w:val="22"/>
          <w:lang w:val="en-GB"/>
        </w:rPr>
      </w:pPr>
      <w:r w:rsidRPr="2A5F3241" w:rsidR="6BDE9ED7">
        <w:rPr>
          <w:rFonts w:ascii="Arial" w:hAnsi="Arial" w:eastAsia="Arial" w:cs="Arial"/>
          <w:b w:val="1"/>
          <w:bCs w:val="1"/>
          <w:noProof w:val="0"/>
          <w:color w:val="000000" w:themeColor="text1" w:themeTint="FF" w:themeShade="FF"/>
          <w:sz w:val="22"/>
          <w:szCs w:val="22"/>
          <w:lang w:val="en-GB"/>
        </w:rPr>
        <w:t>Theories Explained</w:t>
      </w:r>
    </w:p>
    <w:p w:rsidR="6BDE9ED7" w:rsidP="2A5F3241" w:rsidRDefault="6BDE9ED7" w14:paraId="2BA74AE5" w14:textId="1E162034">
      <w:pPr>
        <w:rPr>
          <w:rFonts w:ascii="Arial" w:hAnsi="Arial" w:eastAsia="Arial" w:cs="Arial"/>
          <w:noProof w:val="0"/>
          <w:color w:val="000000" w:themeColor="text1" w:themeTint="FF" w:themeShade="FF"/>
          <w:sz w:val="22"/>
          <w:szCs w:val="22"/>
          <w:lang w:val="en-GB"/>
        </w:rPr>
      </w:pPr>
      <w:r w:rsidRPr="2A5F3241" w:rsidR="6BDE9ED7">
        <w:rPr>
          <w:rFonts w:ascii="Arial" w:hAnsi="Arial" w:eastAsia="Arial" w:cs="Arial"/>
          <w:noProof w:val="0"/>
          <w:color w:val="000000" w:themeColor="text1" w:themeTint="FF" w:themeShade="FF"/>
          <w:sz w:val="22"/>
          <w:szCs w:val="22"/>
          <w:lang w:val="en-GB"/>
        </w:rPr>
        <w:t xml:space="preserve">Erik Erikson's psychosocial theory </w:t>
      </w:r>
      <w:r w:rsidRPr="2A5F3241" w:rsidR="6BDE9ED7">
        <w:rPr>
          <w:rFonts w:ascii="Arial" w:hAnsi="Arial" w:eastAsia="Arial" w:cs="Arial"/>
          <w:noProof w:val="0"/>
          <w:color w:val="000000" w:themeColor="text1" w:themeTint="FF" w:themeShade="FF"/>
          <w:sz w:val="22"/>
          <w:szCs w:val="22"/>
          <w:lang w:val="en-GB"/>
        </w:rPr>
        <w:t>identifies</w:t>
      </w:r>
      <w:r w:rsidRPr="2A5F3241" w:rsidR="6BDE9ED7">
        <w:rPr>
          <w:rFonts w:ascii="Arial" w:hAnsi="Arial" w:eastAsia="Arial" w:cs="Arial"/>
          <w:noProof w:val="0"/>
          <w:color w:val="000000" w:themeColor="text1" w:themeTint="FF" w:themeShade="FF"/>
          <w:sz w:val="22"/>
          <w:szCs w:val="22"/>
          <w:lang w:val="en-GB"/>
        </w:rPr>
        <w:t xml:space="preserve"> eight developmental stages across the human lifespan, with each stage presenting a central psychological challenge that individuals must work through to grow emotionally (Erikson, 1959). For adults aged 65 and over, the final stage involves the conflict between ego integrity versus despair. During this period, older adults naturally begin to look back on their lives and reflect upon what they have </w:t>
      </w:r>
      <w:r w:rsidRPr="2A5F3241" w:rsidR="6BDE9ED7">
        <w:rPr>
          <w:rFonts w:ascii="Arial" w:hAnsi="Arial" w:eastAsia="Arial" w:cs="Arial"/>
          <w:noProof w:val="0"/>
          <w:color w:val="000000" w:themeColor="text1" w:themeTint="FF" w:themeShade="FF"/>
          <w:sz w:val="22"/>
          <w:szCs w:val="22"/>
          <w:lang w:val="en-GB"/>
        </w:rPr>
        <w:t>accomplished</w:t>
      </w:r>
      <w:r w:rsidRPr="2A5F3241" w:rsidR="6BDE9ED7">
        <w:rPr>
          <w:rFonts w:ascii="Arial" w:hAnsi="Arial" w:eastAsia="Arial" w:cs="Arial"/>
          <w:noProof w:val="0"/>
          <w:color w:val="000000" w:themeColor="text1" w:themeTint="FF" w:themeShade="FF"/>
          <w:sz w:val="22"/>
          <w:szCs w:val="22"/>
          <w:lang w:val="en-GB"/>
        </w:rPr>
        <w:t xml:space="preserve"> and experienced (McLeod, 2018). Those who feel satisfied with their life choices and relationships develop a sense of wisdom, acceptance, and peace about their journey. However, individuals who feel unhappy or regretful about their past may experience despair, bitterness, sadness, and considerable worry about approaching death (Erikson, 1959). This stage </w:t>
      </w:r>
      <w:r w:rsidRPr="2A5F3241" w:rsidR="6BDE9ED7">
        <w:rPr>
          <w:rFonts w:ascii="Arial" w:hAnsi="Arial" w:eastAsia="Arial" w:cs="Arial"/>
          <w:noProof w:val="0"/>
          <w:color w:val="000000" w:themeColor="text1" w:themeTint="FF" w:themeShade="FF"/>
          <w:sz w:val="22"/>
          <w:szCs w:val="22"/>
          <w:lang w:val="en-GB"/>
        </w:rPr>
        <w:t>demonstrates</w:t>
      </w:r>
      <w:r w:rsidRPr="2A5F3241" w:rsidR="6BDE9ED7">
        <w:rPr>
          <w:rFonts w:ascii="Arial" w:hAnsi="Arial" w:eastAsia="Arial" w:cs="Arial"/>
          <w:noProof w:val="0"/>
          <w:color w:val="000000" w:themeColor="text1" w:themeTint="FF" w:themeShade="FF"/>
          <w:sz w:val="22"/>
          <w:szCs w:val="22"/>
          <w:lang w:val="en-GB"/>
        </w:rPr>
        <w:t xml:space="preserve"> how psychologically important it is for older people to find meaning, achieve closure, and develop peace with their complete life story and all its successes and disappointments.</w:t>
      </w:r>
    </w:p>
    <w:p w:rsidR="6BDE9ED7" w:rsidP="2A5F3241" w:rsidRDefault="6BDE9ED7" w14:paraId="08608CA6" w14:textId="51541E59">
      <w:pPr>
        <w:rPr>
          <w:rFonts w:ascii="Arial" w:hAnsi="Arial" w:eastAsia="Arial" w:cs="Arial"/>
          <w:noProof w:val="0"/>
          <w:color w:val="000000" w:themeColor="text1" w:themeTint="FF" w:themeShade="FF"/>
          <w:sz w:val="22"/>
          <w:szCs w:val="22"/>
          <w:lang w:val="en-GB"/>
        </w:rPr>
      </w:pPr>
      <w:r w:rsidRPr="2A5F3241" w:rsidR="6BDE9ED7">
        <w:rPr>
          <w:rFonts w:ascii="Arial" w:hAnsi="Arial" w:eastAsia="Arial" w:cs="Arial"/>
          <w:noProof w:val="0"/>
          <w:color w:val="000000" w:themeColor="text1" w:themeTint="FF" w:themeShade="FF"/>
          <w:sz w:val="22"/>
          <w:szCs w:val="22"/>
          <w:lang w:val="en-GB"/>
        </w:rPr>
        <w:t xml:space="preserve">Maslow's hierarchy of needs presents a five-level pyramid model that explains what motivates human behaviour, starting with basic survival needs at the bottom and progressing upward to personal growth and fulfilment at the top (Maslow, 1943). The first and most fundamental level includes physiological needs such as food, water, warmth, sleep, and rest. The second level covers safety needs, including secure and stable housing, financial security, personal safety, and protection from harm or danger. The third level involves social and belonging needs, such as meaningful friendships, close family connections, intimate relationships, and feeling part of a wider community (Maslow, 1943). The fourth level addresses esteem needs, which involve self-respect, personal dignity, achievement, independence, and receiving recognition and respect from others. The final and highest level is self-actualisation, where individuals pursue personal growth, creative expression, and meaningful activities that bring deep satisfaction and allow them to reach their full potential (McLeod, 2020). For older adults, this complete model </w:t>
      </w:r>
      <w:r w:rsidRPr="2A5F3241" w:rsidR="6BDE9ED7">
        <w:rPr>
          <w:rFonts w:ascii="Arial" w:hAnsi="Arial" w:eastAsia="Arial" w:cs="Arial"/>
          <w:noProof w:val="0"/>
          <w:color w:val="000000" w:themeColor="text1" w:themeTint="FF" w:themeShade="FF"/>
          <w:sz w:val="22"/>
          <w:szCs w:val="22"/>
          <w:lang w:val="en-GB"/>
        </w:rPr>
        <w:t>remains</w:t>
      </w:r>
      <w:r w:rsidRPr="2A5F3241" w:rsidR="6BDE9ED7">
        <w:rPr>
          <w:rFonts w:ascii="Arial" w:hAnsi="Arial" w:eastAsia="Arial" w:cs="Arial"/>
          <w:noProof w:val="0"/>
          <w:color w:val="000000" w:themeColor="text1" w:themeTint="FF" w:themeShade="FF"/>
          <w:sz w:val="22"/>
          <w:szCs w:val="22"/>
          <w:lang w:val="en-GB"/>
        </w:rPr>
        <w:t xml:space="preserve"> highly relevant, though priorities and focus often shift considerably. Physical needs like regular medication, proper nutrition, pain management, and comfortable rest become increasingly urgent and critical as various health problems and chronic conditions develop and worsen (Maslow, 1943). Safety needs expand to include protection from falls, abuse, neglect, and financial exploitation, alongside </w:t>
      </w:r>
      <w:r w:rsidRPr="2A5F3241" w:rsidR="6BDE9ED7">
        <w:rPr>
          <w:rFonts w:ascii="Arial" w:hAnsi="Arial" w:eastAsia="Arial" w:cs="Arial"/>
          <w:noProof w:val="0"/>
          <w:color w:val="000000" w:themeColor="text1" w:themeTint="FF" w:themeShade="FF"/>
          <w:sz w:val="22"/>
          <w:szCs w:val="22"/>
          <w:lang w:val="en-GB"/>
        </w:rPr>
        <w:t>maintaining</w:t>
      </w:r>
      <w:r w:rsidRPr="2A5F3241" w:rsidR="6BDE9ED7">
        <w:rPr>
          <w:rFonts w:ascii="Arial" w:hAnsi="Arial" w:eastAsia="Arial" w:cs="Arial"/>
          <w:noProof w:val="0"/>
          <w:color w:val="000000" w:themeColor="text1" w:themeTint="FF" w:themeShade="FF"/>
          <w:sz w:val="22"/>
          <w:szCs w:val="22"/>
          <w:lang w:val="en-GB"/>
        </w:rPr>
        <w:t xml:space="preserve"> a secure and familiar living environment. Social needs gain particular significance because older people </w:t>
      </w:r>
      <w:r w:rsidRPr="2A5F3241" w:rsidR="6BDE9ED7">
        <w:rPr>
          <w:rFonts w:ascii="Arial" w:hAnsi="Arial" w:eastAsia="Arial" w:cs="Arial"/>
          <w:noProof w:val="0"/>
          <w:color w:val="000000" w:themeColor="text1" w:themeTint="FF" w:themeShade="FF"/>
          <w:sz w:val="22"/>
          <w:szCs w:val="22"/>
          <w:lang w:val="en-GB"/>
        </w:rPr>
        <w:t>frequently</w:t>
      </w:r>
      <w:r w:rsidRPr="2A5F3241" w:rsidR="6BDE9ED7">
        <w:rPr>
          <w:rFonts w:ascii="Arial" w:hAnsi="Arial" w:eastAsia="Arial" w:cs="Arial"/>
          <w:noProof w:val="0"/>
          <w:color w:val="000000" w:themeColor="text1" w:themeTint="FF" w:themeShade="FF"/>
          <w:sz w:val="22"/>
          <w:szCs w:val="22"/>
          <w:lang w:val="en-GB"/>
        </w:rPr>
        <w:t xml:space="preserve"> experience profound loneliness and isolation following major life changes such as retirement, bereavement of partners and friends, or significantly reduced mobility that limits social contact (McLeod, 2020). Esteem needs involve </w:t>
      </w:r>
      <w:r w:rsidRPr="2A5F3241" w:rsidR="6BDE9ED7">
        <w:rPr>
          <w:rFonts w:ascii="Arial" w:hAnsi="Arial" w:eastAsia="Arial" w:cs="Arial"/>
          <w:noProof w:val="0"/>
          <w:color w:val="000000" w:themeColor="text1" w:themeTint="FF" w:themeShade="FF"/>
          <w:sz w:val="22"/>
          <w:szCs w:val="22"/>
          <w:lang w:val="en-GB"/>
        </w:rPr>
        <w:t>maintaining</w:t>
      </w:r>
      <w:r w:rsidRPr="2A5F3241" w:rsidR="6BDE9ED7">
        <w:rPr>
          <w:rFonts w:ascii="Arial" w:hAnsi="Arial" w:eastAsia="Arial" w:cs="Arial"/>
          <w:noProof w:val="0"/>
          <w:color w:val="000000" w:themeColor="text1" w:themeTint="FF" w:themeShade="FF"/>
          <w:sz w:val="22"/>
          <w:szCs w:val="22"/>
          <w:lang w:val="en-GB"/>
        </w:rPr>
        <w:t xml:space="preserve"> personal respect, maximum </w:t>
      </w:r>
      <w:r w:rsidRPr="2A5F3241" w:rsidR="6BDE9ED7">
        <w:rPr>
          <w:rFonts w:ascii="Arial" w:hAnsi="Arial" w:eastAsia="Arial" w:cs="Arial"/>
          <w:noProof w:val="0"/>
          <w:color w:val="000000" w:themeColor="text1" w:themeTint="FF" w:themeShade="FF"/>
          <w:sz w:val="22"/>
          <w:szCs w:val="22"/>
          <w:lang w:val="en-GB"/>
        </w:rPr>
        <w:t>possible independence</w:t>
      </w:r>
      <w:r w:rsidRPr="2A5F3241" w:rsidR="6BDE9ED7">
        <w:rPr>
          <w:rFonts w:ascii="Arial" w:hAnsi="Arial" w:eastAsia="Arial" w:cs="Arial"/>
          <w:noProof w:val="0"/>
          <w:color w:val="000000" w:themeColor="text1" w:themeTint="FF" w:themeShade="FF"/>
          <w:sz w:val="22"/>
          <w:szCs w:val="22"/>
          <w:lang w:val="en-GB"/>
        </w:rPr>
        <w:t>, and human dignity, which can prove extremely difficult when facing declining physical abilities, memory loss, and increased dependence on others for daily care.</w:t>
      </w:r>
    </w:p>
    <w:p w:rsidR="0754B685" w:rsidP="2A5F3241" w:rsidRDefault="0754B685" w14:paraId="741434DC" w14:textId="6E73C87B">
      <w:pPr>
        <w:rPr>
          <w:rFonts w:ascii="Arial" w:hAnsi="Arial" w:eastAsia="Arial" w:cs="Arial"/>
          <w:b w:val="1"/>
          <w:bCs w:val="1"/>
          <w:noProof w:val="0"/>
          <w:color w:val="000000" w:themeColor="text1" w:themeTint="FF" w:themeShade="FF"/>
          <w:sz w:val="22"/>
          <w:szCs w:val="22"/>
          <w:lang w:val="en-GB"/>
        </w:rPr>
      </w:pPr>
      <w:r w:rsidRPr="2A5F3241" w:rsidR="0754B685">
        <w:rPr>
          <w:rFonts w:ascii="Arial" w:hAnsi="Arial" w:eastAsia="Arial" w:cs="Arial"/>
          <w:b w:val="1"/>
          <w:bCs w:val="1"/>
          <w:noProof w:val="0"/>
          <w:color w:val="000000" w:themeColor="text1" w:themeTint="FF" w:themeShade="FF"/>
          <w:sz w:val="22"/>
          <w:szCs w:val="22"/>
          <w:lang w:val="en-GB"/>
        </w:rPr>
        <w:t>Erikson's Psychosocial Theory</w:t>
      </w:r>
    </w:p>
    <w:p w:rsidR="0754B685" w:rsidP="2A5F3241" w:rsidRDefault="0754B685" w14:paraId="5EDE83D0" w14:textId="7459919F">
      <w:pPr>
        <w:rPr>
          <w:rFonts w:ascii="Arial" w:hAnsi="Arial" w:eastAsia="Arial" w:cs="Arial"/>
          <w:noProof w:val="0"/>
          <w:color w:val="000000" w:themeColor="text1" w:themeTint="FF" w:themeShade="FF"/>
          <w:sz w:val="22"/>
          <w:szCs w:val="22"/>
          <w:lang w:val="en-GB"/>
        </w:rPr>
      </w:pPr>
      <w:r w:rsidRPr="2A5F3241" w:rsidR="0754B685">
        <w:rPr>
          <w:rFonts w:ascii="Arial" w:hAnsi="Arial" w:eastAsia="Arial" w:cs="Arial"/>
          <w:noProof w:val="0"/>
          <w:color w:val="000000" w:themeColor="text1" w:themeTint="FF" w:themeShade="FF"/>
          <w:sz w:val="22"/>
          <w:szCs w:val="22"/>
          <w:lang w:val="en-GB"/>
        </w:rPr>
        <w:t>Erik Erikson was a German-American psychologist who created his psychosocial theory in the 1950s, building on earlier ideas but focusing more on how society and relationships shape our development rather than just biological factors (Erikson, 1959). The main idea behind Erikson's theory is that people go through eight different stages from birth to old age, and at each stage there is a main challenge or conflict that needs to be worked through to grow in a healthy way (McLeod, 2018). Important terms include 'psychosocial crisis', which means the main challenge at each stage, and 'ego integrity', which means feeling satisfied and complete with the life you have lived.</w:t>
      </w:r>
    </w:p>
    <w:p w:rsidR="0754B685" w:rsidP="2A5F3241" w:rsidRDefault="0754B685" w14:paraId="68465366" w14:textId="7CBA5ECC">
      <w:pPr>
        <w:rPr>
          <w:rFonts w:ascii="Arial" w:hAnsi="Arial" w:eastAsia="Arial" w:cs="Arial"/>
          <w:noProof w:val="0"/>
          <w:color w:val="000000" w:themeColor="text1" w:themeTint="FF" w:themeShade="FF"/>
          <w:sz w:val="22"/>
          <w:szCs w:val="22"/>
          <w:lang w:val="en-GB"/>
        </w:rPr>
      </w:pPr>
      <w:r w:rsidRPr="2A5F3241" w:rsidR="0754B685">
        <w:rPr>
          <w:rFonts w:ascii="Arial" w:hAnsi="Arial" w:eastAsia="Arial" w:cs="Arial"/>
          <w:noProof w:val="0"/>
          <w:color w:val="000000" w:themeColor="text1" w:themeTint="FF" w:themeShade="FF"/>
          <w:sz w:val="22"/>
          <w:szCs w:val="22"/>
          <w:lang w:val="en-GB"/>
        </w:rPr>
        <w:t>For adults aged 65 and over, Erikson identified the final stage as 'ego integrity versus despair'. This stage directly relates to older adults because it focuses on looking back at life and coming to terms with everything that has happened (Erikson, 1959). Older people naturally start thinking about their whole lives, considering what they achieved, their relationships, and the decisions they made. Successfully working through this stage leads to wisdom, which Erikson described as accepting your life without serious regrets and facing death without being frightened (McLeod, 2018). However, if someone cannot achieve this acceptance, they experience despair, feeling bitter, full of regret, and scared about dying.</w:t>
      </w:r>
    </w:p>
    <w:p w:rsidR="0754B685" w:rsidP="2A5F3241" w:rsidRDefault="0754B685" w14:paraId="0EA998C8" w14:textId="248A217D">
      <w:pPr>
        <w:rPr>
          <w:rFonts w:ascii="Arial" w:hAnsi="Arial" w:eastAsia="Arial" w:cs="Arial"/>
          <w:noProof w:val="0"/>
          <w:color w:val="000000" w:themeColor="text1" w:themeTint="FF" w:themeShade="FF"/>
          <w:sz w:val="22"/>
          <w:szCs w:val="22"/>
          <w:lang w:val="en-GB"/>
        </w:rPr>
      </w:pPr>
      <w:r w:rsidRPr="2A5F3241" w:rsidR="0754B685">
        <w:rPr>
          <w:rFonts w:ascii="Arial" w:hAnsi="Arial" w:eastAsia="Arial" w:cs="Arial"/>
          <w:noProof w:val="0"/>
          <w:color w:val="000000" w:themeColor="text1" w:themeTint="FF" w:themeShade="FF"/>
          <w:sz w:val="22"/>
          <w:szCs w:val="22"/>
          <w:lang w:val="en-GB"/>
        </w:rPr>
        <w:t>Age-related psychological changes that this theory talks about include thinking more deeply about the past, becoming more aware that death is approaching, and needing to find meaning in everything that has happened during life (Erikson, 1959). Challenges include dealing with losing partners and friends, getting ill more often, becoming less independent, and possibly feeling worthless if people believe their life did not have much purpose. Older adults with dementia face extra difficulties because memory problems can stop them from properly looking back on their lives in a clear way, which might increase confusion and feelings of sadness.</w:t>
      </w:r>
    </w:p>
    <w:p w:rsidR="0754B685" w:rsidP="2A5F3241" w:rsidRDefault="0754B685" w14:paraId="07962259" w14:textId="51B966F2">
      <w:pPr>
        <w:rPr>
          <w:rFonts w:ascii="Arial" w:hAnsi="Arial" w:eastAsia="Arial" w:cs="Arial"/>
          <w:b w:val="1"/>
          <w:bCs w:val="1"/>
          <w:noProof w:val="0"/>
          <w:color w:val="000000" w:themeColor="text1" w:themeTint="FF" w:themeShade="FF"/>
          <w:sz w:val="22"/>
          <w:szCs w:val="22"/>
          <w:lang w:val="en-GB"/>
        </w:rPr>
      </w:pPr>
      <w:r w:rsidRPr="2A5F3241" w:rsidR="0754B685">
        <w:rPr>
          <w:rFonts w:ascii="Arial" w:hAnsi="Arial" w:eastAsia="Arial" w:cs="Arial"/>
          <w:b w:val="1"/>
          <w:bCs w:val="1"/>
          <w:noProof w:val="0"/>
          <w:color w:val="000000" w:themeColor="text1" w:themeTint="FF" w:themeShade="FF"/>
          <w:sz w:val="22"/>
          <w:szCs w:val="22"/>
          <w:lang w:val="en-GB"/>
        </w:rPr>
        <w:t>Maslow's Hierarchy of Needs</w:t>
      </w:r>
    </w:p>
    <w:p w:rsidR="0754B685" w:rsidP="2A5F3241" w:rsidRDefault="0754B685" w14:paraId="72E460D7" w14:textId="67BABD21">
      <w:pPr>
        <w:rPr>
          <w:rFonts w:ascii="Arial" w:hAnsi="Arial" w:eastAsia="Arial" w:cs="Arial"/>
          <w:noProof w:val="0"/>
          <w:color w:val="000000" w:themeColor="text1" w:themeTint="FF" w:themeShade="FF"/>
          <w:sz w:val="22"/>
          <w:szCs w:val="22"/>
          <w:lang w:val="en-GB"/>
        </w:rPr>
      </w:pPr>
      <w:r w:rsidRPr="2A5F3241" w:rsidR="0754B685">
        <w:rPr>
          <w:rFonts w:ascii="Arial" w:hAnsi="Arial" w:eastAsia="Arial" w:cs="Arial"/>
          <w:noProof w:val="0"/>
          <w:color w:val="000000" w:themeColor="text1" w:themeTint="FF" w:themeShade="FF"/>
          <w:sz w:val="22"/>
          <w:szCs w:val="22"/>
          <w:lang w:val="en-GB"/>
        </w:rPr>
        <w:t>Abraham Maslow was an American psychologist who created his hierarchy of needs theory in 1943, starting a new movement in psychology that focused on human potential and personal growth (Maslow, 1943). The main idea is that what motivates people follows a pyramid structure, with five levels of needs that must be satisfied in order from bottom to top: physical needs like food and water, safety needs, social needs for love and friendship, esteem needs for respect and confidence, and self-actualisation which means becoming the best version of yourself (McLeod, 2020). Important terms include 'self-actualisation', meaning reaching your full potential, and 'deficiency needs', which refers to the bottom four levels that must be met before someone can focus on personal growth.</w:t>
      </w:r>
    </w:p>
    <w:p w:rsidR="0754B685" w:rsidP="2A5F3241" w:rsidRDefault="0754B685" w14:paraId="712549E4" w14:textId="34B1EC24">
      <w:pPr>
        <w:rPr>
          <w:rFonts w:ascii="Arial" w:hAnsi="Arial" w:eastAsia="Arial" w:cs="Arial"/>
          <w:noProof w:val="0"/>
          <w:color w:val="000000" w:themeColor="text1" w:themeTint="FF" w:themeShade="FF"/>
          <w:sz w:val="22"/>
          <w:szCs w:val="22"/>
          <w:lang w:val="en-GB"/>
        </w:rPr>
      </w:pPr>
      <w:r w:rsidRPr="2A5F3241" w:rsidR="0754B685">
        <w:rPr>
          <w:rFonts w:ascii="Arial" w:hAnsi="Arial" w:eastAsia="Arial" w:cs="Arial"/>
          <w:noProof w:val="0"/>
          <w:color w:val="000000" w:themeColor="text1" w:themeTint="FF" w:themeShade="FF"/>
          <w:sz w:val="22"/>
          <w:szCs w:val="22"/>
          <w:lang w:val="en-GB"/>
        </w:rPr>
        <w:t>For adults aged 65 and over, this theory still applies but what matters most changes quite a bit. Physical needs become more urgent as health problems develop, moving around becomes harder, and taking regular medication becomes necessary (Maslow, 1943). Safety needs grow to include preventing falls, having suitable housing that is easy to move around in, and having enough money to live comfortably after stopping work. Social needs become extremely important as older adults often feel lonely because partners and friends pass away, they stop working, and they see fewer people regularly (McLeod, 2020).</w:t>
      </w:r>
    </w:p>
    <w:p w:rsidR="0754B685" w:rsidP="2A5F3241" w:rsidRDefault="0754B685" w14:paraId="560F1BB1" w14:textId="5F996900">
      <w:pPr>
        <w:rPr>
          <w:rFonts w:ascii="Arial" w:hAnsi="Arial" w:eastAsia="Arial" w:cs="Arial"/>
          <w:noProof w:val="0"/>
          <w:color w:val="000000" w:themeColor="text1" w:themeTint="FF" w:themeShade="FF"/>
          <w:sz w:val="22"/>
          <w:szCs w:val="22"/>
          <w:lang w:val="en-GB"/>
        </w:rPr>
      </w:pPr>
      <w:r w:rsidRPr="2A5F3241" w:rsidR="0754B685">
        <w:rPr>
          <w:rFonts w:ascii="Arial" w:hAnsi="Arial" w:eastAsia="Arial" w:cs="Arial"/>
          <w:noProof w:val="0"/>
          <w:color w:val="000000" w:themeColor="text1" w:themeTint="FF" w:themeShade="FF"/>
          <w:sz w:val="22"/>
          <w:szCs w:val="22"/>
          <w:lang w:val="en-GB"/>
        </w:rPr>
        <w:t>Age-related psychological challenges that Maslow's theory points out include struggling to feel good about yourself when your body stops working as well, needing more help from others, and facing negative attitudes from society that treats older people as less valuable (Maslow, 1943). Older adults might find self-actualisation through new activities like helping in the community, doing creative things like painting or writing, or sharing their knowledge with younger people, but they can only do this if all their basic needs are looked after first. For people in care homes with dementia, making sure their physical needs like food, warmth, and comfort are met becomes the most important priority, whilst keeping their dignity and helping them stay connected to others remains vital for their mental health even when memory and thinking become more difficult (McLeod, 2020).</w:t>
      </w:r>
    </w:p>
    <w:p w:rsidR="15997A0C" w:rsidP="2A5F3241" w:rsidRDefault="15997A0C" w14:paraId="145D2704" w14:textId="283542F2">
      <w:pPr>
        <w:spacing w:before="240" w:beforeAutospacing="off" w:after="240" w:afterAutospacing="off"/>
      </w:pPr>
      <w:r w:rsidRPr="2A5F3241" w:rsidR="15997A0C">
        <w:rPr>
          <w:rFonts w:ascii="Arial" w:hAnsi="Arial" w:eastAsia="Arial" w:cs="Arial"/>
          <w:b w:val="1"/>
          <w:bCs w:val="1"/>
          <w:noProof w:val="0"/>
          <w:color w:val="000000" w:themeColor="text1" w:themeTint="FF" w:themeShade="FF"/>
          <w:sz w:val="22"/>
          <w:szCs w:val="22"/>
          <w:lang w:val="en-GB"/>
        </w:rPr>
        <w:t>Critical Evaluation of Theories in Care Home Settings</w:t>
      </w:r>
    </w:p>
    <w:p w:rsidR="15997A0C" w:rsidP="2A5F3241" w:rsidRDefault="15997A0C" w14:paraId="0640FAD2" w14:textId="30B3F75E">
      <w:pPr>
        <w:spacing w:before="240" w:beforeAutospacing="off" w:after="240" w:afterAutospacing="off"/>
      </w:pPr>
      <w:r w:rsidRPr="2A5F3241" w:rsidR="15997A0C">
        <w:rPr>
          <w:rFonts w:ascii="Arial" w:hAnsi="Arial" w:eastAsia="Arial" w:cs="Arial"/>
          <w:b w:val="1"/>
          <w:bCs w:val="1"/>
          <w:noProof w:val="0"/>
          <w:color w:val="000000" w:themeColor="text1" w:themeTint="FF" w:themeShade="FF"/>
          <w:sz w:val="22"/>
          <w:szCs w:val="22"/>
          <w:lang w:val="en-GB"/>
        </w:rPr>
        <w:t>Applying Erikson's Theory to Dementia Care</w:t>
      </w:r>
    </w:p>
    <w:p w:rsidR="15997A0C" w:rsidP="2A5F3241" w:rsidRDefault="15997A0C" w14:paraId="47A51AE7" w14:textId="0AC452EA">
      <w:pPr>
        <w:spacing w:before="240" w:beforeAutospacing="off" w:after="240" w:afterAutospacing="off"/>
      </w:pPr>
      <w:r w:rsidRPr="2A5F3241" w:rsidR="15997A0C">
        <w:rPr>
          <w:rFonts w:ascii="Arial" w:hAnsi="Arial" w:eastAsia="Arial" w:cs="Arial"/>
          <w:noProof w:val="0"/>
          <w:color w:val="000000" w:themeColor="text1" w:themeTint="FF" w:themeShade="FF"/>
          <w:sz w:val="22"/>
          <w:szCs w:val="22"/>
          <w:lang w:val="en-GB"/>
        </w:rPr>
        <w:t>Erikson's psychosocial theory helps care staff understand why residents with dementia might show certain behaviours and feelings. When older adults cannot look back on their lives properly because of memory loss, they may become worried, upset, or want to be left alone, which shows they are experiencing the despair that Erikson talked about (Erikson, 1959). Understanding this helps carers see that challenging behaviours often come from emotional needs that are not being met, rather than residents trying to be difficult on purpose (Sugarman, 2001).</w:t>
      </w:r>
      <w:r w:rsidRPr="2A5F3241" w:rsidR="15997A0C">
        <w:rPr>
          <w:rFonts w:ascii="Arial" w:hAnsi="Arial" w:eastAsia="Arial" w:cs="Arial"/>
          <w:noProof w:val="0"/>
          <w:color w:val="000000" w:themeColor="text1" w:themeTint="FF" w:themeShade="FF"/>
          <w:sz w:val="22"/>
          <w:szCs w:val="22"/>
          <w:lang w:val="en-GB"/>
        </w:rPr>
        <w:t>In practice, staff can help residents by making memory boxes filled with photographs, special items, and books about their life story that help residents remember their past achievements and the people they loved (McLeod, 2018). For example, a resident who used to be a teacher might enjoy looking at old school photographs whilst staff talk positively about how they helped educate children. This recognition helps bring back dignity and reduces feelings of sadness, even when memory problems make it hard for residents to talk clearly (Erikson, 1959). Research suggests that life review therapy can significantly improve wellbeing and reduce depression in older adults, even those with mild cognitive impairment (Woods et al., 2018).</w:t>
      </w:r>
    </w:p>
    <w:p w:rsidR="15997A0C" w:rsidP="2A5F3241" w:rsidRDefault="15997A0C" w14:paraId="54B02A6F" w14:textId="7006381C">
      <w:pPr>
        <w:spacing w:before="240" w:beforeAutospacing="off" w:after="240" w:afterAutospacing="off"/>
      </w:pPr>
      <w:r w:rsidRPr="2A5F3241" w:rsidR="15997A0C">
        <w:rPr>
          <w:rFonts w:ascii="Arial" w:hAnsi="Arial" w:eastAsia="Arial" w:cs="Arial"/>
          <w:noProof w:val="0"/>
          <w:color w:val="000000" w:themeColor="text1" w:themeTint="FF" w:themeShade="FF"/>
          <w:sz w:val="22"/>
          <w:szCs w:val="22"/>
          <w:lang w:val="en-GB"/>
        </w:rPr>
        <w:t>However, care workers face real difficulties using this theory. Residents with severe dementia may not remember family members or important things that happened in their lives, making it hard to do traditional reminiscence work (McLeod, 2018). Also, some residents may have had difficult or traumatic experiences that upset them rather than comfort them when remembered. To deal with these problems, staff should use person-centred care that focuses on how the resident feels right now rather than forcing them to remember the past, and they should change activities based on how each individual responds (Kitwood, 1997).</w:t>
      </w:r>
    </w:p>
    <w:p w:rsidR="15997A0C" w:rsidP="2A5F3241" w:rsidRDefault="15997A0C" w14:paraId="37A89088" w14:textId="7A520E02">
      <w:pPr>
        <w:spacing w:before="240" w:beforeAutospacing="off" w:after="240" w:afterAutospacing="off"/>
      </w:pPr>
      <w:r w:rsidRPr="2A5F3241" w:rsidR="15997A0C">
        <w:rPr>
          <w:rFonts w:ascii="Arial" w:hAnsi="Arial" w:eastAsia="Arial" w:cs="Arial"/>
          <w:b w:val="1"/>
          <w:bCs w:val="1"/>
          <w:noProof w:val="0"/>
          <w:color w:val="000000" w:themeColor="text1" w:themeTint="FF" w:themeShade="FF"/>
          <w:sz w:val="22"/>
          <w:szCs w:val="22"/>
          <w:lang w:val="en-GB"/>
        </w:rPr>
        <w:t>Applying Maslow's Theory to Dementia Care</w:t>
      </w:r>
    </w:p>
    <w:p w:rsidR="15997A0C" w:rsidP="2A5F3241" w:rsidRDefault="15997A0C" w14:paraId="6A2E22EF" w14:textId="198FA57F">
      <w:pPr>
        <w:spacing w:before="240" w:beforeAutospacing="off" w:after="240" w:afterAutospacing="off"/>
      </w:pPr>
      <w:r w:rsidRPr="2A5F3241" w:rsidR="15997A0C">
        <w:rPr>
          <w:rFonts w:ascii="Arial" w:hAnsi="Arial" w:eastAsia="Arial" w:cs="Arial"/>
          <w:noProof w:val="0"/>
          <w:color w:val="000000" w:themeColor="text1" w:themeTint="FF" w:themeShade="FF"/>
          <w:sz w:val="22"/>
          <w:szCs w:val="22"/>
          <w:lang w:val="en-GB"/>
        </w:rPr>
        <w:t>Maslow's hierarchy gives care staff a useful guide for understanding why residents with dementia act in certain ways. When basic physical needs are not being met, residents may become distressed, angry, or unable to settle (Maslow, 1943). For example, a resident who keeps shouting might actually be trying to say they are hungry, in pain, or need the toilet, rather than just showing symptoms of their dementia. Understanding this helps staff look past the behaviour to find out what is really wrong (McLeod, 2020).</w:t>
      </w:r>
    </w:p>
    <w:p w:rsidR="15997A0C" w:rsidP="2A5F3241" w:rsidRDefault="15997A0C" w14:paraId="06C1F44E" w14:textId="66B5E723">
      <w:pPr>
        <w:spacing w:before="240" w:beforeAutospacing="off" w:after="240" w:afterAutospacing="off"/>
      </w:pPr>
      <w:r w:rsidRPr="2A5F3241" w:rsidR="15997A0C">
        <w:rPr>
          <w:rFonts w:ascii="Arial" w:hAnsi="Arial" w:eastAsia="Arial" w:cs="Arial"/>
          <w:noProof w:val="0"/>
          <w:color w:val="000000" w:themeColor="text1" w:themeTint="FF" w:themeShade="FF"/>
          <w:sz w:val="22"/>
          <w:szCs w:val="22"/>
          <w:lang w:val="en-GB"/>
        </w:rPr>
        <w:t>In everyday care, teams can use Maslow's hierarchy like a checklist when residents get upset. Staff should first make sure physical needs are sorted by checking whether the resident is comfortable, warm enough, has eaten, and is not in pain (Maslow, 1943). Then, they look at safety needs by keeping daily routines familiar and predictable, which helps reduce worry and confusion (Brooker, 2007). Social needs can be met by spending quality time with residents, running group activities, and arranging family visits. Dignity needs are supported by letting residents stay independent where possible, like allowing them to feed themselves even if they spill food, and always speaking to them with respect (McLeod, 2020).</w:t>
      </w:r>
    </w:p>
    <w:p w:rsidR="15997A0C" w:rsidP="2A5F3241" w:rsidRDefault="15997A0C" w14:paraId="354D90E1" w14:textId="1F692DE9">
      <w:pPr>
        <w:spacing w:before="240" w:beforeAutospacing="off" w:after="240" w:afterAutospacing="off"/>
      </w:pPr>
      <w:r w:rsidRPr="2A5F3241" w:rsidR="15997A0C">
        <w:rPr>
          <w:rFonts w:ascii="Arial" w:hAnsi="Arial" w:eastAsia="Arial" w:cs="Arial"/>
          <w:noProof w:val="0"/>
          <w:color w:val="000000" w:themeColor="text1" w:themeTint="FF" w:themeShade="FF"/>
          <w:sz w:val="22"/>
          <w:szCs w:val="22"/>
          <w:lang w:val="en-GB"/>
        </w:rPr>
        <w:t>Challenges include the fact that the theory suggests you must fully meet lower needs before moving to higher ones, but real life does not work this neatly. Actually, a resident might need company and respect at the same time as physical care (Maslow, 1943). Some residents might refuse food but feel much better after talking with someone, which goes against what the hierarchy suggests should happen. To get around this, care workers should use the theory in a flexible way, understanding that people often have several different needs at once and that emotional wellbeing can sometimes be more important than following a strict order (McLeod, 2020). Training staff to look at the whole person rather than just ticking boxes means they can give better, more personal care that truly makes life better for residents living with dementia (Innes, 2009).</w:t>
      </w:r>
    </w:p>
    <w:p w:rsidR="2A5F3241" w:rsidP="2A5F3241" w:rsidRDefault="2A5F3241" w14:paraId="5B51BA92" w14:textId="332A4D1A">
      <w:pPr>
        <w:rPr>
          <w:rFonts w:ascii="Arial" w:hAnsi="Arial" w:eastAsia="Arial" w:cs="Arial"/>
          <w:noProof w:val="0"/>
          <w:color w:val="000000" w:themeColor="text1" w:themeTint="FF" w:themeShade="FF"/>
          <w:sz w:val="22"/>
          <w:szCs w:val="22"/>
          <w:lang w:val="en-GB"/>
        </w:rPr>
      </w:pPr>
    </w:p>
    <w:p w:rsidR="2A5F3241" w:rsidP="2A5F3241" w:rsidRDefault="2A5F3241" w14:paraId="5A0A6D40" w14:textId="5812131E">
      <w:pPr>
        <w:rPr>
          <w:rFonts w:ascii="Arial" w:hAnsi="Arial" w:eastAsia="Arial" w:cs="Arial"/>
          <w:noProof w:val="0"/>
          <w:color w:val="000000" w:themeColor="text1" w:themeTint="FF" w:themeShade="FF"/>
          <w:sz w:val="22"/>
          <w:szCs w:val="22"/>
          <w:lang w:val="en-GB"/>
        </w:rPr>
      </w:pPr>
    </w:p>
    <w:p w:rsidR="2A5F3241" w:rsidP="2A5F3241" w:rsidRDefault="2A5F3241" w14:paraId="0EF00F46" w14:textId="41BF7587">
      <w:pPr>
        <w:pStyle w:val="Normal"/>
        <w:rPr>
          <w:rFonts w:ascii="Arial" w:hAnsi="Arial" w:eastAsia="Arial" w:cs="Arial"/>
          <w:noProof w:val="0"/>
          <w:color w:val="000000" w:themeColor="text1" w:themeTint="FF" w:themeShade="FF"/>
          <w:sz w:val="22"/>
          <w:szCs w:val="22"/>
          <w:lang w:val="en-GB"/>
        </w:rPr>
      </w:pPr>
    </w:p>
    <w:p w:rsidR="3765C725" w:rsidP="2A5F3241" w:rsidRDefault="3765C725" w14:paraId="7F743D8C" w14:textId="2F341598">
      <w:pPr>
        <w:pStyle w:val="Normal"/>
        <w:rPr>
          <w:rFonts w:ascii="Arial" w:hAnsi="Arial" w:eastAsia="Arial" w:cs="Arial"/>
          <w:sz w:val="22"/>
          <w:szCs w:val="22"/>
        </w:rPr>
      </w:pPr>
      <w:r w:rsidRPr="2A5F3241" w:rsidR="3765C725">
        <w:rPr>
          <w:rFonts w:ascii="Arial" w:hAnsi="Arial" w:eastAsia="Arial" w:cs="Arial"/>
          <w:sz w:val="22"/>
          <w:szCs w:val="22"/>
        </w:rPr>
        <w:t xml:space="preserve">References: </w:t>
      </w:r>
    </w:p>
    <w:p w:rsidR="56474212" w:rsidP="2A5F3241" w:rsidRDefault="56474212" w14:paraId="45A7B1E2" w14:textId="57FF5206">
      <w:pPr>
        <w:rPr>
          <w:rFonts w:ascii="Arial" w:hAnsi="Arial" w:eastAsia="Arial" w:cs="Arial"/>
          <w:noProof w:val="0"/>
          <w:color w:val="000000" w:themeColor="text1" w:themeTint="FF" w:themeShade="FF"/>
          <w:sz w:val="22"/>
          <w:szCs w:val="22"/>
          <w:lang w:val="en-GB"/>
        </w:rPr>
      </w:pPr>
      <w:r w:rsidRPr="2A5F3241" w:rsidR="56474212">
        <w:rPr>
          <w:rFonts w:ascii="Arial" w:hAnsi="Arial" w:eastAsia="Arial" w:cs="Arial"/>
          <w:noProof w:val="0"/>
          <w:color w:val="000000" w:themeColor="text1" w:themeTint="FF" w:themeShade="FF"/>
          <w:sz w:val="22"/>
          <w:szCs w:val="22"/>
          <w:lang w:val="en-GB"/>
        </w:rPr>
        <w:t xml:space="preserve">Brooker, D. (2007) </w:t>
      </w:r>
      <w:r w:rsidRPr="2A5F3241" w:rsidR="56474212">
        <w:rPr>
          <w:rFonts w:ascii="Arial" w:hAnsi="Arial" w:eastAsia="Arial" w:cs="Arial"/>
          <w:i w:val="1"/>
          <w:iCs w:val="1"/>
          <w:noProof w:val="0"/>
          <w:color w:val="000000" w:themeColor="text1" w:themeTint="FF" w:themeShade="FF"/>
          <w:sz w:val="22"/>
          <w:szCs w:val="22"/>
          <w:lang w:val="en-GB"/>
        </w:rPr>
        <w:t>Person-centred dementia care: making services better</w:t>
      </w:r>
      <w:r w:rsidRPr="2A5F3241" w:rsidR="56474212">
        <w:rPr>
          <w:rFonts w:ascii="Arial" w:hAnsi="Arial" w:eastAsia="Arial" w:cs="Arial"/>
          <w:noProof w:val="0"/>
          <w:color w:val="000000" w:themeColor="text1" w:themeTint="FF" w:themeShade="FF"/>
          <w:sz w:val="22"/>
          <w:szCs w:val="22"/>
          <w:lang w:val="en-GB"/>
        </w:rPr>
        <w:t>. London: Jessica Kingsley Publishers.</w:t>
      </w:r>
    </w:p>
    <w:p w:rsidR="56474212" w:rsidP="2A5F3241" w:rsidRDefault="56474212" w14:paraId="7E78D07E" w14:textId="6CC9821D">
      <w:pPr>
        <w:rPr>
          <w:rFonts w:ascii="Arial" w:hAnsi="Arial" w:eastAsia="Arial" w:cs="Arial"/>
          <w:noProof w:val="0"/>
          <w:color w:val="000000" w:themeColor="text1" w:themeTint="FF" w:themeShade="FF"/>
          <w:sz w:val="22"/>
          <w:szCs w:val="22"/>
          <w:lang w:val="en-GB"/>
        </w:rPr>
      </w:pPr>
      <w:r w:rsidRPr="2A5F3241" w:rsidR="56474212">
        <w:rPr>
          <w:rFonts w:ascii="Arial" w:hAnsi="Arial" w:eastAsia="Arial" w:cs="Arial"/>
          <w:noProof w:val="0"/>
          <w:color w:val="000000" w:themeColor="text1" w:themeTint="FF" w:themeShade="FF"/>
          <w:sz w:val="22"/>
          <w:szCs w:val="22"/>
          <w:lang w:val="en-GB"/>
        </w:rPr>
        <w:t xml:space="preserve">Erikson, E.H. (1959) </w:t>
      </w:r>
      <w:r w:rsidRPr="2A5F3241" w:rsidR="56474212">
        <w:rPr>
          <w:rFonts w:ascii="Arial" w:hAnsi="Arial" w:eastAsia="Arial" w:cs="Arial"/>
          <w:i w:val="1"/>
          <w:iCs w:val="1"/>
          <w:noProof w:val="0"/>
          <w:color w:val="000000" w:themeColor="text1" w:themeTint="FF" w:themeShade="FF"/>
          <w:sz w:val="22"/>
          <w:szCs w:val="22"/>
          <w:lang w:val="en-GB"/>
        </w:rPr>
        <w:t>Identity and the life cycle</w:t>
      </w:r>
      <w:r w:rsidRPr="2A5F3241" w:rsidR="56474212">
        <w:rPr>
          <w:rFonts w:ascii="Arial" w:hAnsi="Arial" w:eastAsia="Arial" w:cs="Arial"/>
          <w:noProof w:val="0"/>
          <w:color w:val="000000" w:themeColor="text1" w:themeTint="FF" w:themeShade="FF"/>
          <w:sz w:val="22"/>
          <w:szCs w:val="22"/>
          <w:lang w:val="en-GB"/>
        </w:rPr>
        <w:t>. New York: International Universities Press.</w:t>
      </w:r>
    </w:p>
    <w:p w:rsidR="56474212" w:rsidP="2A5F3241" w:rsidRDefault="56474212" w14:paraId="506FF88A" w14:textId="20E1CC9F">
      <w:pPr>
        <w:rPr>
          <w:rFonts w:ascii="Arial" w:hAnsi="Arial" w:eastAsia="Arial" w:cs="Arial"/>
          <w:noProof w:val="0"/>
          <w:color w:val="000000" w:themeColor="text1" w:themeTint="FF" w:themeShade="FF"/>
          <w:sz w:val="22"/>
          <w:szCs w:val="22"/>
          <w:lang w:val="en-GB"/>
        </w:rPr>
      </w:pPr>
      <w:r w:rsidRPr="2A5F3241" w:rsidR="56474212">
        <w:rPr>
          <w:rFonts w:ascii="Arial" w:hAnsi="Arial" w:eastAsia="Arial" w:cs="Arial"/>
          <w:noProof w:val="0"/>
          <w:color w:val="000000" w:themeColor="text1" w:themeTint="FF" w:themeShade="FF"/>
          <w:sz w:val="22"/>
          <w:szCs w:val="22"/>
          <w:lang w:val="en-GB"/>
        </w:rPr>
        <w:t xml:space="preserve">Innes, A. (2009) </w:t>
      </w:r>
      <w:r w:rsidRPr="2A5F3241" w:rsidR="56474212">
        <w:rPr>
          <w:rFonts w:ascii="Arial" w:hAnsi="Arial" w:eastAsia="Arial" w:cs="Arial"/>
          <w:i w:val="1"/>
          <w:iCs w:val="1"/>
          <w:noProof w:val="0"/>
          <w:color w:val="000000" w:themeColor="text1" w:themeTint="FF" w:themeShade="FF"/>
          <w:sz w:val="22"/>
          <w:szCs w:val="22"/>
          <w:lang w:val="en-GB"/>
        </w:rPr>
        <w:t>Dementia studies: a social science perspective</w:t>
      </w:r>
      <w:r w:rsidRPr="2A5F3241" w:rsidR="56474212">
        <w:rPr>
          <w:rFonts w:ascii="Arial" w:hAnsi="Arial" w:eastAsia="Arial" w:cs="Arial"/>
          <w:noProof w:val="0"/>
          <w:color w:val="000000" w:themeColor="text1" w:themeTint="FF" w:themeShade="FF"/>
          <w:sz w:val="22"/>
          <w:szCs w:val="22"/>
          <w:lang w:val="en-GB"/>
        </w:rPr>
        <w:t>. London: SAGE Publications.</w:t>
      </w:r>
    </w:p>
    <w:p w:rsidR="56474212" w:rsidP="2A5F3241" w:rsidRDefault="56474212" w14:paraId="4407814F" w14:textId="16058B92">
      <w:pPr>
        <w:rPr>
          <w:rFonts w:ascii="Arial" w:hAnsi="Arial" w:eastAsia="Arial" w:cs="Arial"/>
          <w:noProof w:val="0"/>
          <w:color w:val="000000" w:themeColor="text1" w:themeTint="FF" w:themeShade="FF"/>
          <w:sz w:val="22"/>
          <w:szCs w:val="22"/>
          <w:lang w:val="en-GB"/>
        </w:rPr>
      </w:pPr>
      <w:r w:rsidRPr="2A5F3241" w:rsidR="56474212">
        <w:rPr>
          <w:rFonts w:ascii="Arial" w:hAnsi="Arial" w:eastAsia="Arial" w:cs="Arial"/>
          <w:noProof w:val="0"/>
          <w:color w:val="000000" w:themeColor="text1" w:themeTint="FF" w:themeShade="FF"/>
          <w:sz w:val="22"/>
          <w:szCs w:val="22"/>
          <w:lang w:val="en-GB"/>
        </w:rPr>
        <w:t xml:space="preserve">Kitwood, T. (1997) </w:t>
      </w:r>
      <w:r w:rsidRPr="2A5F3241" w:rsidR="56474212">
        <w:rPr>
          <w:rFonts w:ascii="Arial" w:hAnsi="Arial" w:eastAsia="Arial" w:cs="Arial"/>
          <w:i w:val="1"/>
          <w:iCs w:val="1"/>
          <w:noProof w:val="0"/>
          <w:color w:val="000000" w:themeColor="text1" w:themeTint="FF" w:themeShade="FF"/>
          <w:sz w:val="22"/>
          <w:szCs w:val="22"/>
          <w:lang w:val="en-GB"/>
        </w:rPr>
        <w:t>Dementia reconsidered: the person comes first</w:t>
      </w:r>
      <w:r w:rsidRPr="2A5F3241" w:rsidR="56474212">
        <w:rPr>
          <w:rFonts w:ascii="Arial" w:hAnsi="Arial" w:eastAsia="Arial" w:cs="Arial"/>
          <w:noProof w:val="0"/>
          <w:color w:val="000000" w:themeColor="text1" w:themeTint="FF" w:themeShade="FF"/>
          <w:sz w:val="22"/>
          <w:szCs w:val="22"/>
          <w:lang w:val="en-GB"/>
        </w:rPr>
        <w:t>. Buckingham: Open University Press.</w:t>
      </w:r>
    </w:p>
    <w:p w:rsidR="56474212" w:rsidP="2A5F3241" w:rsidRDefault="56474212" w14:paraId="23CDE940" w14:textId="6C0C735D">
      <w:pPr>
        <w:rPr>
          <w:rFonts w:ascii="Arial" w:hAnsi="Arial" w:eastAsia="Arial" w:cs="Arial"/>
          <w:noProof w:val="0"/>
          <w:color w:val="000000" w:themeColor="text1" w:themeTint="FF" w:themeShade="FF"/>
          <w:sz w:val="22"/>
          <w:szCs w:val="22"/>
          <w:lang w:val="en-GB"/>
        </w:rPr>
      </w:pPr>
      <w:r w:rsidRPr="2A5F3241" w:rsidR="56474212">
        <w:rPr>
          <w:rFonts w:ascii="Arial" w:hAnsi="Arial" w:eastAsia="Arial" w:cs="Arial"/>
          <w:noProof w:val="0"/>
          <w:color w:val="000000" w:themeColor="text1" w:themeTint="FF" w:themeShade="FF"/>
          <w:sz w:val="22"/>
          <w:szCs w:val="22"/>
          <w:lang w:val="en-GB"/>
        </w:rPr>
        <w:t xml:space="preserve">Maslow, A.H. (1943) 'A theory of human motivation', </w:t>
      </w:r>
      <w:r w:rsidRPr="2A5F3241" w:rsidR="56474212">
        <w:rPr>
          <w:rFonts w:ascii="Arial" w:hAnsi="Arial" w:eastAsia="Arial" w:cs="Arial"/>
          <w:i w:val="1"/>
          <w:iCs w:val="1"/>
          <w:noProof w:val="0"/>
          <w:color w:val="000000" w:themeColor="text1" w:themeTint="FF" w:themeShade="FF"/>
          <w:sz w:val="22"/>
          <w:szCs w:val="22"/>
          <w:lang w:val="en-GB"/>
        </w:rPr>
        <w:t>Psychological Review</w:t>
      </w:r>
      <w:r w:rsidRPr="2A5F3241" w:rsidR="56474212">
        <w:rPr>
          <w:rFonts w:ascii="Arial" w:hAnsi="Arial" w:eastAsia="Arial" w:cs="Arial"/>
          <w:noProof w:val="0"/>
          <w:color w:val="000000" w:themeColor="text1" w:themeTint="FF" w:themeShade="FF"/>
          <w:sz w:val="22"/>
          <w:szCs w:val="22"/>
          <w:lang w:val="en-GB"/>
        </w:rPr>
        <w:t>, 50(4), pp. 370-396.</w:t>
      </w:r>
    </w:p>
    <w:p w:rsidR="2A5F3241" w:rsidP="2A5F3241" w:rsidRDefault="2A5F3241" w14:paraId="2CF66D08" w14:textId="5FA4F181">
      <w:pPr>
        <w:rPr>
          <w:rFonts w:ascii="Arial" w:hAnsi="Arial" w:eastAsia="Arial" w:cs="Arial"/>
          <w:noProof w:val="0"/>
          <w:color w:val="000000" w:themeColor="text1" w:themeTint="FF" w:themeShade="FF"/>
          <w:sz w:val="22"/>
          <w:szCs w:val="22"/>
          <w:lang w:val="en-GB"/>
        </w:rPr>
      </w:pPr>
    </w:p>
    <w:p w:rsidR="3765C725" w:rsidP="2A5F3241" w:rsidRDefault="3765C725" w14:paraId="34996509" w14:textId="1519AF20">
      <w:pPr>
        <w:rPr>
          <w:rFonts w:ascii="Arial" w:hAnsi="Arial" w:eastAsia="Arial" w:cs="Arial"/>
          <w:noProof w:val="0"/>
          <w:color w:val="000000" w:themeColor="text1" w:themeTint="FF" w:themeShade="FF"/>
          <w:sz w:val="22"/>
          <w:szCs w:val="22"/>
          <w:lang w:val="en-GB"/>
        </w:rPr>
      </w:pPr>
      <w:r w:rsidRPr="2A5F3241" w:rsidR="3765C725">
        <w:rPr>
          <w:rFonts w:ascii="Arial" w:hAnsi="Arial" w:eastAsia="Arial" w:cs="Arial"/>
          <w:noProof w:val="0"/>
          <w:color w:val="000000" w:themeColor="text1" w:themeTint="FF" w:themeShade="FF"/>
          <w:sz w:val="22"/>
          <w:szCs w:val="22"/>
          <w:lang w:val="en-GB"/>
        </w:rPr>
        <w:t xml:space="preserve">Erikson, E.H. (1959) </w:t>
      </w:r>
      <w:r w:rsidRPr="2A5F3241" w:rsidR="3765C725">
        <w:rPr>
          <w:rFonts w:ascii="Arial" w:hAnsi="Arial" w:eastAsia="Arial" w:cs="Arial"/>
          <w:i w:val="1"/>
          <w:iCs w:val="1"/>
          <w:noProof w:val="0"/>
          <w:color w:val="000000" w:themeColor="text1" w:themeTint="FF" w:themeShade="FF"/>
          <w:sz w:val="22"/>
          <w:szCs w:val="22"/>
          <w:lang w:val="en-GB"/>
        </w:rPr>
        <w:t>Identity and the life cycle</w:t>
      </w:r>
      <w:r w:rsidRPr="2A5F3241" w:rsidR="3765C725">
        <w:rPr>
          <w:rFonts w:ascii="Arial" w:hAnsi="Arial" w:eastAsia="Arial" w:cs="Arial"/>
          <w:noProof w:val="0"/>
          <w:color w:val="000000" w:themeColor="text1" w:themeTint="FF" w:themeShade="FF"/>
          <w:sz w:val="22"/>
          <w:szCs w:val="22"/>
          <w:lang w:val="en-GB"/>
        </w:rPr>
        <w:t>. New York: International Universities Press.</w:t>
      </w:r>
    </w:p>
    <w:p w:rsidR="3765C725" w:rsidP="2A5F3241" w:rsidRDefault="3765C725" w14:paraId="162E5C0C" w14:textId="42600F91">
      <w:pPr>
        <w:rPr>
          <w:rFonts w:ascii="Arial" w:hAnsi="Arial" w:eastAsia="Arial" w:cs="Arial"/>
          <w:noProof w:val="0"/>
          <w:color w:val="000000" w:themeColor="text1" w:themeTint="FF" w:themeShade="FF"/>
          <w:sz w:val="22"/>
          <w:szCs w:val="22"/>
          <w:lang w:val="en-GB"/>
        </w:rPr>
      </w:pPr>
      <w:r w:rsidRPr="2A5F3241" w:rsidR="3765C725">
        <w:rPr>
          <w:rFonts w:ascii="Arial" w:hAnsi="Arial" w:eastAsia="Arial" w:cs="Arial"/>
          <w:noProof w:val="0"/>
          <w:color w:val="000000" w:themeColor="text1" w:themeTint="FF" w:themeShade="FF"/>
          <w:sz w:val="22"/>
          <w:szCs w:val="22"/>
          <w:lang w:val="en-GB"/>
        </w:rPr>
        <w:t xml:space="preserve">Maslow, A.H. (1943) 'A theory of human motivation', </w:t>
      </w:r>
      <w:r w:rsidRPr="2A5F3241" w:rsidR="3765C725">
        <w:rPr>
          <w:rFonts w:ascii="Arial" w:hAnsi="Arial" w:eastAsia="Arial" w:cs="Arial"/>
          <w:i w:val="1"/>
          <w:iCs w:val="1"/>
          <w:noProof w:val="0"/>
          <w:color w:val="000000" w:themeColor="text1" w:themeTint="FF" w:themeShade="FF"/>
          <w:sz w:val="22"/>
          <w:szCs w:val="22"/>
          <w:lang w:val="en-GB"/>
        </w:rPr>
        <w:t>Psychological Review</w:t>
      </w:r>
      <w:r w:rsidRPr="2A5F3241" w:rsidR="3765C725">
        <w:rPr>
          <w:rFonts w:ascii="Arial" w:hAnsi="Arial" w:eastAsia="Arial" w:cs="Arial"/>
          <w:noProof w:val="0"/>
          <w:color w:val="000000" w:themeColor="text1" w:themeTint="FF" w:themeShade="FF"/>
          <w:sz w:val="22"/>
          <w:szCs w:val="22"/>
          <w:lang w:val="en-GB"/>
        </w:rPr>
        <w:t>, 50(4), pp. 370-396.</w:t>
      </w:r>
    </w:p>
    <w:p w:rsidR="3765C725" w:rsidP="2A5F3241" w:rsidRDefault="3765C725" w14:paraId="139543D7" w14:textId="5F1D3A85">
      <w:pPr>
        <w:rPr>
          <w:rFonts w:ascii="Arial" w:hAnsi="Arial" w:eastAsia="Arial" w:cs="Arial"/>
          <w:noProof w:val="0"/>
          <w:color w:val="000000" w:themeColor="text1" w:themeTint="FF" w:themeShade="FF"/>
          <w:sz w:val="22"/>
          <w:szCs w:val="22"/>
          <w:lang w:val="en-GB"/>
        </w:rPr>
      </w:pPr>
      <w:r w:rsidRPr="2A5F3241" w:rsidR="3765C725">
        <w:rPr>
          <w:rFonts w:ascii="Arial" w:hAnsi="Arial" w:eastAsia="Arial" w:cs="Arial"/>
          <w:noProof w:val="0"/>
          <w:color w:val="000000" w:themeColor="text1" w:themeTint="FF" w:themeShade="FF"/>
          <w:sz w:val="22"/>
          <w:szCs w:val="22"/>
          <w:lang w:val="en-GB"/>
        </w:rPr>
        <w:t xml:space="preserve">McLeod, S. (2018) </w:t>
      </w:r>
      <w:r w:rsidRPr="2A5F3241" w:rsidR="3765C725">
        <w:rPr>
          <w:rFonts w:ascii="Arial" w:hAnsi="Arial" w:eastAsia="Arial" w:cs="Arial"/>
          <w:i w:val="1"/>
          <w:iCs w:val="1"/>
          <w:noProof w:val="0"/>
          <w:color w:val="000000" w:themeColor="text1" w:themeTint="FF" w:themeShade="FF"/>
          <w:sz w:val="22"/>
          <w:szCs w:val="22"/>
          <w:lang w:val="en-GB"/>
        </w:rPr>
        <w:t>Erik Erikson's stages of psychosocial development</w:t>
      </w:r>
      <w:r w:rsidRPr="2A5F3241" w:rsidR="3765C725">
        <w:rPr>
          <w:rFonts w:ascii="Arial" w:hAnsi="Arial" w:eastAsia="Arial" w:cs="Arial"/>
          <w:noProof w:val="0"/>
          <w:color w:val="000000" w:themeColor="text1" w:themeTint="FF" w:themeShade="FF"/>
          <w:sz w:val="22"/>
          <w:szCs w:val="22"/>
          <w:lang w:val="en-GB"/>
        </w:rPr>
        <w:t xml:space="preserve">. Simply Psychology. Available at: </w:t>
      </w:r>
      <w:hyperlink r:id="R995e87a5174449cf">
        <w:r w:rsidRPr="2A5F3241" w:rsidR="3765C725">
          <w:rPr>
            <w:rStyle w:val="Hyperlink"/>
            <w:rFonts w:ascii="Arial" w:hAnsi="Arial" w:eastAsia="Arial" w:cs="Arial"/>
            <w:noProof w:val="0"/>
            <w:color w:val="000000" w:themeColor="text1" w:themeTint="FF" w:themeShade="FF"/>
            <w:sz w:val="22"/>
            <w:szCs w:val="22"/>
            <w:lang w:val="en-GB"/>
          </w:rPr>
          <w:t>https://www.simplypsychology.org</w:t>
        </w:r>
      </w:hyperlink>
      <w:r w:rsidRPr="2A5F3241" w:rsidR="3765C725">
        <w:rPr>
          <w:rFonts w:ascii="Arial" w:hAnsi="Arial" w:eastAsia="Arial" w:cs="Arial"/>
          <w:noProof w:val="0"/>
          <w:color w:val="000000" w:themeColor="text1" w:themeTint="FF" w:themeShade="FF"/>
          <w:sz w:val="22"/>
          <w:szCs w:val="22"/>
          <w:lang w:val="en-GB"/>
        </w:rPr>
        <w:t xml:space="preserve"> (Accessed: 13 November 2025).</w:t>
      </w:r>
    </w:p>
    <w:p w:rsidR="3765C725" w:rsidP="2A5F3241" w:rsidRDefault="3765C725" w14:paraId="3AA248D4" w14:textId="528ADE98">
      <w:pPr>
        <w:rPr>
          <w:rFonts w:ascii="Arial" w:hAnsi="Arial" w:eastAsia="Arial" w:cs="Arial"/>
          <w:noProof w:val="0"/>
          <w:color w:val="000000" w:themeColor="text1" w:themeTint="FF" w:themeShade="FF"/>
          <w:sz w:val="22"/>
          <w:szCs w:val="22"/>
          <w:lang w:val="en-GB"/>
        </w:rPr>
      </w:pPr>
      <w:r w:rsidRPr="2A5F3241" w:rsidR="3765C725">
        <w:rPr>
          <w:rFonts w:ascii="Arial" w:hAnsi="Arial" w:eastAsia="Arial" w:cs="Arial"/>
          <w:noProof w:val="0"/>
          <w:color w:val="000000" w:themeColor="text1" w:themeTint="FF" w:themeShade="FF"/>
          <w:sz w:val="22"/>
          <w:szCs w:val="22"/>
          <w:lang w:val="en-GB"/>
        </w:rPr>
        <w:t xml:space="preserve">McLeod, S. (2020) </w:t>
      </w:r>
      <w:r w:rsidRPr="2A5F3241" w:rsidR="3765C725">
        <w:rPr>
          <w:rFonts w:ascii="Arial" w:hAnsi="Arial" w:eastAsia="Arial" w:cs="Arial"/>
          <w:i w:val="1"/>
          <w:iCs w:val="1"/>
          <w:noProof w:val="0"/>
          <w:color w:val="000000" w:themeColor="text1" w:themeTint="FF" w:themeShade="FF"/>
          <w:sz w:val="22"/>
          <w:szCs w:val="22"/>
          <w:lang w:val="en-GB"/>
        </w:rPr>
        <w:t>Maslow's hierarchy of needs</w:t>
      </w:r>
      <w:r w:rsidRPr="2A5F3241" w:rsidR="3765C725">
        <w:rPr>
          <w:rFonts w:ascii="Arial" w:hAnsi="Arial" w:eastAsia="Arial" w:cs="Arial"/>
          <w:noProof w:val="0"/>
          <w:color w:val="000000" w:themeColor="text1" w:themeTint="FF" w:themeShade="FF"/>
          <w:sz w:val="22"/>
          <w:szCs w:val="22"/>
          <w:lang w:val="en-GB"/>
        </w:rPr>
        <w:t xml:space="preserve">. Simply Psychology. Available at: </w:t>
      </w:r>
      <w:hyperlink r:id="Raefaf9a5250d4b97">
        <w:r w:rsidRPr="2A5F3241" w:rsidR="3765C725">
          <w:rPr>
            <w:rStyle w:val="Hyperlink"/>
            <w:rFonts w:ascii="Arial" w:hAnsi="Arial" w:eastAsia="Arial" w:cs="Arial"/>
            <w:noProof w:val="0"/>
            <w:color w:val="000000" w:themeColor="text1" w:themeTint="FF" w:themeShade="FF"/>
            <w:sz w:val="22"/>
            <w:szCs w:val="22"/>
            <w:lang w:val="en-GB"/>
          </w:rPr>
          <w:t>https://www.simplypsychology.org</w:t>
        </w:r>
      </w:hyperlink>
      <w:r w:rsidRPr="2A5F3241" w:rsidR="3765C725">
        <w:rPr>
          <w:rFonts w:ascii="Arial" w:hAnsi="Arial" w:eastAsia="Arial" w:cs="Arial"/>
          <w:noProof w:val="0"/>
          <w:color w:val="000000" w:themeColor="text1" w:themeTint="FF" w:themeShade="FF"/>
          <w:sz w:val="22"/>
          <w:szCs w:val="22"/>
          <w:lang w:val="en-GB"/>
        </w:rPr>
        <w:t>(Accessed: 13 November 2025).</w:t>
      </w:r>
    </w:p>
    <w:p w:rsidR="2A5F3241" w:rsidP="2A5F3241" w:rsidRDefault="2A5F3241" w14:paraId="7ABD6AFB" w14:textId="0746CD8A">
      <w:pPr>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121C4D"/>
    <w:rsid w:val="0754B685"/>
    <w:rsid w:val="0EF2FE8B"/>
    <w:rsid w:val="145C3283"/>
    <w:rsid w:val="15997A0C"/>
    <w:rsid w:val="1B66461C"/>
    <w:rsid w:val="243338B2"/>
    <w:rsid w:val="2982E462"/>
    <w:rsid w:val="2A5F3241"/>
    <w:rsid w:val="2E60C9C5"/>
    <w:rsid w:val="2ED14791"/>
    <w:rsid w:val="317A6F13"/>
    <w:rsid w:val="32267652"/>
    <w:rsid w:val="3765C725"/>
    <w:rsid w:val="3C7C7EE5"/>
    <w:rsid w:val="41D0273A"/>
    <w:rsid w:val="420C286B"/>
    <w:rsid w:val="4A5143AA"/>
    <w:rsid w:val="4B79BC69"/>
    <w:rsid w:val="4E6B8D03"/>
    <w:rsid w:val="56474212"/>
    <w:rsid w:val="57A13AEB"/>
    <w:rsid w:val="5AF071FD"/>
    <w:rsid w:val="5CA3CA31"/>
    <w:rsid w:val="6062287C"/>
    <w:rsid w:val="69425610"/>
    <w:rsid w:val="69562AC0"/>
    <w:rsid w:val="6BDE9ED7"/>
    <w:rsid w:val="746BCF77"/>
    <w:rsid w:val="7AB3CBD4"/>
    <w:rsid w:val="7D121C4D"/>
    <w:rsid w:val="7F4CD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21C4D"/>
  <w15:chartTrackingRefBased/>
  <w15:docId w15:val="{B4B56568-DEE8-4C29-8219-EB7634B27B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A5F324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implypsychology.org/" TargetMode="External" Id="R995e87a5174449cf" /><Relationship Type="http://schemas.openxmlformats.org/officeDocument/2006/relationships/hyperlink" Target="https://www.simplypsychology.org/" TargetMode="External" Id="Raefaf9a5250d4b9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Nargis Ahmed (2329515)</dc:creator>
  <keywords/>
  <dc:description/>
  <lastModifiedBy>Nargis Ahmed (2329515)</lastModifiedBy>
  <revision>3</revision>
  <dcterms:created xsi:type="dcterms:W3CDTF">2025-11-13T18:36:54.6654930Z</dcterms:created>
  <dcterms:modified xsi:type="dcterms:W3CDTF">2025-11-17T22:49:36.6446584Z</dcterms:modified>
</coreProperties>
</file>