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414564" w14:textId="77777777" w:rsidR="0000464D" w:rsidRPr="006B239B" w:rsidRDefault="00000000">
      <w:pPr>
        <w:pStyle w:val="Title"/>
      </w:pPr>
      <w:bookmarkStart w:id="0" w:name="_yf85fxmfphx4" w:colFirst="0" w:colLast="0"/>
      <w:bookmarkEnd w:id="0"/>
      <w:r w:rsidRPr="006B239B">
        <w:t>Module: Stakeholder Engagement</w:t>
      </w:r>
    </w:p>
    <w:p w14:paraId="490FD842" w14:textId="77777777" w:rsidR="0000464D" w:rsidRPr="006B239B" w:rsidRDefault="00000000">
      <w:pPr>
        <w:pStyle w:val="Title"/>
      </w:pPr>
      <w:bookmarkStart w:id="1" w:name="_t11tlq4tzcrq" w:colFirst="0" w:colLast="0"/>
      <w:bookmarkEnd w:id="1"/>
      <w:r w:rsidRPr="006B239B">
        <w:t>Module Code: LCBB4013</w:t>
      </w:r>
    </w:p>
    <w:p w14:paraId="7FE82806" w14:textId="5AF4DFE3" w:rsidR="0000464D" w:rsidRDefault="00000000">
      <w:pPr>
        <w:pStyle w:val="Title"/>
      </w:pPr>
      <w:bookmarkStart w:id="2" w:name="_7j3as36z1kia" w:colFirst="0" w:colLast="0"/>
      <w:bookmarkEnd w:id="2"/>
      <w:r w:rsidRPr="006B239B">
        <w:t xml:space="preserve">Assignment Title: Component 1: Coursework-Portfolio </w:t>
      </w:r>
    </w:p>
    <w:p w14:paraId="04AE56DD" w14:textId="77777777" w:rsidR="00CB3E3A" w:rsidRDefault="00CB3E3A" w:rsidP="00CB3E3A"/>
    <w:p w14:paraId="557C2EC4" w14:textId="07A43AE6" w:rsidR="00CB3E3A" w:rsidRPr="00CB3E3A" w:rsidRDefault="00CB3E3A" w:rsidP="00CB3E3A">
      <w:pPr>
        <w:rPr>
          <w:rFonts w:ascii="Times New Roman" w:hAnsi="Times New Roman" w:cs="Times New Roman"/>
          <w:b/>
          <w:bCs/>
          <w:sz w:val="32"/>
          <w:szCs w:val="32"/>
        </w:rPr>
      </w:pPr>
      <w:r>
        <w:t xml:space="preserve">                     </w:t>
      </w:r>
      <w:r w:rsidRPr="00CB3E3A">
        <w:rPr>
          <w:rFonts w:ascii="Times New Roman" w:hAnsi="Times New Roman" w:cs="Times New Roman"/>
          <w:b/>
          <w:bCs/>
          <w:sz w:val="32"/>
          <w:szCs w:val="32"/>
        </w:rPr>
        <w:t>Student Name: Constantin-Marius Dascalescu</w:t>
      </w:r>
    </w:p>
    <w:p w14:paraId="1E6BE2C8" w14:textId="7007F3B8" w:rsidR="00CB3E3A" w:rsidRPr="00CB3E3A" w:rsidRDefault="00CB3E3A" w:rsidP="00CB3E3A">
      <w:pPr>
        <w:rPr>
          <w:sz w:val="32"/>
          <w:szCs w:val="32"/>
        </w:rPr>
      </w:pPr>
      <w:r w:rsidRPr="00CB3E3A">
        <w:rPr>
          <w:rFonts w:ascii="Times New Roman" w:hAnsi="Times New Roman" w:cs="Times New Roman"/>
          <w:b/>
          <w:bCs/>
          <w:sz w:val="32"/>
          <w:szCs w:val="32"/>
        </w:rPr>
        <w:t xml:space="preserve">                      Student ID: 2328200</w:t>
      </w:r>
    </w:p>
    <w:p w14:paraId="53643589" w14:textId="77777777" w:rsidR="006B239B" w:rsidRDefault="006B239B" w:rsidP="006B239B"/>
    <w:p w14:paraId="693FBA70" w14:textId="77777777" w:rsidR="006B239B" w:rsidRDefault="006B239B" w:rsidP="006B239B"/>
    <w:p w14:paraId="480A71FB" w14:textId="77777777" w:rsidR="006B239B" w:rsidRDefault="006B239B" w:rsidP="006B239B">
      <w:pPr>
        <w:pStyle w:val="Title"/>
      </w:pPr>
    </w:p>
    <w:p w14:paraId="0EE90924" w14:textId="77777777" w:rsidR="006B239B" w:rsidRDefault="006B239B" w:rsidP="006B239B">
      <w:pPr>
        <w:pStyle w:val="Title"/>
      </w:pPr>
    </w:p>
    <w:p w14:paraId="165813FA" w14:textId="77777777" w:rsidR="006B239B" w:rsidRPr="006B239B" w:rsidRDefault="006B239B" w:rsidP="006B239B">
      <w:pPr>
        <w:pStyle w:val="Title"/>
        <w:rPr>
          <w:i/>
          <w:iCs/>
        </w:rPr>
      </w:pPr>
    </w:p>
    <w:p w14:paraId="544E228B" w14:textId="4C032C58" w:rsidR="006B239B" w:rsidRPr="006B239B" w:rsidRDefault="006B239B" w:rsidP="006B239B">
      <w:pPr>
        <w:pStyle w:val="Title"/>
        <w:rPr>
          <w:i/>
          <w:iCs/>
        </w:rPr>
      </w:pPr>
      <w:r w:rsidRPr="006B239B">
        <w:rPr>
          <w:i/>
          <w:iCs/>
        </w:rPr>
        <w:t>“Project: Swimming Pool and Fitness Hub”</w:t>
      </w:r>
    </w:p>
    <w:p w14:paraId="08547C66" w14:textId="77777777" w:rsidR="0000464D" w:rsidRPr="006B239B" w:rsidRDefault="00000000">
      <w:pPr>
        <w:spacing w:line="360" w:lineRule="auto"/>
        <w:jc w:val="both"/>
        <w:rPr>
          <w:rFonts w:ascii="Times New Roman" w:eastAsia="Times New Roman" w:hAnsi="Times New Roman" w:cs="Times New Roman"/>
          <w:b/>
          <w:bCs/>
          <w:sz w:val="24"/>
          <w:szCs w:val="24"/>
        </w:rPr>
      </w:pPr>
      <w:r w:rsidRPr="006B239B">
        <w:br w:type="page"/>
      </w:r>
    </w:p>
    <w:p w14:paraId="2C34FF3E" w14:textId="77777777" w:rsidR="0000464D" w:rsidRPr="006B239B" w:rsidRDefault="00000000">
      <w:pPr>
        <w:spacing w:line="360" w:lineRule="auto"/>
        <w:jc w:val="center"/>
        <w:rPr>
          <w:rFonts w:ascii="Times New Roman" w:eastAsia="Times New Roman" w:hAnsi="Times New Roman" w:cs="Times New Roman"/>
          <w:b/>
          <w:bCs/>
          <w:sz w:val="24"/>
          <w:szCs w:val="24"/>
          <w:u w:val="single"/>
        </w:rPr>
      </w:pPr>
      <w:r w:rsidRPr="006B239B">
        <w:rPr>
          <w:rFonts w:ascii="Times New Roman" w:eastAsia="Times New Roman" w:hAnsi="Times New Roman" w:cs="Times New Roman"/>
          <w:b/>
          <w:bCs/>
          <w:sz w:val="24"/>
          <w:szCs w:val="24"/>
          <w:u w:val="single"/>
        </w:rPr>
        <w:lastRenderedPageBreak/>
        <w:t>Table of Contents</w:t>
      </w:r>
    </w:p>
    <w:p w14:paraId="0830AB1E" w14:textId="77777777" w:rsidR="0000464D" w:rsidRPr="006B239B" w:rsidRDefault="0000464D">
      <w:pPr>
        <w:spacing w:line="360" w:lineRule="auto"/>
        <w:jc w:val="both"/>
        <w:rPr>
          <w:rFonts w:ascii="Times New Roman" w:eastAsia="Times New Roman" w:hAnsi="Times New Roman" w:cs="Times New Roman"/>
          <w:b/>
          <w:bCs/>
          <w:sz w:val="24"/>
          <w:szCs w:val="24"/>
        </w:rPr>
      </w:pPr>
    </w:p>
    <w:sdt>
      <w:sdtPr>
        <w:id w:val="557322377"/>
        <w:docPartObj>
          <w:docPartGallery w:val="Table of Contents"/>
          <w:docPartUnique/>
        </w:docPartObj>
      </w:sdtPr>
      <w:sdtContent>
        <w:p w14:paraId="4E215D36" w14:textId="7E620414" w:rsidR="0000464D" w:rsidRPr="006B239B" w:rsidRDefault="00000000">
          <w:pPr>
            <w:widowControl w:val="0"/>
            <w:tabs>
              <w:tab w:val="right" w:leader="dot" w:pos="9025"/>
            </w:tabs>
            <w:spacing w:before="60" w:line="360" w:lineRule="auto"/>
            <w:jc w:val="both"/>
            <w:rPr>
              <w:rFonts w:ascii="Times New Roman" w:eastAsia="Times New Roman" w:hAnsi="Times New Roman" w:cs="Times New Roman"/>
              <w:b/>
              <w:bCs/>
              <w:sz w:val="24"/>
              <w:szCs w:val="24"/>
            </w:rPr>
          </w:pPr>
          <w:r w:rsidRPr="006B239B">
            <w:fldChar w:fldCharType="begin"/>
          </w:r>
          <w:r w:rsidRPr="006B239B">
            <w:instrText xml:space="preserve"> TOC \h \u \z \t "Heading 1,1,Heading 2,2,Heading 3,3,Heading 4,4,Heading 5,5,Heading 6,6,"</w:instrText>
          </w:r>
          <w:r w:rsidRPr="006B239B">
            <w:fldChar w:fldCharType="separate"/>
          </w:r>
          <w:hyperlink w:anchor="_aglbk7hiv8c9">
            <w:r w:rsidR="0000464D" w:rsidRPr="006B239B">
              <w:rPr>
                <w:rFonts w:ascii="Times New Roman" w:eastAsia="Times New Roman" w:hAnsi="Times New Roman" w:cs="Times New Roman"/>
                <w:b/>
                <w:bCs/>
                <w:sz w:val="24"/>
                <w:szCs w:val="24"/>
              </w:rPr>
              <w:t>Element 1: Introduction</w:t>
            </w:r>
            <w:r w:rsidR="0000464D" w:rsidRPr="006B239B">
              <w:rPr>
                <w:rFonts w:ascii="Times New Roman" w:eastAsia="Times New Roman" w:hAnsi="Times New Roman" w:cs="Times New Roman"/>
                <w:b/>
                <w:bCs/>
                <w:sz w:val="24"/>
                <w:szCs w:val="24"/>
              </w:rPr>
              <w:tab/>
            </w:r>
          </w:hyperlink>
          <w:r w:rsidRPr="006B239B">
            <w:fldChar w:fldCharType="begin"/>
          </w:r>
          <w:r w:rsidRPr="006B239B">
            <w:instrText xml:space="preserve"> PAGEREF _aglbk7hiv8c9 \h </w:instrText>
          </w:r>
          <w:r w:rsidRPr="006B239B">
            <w:fldChar w:fldCharType="separate"/>
          </w:r>
          <w:r w:rsidR="00CB3E3A">
            <w:rPr>
              <w:noProof/>
            </w:rPr>
            <w:t>3</w:t>
          </w:r>
          <w:r w:rsidRPr="006B239B">
            <w:fldChar w:fldCharType="end"/>
          </w:r>
        </w:p>
        <w:p w14:paraId="7101CD1C" w14:textId="61DA298C" w:rsidR="0000464D" w:rsidRPr="006B239B" w:rsidRDefault="0000464D">
          <w:pPr>
            <w:widowControl w:val="0"/>
            <w:tabs>
              <w:tab w:val="right" w:leader="dot" w:pos="9025"/>
            </w:tabs>
            <w:spacing w:before="60" w:line="360" w:lineRule="auto"/>
            <w:ind w:left="360"/>
            <w:jc w:val="both"/>
            <w:rPr>
              <w:rFonts w:ascii="Times New Roman" w:eastAsia="Times New Roman" w:hAnsi="Times New Roman" w:cs="Times New Roman"/>
              <w:sz w:val="24"/>
              <w:szCs w:val="24"/>
            </w:rPr>
          </w:pPr>
          <w:hyperlink w:anchor="_mrl173iz3g1w">
            <w:r w:rsidRPr="006B239B">
              <w:rPr>
                <w:rFonts w:ascii="Times New Roman" w:eastAsia="Times New Roman" w:hAnsi="Times New Roman" w:cs="Times New Roman"/>
                <w:sz w:val="24"/>
                <w:szCs w:val="24"/>
              </w:rPr>
              <w:t>1.1 Project Overview</w:t>
            </w:r>
            <w:r w:rsidRPr="006B239B">
              <w:rPr>
                <w:rFonts w:ascii="Times New Roman" w:eastAsia="Times New Roman" w:hAnsi="Times New Roman" w:cs="Times New Roman"/>
                <w:sz w:val="24"/>
                <w:szCs w:val="24"/>
              </w:rPr>
              <w:tab/>
            </w:r>
          </w:hyperlink>
          <w:r w:rsidR="00000000" w:rsidRPr="006B239B">
            <w:fldChar w:fldCharType="begin"/>
          </w:r>
          <w:r w:rsidR="00000000" w:rsidRPr="006B239B">
            <w:instrText xml:space="preserve"> PAGEREF _mrl173iz3g1w \h </w:instrText>
          </w:r>
          <w:r w:rsidR="00000000" w:rsidRPr="006B239B">
            <w:fldChar w:fldCharType="separate"/>
          </w:r>
          <w:r w:rsidR="00CB3E3A">
            <w:rPr>
              <w:noProof/>
            </w:rPr>
            <w:t>3</w:t>
          </w:r>
          <w:r w:rsidR="00000000" w:rsidRPr="006B239B">
            <w:fldChar w:fldCharType="end"/>
          </w:r>
        </w:p>
        <w:p w14:paraId="6D26ABF9" w14:textId="7BFF4594" w:rsidR="0000464D" w:rsidRPr="006B239B" w:rsidRDefault="0000464D">
          <w:pPr>
            <w:widowControl w:val="0"/>
            <w:tabs>
              <w:tab w:val="right" w:leader="dot" w:pos="9025"/>
            </w:tabs>
            <w:spacing w:before="60" w:line="360" w:lineRule="auto"/>
            <w:ind w:left="360"/>
            <w:jc w:val="both"/>
            <w:rPr>
              <w:rFonts w:ascii="Times New Roman" w:eastAsia="Times New Roman" w:hAnsi="Times New Roman" w:cs="Times New Roman"/>
              <w:sz w:val="24"/>
              <w:szCs w:val="24"/>
            </w:rPr>
          </w:pPr>
          <w:hyperlink w:anchor="_jgqyqiqpzqs9">
            <w:r w:rsidRPr="006B239B">
              <w:rPr>
                <w:rFonts w:ascii="Times New Roman" w:eastAsia="Times New Roman" w:hAnsi="Times New Roman" w:cs="Times New Roman"/>
                <w:sz w:val="24"/>
                <w:szCs w:val="24"/>
              </w:rPr>
              <w:t>1.2 Identification of Key Stakeholders</w:t>
            </w:r>
            <w:r w:rsidRPr="006B239B">
              <w:rPr>
                <w:rFonts w:ascii="Times New Roman" w:eastAsia="Times New Roman" w:hAnsi="Times New Roman" w:cs="Times New Roman"/>
                <w:sz w:val="24"/>
                <w:szCs w:val="24"/>
              </w:rPr>
              <w:tab/>
            </w:r>
          </w:hyperlink>
          <w:r w:rsidR="00000000" w:rsidRPr="006B239B">
            <w:fldChar w:fldCharType="begin"/>
          </w:r>
          <w:r w:rsidR="00000000" w:rsidRPr="006B239B">
            <w:instrText xml:space="preserve"> PAGEREF _jgqyqiqpzqs9 \h </w:instrText>
          </w:r>
          <w:r w:rsidR="00000000" w:rsidRPr="006B239B">
            <w:fldChar w:fldCharType="separate"/>
          </w:r>
          <w:r w:rsidR="00CB3E3A">
            <w:rPr>
              <w:noProof/>
            </w:rPr>
            <w:t>3</w:t>
          </w:r>
          <w:r w:rsidR="00000000" w:rsidRPr="006B239B">
            <w:fldChar w:fldCharType="end"/>
          </w:r>
        </w:p>
        <w:p w14:paraId="7FA05295" w14:textId="7A47F5CF" w:rsidR="0000464D" w:rsidRPr="006B239B" w:rsidRDefault="0000464D">
          <w:pPr>
            <w:widowControl w:val="0"/>
            <w:tabs>
              <w:tab w:val="right" w:leader="dot" w:pos="9025"/>
            </w:tabs>
            <w:spacing w:before="60" w:line="360" w:lineRule="auto"/>
            <w:jc w:val="both"/>
            <w:rPr>
              <w:rFonts w:ascii="Times New Roman" w:eastAsia="Times New Roman" w:hAnsi="Times New Roman" w:cs="Times New Roman"/>
              <w:b/>
              <w:bCs/>
              <w:sz w:val="24"/>
              <w:szCs w:val="24"/>
            </w:rPr>
          </w:pPr>
          <w:hyperlink w:anchor="_l86zfwxb0kwd">
            <w:r w:rsidRPr="006B239B">
              <w:rPr>
                <w:rFonts w:ascii="Times New Roman" w:eastAsia="Times New Roman" w:hAnsi="Times New Roman" w:cs="Times New Roman"/>
                <w:b/>
                <w:bCs/>
                <w:sz w:val="24"/>
                <w:szCs w:val="24"/>
              </w:rPr>
              <w:t>Element 2: Application to include Stakeholder Engagement Strategies</w:t>
            </w:r>
            <w:r w:rsidRPr="006B239B">
              <w:rPr>
                <w:rFonts w:ascii="Times New Roman" w:eastAsia="Times New Roman" w:hAnsi="Times New Roman" w:cs="Times New Roman"/>
                <w:b/>
                <w:bCs/>
                <w:sz w:val="24"/>
                <w:szCs w:val="24"/>
              </w:rPr>
              <w:tab/>
            </w:r>
          </w:hyperlink>
          <w:r w:rsidR="00000000" w:rsidRPr="006B239B">
            <w:fldChar w:fldCharType="begin"/>
          </w:r>
          <w:r w:rsidR="00000000" w:rsidRPr="006B239B">
            <w:instrText xml:space="preserve"> PAGEREF _l86zfwxb0kwd \h </w:instrText>
          </w:r>
          <w:r w:rsidR="00000000" w:rsidRPr="006B239B">
            <w:fldChar w:fldCharType="separate"/>
          </w:r>
          <w:r w:rsidR="00CB3E3A">
            <w:rPr>
              <w:noProof/>
            </w:rPr>
            <w:t>5</w:t>
          </w:r>
          <w:r w:rsidR="00000000" w:rsidRPr="006B239B">
            <w:fldChar w:fldCharType="end"/>
          </w:r>
        </w:p>
        <w:p w14:paraId="448D2A52" w14:textId="6E24A72A" w:rsidR="0000464D" w:rsidRPr="006B239B" w:rsidRDefault="0000464D">
          <w:pPr>
            <w:widowControl w:val="0"/>
            <w:tabs>
              <w:tab w:val="right" w:leader="dot" w:pos="9025"/>
            </w:tabs>
            <w:spacing w:before="60" w:line="360" w:lineRule="auto"/>
            <w:ind w:left="360"/>
            <w:jc w:val="both"/>
            <w:rPr>
              <w:rFonts w:ascii="Times New Roman" w:eastAsia="Times New Roman" w:hAnsi="Times New Roman" w:cs="Times New Roman"/>
              <w:sz w:val="24"/>
              <w:szCs w:val="24"/>
            </w:rPr>
          </w:pPr>
          <w:hyperlink w:anchor="_5tt7sr8ynm3q">
            <w:r w:rsidRPr="006B239B">
              <w:rPr>
                <w:rFonts w:ascii="Times New Roman" w:eastAsia="Times New Roman" w:hAnsi="Times New Roman" w:cs="Times New Roman"/>
                <w:sz w:val="24"/>
                <w:szCs w:val="24"/>
              </w:rPr>
              <w:t>2.1 Power, Influence and Interest</w:t>
            </w:r>
            <w:r w:rsidRPr="006B239B">
              <w:rPr>
                <w:rFonts w:ascii="Times New Roman" w:eastAsia="Times New Roman" w:hAnsi="Times New Roman" w:cs="Times New Roman"/>
                <w:sz w:val="24"/>
                <w:szCs w:val="24"/>
              </w:rPr>
              <w:tab/>
            </w:r>
          </w:hyperlink>
          <w:r w:rsidR="00000000" w:rsidRPr="006B239B">
            <w:fldChar w:fldCharType="begin"/>
          </w:r>
          <w:r w:rsidR="00000000" w:rsidRPr="006B239B">
            <w:instrText xml:space="preserve"> PAGEREF _5tt7sr8ynm3q \h </w:instrText>
          </w:r>
          <w:r w:rsidR="00000000" w:rsidRPr="006B239B">
            <w:fldChar w:fldCharType="separate"/>
          </w:r>
          <w:r w:rsidR="00CB3E3A">
            <w:rPr>
              <w:noProof/>
            </w:rPr>
            <w:t>5</w:t>
          </w:r>
          <w:r w:rsidR="00000000" w:rsidRPr="006B239B">
            <w:fldChar w:fldCharType="end"/>
          </w:r>
        </w:p>
        <w:p w14:paraId="769D5FEE" w14:textId="6CDFB207" w:rsidR="0000464D" w:rsidRPr="006B239B" w:rsidRDefault="0000464D">
          <w:pPr>
            <w:widowControl w:val="0"/>
            <w:tabs>
              <w:tab w:val="right" w:leader="dot" w:pos="9025"/>
            </w:tabs>
            <w:spacing w:before="60" w:line="360" w:lineRule="auto"/>
            <w:ind w:left="360"/>
            <w:jc w:val="both"/>
            <w:rPr>
              <w:rFonts w:ascii="Times New Roman" w:eastAsia="Times New Roman" w:hAnsi="Times New Roman" w:cs="Times New Roman"/>
              <w:sz w:val="24"/>
              <w:szCs w:val="24"/>
            </w:rPr>
          </w:pPr>
          <w:hyperlink w:anchor="_9sqz3294gzv4">
            <w:r w:rsidRPr="006B239B">
              <w:rPr>
                <w:rFonts w:ascii="Times New Roman" w:eastAsia="Times New Roman" w:hAnsi="Times New Roman" w:cs="Times New Roman"/>
                <w:sz w:val="24"/>
                <w:szCs w:val="24"/>
              </w:rPr>
              <w:t>2.2 Stakeholder Map</w:t>
            </w:r>
            <w:r w:rsidRPr="006B239B">
              <w:rPr>
                <w:rFonts w:ascii="Times New Roman" w:eastAsia="Times New Roman" w:hAnsi="Times New Roman" w:cs="Times New Roman"/>
                <w:sz w:val="24"/>
                <w:szCs w:val="24"/>
              </w:rPr>
              <w:tab/>
            </w:r>
          </w:hyperlink>
          <w:r w:rsidR="00000000" w:rsidRPr="006B239B">
            <w:fldChar w:fldCharType="begin"/>
          </w:r>
          <w:r w:rsidR="00000000" w:rsidRPr="006B239B">
            <w:instrText xml:space="preserve"> PAGEREF _9sqz3294gzv4 \h </w:instrText>
          </w:r>
          <w:r w:rsidR="00000000" w:rsidRPr="006B239B">
            <w:fldChar w:fldCharType="separate"/>
          </w:r>
          <w:r w:rsidR="00CB3E3A">
            <w:rPr>
              <w:noProof/>
            </w:rPr>
            <w:t>6</w:t>
          </w:r>
          <w:r w:rsidR="00000000" w:rsidRPr="006B239B">
            <w:fldChar w:fldCharType="end"/>
          </w:r>
        </w:p>
        <w:p w14:paraId="0E762CFE" w14:textId="7515AF56" w:rsidR="0000464D" w:rsidRPr="006B239B" w:rsidRDefault="0000464D">
          <w:pPr>
            <w:widowControl w:val="0"/>
            <w:tabs>
              <w:tab w:val="right" w:leader="dot" w:pos="9025"/>
            </w:tabs>
            <w:spacing w:before="60" w:line="360" w:lineRule="auto"/>
            <w:ind w:left="360"/>
            <w:jc w:val="both"/>
            <w:rPr>
              <w:rFonts w:ascii="Times New Roman" w:eastAsia="Times New Roman" w:hAnsi="Times New Roman" w:cs="Times New Roman"/>
              <w:sz w:val="24"/>
              <w:szCs w:val="24"/>
            </w:rPr>
          </w:pPr>
          <w:hyperlink w:anchor="_gv9f0b56yto">
            <w:r w:rsidRPr="006B239B">
              <w:rPr>
                <w:rFonts w:ascii="Times New Roman" w:eastAsia="Times New Roman" w:hAnsi="Times New Roman" w:cs="Times New Roman"/>
                <w:sz w:val="24"/>
                <w:szCs w:val="24"/>
              </w:rPr>
              <w:t>2.3 Communication Plan &amp; Consultation Strategy</w:t>
            </w:r>
            <w:r w:rsidRPr="006B239B">
              <w:rPr>
                <w:rFonts w:ascii="Times New Roman" w:eastAsia="Times New Roman" w:hAnsi="Times New Roman" w:cs="Times New Roman"/>
                <w:sz w:val="24"/>
                <w:szCs w:val="24"/>
              </w:rPr>
              <w:tab/>
            </w:r>
          </w:hyperlink>
          <w:r w:rsidR="00000000" w:rsidRPr="006B239B">
            <w:fldChar w:fldCharType="begin"/>
          </w:r>
          <w:r w:rsidR="00000000" w:rsidRPr="006B239B">
            <w:instrText xml:space="preserve"> PAGEREF _gv9f0b56yto \h </w:instrText>
          </w:r>
          <w:r w:rsidR="00000000" w:rsidRPr="006B239B">
            <w:fldChar w:fldCharType="separate"/>
          </w:r>
          <w:r w:rsidR="00CB3E3A">
            <w:rPr>
              <w:noProof/>
            </w:rPr>
            <w:t>7</w:t>
          </w:r>
          <w:r w:rsidR="00000000" w:rsidRPr="006B239B">
            <w:fldChar w:fldCharType="end"/>
          </w:r>
        </w:p>
        <w:p w14:paraId="66A8C5BE" w14:textId="4954890F" w:rsidR="0000464D" w:rsidRPr="006B239B" w:rsidRDefault="0000464D">
          <w:pPr>
            <w:widowControl w:val="0"/>
            <w:tabs>
              <w:tab w:val="right" w:leader="dot" w:pos="9025"/>
            </w:tabs>
            <w:spacing w:before="60" w:line="360" w:lineRule="auto"/>
            <w:jc w:val="both"/>
            <w:rPr>
              <w:rFonts w:ascii="Times New Roman" w:eastAsia="Times New Roman" w:hAnsi="Times New Roman" w:cs="Times New Roman"/>
              <w:b/>
              <w:bCs/>
              <w:sz w:val="24"/>
              <w:szCs w:val="24"/>
            </w:rPr>
          </w:pPr>
          <w:hyperlink w:anchor="_cx0gnfsrxf0n">
            <w:r w:rsidRPr="006B239B">
              <w:rPr>
                <w:rFonts w:ascii="Times New Roman" w:eastAsia="Times New Roman" w:hAnsi="Times New Roman" w:cs="Times New Roman"/>
                <w:b/>
                <w:bCs/>
                <w:sz w:val="24"/>
                <w:szCs w:val="24"/>
              </w:rPr>
              <w:t>Element 3: Ethical Considerations in Stakeholder Consultation, Participation and Feedback</w:t>
            </w:r>
            <w:r w:rsidRPr="006B239B">
              <w:rPr>
                <w:rFonts w:ascii="Times New Roman" w:eastAsia="Times New Roman" w:hAnsi="Times New Roman" w:cs="Times New Roman"/>
                <w:b/>
                <w:bCs/>
                <w:sz w:val="24"/>
                <w:szCs w:val="24"/>
              </w:rPr>
              <w:tab/>
            </w:r>
          </w:hyperlink>
          <w:r w:rsidR="00000000" w:rsidRPr="006B239B">
            <w:fldChar w:fldCharType="begin"/>
          </w:r>
          <w:r w:rsidR="00000000" w:rsidRPr="006B239B">
            <w:instrText xml:space="preserve"> PAGEREF _cx0gnfsrxf0n \h </w:instrText>
          </w:r>
          <w:r w:rsidR="00000000" w:rsidRPr="006B239B">
            <w:fldChar w:fldCharType="separate"/>
          </w:r>
          <w:r w:rsidR="00CB3E3A">
            <w:rPr>
              <w:noProof/>
            </w:rPr>
            <w:t>9</w:t>
          </w:r>
          <w:r w:rsidR="00000000" w:rsidRPr="006B239B">
            <w:fldChar w:fldCharType="end"/>
          </w:r>
        </w:p>
        <w:p w14:paraId="73B6F013" w14:textId="616CA771" w:rsidR="0000464D" w:rsidRPr="006B239B" w:rsidRDefault="0000464D">
          <w:pPr>
            <w:widowControl w:val="0"/>
            <w:tabs>
              <w:tab w:val="right" w:leader="dot" w:pos="9025"/>
            </w:tabs>
            <w:spacing w:before="60" w:line="360" w:lineRule="auto"/>
            <w:ind w:left="360"/>
            <w:jc w:val="both"/>
            <w:rPr>
              <w:rFonts w:ascii="Times New Roman" w:eastAsia="Times New Roman" w:hAnsi="Times New Roman" w:cs="Times New Roman"/>
              <w:sz w:val="24"/>
              <w:szCs w:val="24"/>
            </w:rPr>
          </w:pPr>
          <w:hyperlink w:anchor="_8kx2f0mh6xlt">
            <w:r w:rsidRPr="006B239B">
              <w:rPr>
                <w:rFonts w:ascii="Times New Roman" w:eastAsia="Times New Roman" w:hAnsi="Times New Roman" w:cs="Times New Roman"/>
                <w:sz w:val="24"/>
                <w:szCs w:val="24"/>
              </w:rPr>
              <w:t>3.1 Ethical Issues in Data Collection</w:t>
            </w:r>
            <w:r w:rsidRPr="006B239B">
              <w:rPr>
                <w:rFonts w:ascii="Times New Roman" w:eastAsia="Times New Roman" w:hAnsi="Times New Roman" w:cs="Times New Roman"/>
                <w:sz w:val="24"/>
                <w:szCs w:val="24"/>
              </w:rPr>
              <w:tab/>
            </w:r>
          </w:hyperlink>
          <w:r w:rsidR="00000000" w:rsidRPr="006B239B">
            <w:fldChar w:fldCharType="begin"/>
          </w:r>
          <w:r w:rsidR="00000000" w:rsidRPr="006B239B">
            <w:instrText xml:space="preserve"> PAGEREF _8kx2f0mh6xlt \h </w:instrText>
          </w:r>
          <w:r w:rsidR="00000000" w:rsidRPr="006B239B">
            <w:fldChar w:fldCharType="separate"/>
          </w:r>
          <w:r w:rsidR="00CB3E3A">
            <w:rPr>
              <w:noProof/>
            </w:rPr>
            <w:t>9</w:t>
          </w:r>
          <w:r w:rsidR="00000000" w:rsidRPr="006B239B">
            <w:fldChar w:fldCharType="end"/>
          </w:r>
        </w:p>
        <w:p w14:paraId="4C24F1E0" w14:textId="2FC09E33" w:rsidR="0000464D" w:rsidRPr="006B239B" w:rsidRDefault="0000464D">
          <w:pPr>
            <w:widowControl w:val="0"/>
            <w:tabs>
              <w:tab w:val="right" w:leader="dot" w:pos="9025"/>
            </w:tabs>
            <w:spacing w:before="60" w:line="360" w:lineRule="auto"/>
            <w:ind w:left="360"/>
            <w:jc w:val="both"/>
            <w:rPr>
              <w:rFonts w:ascii="Times New Roman" w:eastAsia="Times New Roman" w:hAnsi="Times New Roman" w:cs="Times New Roman"/>
              <w:sz w:val="24"/>
              <w:szCs w:val="24"/>
            </w:rPr>
          </w:pPr>
          <w:hyperlink w:anchor="_wh5ws2xf9ugc">
            <w:r w:rsidRPr="006B239B">
              <w:rPr>
                <w:rFonts w:ascii="Times New Roman" w:eastAsia="Times New Roman" w:hAnsi="Times New Roman" w:cs="Times New Roman"/>
                <w:sz w:val="24"/>
                <w:szCs w:val="24"/>
              </w:rPr>
              <w:t>3.2 Bias and Fair Representation</w:t>
            </w:r>
            <w:r w:rsidRPr="006B239B">
              <w:rPr>
                <w:rFonts w:ascii="Times New Roman" w:eastAsia="Times New Roman" w:hAnsi="Times New Roman" w:cs="Times New Roman"/>
                <w:sz w:val="24"/>
                <w:szCs w:val="24"/>
              </w:rPr>
              <w:tab/>
            </w:r>
          </w:hyperlink>
          <w:r w:rsidR="00000000" w:rsidRPr="006B239B">
            <w:fldChar w:fldCharType="begin"/>
          </w:r>
          <w:r w:rsidR="00000000" w:rsidRPr="006B239B">
            <w:instrText xml:space="preserve"> PAGEREF _wh5ws2xf9ugc \h </w:instrText>
          </w:r>
          <w:r w:rsidR="00000000" w:rsidRPr="006B239B">
            <w:fldChar w:fldCharType="separate"/>
          </w:r>
          <w:r w:rsidR="00CB3E3A">
            <w:rPr>
              <w:noProof/>
            </w:rPr>
            <w:t>9</w:t>
          </w:r>
          <w:r w:rsidR="00000000" w:rsidRPr="006B239B">
            <w:fldChar w:fldCharType="end"/>
          </w:r>
        </w:p>
        <w:p w14:paraId="40600AA6" w14:textId="0EBE775F" w:rsidR="0000464D" w:rsidRPr="006B239B" w:rsidRDefault="0000464D">
          <w:pPr>
            <w:widowControl w:val="0"/>
            <w:tabs>
              <w:tab w:val="right" w:leader="dot" w:pos="9025"/>
            </w:tabs>
            <w:spacing w:before="60" w:line="360" w:lineRule="auto"/>
            <w:ind w:left="360"/>
            <w:jc w:val="both"/>
            <w:rPr>
              <w:rFonts w:ascii="Times New Roman" w:eastAsia="Times New Roman" w:hAnsi="Times New Roman" w:cs="Times New Roman"/>
              <w:sz w:val="24"/>
              <w:szCs w:val="24"/>
            </w:rPr>
          </w:pPr>
          <w:hyperlink w:anchor="_th7vjefwp17p">
            <w:r w:rsidRPr="006B239B">
              <w:rPr>
                <w:rFonts w:ascii="Times New Roman" w:eastAsia="Times New Roman" w:hAnsi="Times New Roman" w:cs="Times New Roman"/>
                <w:sz w:val="24"/>
                <w:szCs w:val="24"/>
              </w:rPr>
              <w:t>3.3 Diversity, Equity and Inclusion (DEI)</w:t>
            </w:r>
            <w:r w:rsidRPr="006B239B">
              <w:rPr>
                <w:rFonts w:ascii="Times New Roman" w:eastAsia="Times New Roman" w:hAnsi="Times New Roman" w:cs="Times New Roman"/>
                <w:sz w:val="24"/>
                <w:szCs w:val="24"/>
              </w:rPr>
              <w:tab/>
            </w:r>
          </w:hyperlink>
          <w:r w:rsidR="00000000" w:rsidRPr="006B239B">
            <w:fldChar w:fldCharType="begin"/>
          </w:r>
          <w:r w:rsidR="00000000" w:rsidRPr="006B239B">
            <w:instrText xml:space="preserve"> PAGEREF _th7vjefwp17p \h </w:instrText>
          </w:r>
          <w:r w:rsidR="00000000" w:rsidRPr="006B239B">
            <w:fldChar w:fldCharType="separate"/>
          </w:r>
          <w:r w:rsidR="00CB3E3A">
            <w:rPr>
              <w:noProof/>
            </w:rPr>
            <w:t>10</w:t>
          </w:r>
          <w:r w:rsidR="00000000" w:rsidRPr="006B239B">
            <w:fldChar w:fldCharType="end"/>
          </w:r>
        </w:p>
        <w:p w14:paraId="3F8547D7" w14:textId="6D1B663F" w:rsidR="0000464D" w:rsidRPr="006B239B" w:rsidRDefault="0000464D">
          <w:pPr>
            <w:widowControl w:val="0"/>
            <w:tabs>
              <w:tab w:val="right" w:leader="dot" w:pos="9025"/>
            </w:tabs>
            <w:spacing w:before="60" w:line="360" w:lineRule="auto"/>
            <w:ind w:left="360"/>
            <w:jc w:val="both"/>
            <w:rPr>
              <w:rFonts w:ascii="Times New Roman" w:eastAsia="Times New Roman" w:hAnsi="Times New Roman" w:cs="Times New Roman"/>
              <w:sz w:val="24"/>
              <w:szCs w:val="24"/>
            </w:rPr>
          </w:pPr>
          <w:hyperlink w:anchor="_wsdmozyj1vs7">
            <w:r w:rsidRPr="006B239B">
              <w:rPr>
                <w:rFonts w:ascii="Times New Roman" w:eastAsia="Times New Roman" w:hAnsi="Times New Roman" w:cs="Times New Roman"/>
                <w:sz w:val="24"/>
                <w:szCs w:val="24"/>
              </w:rPr>
              <w:t>3.4 Ethical Use of Stakeholder Feedback</w:t>
            </w:r>
            <w:r w:rsidRPr="006B239B">
              <w:rPr>
                <w:rFonts w:ascii="Times New Roman" w:eastAsia="Times New Roman" w:hAnsi="Times New Roman" w:cs="Times New Roman"/>
                <w:sz w:val="24"/>
                <w:szCs w:val="24"/>
              </w:rPr>
              <w:tab/>
            </w:r>
          </w:hyperlink>
          <w:r w:rsidR="00000000" w:rsidRPr="006B239B">
            <w:fldChar w:fldCharType="begin"/>
          </w:r>
          <w:r w:rsidR="00000000" w:rsidRPr="006B239B">
            <w:instrText xml:space="preserve"> PAGEREF _wsdmozyj1vs7 \h </w:instrText>
          </w:r>
          <w:r w:rsidR="00000000" w:rsidRPr="006B239B">
            <w:fldChar w:fldCharType="separate"/>
          </w:r>
          <w:r w:rsidR="00CB3E3A">
            <w:rPr>
              <w:noProof/>
            </w:rPr>
            <w:t>10</w:t>
          </w:r>
          <w:r w:rsidR="00000000" w:rsidRPr="006B239B">
            <w:fldChar w:fldCharType="end"/>
          </w:r>
        </w:p>
        <w:p w14:paraId="7721CC28" w14:textId="411FBD1B" w:rsidR="0000464D" w:rsidRPr="006B239B" w:rsidRDefault="0000464D">
          <w:pPr>
            <w:widowControl w:val="0"/>
            <w:tabs>
              <w:tab w:val="right" w:leader="dot" w:pos="9025"/>
            </w:tabs>
            <w:spacing w:before="60" w:line="360" w:lineRule="auto"/>
            <w:jc w:val="both"/>
            <w:rPr>
              <w:rFonts w:ascii="Times New Roman" w:eastAsia="Times New Roman" w:hAnsi="Times New Roman" w:cs="Times New Roman"/>
              <w:b/>
              <w:bCs/>
              <w:sz w:val="24"/>
              <w:szCs w:val="24"/>
            </w:rPr>
          </w:pPr>
          <w:hyperlink w:anchor="_wod0u0c74myr">
            <w:r w:rsidRPr="006B239B">
              <w:rPr>
                <w:rFonts w:ascii="Times New Roman" w:eastAsia="Times New Roman" w:hAnsi="Times New Roman" w:cs="Times New Roman"/>
                <w:b/>
                <w:bCs/>
                <w:sz w:val="24"/>
                <w:szCs w:val="24"/>
              </w:rPr>
              <w:t>Element 4: Conclusion and Reflection</w:t>
            </w:r>
            <w:r w:rsidRPr="006B239B">
              <w:rPr>
                <w:rFonts w:ascii="Times New Roman" w:eastAsia="Times New Roman" w:hAnsi="Times New Roman" w:cs="Times New Roman"/>
                <w:b/>
                <w:bCs/>
                <w:sz w:val="24"/>
                <w:szCs w:val="24"/>
              </w:rPr>
              <w:tab/>
            </w:r>
          </w:hyperlink>
          <w:r w:rsidR="00000000" w:rsidRPr="006B239B">
            <w:fldChar w:fldCharType="begin"/>
          </w:r>
          <w:r w:rsidR="00000000" w:rsidRPr="006B239B">
            <w:instrText xml:space="preserve"> PAGEREF _wod0u0c74myr \h </w:instrText>
          </w:r>
          <w:r w:rsidR="00000000" w:rsidRPr="006B239B">
            <w:fldChar w:fldCharType="separate"/>
          </w:r>
          <w:r w:rsidR="00CB3E3A">
            <w:rPr>
              <w:noProof/>
            </w:rPr>
            <w:t>12</w:t>
          </w:r>
          <w:r w:rsidR="00000000" w:rsidRPr="006B239B">
            <w:fldChar w:fldCharType="end"/>
          </w:r>
        </w:p>
        <w:p w14:paraId="66A21E8E" w14:textId="0692DE48" w:rsidR="0000464D" w:rsidRPr="006B239B" w:rsidRDefault="0000464D">
          <w:pPr>
            <w:widowControl w:val="0"/>
            <w:tabs>
              <w:tab w:val="right" w:leader="dot" w:pos="9025"/>
            </w:tabs>
            <w:spacing w:before="60" w:line="360" w:lineRule="auto"/>
            <w:ind w:left="360"/>
            <w:jc w:val="both"/>
            <w:rPr>
              <w:rFonts w:ascii="Times New Roman" w:eastAsia="Times New Roman" w:hAnsi="Times New Roman" w:cs="Times New Roman"/>
              <w:sz w:val="24"/>
              <w:szCs w:val="24"/>
            </w:rPr>
          </w:pPr>
          <w:hyperlink w:anchor="_6nlsvrq7x0pc">
            <w:r w:rsidRPr="006B239B">
              <w:rPr>
                <w:rFonts w:ascii="Times New Roman" w:eastAsia="Times New Roman" w:hAnsi="Times New Roman" w:cs="Times New Roman"/>
                <w:sz w:val="24"/>
                <w:szCs w:val="24"/>
              </w:rPr>
              <w:t>4.1 Conclusion</w:t>
            </w:r>
            <w:r w:rsidRPr="006B239B">
              <w:rPr>
                <w:rFonts w:ascii="Times New Roman" w:eastAsia="Times New Roman" w:hAnsi="Times New Roman" w:cs="Times New Roman"/>
                <w:sz w:val="24"/>
                <w:szCs w:val="24"/>
              </w:rPr>
              <w:tab/>
            </w:r>
          </w:hyperlink>
          <w:r w:rsidR="00000000" w:rsidRPr="006B239B">
            <w:fldChar w:fldCharType="begin"/>
          </w:r>
          <w:r w:rsidR="00000000" w:rsidRPr="006B239B">
            <w:instrText xml:space="preserve"> PAGEREF _6nlsvrq7x0pc \h </w:instrText>
          </w:r>
          <w:r w:rsidR="00000000" w:rsidRPr="006B239B">
            <w:fldChar w:fldCharType="separate"/>
          </w:r>
          <w:r w:rsidR="00CB3E3A">
            <w:rPr>
              <w:noProof/>
            </w:rPr>
            <w:t>12</w:t>
          </w:r>
          <w:r w:rsidR="00000000" w:rsidRPr="006B239B">
            <w:fldChar w:fldCharType="end"/>
          </w:r>
        </w:p>
        <w:p w14:paraId="747B0985" w14:textId="281013EC" w:rsidR="0000464D" w:rsidRPr="006B239B" w:rsidRDefault="0000464D">
          <w:pPr>
            <w:widowControl w:val="0"/>
            <w:tabs>
              <w:tab w:val="right" w:leader="dot" w:pos="9025"/>
            </w:tabs>
            <w:spacing w:before="60" w:line="360" w:lineRule="auto"/>
            <w:ind w:left="360"/>
            <w:jc w:val="both"/>
            <w:rPr>
              <w:rFonts w:ascii="Times New Roman" w:eastAsia="Times New Roman" w:hAnsi="Times New Roman" w:cs="Times New Roman"/>
              <w:sz w:val="24"/>
              <w:szCs w:val="24"/>
            </w:rPr>
          </w:pPr>
          <w:hyperlink w:anchor="_mwcuni8zpv4i">
            <w:r w:rsidRPr="006B239B">
              <w:rPr>
                <w:rFonts w:ascii="Times New Roman" w:eastAsia="Times New Roman" w:hAnsi="Times New Roman" w:cs="Times New Roman"/>
                <w:sz w:val="24"/>
                <w:szCs w:val="24"/>
              </w:rPr>
              <w:t>4.2 Reflection</w:t>
            </w:r>
            <w:r w:rsidRPr="006B239B">
              <w:rPr>
                <w:rFonts w:ascii="Times New Roman" w:eastAsia="Times New Roman" w:hAnsi="Times New Roman" w:cs="Times New Roman"/>
                <w:sz w:val="24"/>
                <w:szCs w:val="24"/>
              </w:rPr>
              <w:tab/>
            </w:r>
          </w:hyperlink>
          <w:r w:rsidR="00000000" w:rsidRPr="006B239B">
            <w:fldChar w:fldCharType="begin"/>
          </w:r>
          <w:r w:rsidR="00000000" w:rsidRPr="006B239B">
            <w:instrText xml:space="preserve"> PAGEREF _mwcuni8zpv4i \h </w:instrText>
          </w:r>
          <w:r w:rsidR="00000000" w:rsidRPr="006B239B">
            <w:fldChar w:fldCharType="separate"/>
          </w:r>
          <w:r w:rsidR="00CB3E3A">
            <w:rPr>
              <w:noProof/>
            </w:rPr>
            <w:t>12</w:t>
          </w:r>
          <w:r w:rsidR="00000000" w:rsidRPr="006B239B">
            <w:fldChar w:fldCharType="end"/>
          </w:r>
        </w:p>
        <w:p w14:paraId="2F292EA6" w14:textId="2165D6DF" w:rsidR="0000464D" w:rsidRPr="006B239B" w:rsidRDefault="0000464D">
          <w:pPr>
            <w:widowControl w:val="0"/>
            <w:tabs>
              <w:tab w:val="right" w:leader="dot" w:pos="9025"/>
            </w:tabs>
            <w:spacing w:before="60" w:line="360" w:lineRule="auto"/>
            <w:jc w:val="both"/>
            <w:rPr>
              <w:rFonts w:ascii="Times New Roman" w:eastAsia="Times New Roman" w:hAnsi="Times New Roman" w:cs="Times New Roman"/>
              <w:b/>
              <w:bCs/>
              <w:sz w:val="24"/>
              <w:szCs w:val="24"/>
            </w:rPr>
          </w:pPr>
          <w:hyperlink w:anchor="_inodx22nsz92">
            <w:r w:rsidRPr="006B239B">
              <w:rPr>
                <w:rFonts w:ascii="Times New Roman" w:eastAsia="Times New Roman" w:hAnsi="Times New Roman" w:cs="Times New Roman"/>
                <w:b/>
                <w:bCs/>
                <w:sz w:val="24"/>
                <w:szCs w:val="24"/>
              </w:rPr>
              <w:t>References</w:t>
            </w:r>
            <w:r w:rsidRPr="006B239B">
              <w:rPr>
                <w:rFonts w:ascii="Times New Roman" w:eastAsia="Times New Roman" w:hAnsi="Times New Roman" w:cs="Times New Roman"/>
                <w:b/>
                <w:bCs/>
                <w:sz w:val="24"/>
                <w:szCs w:val="24"/>
              </w:rPr>
              <w:tab/>
            </w:r>
          </w:hyperlink>
          <w:r w:rsidR="00000000" w:rsidRPr="006B239B">
            <w:fldChar w:fldCharType="begin"/>
          </w:r>
          <w:r w:rsidR="00000000" w:rsidRPr="006B239B">
            <w:instrText xml:space="preserve"> PAGEREF _inodx22nsz92 \h </w:instrText>
          </w:r>
          <w:r w:rsidR="00000000" w:rsidRPr="006B239B">
            <w:fldChar w:fldCharType="separate"/>
          </w:r>
          <w:r w:rsidR="00CB3E3A">
            <w:rPr>
              <w:noProof/>
            </w:rPr>
            <w:t>14</w:t>
          </w:r>
          <w:r w:rsidR="00000000" w:rsidRPr="006B239B">
            <w:fldChar w:fldCharType="end"/>
          </w:r>
          <w:r w:rsidR="00000000" w:rsidRPr="006B239B">
            <w:fldChar w:fldCharType="end"/>
          </w:r>
        </w:p>
      </w:sdtContent>
    </w:sdt>
    <w:p w14:paraId="59EF6F8B" w14:textId="77777777" w:rsidR="0000464D" w:rsidRPr="006B239B" w:rsidRDefault="0000464D">
      <w:pPr>
        <w:spacing w:line="360" w:lineRule="auto"/>
        <w:jc w:val="both"/>
        <w:rPr>
          <w:rFonts w:ascii="Times New Roman" w:eastAsia="Times New Roman" w:hAnsi="Times New Roman" w:cs="Times New Roman"/>
          <w:b/>
          <w:bCs/>
          <w:sz w:val="24"/>
          <w:szCs w:val="24"/>
        </w:rPr>
      </w:pPr>
    </w:p>
    <w:p w14:paraId="51970E26" w14:textId="77777777" w:rsidR="0000464D" w:rsidRPr="006B239B" w:rsidRDefault="00000000">
      <w:pPr>
        <w:spacing w:line="360" w:lineRule="auto"/>
        <w:jc w:val="both"/>
        <w:rPr>
          <w:rFonts w:ascii="Times New Roman" w:eastAsia="Times New Roman" w:hAnsi="Times New Roman" w:cs="Times New Roman"/>
          <w:b/>
          <w:bCs/>
          <w:sz w:val="24"/>
          <w:szCs w:val="24"/>
        </w:rPr>
      </w:pPr>
      <w:r w:rsidRPr="006B239B">
        <w:br w:type="page"/>
      </w:r>
    </w:p>
    <w:p w14:paraId="2B069BCD" w14:textId="77777777" w:rsidR="0000464D" w:rsidRPr="006B239B" w:rsidRDefault="00000000">
      <w:pPr>
        <w:pStyle w:val="Heading1"/>
      </w:pPr>
      <w:bookmarkStart w:id="3" w:name="_aglbk7hiv8c9" w:colFirst="0" w:colLast="0"/>
      <w:bookmarkEnd w:id="3"/>
      <w:r w:rsidRPr="006B239B">
        <w:lastRenderedPageBreak/>
        <w:t>Element 1: Introduction</w:t>
      </w:r>
    </w:p>
    <w:p w14:paraId="3793D2B4" w14:textId="77777777" w:rsidR="0000464D" w:rsidRPr="006B239B" w:rsidRDefault="00000000">
      <w:pPr>
        <w:pStyle w:val="Heading2"/>
      </w:pPr>
      <w:bookmarkStart w:id="4" w:name="_mrl173iz3g1w" w:colFirst="0" w:colLast="0"/>
      <w:bookmarkEnd w:id="4"/>
      <w:r w:rsidRPr="006B239B">
        <w:t>1.1 Project Overview</w:t>
      </w:r>
    </w:p>
    <w:p w14:paraId="3D0704F4" w14:textId="3CB3200C"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The proposed project will aim at coming up with a new Swimming Pool and Fitness Hub in the local community. This project is a contemporary </w:t>
      </w:r>
      <w:r w:rsidR="006B239B" w:rsidRPr="006B239B">
        <w:rPr>
          <w:rFonts w:ascii="Times New Roman" w:eastAsia="Times New Roman" w:hAnsi="Times New Roman" w:cs="Times New Roman"/>
          <w:sz w:val="24"/>
          <w:szCs w:val="24"/>
        </w:rPr>
        <w:t>centre</w:t>
      </w:r>
      <w:r w:rsidRPr="006B239B">
        <w:rPr>
          <w:rFonts w:ascii="Times New Roman" w:eastAsia="Times New Roman" w:hAnsi="Times New Roman" w:cs="Times New Roman"/>
          <w:sz w:val="24"/>
          <w:szCs w:val="24"/>
        </w:rPr>
        <w:t xml:space="preserve"> that will offer affordable sporting, recreational, and wellbeing services to people of any age (</w:t>
      </w:r>
      <w:r w:rsidRPr="006B239B">
        <w:rPr>
          <w:rFonts w:ascii="Times New Roman" w:eastAsia="Times New Roman" w:hAnsi="Times New Roman" w:cs="Times New Roman"/>
          <w:sz w:val="24"/>
          <w:szCs w:val="24"/>
          <w:highlight w:val="white"/>
        </w:rPr>
        <w:t>Siedentop and Van der Mars, 2022)</w:t>
      </w:r>
      <w:r w:rsidRPr="006B239B">
        <w:rPr>
          <w:rFonts w:ascii="Times New Roman" w:eastAsia="Times New Roman" w:hAnsi="Times New Roman" w:cs="Times New Roman"/>
          <w:sz w:val="24"/>
          <w:szCs w:val="24"/>
        </w:rPr>
        <w:t xml:space="preserve">. The facility will also consist of a </w:t>
      </w:r>
      <w:r w:rsidR="006B239B" w:rsidRPr="006B239B">
        <w:rPr>
          <w:rFonts w:ascii="Times New Roman" w:eastAsia="Times New Roman" w:hAnsi="Times New Roman" w:cs="Times New Roman"/>
          <w:sz w:val="24"/>
          <w:szCs w:val="24"/>
        </w:rPr>
        <w:t>full-size</w:t>
      </w:r>
      <w:r w:rsidRPr="006B239B">
        <w:rPr>
          <w:rFonts w:ascii="Times New Roman" w:eastAsia="Times New Roman" w:hAnsi="Times New Roman" w:cs="Times New Roman"/>
          <w:sz w:val="24"/>
          <w:szCs w:val="24"/>
        </w:rPr>
        <w:t xml:space="preserve"> swimming pool, a learners swimming pool, a </w:t>
      </w:r>
      <w:r w:rsidR="006B239B" w:rsidRPr="006B239B">
        <w:rPr>
          <w:rFonts w:ascii="Times New Roman" w:eastAsia="Times New Roman" w:hAnsi="Times New Roman" w:cs="Times New Roman"/>
          <w:sz w:val="24"/>
          <w:szCs w:val="24"/>
        </w:rPr>
        <w:t>well-furnished</w:t>
      </w:r>
      <w:r w:rsidRPr="006B239B">
        <w:rPr>
          <w:rFonts w:ascii="Times New Roman" w:eastAsia="Times New Roman" w:hAnsi="Times New Roman" w:cs="Times New Roman"/>
          <w:sz w:val="24"/>
          <w:szCs w:val="24"/>
        </w:rPr>
        <w:t xml:space="preserve"> gym, fitness studios, changing rooms, and multipurpose rooms to be used by the community. The project reacts to the growing social needs of the population in affordable fitness facilities, better health facilities, and inclusive recreational places.</w:t>
      </w:r>
    </w:p>
    <w:p w14:paraId="5155DC02"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This project is meant to support healthy lifestyles and physical activity to promote the wellbeing of the community both mentally and physically. Fitness-based and swimming are highly established to alleviate the health complications of obesity, heart disease, and stress in the long run (</w:t>
      </w:r>
      <w:r w:rsidRPr="006B239B">
        <w:rPr>
          <w:rFonts w:ascii="Times New Roman" w:eastAsia="Times New Roman" w:hAnsi="Times New Roman" w:cs="Times New Roman"/>
          <w:sz w:val="24"/>
          <w:szCs w:val="24"/>
          <w:highlight w:val="white"/>
        </w:rPr>
        <w:t>Rippe, 2024)</w:t>
      </w:r>
      <w:r w:rsidRPr="006B239B">
        <w:rPr>
          <w:rFonts w:ascii="Times New Roman" w:eastAsia="Times New Roman" w:hAnsi="Times New Roman" w:cs="Times New Roman"/>
          <w:sz w:val="24"/>
          <w:szCs w:val="24"/>
        </w:rPr>
        <w:t>. The hub will also be used as a social facility, where various groups of people within the community are encouraged to interact and they develop a sense of belonging. Also, the project complies with the local authority objectives to promote the improvement of the population services, and investment in leisure facilities that will be sustainable and will serve both the present and future generations.</w:t>
      </w:r>
    </w:p>
    <w:p w14:paraId="65E60A9F" w14:textId="625D6F10"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This project is not only relevant in the context of health, but it also allows significant contribution to the economic and social development. It will generate local job opportunities and involvement of youths in sports and a safe and supervised environment to the families and the community groups. The hub is a long-term asset to the area because its central location and </w:t>
      </w:r>
      <w:r w:rsidR="006B239B" w:rsidRPr="006B239B">
        <w:rPr>
          <w:rFonts w:ascii="Times New Roman" w:eastAsia="Times New Roman" w:hAnsi="Times New Roman" w:cs="Times New Roman"/>
          <w:sz w:val="24"/>
          <w:szCs w:val="24"/>
        </w:rPr>
        <w:t>multi-purpose</w:t>
      </w:r>
      <w:r w:rsidRPr="006B239B">
        <w:rPr>
          <w:rFonts w:ascii="Times New Roman" w:eastAsia="Times New Roman" w:hAnsi="Times New Roman" w:cs="Times New Roman"/>
          <w:sz w:val="24"/>
          <w:szCs w:val="24"/>
        </w:rPr>
        <w:t xml:space="preserve"> design have meant that it can accommodate events, training as well as educational programmes.</w:t>
      </w:r>
    </w:p>
    <w:p w14:paraId="4532640E" w14:textId="77777777" w:rsidR="0000464D" w:rsidRPr="006B239B" w:rsidRDefault="00000000">
      <w:pPr>
        <w:pStyle w:val="Heading2"/>
      </w:pPr>
      <w:bookmarkStart w:id="5" w:name="_jgqyqiqpzqs9" w:colFirst="0" w:colLast="0"/>
      <w:bookmarkEnd w:id="5"/>
      <w:r w:rsidRPr="006B239B">
        <w:t>1.2 Identification of Key Stakeholders</w:t>
      </w:r>
    </w:p>
    <w:p w14:paraId="39355550"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A successful project needs the involvement of main stakeholders who will benefit from or be impacted by the development (</w:t>
      </w:r>
      <w:r w:rsidRPr="006B239B">
        <w:rPr>
          <w:rFonts w:ascii="Times New Roman" w:eastAsia="Times New Roman" w:hAnsi="Times New Roman" w:cs="Times New Roman"/>
          <w:sz w:val="24"/>
          <w:szCs w:val="24"/>
          <w:highlight w:val="white"/>
        </w:rPr>
        <w:t>Dwivedi and Dwivedi, 2021)</w:t>
      </w:r>
      <w:r w:rsidRPr="006B239B">
        <w:rPr>
          <w:rFonts w:ascii="Times New Roman" w:eastAsia="Times New Roman" w:hAnsi="Times New Roman" w:cs="Times New Roman"/>
          <w:sz w:val="24"/>
          <w:szCs w:val="24"/>
        </w:rPr>
        <w:t>. Therefore, the key stakeholders are:</w:t>
      </w:r>
    </w:p>
    <w:p w14:paraId="4E16AAF0" w14:textId="77777777" w:rsidR="0000464D" w:rsidRPr="006B239B" w:rsidRDefault="00000000">
      <w:pPr>
        <w:numPr>
          <w:ilvl w:val="0"/>
          <w:numId w:val="1"/>
        </w:num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Local Residents:</w:t>
      </w:r>
      <w:r w:rsidRPr="006B239B">
        <w:rPr>
          <w:rFonts w:ascii="Times New Roman" w:eastAsia="Times New Roman" w:hAnsi="Times New Roman" w:cs="Times New Roman"/>
          <w:sz w:val="24"/>
          <w:szCs w:val="24"/>
        </w:rPr>
        <w:t xml:space="preserve"> The local residents enjoy the availability of recreational facilities, better health facilities and communal events.</w:t>
      </w:r>
    </w:p>
    <w:p w14:paraId="56A8A0F6" w14:textId="77777777" w:rsidR="0000464D" w:rsidRPr="006B239B" w:rsidRDefault="00000000">
      <w:pPr>
        <w:numPr>
          <w:ilvl w:val="0"/>
          <w:numId w:val="1"/>
        </w:num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Local Authority or Council:</w:t>
      </w:r>
      <w:r w:rsidRPr="006B239B">
        <w:rPr>
          <w:rFonts w:ascii="Times New Roman" w:eastAsia="Times New Roman" w:hAnsi="Times New Roman" w:cs="Times New Roman"/>
          <w:sz w:val="24"/>
          <w:szCs w:val="24"/>
        </w:rPr>
        <w:t xml:space="preserve"> Benefits in achieving the targets of the health of the people, offering community-oriented services and the enhancement of the infrastructure.</w:t>
      </w:r>
    </w:p>
    <w:p w14:paraId="1E33ED2A" w14:textId="77777777" w:rsidR="0000464D" w:rsidRPr="006B239B" w:rsidRDefault="00000000">
      <w:pPr>
        <w:numPr>
          <w:ilvl w:val="0"/>
          <w:numId w:val="1"/>
        </w:num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Sports Clubs and Community Groups:</w:t>
      </w:r>
      <w:r w:rsidRPr="006B239B">
        <w:rPr>
          <w:rFonts w:ascii="Times New Roman" w:eastAsia="Times New Roman" w:hAnsi="Times New Roman" w:cs="Times New Roman"/>
          <w:sz w:val="24"/>
          <w:szCs w:val="24"/>
        </w:rPr>
        <w:t xml:space="preserve"> They will utilise the pool and fitness areas to train, compete and group activities.</w:t>
      </w:r>
    </w:p>
    <w:p w14:paraId="491E1808" w14:textId="77777777" w:rsidR="0000464D" w:rsidRPr="006B239B" w:rsidRDefault="00000000">
      <w:pPr>
        <w:numPr>
          <w:ilvl w:val="0"/>
          <w:numId w:val="1"/>
        </w:num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lastRenderedPageBreak/>
        <w:t>Local Businesses:</w:t>
      </w:r>
      <w:r w:rsidRPr="006B239B">
        <w:rPr>
          <w:rFonts w:ascii="Times New Roman" w:eastAsia="Times New Roman" w:hAnsi="Times New Roman" w:cs="Times New Roman"/>
          <w:sz w:val="24"/>
          <w:szCs w:val="24"/>
        </w:rPr>
        <w:t xml:space="preserve"> The visitors will boost the local shops, cafes, and other service providers.</w:t>
      </w:r>
    </w:p>
    <w:p w14:paraId="228CD874" w14:textId="77777777" w:rsidR="0000464D" w:rsidRPr="006B239B" w:rsidRDefault="00000000">
      <w:pPr>
        <w:numPr>
          <w:ilvl w:val="0"/>
          <w:numId w:val="1"/>
        </w:num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Construction Firms or Contractors:</w:t>
      </w:r>
      <w:r w:rsidRPr="006B239B">
        <w:rPr>
          <w:rFonts w:ascii="Times New Roman" w:eastAsia="Times New Roman" w:hAnsi="Times New Roman" w:cs="Times New Roman"/>
          <w:sz w:val="24"/>
          <w:szCs w:val="24"/>
        </w:rPr>
        <w:t xml:space="preserve"> Beneficial in terms of construction contracts, jobs and development of skills.</w:t>
      </w:r>
    </w:p>
    <w:p w14:paraId="1058A30D" w14:textId="77777777" w:rsidR="0000464D" w:rsidRPr="006B239B" w:rsidRDefault="00000000">
      <w:pPr>
        <w:numPr>
          <w:ilvl w:val="0"/>
          <w:numId w:val="1"/>
        </w:num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Future Employees or Facility Staff:</w:t>
      </w:r>
      <w:r w:rsidRPr="006B239B">
        <w:rPr>
          <w:rFonts w:ascii="Times New Roman" w:eastAsia="Times New Roman" w:hAnsi="Times New Roman" w:cs="Times New Roman"/>
          <w:sz w:val="24"/>
          <w:szCs w:val="24"/>
        </w:rPr>
        <w:t xml:space="preserve"> Benefit through new employment, training and career advancement in the leisure industry.</w:t>
      </w:r>
    </w:p>
    <w:p w14:paraId="3373D316" w14:textId="77777777" w:rsidR="0000464D" w:rsidRPr="006B239B" w:rsidRDefault="0000464D">
      <w:pPr>
        <w:spacing w:line="360" w:lineRule="auto"/>
        <w:jc w:val="both"/>
        <w:rPr>
          <w:rFonts w:ascii="Times New Roman" w:eastAsia="Times New Roman" w:hAnsi="Times New Roman" w:cs="Times New Roman"/>
          <w:sz w:val="24"/>
          <w:szCs w:val="24"/>
        </w:rPr>
      </w:pPr>
    </w:p>
    <w:p w14:paraId="7D75B0A8" w14:textId="77777777" w:rsidR="0000464D" w:rsidRPr="006B239B" w:rsidRDefault="00000000">
      <w:pPr>
        <w:spacing w:line="360" w:lineRule="auto"/>
        <w:jc w:val="both"/>
        <w:rPr>
          <w:rFonts w:ascii="Times New Roman" w:eastAsia="Times New Roman" w:hAnsi="Times New Roman" w:cs="Times New Roman"/>
          <w:sz w:val="24"/>
          <w:szCs w:val="24"/>
        </w:rPr>
      </w:pPr>
      <w:r w:rsidRPr="006B239B">
        <w:br w:type="page"/>
      </w:r>
    </w:p>
    <w:p w14:paraId="270709AE" w14:textId="77777777" w:rsidR="0000464D" w:rsidRPr="006B239B" w:rsidRDefault="00000000">
      <w:pPr>
        <w:pStyle w:val="Heading1"/>
      </w:pPr>
      <w:bookmarkStart w:id="6" w:name="_l86zfwxb0kwd" w:colFirst="0" w:colLast="0"/>
      <w:bookmarkEnd w:id="6"/>
      <w:r w:rsidRPr="006B239B">
        <w:lastRenderedPageBreak/>
        <w:t>Element 2: Application to include Stakeholder Engagement Strategies</w:t>
      </w:r>
    </w:p>
    <w:p w14:paraId="540B1A5F" w14:textId="77777777" w:rsidR="0000464D" w:rsidRPr="006B239B" w:rsidRDefault="00000000">
      <w:pPr>
        <w:pStyle w:val="Heading2"/>
      </w:pPr>
      <w:bookmarkStart w:id="7" w:name="_5tt7sr8ynm3q" w:colFirst="0" w:colLast="0"/>
      <w:bookmarkEnd w:id="7"/>
      <w:r w:rsidRPr="006B239B">
        <w:t>2.1 Power, Influence and Interest</w:t>
      </w:r>
    </w:p>
    <w:tbl>
      <w:tblPr>
        <w:tblStyle w:val="a"/>
        <w:tblW w:w="89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20"/>
        <w:gridCol w:w="1590"/>
        <w:gridCol w:w="1710"/>
        <w:gridCol w:w="1620"/>
      </w:tblGrid>
      <w:tr w:rsidR="0000464D" w:rsidRPr="006B239B" w14:paraId="5816409A" w14:textId="77777777">
        <w:tc>
          <w:tcPr>
            <w:tcW w:w="4020" w:type="dxa"/>
            <w:shd w:val="clear" w:color="auto" w:fill="D9EAD3"/>
            <w:tcMar>
              <w:top w:w="100" w:type="dxa"/>
              <w:left w:w="100" w:type="dxa"/>
              <w:bottom w:w="100" w:type="dxa"/>
              <w:right w:w="100" w:type="dxa"/>
            </w:tcMar>
          </w:tcPr>
          <w:p w14:paraId="48FF9743"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6B239B">
              <w:rPr>
                <w:rFonts w:ascii="Times New Roman" w:eastAsia="Times New Roman" w:hAnsi="Times New Roman" w:cs="Times New Roman"/>
                <w:b/>
                <w:bCs/>
                <w:sz w:val="24"/>
                <w:szCs w:val="24"/>
              </w:rPr>
              <w:t>Stakeholder</w:t>
            </w:r>
          </w:p>
        </w:tc>
        <w:tc>
          <w:tcPr>
            <w:tcW w:w="1590" w:type="dxa"/>
            <w:shd w:val="clear" w:color="auto" w:fill="D9EAD3"/>
            <w:tcMar>
              <w:top w:w="100" w:type="dxa"/>
              <w:left w:w="100" w:type="dxa"/>
              <w:bottom w:w="100" w:type="dxa"/>
              <w:right w:w="100" w:type="dxa"/>
            </w:tcMar>
          </w:tcPr>
          <w:p w14:paraId="105ABCA2"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6B239B">
              <w:rPr>
                <w:rFonts w:ascii="Times New Roman" w:eastAsia="Times New Roman" w:hAnsi="Times New Roman" w:cs="Times New Roman"/>
                <w:b/>
                <w:bCs/>
                <w:sz w:val="24"/>
                <w:szCs w:val="24"/>
              </w:rPr>
              <w:t>Power</w:t>
            </w:r>
          </w:p>
        </w:tc>
        <w:tc>
          <w:tcPr>
            <w:tcW w:w="1710" w:type="dxa"/>
            <w:shd w:val="clear" w:color="auto" w:fill="D9EAD3"/>
            <w:tcMar>
              <w:top w:w="100" w:type="dxa"/>
              <w:left w:w="100" w:type="dxa"/>
              <w:bottom w:w="100" w:type="dxa"/>
              <w:right w:w="100" w:type="dxa"/>
            </w:tcMar>
          </w:tcPr>
          <w:p w14:paraId="04035DC9"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6B239B">
              <w:rPr>
                <w:rFonts w:ascii="Times New Roman" w:eastAsia="Times New Roman" w:hAnsi="Times New Roman" w:cs="Times New Roman"/>
                <w:b/>
                <w:bCs/>
                <w:sz w:val="24"/>
                <w:szCs w:val="24"/>
              </w:rPr>
              <w:t>Influence</w:t>
            </w:r>
          </w:p>
        </w:tc>
        <w:tc>
          <w:tcPr>
            <w:tcW w:w="1620" w:type="dxa"/>
            <w:shd w:val="clear" w:color="auto" w:fill="D9EAD3"/>
            <w:tcMar>
              <w:top w:w="100" w:type="dxa"/>
              <w:left w:w="100" w:type="dxa"/>
              <w:bottom w:w="100" w:type="dxa"/>
              <w:right w:w="100" w:type="dxa"/>
            </w:tcMar>
          </w:tcPr>
          <w:p w14:paraId="10318DB6"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6B239B">
              <w:rPr>
                <w:rFonts w:ascii="Times New Roman" w:eastAsia="Times New Roman" w:hAnsi="Times New Roman" w:cs="Times New Roman"/>
                <w:b/>
                <w:bCs/>
                <w:sz w:val="24"/>
                <w:szCs w:val="24"/>
              </w:rPr>
              <w:t>Interest</w:t>
            </w:r>
          </w:p>
        </w:tc>
      </w:tr>
      <w:tr w:rsidR="0000464D" w:rsidRPr="006B239B" w14:paraId="15134B3B" w14:textId="77777777">
        <w:tc>
          <w:tcPr>
            <w:tcW w:w="4020" w:type="dxa"/>
            <w:tcMar>
              <w:top w:w="100" w:type="dxa"/>
              <w:left w:w="100" w:type="dxa"/>
              <w:bottom w:w="100" w:type="dxa"/>
              <w:right w:w="100" w:type="dxa"/>
            </w:tcMar>
          </w:tcPr>
          <w:p w14:paraId="68B94AB4"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Local Authority/Council</w:t>
            </w:r>
          </w:p>
        </w:tc>
        <w:tc>
          <w:tcPr>
            <w:tcW w:w="1590" w:type="dxa"/>
            <w:shd w:val="clear" w:color="auto" w:fill="FF0000"/>
            <w:tcMar>
              <w:top w:w="100" w:type="dxa"/>
              <w:left w:w="100" w:type="dxa"/>
              <w:bottom w:w="100" w:type="dxa"/>
              <w:right w:w="100" w:type="dxa"/>
            </w:tcMar>
          </w:tcPr>
          <w:p w14:paraId="2773D7C6"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High</w:t>
            </w:r>
          </w:p>
        </w:tc>
        <w:tc>
          <w:tcPr>
            <w:tcW w:w="1710" w:type="dxa"/>
            <w:shd w:val="clear" w:color="auto" w:fill="FF0000"/>
            <w:tcMar>
              <w:top w:w="100" w:type="dxa"/>
              <w:left w:w="100" w:type="dxa"/>
              <w:bottom w:w="100" w:type="dxa"/>
              <w:right w:w="100" w:type="dxa"/>
            </w:tcMar>
          </w:tcPr>
          <w:p w14:paraId="22298E7D" w14:textId="77777777" w:rsidR="0000464D" w:rsidRPr="006B239B" w:rsidRDefault="00000000">
            <w:pPr>
              <w:widowControl w:val="0"/>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High</w:t>
            </w:r>
          </w:p>
        </w:tc>
        <w:tc>
          <w:tcPr>
            <w:tcW w:w="1620" w:type="dxa"/>
            <w:shd w:val="clear" w:color="auto" w:fill="FF0000"/>
            <w:tcMar>
              <w:top w:w="100" w:type="dxa"/>
              <w:left w:w="100" w:type="dxa"/>
              <w:bottom w:w="100" w:type="dxa"/>
              <w:right w:w="100" w:type="dxa"/>
            </w:tcMar>
          </w:tcPr>
          <w:p w14:paraId="2F4C16CC" w14:textId="77777777" w:rsidR="0000464D" w:rsidRPr="006B239B" w:rsidRDefault="00000000">
            <w:pPr>
              <w:widowControl w:val="0"/>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High</w:t>
            </w:r>
          </w:p>
        </w:tc>
      </w:tr>
      <w:tr w:rsidR="0000464D" w:rsidRPr="006B239B" w14:paraId="64865754" w14:textId="77777777">
        <w:tc>
          <w:tcPr>
            <w:tcW w:w="4020" w:type="dxa"/>
            <w:tcMar>
              <w:top w:w="100" w:type="dxa"/>
              <w:left w:w="100" w:type="dxa"/>
              <w:bottom w:w="100" w:type="dxa"/>
              <w:right w:w="100" w:type="dxa"/>
            </w:tcMar>
          </w:tcPr>
          <w:p w14:paraId="2039D5FA"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Local Residents</w:t>
            </w:r>
          </w:p>
        </w:tc>
        <w:tc>
          <w:tcPr>
            <w:tcW w:w="1590" w:type="dxa"/>
            <w:shd w:val="clear" w:color="auto" w:fill="FFFF00"/>
            <w:tcMar>
              <w:top w:w="100" w:type="dxa"/>
              <w:left w:w="100" w:type="dxa"/>
              <w:bottom w:w="100" w:type="dxa"/>
              <w:right w:w="100" w:type="dxa"/>
            </w:tcMar>
          </w:tcPr>
          <w:p w14:paraId="65D28C7E"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Medium </w:t>
            </w:r>
          </w:p>
        </w:tc>
        <w:tc>
          <w:tcPr>
            <w:tcW w:w="1710" w:type="dxa"/>
            <w:shd w:val="clear" w:color="auto" w:fill="FFFF00"/>
            <w:tcMar>
              <w:top w:w="100" w:type="dxa"/>
              <w:left w:w="100" w:type="dxa"/>
              <w:bottom w:w="100" w:type="dxa"/>
              <w:right w:w="100" w:type="dxa"/>
            </w:tcMar>
          </w:tcPr>
          <w:p w14:paraId="5964B236"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Medium</w:t>
            </w:r>
          </w:p>
        </w:tc>
        <w:tc>
          <w:tcPr>
            <w:tcW w:w="1620" w:type="dxa"/>
            <w:shd w:val="clear" w:color="auto" w:fill="FF0000"/>
            <w:tcMar>
              <w:top w:w="100" w:type="dxa"/>
              <w:left w:w="100" w:type="dxa"/>
              <w:bottom w:w="100" w:type="dxa"/>
              <w:right w:w="100" w:type="dxa"/>
            </w:tcMar>
          </w:tcPr>
          <w:p w14:paraId="0715A5CD"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High</w:t>
            </w:r>
          </w:p>
        </w:tc>
      </w:tr>
      <w:tr w:rsidR="0000464D" w:rsidRPr="006B239B" w14:paraId="4436DBFD" w14:textId="77777777">
        <w:tc>
          <w:tcPr>
            <w:tcW w:w="4020" w:type="dxa"/>
            <w:tcMar>
              <w:top w:w="100" w:type="dxa"/>
              <w:left w:w="100" w:type="dxa"/>
              <w:bottom w:w="100" w:type="dxa"/>
              <w:right w:w="100" w:type="dxa"/>
            </w:tcMar>
          </w:tcPr>
          <w:p w14:paraId="10D111A7"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Sports Clubs &amp; Community Groups</w:t>
            </w:r>
          </w:p>
        </w:tc>
        <w:tc>
          <w:tcPr>
            <w:tcW w:w="1590" w:type="dxa"/>
            <w:shd w:val="clear" w:color="auto" w:fill="00FF00"/>
            <w:tcMar>
              <w:top w:w="100" w:type="dxa"/>
              <w:left w:w="100" w:type="dxa"/>
              <w:bottom w:w="100" w:type="dxa"/>
              <w:right w:w="100" w:type="dxa"/>
            </w:tcMar>
          </w:tcPr>
          <w:p w14:paraId="3F9EE8DE"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Low</w:t>
            </w:r>
          </w:p>
        </w:tc>
        <w:tc>
          <w:tcPr>
            <w:tcW w:w="1710" w:type="dxa"/>
            <w:shd w:val="clear" w:color="auto" w:fill="FFFF00"/>
            <w:tcMar>
              <w:top w:w="100" w:type="dxa"/>
              <w:left w:w="100" w:type="dxa"/>
              <w:bottom w:w="100" w:type="dxa"/>
              <w:right w:w="100" w:type="dxa"/>
            </w:tcMar>
          </w:tcPr>
          <w:p w14:paraId="4E586523"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Medium</w:t>
            </w:r>
          </w:p>
        </w:tc>
        <w:tc>
          <w:tcPr>
            <w:tcW w:w="1620" w:type="dxa"/>
            <w:shd w:val="clear" w:color="auto" w:fill="FF0000"/>
            <w:tcMar>
              <w:top w:w="100" w:type="dxa"/>
              <w:left w:w="100" w:type="dxa"/>
              <w:bottom w:w="100" w:type="dxa"/>
              <w:right w:w="100" w:type="dxa"/>
            </w:tcMar>
          </w:tcPr>
          <w:p w14:paraId="302CDD69" w14:textId="77777777" w:rsidR="0000464D" w:rsidRPr="006B239B" w:rsidRDefault="00000000">
            <w:pPr>
              <w:widowControl w:val="0"/>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High</w:t>
            </w:r>
          </w:p>
        </w:tc>
      </w:tr>
      <w:tr w:rsidR="0000464D" w:rsidRPr="006B239B" w14:paraId="0B37000C" w14:textId="77777777">
        <w:tc>
          <w:tcPr>
            <w:tcW w:w="4020" w:type="dxa"/>
            <w:tcMar>
              <w:top w:w="100" w:type="dxa"/>
              <w:left w:w="100" w:type="dxa"/>
              <w:bottom w:w="100" w:type="dxa"/>
              <w:right w:w="100" w:type="dxa"/>
            </w:tcMar>
          </w:tcPr>
          <w:p w14:paraId="07A24065"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Local Businesses</w:t>
            </w:r>
          </w:p>
        </w:tc>
        <w:tc>
          <w:tcPr>
            <w:tcW w:w="1590" w:type="dxa"/>
            <w:shd w:val="clear" w:color="auto" w:fill="FFFF00"/>
            <w:tcMar>
              <w:top w:w="100" w:type="dxa"/>
              <w:left w:w="100" w:type="dxa"/>
              <w:bottom w:w="100" w:type="dxa"/>
              <w:right w:w="100" w:type="dxa"/>
            </w:tcMar>
          </w:tcPr>
          <w:p w14:paraId="768D211B"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Medium </w:t>
            </w:r>
          </w:p>
        </w:tc>
        <w:tc>
          <w:tcPr>
            <w:tcW w:w="1710" w:type="dxa"/>
            <w:shd w:val="clear" w:color="auto" w:fill="00FF00"/>
            <w:tcMar>
              <w:top w:w="100" w:type="dxa"/>
              <w:left w:w="100" w:type="dxa"/>
              <w:bottom w:w="100" w:type="dxa"/>
              <w:right w:w="100" w:type="dxa"/>
            </w:tcMar>
          </w:tcPr>
          <w:p w14:paraId="1F3BEE6A"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Low</w:t>
            </w:r>
          </w:p>
        </w:tc>
        <w:tc>
          <w:tcPr>
            <w:tcW w:w="1620" w:type="dxa"/>
            <w:shd w:val="clear" w:color="auto" w:fill="FFFF00"/>
            <w:tcMar>
              <w:top w:w="100" w:type="dxa"/>
              <w:left w:w="100" w:type="dxa"/>
              <w:bottom w:w="100" w:type="dxa"/>
              <w:right w:w="100" w:type="dxa"/>
            </w:tcMar>
          </w:tcPr>
          <w:p w14:paraId="593617AC"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Medium </w:t>
            </w:r>
          </w:p>
        </w:tc>
      </w:tr>
      <w:tr w:rsidR="0000464D" w:rsidRPr="006B239B" w14:paraId="5668176A" w14:textId="77777777">
        <w:tc>
          <w:tcPr>
            <w:tcW w:w="4020" w:type="dxa"/>
            <w:tcMar>
              <w:top w:w="100" w:type="dxa"/>
              <w:left w:w="100" w:type="dxa"/>
              <w:bottom w:w="100" w:type="dxa"/>
              <w:right w:w="100" w:type="dxa"/>
            </w:tcMar>
          </w:tcPr>
          <w:p w14:paraId="580988AD"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Construction Firms/Contractors</w:t>
            </w:r>
          </w:p>
        </w:tc>
        <w:tc>
          <w:tcPr>
            <w:tcW w:w="1590" w:type="dxa"/>
            <w:shd w:val="clear" w:color="auto" w:fill="FF0000"/>
            <w:tcMar>
              <w:top w:w="100" w:type="dxa"/>
              <w:left w:w="100" w:type="dxa"/>
              <w:bottom w:w="100" w:type="dxa"/>
              <w:right w:w="100" w:type="dxa"/>
            </w:tcMar>
          </w:tcPr>
          <w:p w14:paraId="00CD3728" w14:textId="77777777" w:rsidR="0000464D" w:rsidRPr="006B239B" w:rsidRDefault="00000000">
            <w:pPr>
              <w:widowControl w:val="0"/>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High</w:t>
            </w:r>
          </w:p>
        </w:tc>
        <w:tc>
          <w:tcPr>
            <w:tcW w:w="1710" w:type="dxa"/>
            <w:shd w:val="clear" w:color="auto" w:fill="FFFF00"/>
            <w:tcMar>
              <w:top w:w="100" w:type="dxa"/>
              <w:left w:w="100" w:type="dxa"/>
              <w:bottom w:w="100" w:type="dxa"/>
              <w:right w:w="100" w:type="dxa"/>
            </w:tcMar>
          </w:tcPr>
          <w:p w14:paraId="5BC9B8FF"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Medium </w:t>
            </w:r>
          </w:p>
        </w:tc>
        <w:tc>
          <w:tcPr>
            <w:tcW w:w="1620" w:type="dxa"/>
            <w:shd w:val="clear" w:color="auto" w:fill="FFFF00"/>
            <w:tcMar>
              <w:top w:w="100" w:type="dxa"/>
              <w:left w:w="100" w:type="dxa"/>
              <w:bottom w:w="100" w:type="dxa"/>
              <w:right w:w="100" w:type="dxa"/>
            </w:tcMar>
          </w:tcPr>
          <w:p w14:paraId="64CAE2B5"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Medium </w:t>
            </w:r>
          </w:p>
        </w:tc>
      </w:tr>
      <w:tr w:rsidR="0000464D" w:rsidRPr="006B239B" w14:paraId="1FC90CF4" w14:textId="77777777">
        <w:tc>
          <w:tcPr>
            <w:tcW w:w="4020" w:type="dxa"/>
            <w:tcMar>
              <w:top w:w="100" w:type="dxa"/>
              <w:left w:w="100" w:type="dxa"/>
              <w:bottom w:w="100" w:type="dxa"/>
              <w:right w:w="100" w:type="dxa"/>
            </w:tcMar>
          </w:tcPr>
          <w:p w14:paraId="7257194B"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Future Employees/Facility Staff</w:t>
            </w:r>
          </w:p>
        </w:tc>
        <w:tc>
          <w:tcPr>
            <w:tcW w:w="1590" w:type="dxa"/>
            <w:shd w:val="clear" w:color="auto" w:fill="00FF00"/>
            <w:tcMar>
              <w:top w:w="100" w:type="dxa"/>
              <w:left w:w="100" w:type="dxa"/>
              <w:bottom w:w="100" w:type="dxa"/>
              <w:right w:w="100" w:type="dxa"/>
            </w:tcMar>
          </w:tcPr>
          <w:p w14:paraId="12723FA5"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Low</w:t>
            </w:r>
          </w:p>
        </w:tc>
        <w:tc>
          <w:tcPr>
            <w:tcW w:w="1710" w:type="dxa"/>
            <w:shd w:val="clear" w:color="auto" w:fill="00FF00"/>
            <w:tcMar>
              <w:top w:w="100" w:type="dxa"/>
              <w:left w:w="100" w:type="dxa"/>
              <w:bottom w:w="100" w:type="dxa"/>
              <w:right w:w="100" w:type="dxa"/>
            </w:tcMar>
          </w:tcPr>
          <w:p w14:paraId="440057E9"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Low</w:t>
            </w:r>
          </w:p>
        </w:tc>
        <w:tc>
          <w:tcPr>
            <w:tcW w:w="1620" w:type="dxa"/>
            <w:shd w:val="clear" w:color="auto" w:fill="FFFF00"/>
            <w:tcMar>
              <w:top w:w="100" w:type="dxa"/>
              <w:left w:w="100" w:type="dxa"/>
              <w:bottom w:w="100" w:type="dxa"/>
              <w:right w:w="100" w:type="dxa"/>
            </w:tcMar>
          </w:tcPr>
          <w:p w14:paraId="5C395D9C"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Medium </w:t>
            </w:r>
          </w:p>
        </w:tc>
      </w:tr>
    </w:tbl>
    <w:p w14:paraId="7F02B9F7" w14:textId="77777777" w:rsidR="0000464D" w:rsidRPr="006B239B" w:rsidRDefault="00000000">
      <w:pPr>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Table 01: “Power, Influence and Interest”</w:t>
      </w:r>
      <w:r w:rsidRPr="006B239B">
        <w:rPr>
          <w:rFonts w:ascii="Times New Roman" w:eastAsia="Times New Roman" w:hAnsi="Times New Roman" w:cs="Times New Roman"/>
          <w:b/>
          <w:bCs/>
          <w:sz w:val="24"/>
          <w:szCs w:val="24"/>
        </w:rPr>
        <w:br/>
      </w:r>
      <w:r w:rsidRPr="006B239B">
        <w:rPr>
          <w:rFonts w:ascii="Times New Roman" w:eastAsia="Times New Roman" w:hAnsi="Times New Roman" w:cs="Times New Roman"/>
          <w:sz w:val="24"/>
          <w:szCs w:val="24"/>
        </w:rPr>
        <w:t>(</w:t>
      </w:r>
      <w:r w:rsidRPr="006B239B">
        <w:rPr>
          <w:rFonts w:ascii="Times New Roman" w:eastAsia="Times New Roman" w:hAnsi="Times New Roman" w:cs="Times New Roman"/>
          <w:b/>
          <w:bCs/>
          <w:sz w:val="24"/>
          <w:szCs w:val="24"/>
        </w:rPr>
        <w:t xml:space="preserve">Source: </w:t>
      </w:r>
      <w:r w:rsidRPr="006B239B">
        <w:rPr>
          <w:rFonts w:ascii="Times New Roman" w:eastAsia="Times New Roman" w:hAnsi="Times New Roman" w:cs="Times New Roman"/>
          <w:sz w:val="24"/>
          <w:szCs w:val="24"/>
        </w:rPr>
        <w:t>Created by learner)</w:t>
      </w:r>
    </w:p>
    <w:p w14:paraId="26A523F4" w14:textId="77777777" w:rsidR="0000464D" w:rsidRPr="006B239B" w:rsidRDefault="00000000">
      <w:pPr>
        <w:spacing w:line="360" w:lineRule="auto"/>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Justification:</w:t>
      </w:r>
      <w:r w:rsidRPr="006B239B">
        <w:rPr>
          <w:rFonts w:ascii="Times New Roman" w:eastAsia="Times New Roman" w:hAnsi="Times New Roman" w:cs="Times New Roman"/>
          <w:sz w:val="24"/>
          <w:szCs w:val="24"/>
        </w:rPr>
        <w:t xml:space="preserve"> </w:t>
      </w:r>
    </w:p>
    <w:p w14:paraId="28611EC9"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The </w:t>
      </w:r>
      <w:r w:rsidRPr="006B239B">
        <w:rPr>
          <w:rFonts w:ascii="Times New Roman" w:eastAsia="Times New Roman" w:hAnsi="Times New Roman" w:cs="Times New Roman"/>
          <w:b/>
          <w:bCs/>
          <w:i/>
          <w:iCs/>
          <w:sz w:val="24"/>
          <w:szCs w:val="24"/>
        </w:rPr>
        <w:t>Local Authority/Council</w:t>
      </w:r>
      <w:r w:rsidRPr="006B239B">
        <w:rPr>
          <w:rFonts w:ascii="Times New Roman" w:eastAsia="Times New Roman" w:hAnsi="Times New Roman" w:cs="Times New Roman"/>
          <w:sz w:val="24"/>
          <w:szCs w:val="24"/>
        </w:rPr>
        <w:t xml:space="preserve"> is powerful and influential as they grant funds, planning permission, and compliance with regulations (</w:t>
      </w:r>
      <w:r w:rsidRPr="006B239B">
        <w:rPr>
          <w:rFonts w:ascii="Times New Roman" w:eastAsia="Times New Roman" w:hAnsi="Times New Roman" w:cs="Times New Roman"/>
          <w:sz w:val="24"/>
          <w:szCs w:val="24"/>
          <w:highlight w:val="white"/>
        </w:rPr>
        <w:t>Bailey and Christidis, 2023)</w:t>
      </w:r>
      <w:r w:rsidRPr="006B239B">
        <w:rPr>
          <w:rFonts w:ascii="Times New Roman" w:eastAsia="Times New Roman" w:hAnsi="Times New Roman" w:cs="Times New Roman"/>
          <w:sz w:val="24"/>
          <w:szCs w:val="24"/>
        </w:rPr>
        <w:t>. They are also interested in the project due to the fact that it follows the objectives of public health, sustainability and community service.</w:t>
      </w:r>
    </w:p>
    <w:p w14:paraId="30E6C203"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i/>
          <w:iCs/>
          <w:sz w:val="24"/>
          <w:szCs w:val="24"/>
        </w:rPr>
        <w:t>Local Residents</w:t>
      </w:r>
      <w:r w:rsidRPr="006B239B">
        <w:rPr>
          <w:rFonts w:ascii="Times New Roman" w:eastAsia="Times New Roman" w:hAnsi="Times New Roman" w:cs="Times New Roman"/>
          <w:sz w:val="24"/>
          <w:szCs w:val="24"/>
        </w:rPr>
        <w:t xml:space="preserve"> possess medium power since their opinions can influence the decisions made in planning, and their approval is vital in the attainment of long-term success. Their influence is medium with consultations and community forums primarily and their interest is high since they are the major users of the facility.</w:t>
      </w:r>
    </w:p>
    <w:p w14:paraId="1FADC163" w14:textId="3A6A2191"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The </w:t>
      </w:r>
      <w:r w:rsidRPr="006B239B">
        <w:rPr>
          <w:rFonts w:ascii="Times New Roman" w:eastAsia="Times New Roman" w:hAnsi="Times New Roman" w:cs="Times New Roman"/>
          <w:b/>
          <w:bCs/>
          <w:i/>
          <w:iCs/>
          <w:sz w:val="24"/>
          <w:szCs w:val="24"/>
        </w:rPr>
        <w:t>Sports Clubs and Community Groups</w:t>
      </w:r>
      <w:r w:rsidRPr="006B239B">
        <w:rPr>
          <w:rFonts w:ascii="Times New Roman" w:eastAsia="Times New Roman" w:hAnsi="Times New Roman" w:cs="Times New Roman"/>
          <w:sz w:val="24"/>
          <w:szCs w:val="24"/>
        </w:rPr>
        <w:t xml:space="preserve"> have low power because they cannot directly influence the project decision, although they possess medium influence because they are organised members of sports networks with representation. They are also very interested in it since the facility will be the </w:t>
      </w:r>
      <w:r w:rsidR="006B239B" w:rsidRPr="006B239B">
        <w:rPr>
          <w:rFonts w:ascii="Times New Roman" w:eastAsia="Times New Roman" w:hAnsi="Times New Roman" w:cs="Times New Roman"/>
          <w:sz w:val="24"/>
          <w:szCs w:val="24"/>
        </w:rPr>
        <w:t>centre</w:t>
      </w:r>
      <w:r w:rsidRPr="006B239B">
        <w:rPr>
          <w:rFonts w:ascii="Times New Roman" w:eastAsia="Times New Roman" w:hAnsi="Times New Roman" w:cs="Times New Roman"/>
          <w:sz w:val="24"/>
          <w:szCs w:val="24"/>
        </w:rPr>
        <w:t xml:space="preserve"> of their activities.</w:t>
      </w:r>
    </w:p>
    <w:p w14:paraId="67E0B3B3"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i/>
          <w:iCs/>
          <w:sz w:val="24"/>
          <w:szCs w:val="24"/>
        </w:rPr>
        <w:t>Local Businesses</w:t>
      </w:r>
      <w:r w:rsidRPr="006B239B">
        <w:rPr>
          <w:rFonts w:ascii="Times New Roman" w:eastAsia="Times New Roman" w:hAnsi="Times New Roman" w:cs="Times New Roman"/>
          <w:sz w:val="24"/>
          <w:szCs w:val="24"/>
        </w:rPr>
        <w:t xml:space="preserve"> have medium strength, especially those found in the surrounding area of the development area (</w:t>
      </w:r>
      <w:r w:rsidRPr="006B239B">
        <w:rPr>
          <w:rFonts w:ascii="Times New Roman" w:eastAsia="Times New Roman" w:hAnsi="Times New Roman" w:cs="Times New Roman"/>
          <w:sz w:val="24"/>
          <w:szCs w:val="24"/>
          <w:highlight w:val="white"/>
        </w:rPr>
        <w:t xml:space="preserve">Malizia </w:t>
      </w:r>
      <w:r w:rsidRPr="006B239B">
        <w:rPr>
          <w:rFonts w:ascii="Times New Roman" w:eastAsia="Times New Roman" w:hAnsi="Times New Roman" w:cs="Times New Roman"/>
          <w:i/>
          <w:iCs/>
          <w:sz w:val="24"/>
          <w:szCs w:val="24"/>
          <w:highlight w:val="white"/>
        </w:rPr>
        <w:t>et al.,</w:t>
      </w:r>
      <w:r w:rsidRPr="006B239B">
        <w:rPr>
          <w:rFonts w:ascii="Times New Roman" w:eastAsia="Times New Roman" w:hAnsi="Times New Roman" w:cs="Times New Roman"/>
          <w:sz w:val="24"/>
          <w:szCs w:val="24"/>
          <w:highlight w:val="white"/>
        </w:rPr>
        <w:t xml:space="preserve"> 2020)</w:t>
      </w:r>
      <w:r w:rsidRPr="006B239B">
        <w:rPr>
          <w:rFonts w:ascii="Times New Roman" w:eastAsia="Times New Roman" w:hAnsi="Times New Roman" w:cs="Times New Roman"/>
          <w:sz w:val="24"/>
          <w:szCs w:val="24"/>
        </w:rPr>
        <w:t>. Theirs is low because they are not able to directly influence the project that can shape it, but the interest is medium since the project can raise commercial activity.</w:t>
      </w:r>
    </w:p>
    <w:p w14:paraId="325AD7D5"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i/>
          <w:iCs/>
          <w:sz w:val="24"/>
          <w:szCs w:val="24"/>
        </w:rPr>
        <w:t>Construction Firms/Contractors</w:t>
      </w:r>
      <w:r w:rsidRPr="006B239B">
        <w:rPr>
          <w:rFonts w:ascii="Times New Roman" w:eastAsia="Times New Roman" w:hAnsi="Times New Roman" w:cs="Times New Roman"/>
          <w:sz w:val="24"/>
          <w:szCs w:val="24"/>
        </w:rPr>
        <w:t xml:space="preserve"> possess high power at the building stage because the technical decisions and timelines are determined by them. They have medium influence, which </w:t>
      </w:r>
      <w:r w:rsidRPr="006B239B">
        <w:rPr>
          <w:rFonts w:ascii="Times New Roman" w:eastAsia="Times New Roman" w:hAnsi="Times New Roman" w:cs="Times New Roman"/>
          <w:sz w:val="24"/>
          <w:szCs w:val="24"/>
        </w:rPr>
        <w:lastRenderedPageBreak/>
        <w:t>is associated with project delivery. They have medium interest as contract value based and reputation-driven.</w:t>
      </w:r>
    </w:p>
    <w:p w14:paraId="6216DF3E"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i/>
          <w:iCs/>
          <w:sz w:val="24"/>
          <w:szCs w:val="24"/>
        </w:rPr>
        <w:t>Future Employees/Facility Staff</w:t>
      </w:r>
      <w:r w:rsidRPr="006B239B">
        <w:rPr>
          <w:rFonts w:ascii="Times New Roman" w:eastAsia="Times New Roman" w:hAnsi="Times New Roman" w:cs="Times New Roman"/>
          <w:sz w:val="24"/>
          <w:szCs w:val="24"/>
        </w:rPr>
        <w:t xml:space="preserve"> has low power, and low influence as they have not yet been employed and their options of decision making are minimal. They are medium interested as the project constitutes their future job prospects.</w:t>
      </w:r>
    </w:p>
    <w:p w14:paraId="227F37B3" w14:textId="77777777" w:rsidR="0000464D" w:rsidRPr="006B239B" w:rsidRDefault="00000000">
      <w:pPr>
        <w:pStyle w:val="Heading2"/>
      </w:pPr>
      <w:bookmarkStart w:id="8" w:name="_9sqz3294gzv4" w:colFirst="0" w:colLast="0"/>
      <w:bookmarkEnd w:id="8"/>
      <w:r w:rsidRPr="006B239B">
        <w:t>2.2 Stakeholder Map</w:t>
      </w:r>
    </w:p>
    <w:p w14:paraId="05889045"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Mendelow’s Matrix helps to examine the individual stakeholders by measuring their power and interest (Indeed, 2025</w:t>
      </w:r>
      <w:r w:rsidRPr="006B239B">
        <w:rPr>
          <w:rFonts w:ascii="Times New Roman" w:eastAsia="Times New Roman" w:hAnsi="Times New Roman" w:cs="Times New Roman"/>
          <w:sz w:val="24"/>
          <w:szCs w:val="24"/>
          <w:highlight w:val="white"/>
        </w:rPr>
        <w:t>)</w:t>
      </w:r>
      <w:r w:rsidRPr="006B239B">
        <w:rPr>
          <w:rFonts w:ascii="Times New Roman" w:eastAsia="Times New Roman" w:hAnsi="Times New Roman" w:cs="Times New Roman"/>
          <w:sz w:val="24"/>
          <w:szCs w:val="24"/>
        </w:rPr>
        <w:t>.</w:t>
      </w:r>
    </w:p>
    <w:p w14:paraId="63134A0E" w14:textId="77777777" w:rsidR="0000464D" w:rsidRPr="006B239B" w:rsidRDefault="00000000">
      <w:pPr>
        <w:spacing w:line="360" w:lineRule="auto"/>
        <w:jc w:val="both"/>
        <w:rPr>
          <w:rFonts w:ascii="Times New Roman" w:eastAsia="Times New Roman" w:hAnsi="Times New Roman" w:cs="Times New Roman"/>
          <w:b/>
          <w:bCs/>
          <w:sz w:val="24"/>
          <w:szCs w:val="24"/>
        </w:rPr>
      </w:pPr>
      <w:r w:rsidRPr="006B239B">
        <w:rPr>
          <w:rFonts w:ascii="Times New Roman" w:eastAsia="Times New Roman" w:hAnsi="Times New Roman" w:cs="Times New Roman"/>
          <w:b/>
          <w:bCs/>
          <w:noProof/>
          <w:sz w:val="24"/>
          <w:szCs w:val="24"/>
        </w:rPr>
        <w:drawing>
          <wp:inline distT="114300" distB="114300" distL="114300" distR="114300" wp14:anchorId="7A396D65" wp14:editId="0826A5A5">
            <wp:extent cx="5731200" cy="35052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731200" cy="3505200"/>
                    </a:xfrm>
                    <a:prstGeom prst="rect">
                      <a:avLst/>
                    </a:prstGeom>
                    <a:ln w="25400">
                      <a:solidFill>
                        <a:srgbClr val="000000"/>
                      </a:solidFill>
                      <a:prstDash val="solid"/>
                    </a:ln>
                  </pic:spPr>
                </pic:pic>
              </a:graphicData>
            </a:graphic>
          </wp:inline>
        </w:drawing>
      </w:r>
    </w:p>
    <w:p w14:paraId="760CF49E" w14:textId="77777777" w:rsidR="0000464D" w:rsidRPr="006B239B" w:rsidRDefault="00000000">
      <w:pPr>
        <w:spacing w:line="360" w:lineRule="auto"/>
        <w:jc w:val="center"/>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Fig 01: “Stakeholder Map”</w:t>
      </w:r>
      <w:r w:rsidRPr="006B239B">
        <w:rPr>
          <w:rFonts w:ascii="Times New Roman" w:eastAsia="Times New Roman" w:hAnsi="Times New Roman" w:cs="Times New Roman"/>
          <w:b/>
          <w:bCs/>
          <w:sz w:val="24"/>
          <w:szCs w:val="24"/>
        </w:rPr>
        <w:br/>
      </w:r>
      <w:r w:rsidRPr="006B239B">
        <w:rPr>
          <w:rFonts w:ascii="Times New Roman" w:eastAsia="Times New Roman" w:hAnsi="Times New Roman" w:cs="Times New Roman"/>
          <w:sz w:val="24"/>
          <w:szCs w:val="24"/>
        </w:rPr>
        <w:t>(</w:t>
      </w:r>
      <w:r w:rsidRPr="006B239B">
        <w:rPr>
          <w:rFonts w:ascii="Times New Roman" w:eastAsia="Times New Roman" w:hAnsi="Times New Roman" w:cs="Times New Roman"/>
          <w:b/>
          <w:bCs/>
          <w:sz w:val="24"/>
          <w:szCs w:val="24"/>
        </w:rPr>
        <w:t xml:space="preserve">Source: </w:t>
      </w:r>
      <w:r w:rsidRPr="006B239B">
        <w:rPr>
          <w:rFonts w:ascii="Times New Roman" w:eastAsia="Times New Roman" w:hAnsi="Times New Roman" w:cs="Times New Roman"/>
          <w:sz w:val="24"/>
          <w:szCs w:val="24"/>
        </w:rPr>
        <w:t>Created by learner)</w:t>
      </w:r>
    </w:p>
    <w:p w14:paraId="6A114310" w14:textId="77777777" w:rsidR="0000464D" w:rsidRPr="006B239B" w:rsidRDefault="00000000">
      <w:pPr>
        <w:spacing w:line="360" w:lineRule="auto"/>
        <w:rPr>
          <w:rFonts w:ascii="Times New Roman" w:eastAsia="Times New Roman" w:hAnsi="Times New Roman" w:cs="Times New Roman"/>
          <w:b/>
          <w:bCs/>
          <w:sz w:val="24"/>
          <w:szCs w:val="24"/>
        </w:rPr>
      </w:pPr>
      <w:r w:rsidRPr="006B239B">
        <w:rPr>
          <w:rFonts w:ascii="Times New Roman" w:eastAsia="Times New Roman" w:hAnsi="Times New Roman" w:cs="Times New Roman"/>
          <w:b/>
          <w:bCs/>
          <w:sz w:val="24"/>
          <w:szCs w:val="24"/>
        </w:rPr>
        <w:t>Stakeholder Placement and Justification</w:t>
      </w:r>
    </w:p>
    <w:p w14:paraId="3346ABC8"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Local Authority/Council (Manage Closely):</w:t>
      </w:r>
      <w:r w:rsidRPr="006B239B">
        <w:rPr>
          <w:rFonts w:ascii="Times New Roman" w:eastAsia="Times New Roman" w:hAnsi="Times New Roman" w:cs="Times New Roman"/>
          <w:sz w:val="24"/>
          <w:szCs w:val="24"/>
        </w:rPr>
        <w:t xml:space="preserve"> Close management is required in the Local Authority as it enjoys great powers in the approval of planning permission, funding, regulations, and safety standards (</w:t>
      </w:r>
      <w:r w:rsidRPr="006B239B">
        <w:rPr>
          <w:rFonts w:ascii="Times New Roman" w:eastAsia="Times New Roman" w:hAnsi="Times New Roman" w:cs="Times New Roman"/>
          <w:sz w:val="24"/>
          <w:szCs w:val="24"/>
          <w:highlight w:val="white"/>
        </w:rPr>
        <w:t>Richards, 2024)</w:t>
      </w:r>
      <w:r w:rsidRPr="006B239B">
        <w:rPr>
          <w:rFonts w:ascii="Times New Roman" w:eastAsia="Times New Roman" w:hAnsi="Times New Roman" w:cs="Times New Roman"/>
          <w:sz w:val="24"/>
          <w:szCs w:val="24"/>
        </w:rPr>
        <w:t xml:space="preserve">. It is also of great interest, since the project helps in meeting the objective of community wellbeing, strategies of community development, and public health. </w:t>
      </w:r>
    </w:p>
    <w:p w14:paraId="3938F1DF"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 xml:space="preserve">Local Residents (Keep Informed): </w:t>
      </w:r>
      <w:r w:rsidRPr="006B239B">
        <w:rPr>
          <w:rFonts w:ascii="Times New Roman" w:eastAsia="Times New Roman" w:hAnsi="Times New Roman" w:cs="Times New Roman"/>
          <w:sz w:val="24"/>
          <w:szCs w:val="24"/>
        </w:rPr>
        <w:t xml:space="preserve">Local Residents demonstrate significant interest as the daily users of Swimming Pool and Fitness Hub and do not have great power over key decisions. Their maintenance by way of newsletters, public consultations, and surveys minimises the </w:t>
      </w:r>
      <w:r w:rsidRPr="006B239B">
        <w:rPr>
          <w:rFonts w:ascii="Times New Roman" w:eastAsia="Times New Roman" w:hAnsi="Times New Roman" w:cs="Times New Roman"/>
          <w:sz w:val="24"/>
          <w:szCs w:val="24"/>
        </w:rPr>
        <w:lastRenderedPageBreak/>
        <w:t>misunderstanding, fosters trust, and ensures that they accept them as a community, hence their concerns are met prior to the implementation of the project.</w:t>
      </w:r>
    </w:p>
    <w:p w14:paraId="58A3C629"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 xml:space="preserve">Sports Clubs and Community Groups (Keep Informed): </w:t>
      </w:r>
      <w:r w:rsidRPr="006B239B">
        <w:rPr>
          <w:rFonts w:ascii="Times New Roman" w:eastAsia="Times New Roman" w:hAnsi="Times New Roman" w:cs="Times New Roman"/>
          <w:sz w:val="24"/>
          <w:szCs w:val="24"/>
        </w:rPr>
        <w:t>The Sports Clubs and the Community Groups are of great interest as the facility will be used in providing training, events, and recreational activities. They have low power but their input in their operations is worthwhile. Frequent communication, meeting, and feedback sessions will assist in making sure that their needs in the process of scheduling, equipment, and accessibility are captured.</w:t>
      </w:r>
    </w:p>
    <w:p w14:paraId="1DF5FE0B"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 xml:space="preserve">Construction Firms/Contractors (Keep Satisfied): </w:t>
      </w:r>
      <w:r w:rsidRPr="006B239B">
        <w:rPr>
          <w:rFonts w:ascii="Times New Roman" w:eastAsia="Times New Roman" w:hAnsi="Times New Roman" w:cs="Times New Roman"/>
          <w:sz w:val="24"/>
          <w:szCs w:val="24"/>
        </w:rPr>
        <w:t>The power of Construction Firms or contractors is strong during the building stage because they are technically in charge of schedules, quality, and safety of the location. Their interest is not high as it is only concerned with the completion of contracts. By ensuring their satisfaction by giving clear instructions, decisions made in time and coordinated meetings, it is easy to avoid delays and see a smooth flow in the construction process.</w:t>
      </w:r>
    </w:p>
    <w:p w14:paraId="011FBC19"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Local Businesses (Keep Satisfied):</w:t>
      </w:r>
      <w:r w:rsidRPr="006B239B">
        <w:rPr>
          <w:rFonts w:ascii="Times New Roman" w:eastAsia="Times New Roman" w:hAnsi="Times New Roman" w:cs="Times New Roman"/>
          <w:sz w:val="24"/>
          <w:szCs w:val="24"/>
        </w:rPr>
        <w:t xml:space="preserve"> The Power of Local Businesses is high due to the fact that the construction activities could impact on the accessibility of customers, flow of traffic, and business activities. They are not as interested but have a relevant interest because they can be of economic benefit. Maintaining good relations by updating them on disruptions, business opportunities and the project schedule assists in ensuring that there are no complaints.</w:t>
      </w:r>
    </w:p>
    <w:p w14:paraId="397FC53A"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Future Employees/Facility Staff (Monitor):</w:t>
      </w:r>
      <w:r w:rsidRPr="006B239B">
        <w:rPr>
          <w:rFonts w:ascii="Times New Roman" w:eastAsia="Times New Roman" w:hAnsi="Times New Roman" w:cs="Times New Roman"/>
          <w:sz w:val="24"/>
          <w:szCs w:val="24"/>
        </w:rPr>
        <w:t xml:space="preserve"> Future employees are characterised by low power and low influence since they are not yet employed and have no say in the decisions making process. They are of moderate interest, which is associated with the possibility of employment. Keeping future employees updated on a regular basis makes sure they are updated until there is a need to engage them towards the end of the project (</w:t>
      </w:r>
      <w:r w:rsidRPr="006B239B">
        <w:rPr>
          <w:rFonts w:ascii="Times New Roman" w:eastAsia="Times New Roman" w:hAnsi="Times New Roman" w:cs="Times New Roman"/>
          <w:sz w:val="24"/>
          <w:szCs w:val="24"/>
          <w:highlight w:val="white"/>
        </w:rPr>
        <w:t>Kerzner, 2025)</w:t>
      </w:r>
      <w:r w:rsidRPr="006B239B">
        <w:rPr>
          <w:rFonts w:ascii="Times New Roman" w:eastAsia="Times New Roman" w:hAnsi="Times New Roman" w:cs="Times New Roman"/>
          <w:sz w:val="24"/>
          <w:szCs w:val="24"/>
        </w:rPr>
        <w:t>.</w:t>
      </w:r>
    </w:p>
    <w:p w14:paraId="75BE1A1C" w14:textId="77777777" w:rsidR="0000464D" w:rsidRPr="006B239B" w:rsidRDefault="00000000">
      <w:pPr>
        <w:pStyle w:val="Heading2"/>
      </w:pPr>
      <w:bookmarkStart w:id="9" w:name="_gv9f0b56yto" w:colFirst="0" w:colLast="0"/>
      <w:bookmarkEnd w:id="9"/>
      <w:r w:rsidRPr="006B239B">
        <w:t>2.3 Communication Plan &amp; Consultation Strategy</w:t>
      </w:r>
    </w:p>
    <w:tbl>
      <w:tblPr>
        <w:tblStyle w:val="a0"/>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00464D" w:rsidRPr="006B239B" w14:paraId="4C0FA99E" w14:textId="77777777">
        <w:tc>
          <w:tcPr>
            <w:tcW w:w="2257" w:type="dxa"/>
            <w:shd w:val="clear" w:color="auto" w:fill="D9EAD3"/>
            <w:tcMar>
              <w:top w:w="100" w:type="dxa"/>
              <w:left w:w="100" w:type="dxa"/>
              <w:bottom w:w="100" w:type="dxa"/>
              <w:right w:w="100" w:type="dxa"/>
            </w:tcMar>
          </w:tcPr>
          <w:p w14:paraId="18FC99E3"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6B239B">
              <w:rPr>
                <w:rFonts w:ascii="Times New Roman" w:eastAsia="Times New Roman" w:hAnsi="Times New Roman" w:cs="Times New Roman"/>
                <w:b/>
                <w:bCs/>
                <w:sz w:val="24"/>
                <w:szCs w:val="24"/>
              </w:rPr>
              <w:t>Stakeholder</w:t>
            </w:r>
          </w:p>
        </w:tc>
        <w:tc>
          <w:tcPr>
            <w:tcW w:w="2257" w:type="dxa"/>
            <w:shd w:val="clear" w:color="auto" w:fill="D9EAD3"/>
            <w:tcMar>
              <w:top w:w="100" w:type="dxa"/>
              <w:left w:w="100" w:type="dxa"/>
              <w:bottom w:w="100" w:type="dxa"/>
              <w:right w:w="100" w:type="dxa"/>
            </w:tcMar>
          </w:tcPr>
          <w:p w14:paraId="2DA85ABB"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6B239B">
              <w:rPr>
                <w:rFonts w:ascii="Times New Roman" w:eastAsia="Times New Roman" w:hAnsi="Times New Roman" w:cs="Times New Roman"/>
                <w:b/>
                <w:bCs/>
                <w:sz w:val="24"/>
                <w:szCs w:val="24"/>
              </w:rPr>
              <w:t>Information to share</w:t>
            </w:r>
          </w:p>
        </w:tc>
        <w:tc>
          <w:tcPr>
            <w:tcW w:w="2257" w:type="dxa"/>
            <w:shd w:val="clear" w:color="auto" w:fill="D9EAD3"/>
            <w:tcMar>
              <w:top w:w="100" w:type="dxa"/>
              <w:left w:w="100" w:type="dxa"/>
              <w:bottom w:w="100" w:type="dxa"/>
              <w:right w:w="100" w:type="dxa"/>
            </w:tcMar>
          </w:tcPr>
          <w:p w14:paraId="2EAD736E"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6B239B">
              <w:rPr>
                <w:rFonts w:ascii="Times New Roman" w:eastAsia="Times New Roman" w:hAnsi="Times New Roman" w:cs="Times New Roman"/>
                <w:b/>
                <w:bCs/>
                <w:sz w:val="24"/>
                <w:szCs w:val="24"/>
              </w:rPr>
              <w:t>Frequency</w:t>
            </w:r>
          </w:p>
        </w:tc>
        <w:tc>
          <w:tcPr>
            <w:tcW w:w="2257" w:type="dxa"/>
            <w:shd w:val="clear" w:color="auto" w:fill="D9EAD3"/>
            <w:tcMar>
              <w:top w:w="100" w:type="dxa"/>
              <w:left w:w="100" w:type="dxa"/>
              <w:bottom w:w="100" w:type="dxa"/>
              <w:right w:w="100" w:type="dxa"/>
            </w:tcMar>
          </w:tcPr>
          <w:p w14:paraId="4F31FEFA" w14:textId="77777777" w:rsidR="0000464D" w:rsidRPr="006B239B" w:rsidRDefault="00000000">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6B239B">
              <w:rPr>
                <w:rFonts w:ascii="Times New Roman" w:eastAsia="Times New Roman" w:hAnsi="Times New Roman" w:cs="Times New Roman"/>
                <w:b/>
                <w:bCs/>
                <w:sz w:val="24"/>
                <w:szCs w:val="24"/>
              </w:rPr>
              <w:t>Communication method</w:t>
            </w:r>
          </w:p>
        </w:tc>
      </w:tr>
      <w:tr w:rsidR="0000464D" w:rsidRPr="006B239B" w14:paraId="175CAACB" w14:textId="77777777">
        <w:tc>
          <w:tcPr>
            <w:tcW w:w="2257" w:type="dxa"/>
            <w:tcMar>
              <w:top w:w="100" w:type="dxa"/>
              <w:left w:w="100" w:type="dxa"/>
              <w:bottom w:w="100" w:type="dxa"/>
              <w:right w:w="100" w:type="dxa"/>
            </w:tcMar>
          </w:tcPr>
          <w:p w14:paraId="0FEAE25A"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Local authority</w:t>
            </w:r>
          </w:p>
        </w:tc>
        <w:tc>
          <w:tcPr>
            <w:tcW w:w="2257" w:type="dxa"/>
            <w:tcMar>
              <w:top w:w="100" w:type="dxa"/>
              <w:left w:w="100" w:type="dxa"/>
              <w:bottom w:w="100" w:type="dxa"/>
              <w:right w:w="100" w:type="dxa"/>
            </w:tcMar>
          </w:tcPr>
          <w:p w14:paraId="40FA42E7"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Project progress, compliance reports and budget updates</w:t>
            </w:r>
          </w:p>
        </w:tc>
        <w:tc>
          <w:tcPr>
            <w:tcW w:w="2257" w:type="dxa"/>
            <w:tcMar>
              <w:top w:w="100" w:type="dxa"/>
              <w:left w:w="100" w:type="dxa"/>
              <w:bottom w:w="100" w:type="dxa"/>
              <w:right w:w="100" w:type="dxa"/>
            </w:tcMar>
          </w:tcPr>
          <w:p w14:paraId="5BE57833" w14:textId="77777777" w:rsidR="0000464D" w:rsidRPr="006B239B" w:rsidRDefault="00000000">
            <w:pPr>
              <w:widowControl w:val="0"/>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Monthly</w:t>
            </w:r>
          </w:p>
        </w:tc>
        <w:tc>
          <w:tcPr>
            <w:tcW w:w="2257" w:type="dxa"/>
            <w:tcMar>
              <w:top w:w="100" w:type="dxa"/>
              <w:left w:w="100" w:type="dxa"/>
              <w:bottom w:w="100" w:type="dxa"/>
              <w:right w:w="100" w:type="dxa"/>
            </w:tcMar>
          </w:tcPr>
          <w:p w14:paraId="0D412608"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Meetings official reports and emails</w:t>
            </w:r>
          </w:p>
        </w:tc>
      </w:tr>
      <w:tr w:rsidR="0000464D" w:rsidRPr="006B239B" w14:paraId="5C2177B5" w14:textId="77777777">
        <w:tc>
          <w:tcPr>
            <w:tcW w:w="2257" w:type="dxa"/>
            <w:tcMar>
              <w:top w:w="100" w:type="dxa"/>
              <w:left w:w="100" w:type="dxa"/>
              <w:bottom w:w="100" w:type="dxa"/>
              <w:right w:w="100" w:type="dxa"/>
            </w:tcMar>
          </w:tcPr>
          <w:p w14:paraId="5910F5D3"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Local residents </w:t>
            </w:r>
          </w:p>
        </w:tc>
        <w:tc>
          <w:tcPr>
            <w:tcW w:w="2257" w:type="dxa"/>
            <w:tcMar>
              <w:top w:w="100" w:type="dxa"/>
              <w:left w:w="100" w:type="dxa"/>
              <w:bottom w:w="100" w:type="dxa"/>
              <w:right w:w="100" w:type="dxa"/>
            </w:tcMar>
          </w:tcPr>
          <w:p w14:paraId="7AB395D0"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Construction updates, facility features and </w:t>
            </w:r>
            <w:r w:rsidRPr="006B239B">
              <w:rPr>
                <w:rFonts w:ascii="Times New Roman" w:eastAsia="Times New Roman" w:hAnsi="Times New Roman" w:cs="Times New Roman"/>
                <w:sz w:val="24"/>
                <w:szCs w:val="24"/>
              </w:rPr>
              <w:lastRenderedPageBreak/>
              <w:t>timelines</w:t>
            </w:r>
          </w:p>
        </w:tc>
        <w:tc>
          <w:tcPr>
            <w:tcW w:w="2257" w:type="dxa"/>
            <w:tcMar>
              <w:top w:w="100" w:type="dxa"/>
              <w:left w:w="100" w:type="dxa"/>
              <w:bottom w:w="100" w:type="dxa"/>
              <w:right w:w="100" w:type="dxa"/>
            </w:tcMar>
          </w:tcPr>
          <w:p w14:paraId="5687378F" w14:textId="77777777" w:rsidR="0000464D" w:rsidRPr="006B239B" w:rsidRDefault="00000000">
            <w:pPr>
              <w:widowControl w:val="0"/>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lastRenderedPageBreak/>
              <w:t>Monthly (as per the need)</w:t>
            </w:r>
          </w:p>
        </w:tc>
        <w:tc>
          <w:tcPr>
            <w:tcW w:w="2257" w:type="dxa"/>
            <w:tcMar>
              <w:top w:w="100" w:type="dxa"/>
              <w:left w:w="100" w:type="dxa"/>
              <w:bottom w:w="100" w:type="dxa"/>
              <w:right w:w="100" w:type="dxa"/>
            </w:tcMar>
          </w:tcPr>
          <w:p w14:paraId="1C6B517A"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Newsletters, websites and community notice </w:t>
            </w:r>
            <w:r w:rsidRPr="006B239B">
              <w:rPr>
                <w:rFonts w:ascii="Times New Roman" w:eastAsia="Times New Roman" w:hAnsi="Times New Roman" w:cs="Times New Roman"/>
                <w:sz w:val="24"/>
                <w:szCs w:val="24"/>
              </w:rPr>
              <w:lastRenderedPageBreak/>
              <w:t>boards</w:t>
            </w:r>
          </w:p>
        </w:tc>
      </w:tr>
      <w:tr w:rsidR="0000464D" w:rsidRPr="006B239B" w14:paraId="7F65CC3E" w14:textId="77777777">
        <w:tc>
          <w:tcPr>
            <w:tcW w:w="2257" w:type="dxa"/>
            <w:tcMar>
              <w:top w:w="100" w:type="dxa"/>
              <w:left w:w="100" w:type="dxa"/>
              <w:bottom w:w="100" w:type="dxa"/>
              <w:right w:w="100" w:type="dxa"/>
            </w:tcMar>
          </w:tcPr>
          <w:p w14:paraId="0AFA320D"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lastRenderedPageBreak/>
              <w:t>Sports clubs</w:t>
            </w:r>
          </w:p>
        </w:tc>
        <w:tc>
          <w:tcPr>
            <w:tcW w:w="2257" w:type="dxa"/>
            <w:tcMar>
              <w:top w:w="100" w:type="dxa"/>
              <w:left w:w="100" w:type="dxa"/>
              <w:bottom w:w="100" w:type="dxa"/>
              <w:right w:w="100" w:type="dxa"/>
            </w:tcMar>
          </w:tcPr>
          <w:p w14:paraId="3B5EC14A"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Facilities scheduling, availability and design</w:t>
            </w:r>
          </w:p>
        </w:tc>
        <w:tc>
          <w:tcPr>
            <w:tcW w:w="2257" w:type="dxa"/>
            <w:tcMar>
              <w:top w:w="100" w:type="dxa"/>
              <w:left w:w="100" w:type="dxa"/>
              <w:bottom w:w="100" w:type="dxa"/>
              <w:right w:w="100" w:type="dxa"/>
            </w:tcMar>
          </w:tcPr>
          <w:p w14:paraId="3D29FFEF" w14:textId="77777777" w:rsidR="0000464D" w:rsidRPr="006B239B" w:rsidRDefault="00000000">
            <w:pPr>
              <w:widowControl w:val="0"/>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Bi-monthly</w:t>
            </w:r>
          </w:p>
        </w:tc>
        <w:tc>
          <w:tcPr>
            <w:tcW w:w="2257" w:type="dxa"/>
            <w:tcMar>
              <w:top w:w="100" w:type="dxa"/>
              <w:left w:w="100" w:type="dxa"/>
              <w:bottom w:w="100" w:type="dxa"/>
              <w:right w:w="100" w:type="dxa"/>
            </w:tcMar>
          </w:tcPr>
          <w:p w14:paraId="0F4C5BAE"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Emails, workshops as well as focus groups</w:t>
            </w:r>
          </w:p>
        </w:tc>
      </w:tr>
      <w:tr w:rsidR="0000464D" w:rsidRPr="006B239B" w14:paraId="5121849F" w14:textId="77777777">
        <w:tc>
          <w:tcPr>
            <w:tcW w:w="2257" w:type="dxa"/>
            <w:tcMar>
              <w:top w:w="100" w:type="dxa"/>
              <w:left w:w="100" w:type="dxa"/>
              <w:bottom w:w="100" w:type="dxa"/>
              <w:right w:w="100" w:type="dxa"/>
            </w:tcMar>
          </w:tcPr>
          <w:p w14:paraId="7F5962E7"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Local businesses</w:t>
            </w:r>
          </w:p>
        </w:tc>
        <w:tc>
          <w:tcPr>
            <w:tcW w:w="2257" w:type="dxa"/>
            <w:tcMar>
              <w:top w:w="100" w:type="dxa"/>
              <w:left w:w="100" w:type="dxa"/>
              <w:bottom w:w="100" w:type="dxa"/>
              <w:right w:w="100" w:type="dxa"/>
            </w:tcMar>
          </w:tcPr>
          <w:p w14:paraId="233425D7"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Traffic updates and economic opportunities</w:t>
            </w:r>
          </w:p>
        </w:tc>
        <w:tc>
          <w:tcPr>
            <w:tcW w:w="2257" w:type="dxa"/>
            <w:tcMar>
              <w:top w:w="100" w:type="dxa"/>
              <w:left w:w="100" w:type="dxa"/>
              <w:bottom w:w="100" w:type="dxa"/>
              <w:right w:w="100" w:type="dxa"/>
            </w:tcMar>
          </w:tcPr>
          <w:p w14:paraId="229C6E91" w14:textId="77777777" w:rsidR="0000464D" w:rsidRPr="006B239B" w:rsidRDefault="00000000">
            <w:pPr>
              <w:widowControl w:val="0"/>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Quarterly</w:t>
            </w:r>
          </w:p>
        </w:tc>
        <w:tc>
          <w:tcPr>
            <w:tcW w:w="2257" w:type="dxa"/>
            <w:tcMar>
              <w:top w:w="100" w:type="dxa"/>
              <w:left w:w="100" w:type="dxa"/>
              <w:bottom w:w="100" w:type="dxa"/>
              <w:right w:w="100" w:type="dxa"/>
            </w:tcMar>
          </w:tcPr>
          <w:p w14:paraId="664A72C3"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Letters and local business forums</w:t>
            </w:r>
          </w:p>
        </w:tc>
      </w:tr>
      <w:tr w:rsidR="0000464D" w:rsidRPr="006B239B" w14:paraId="7787DE2C" w14:textId="77777777">
        <w:tc>
          <w:tcPr>
            <w:tcW w:w="2257" w:type="dxa"/>
            <w:tcMar>
              <w:top w:w="100" w:type="dxa"/>
              <w:left w:w="100" w:type="dxa"/>
              <w:bottom w:w="100" w:type="dxa"/>
              <w:right w:w="100" w:type="dxa"/>
            </w:tcMar>
          </w:tcPr>
          <w:p w14:paraId="0DE9A32D"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Contractors</w:t>
            </w:r>
          </w:p>
        </w:tc>
        <w:tc>
          <w:tcPr>
            <w:tcW w:w="2257" w:type="dxa"/>
            <w:tcMar>
              <w:top w:w="100" w:type="dxa"/>
              <w:left w:w="100" w:type="dxa"/>
              <w:bottom w:w="100" w:type="dxa"/>
              <w:right w:w="100" w:type="dxa"/>
            </w:tcMar>
          </w:tcPr>
          <w:p w14:paraId="5725BFE6"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Deadlines and technical requirements</w:t>
            </w:r>
          </w:p>
        </w:tc>
        <w:tc>
          <w:tcPr>
            <w:tcW w:w="2257" w:type="dxa"/>
            <w:tcMar>
              <w:top w:w="100" w:type="dxa"/>
              <w:left w:w="100" w:type="dxa"/>
              <w:bottom w:w="100" w:type="dxa"/>
              <w:right w:w="100" w:type="dxa"/>
            </w:tcMar>
          </w:tcPr>
          <w:p w14:paraId="5E3FD07E"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Weekly</w:t>
            </w:r>
          </w:p>
        </w:tc>
        <w:tc>
          <w:tcPr>
            <w:tcW w:w="2257" w:type="dxa"/>
            <w:tcMar>
              <w:top w:w="100" w:type="dxa"/>
              <w:left w:w="100" w:type="dxa"/>
              <w:bottom w:w="100" w:type="dxa"/>
              <w:right w:w="100" w:type="dxa"/>
            </w:tcMar>
          </w:tcPr>
          <w:p w14:paraId="512E47DE"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Briefs, meetings and email updates</w:t>
            </w:r>
          </w:p>
        </w:tc>
      </w:tr>
      <w:tr w:rsidR="0000464D" w:rsidRPr="006B239B" w14:paraId="1497C30F" w14:textId="77777777">
        <w:tc>
          <w:tcPr>
            <w:tcW w:w="2257" w:type="dxa"/>
            <w:tcMar>
              <w:top w:w="100" w:type="dxa"/>
              <w:left w:w="100" w:type="dxa"/>
              <w:bottom w:w="100" w:type="dxa"/>
              <w:right w:w="100" w:type="dxa"/>
            </w:tcMar>
          </w:tcPr>
          <w:p w14:paraId="3263259D"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Future employees</w:t>
            </w:r>
          </w:p>
        </w:tc>
        <w:tc>
          <w:tcPr>
            <w:tcW w:w="2257" w:type="dxa"/>
            <w:tcMar>
              <w:top w:w="100" w:type="dxa"/>
              <w:left w:w="100" w:type="dxa"/>
              <w:bottom w:w="100" w:type="dxa"/>
              <w:right w:w="100" w:type="dxa"/>
            </w:tcMar>
          </w:tcPr>
          <w:p w14:paraId="20A6B39B"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Job postings and recruitment process</w:t>
            </w:r>
          </w:p>
        </w:tc>
        <w:tc>
          <w:tcPr>
            <w:tcW w:w="2257" w:type="dxa"/>
            <w:tcMar>
              <w:top w:w="100" w:type="dxa"/>
              <w:left w:w="100" w:type="dxa"/>
              <w:bottom w:w="100" w:type="dxa"/>
              <w:right w:w="100" w:type="dxa"/>
            </w:tcMar>
          </w:tcPr>
          <w:p w14:paraId="3645044C"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At final phase</w:t>
            </w:r>
          </w:p>
        </w:tc>
        <w:tc>
          <w:tcPr>
            <w:tcW w:w="2257" w:type="dxa"/>
            <w:tcMar>
              <w:top w:w="100" w:type="dxa"/>
              <w:left w:w="100" w:type="dxa"/>
              <w:bottom w:w="100" w:type="dxa"/>
              <w:right w:w="100" w:type="dxa"/>
            </w:tcMar>
          </w:tcPr>
          <w:p w14:paraId="10C299ED" w14:textId="77777777" w:rsidR="0000464D" w:rsidRPr="006B239B" w:rsidRDefault="00000000">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Social media, website and job fairs</w:t>
            </w:r>
          </w:p>
        </w:tc>
      </w:tr>
    </w:tbl>
    <w:p w14:paraId="1D22E580" w14:textId="77777777" w:rsidR="0000464D" w:rsidRPr="006B239B" w:rsidRDefault="00000000">
      <w:pPr>
        <w:spacing w:line="360" w:lineRule="auto"/>
        <w:jc w:val="center"/>
        <w:rPr>
          <w:rFonts w:ascii="Times New Roman" w:eastAsia="Times New Roman" w:hAnsi="Times New Roman" w:cs="Times New Roman"/>
          <w:b/>
          <w:bCs/>
          <w:sz w:val="24"/>
          <w:szCs w:val="24"/>
        </w:rPr>
      </w:pPr>
      <w:r w:rsidRPr="006B239B">
        <w:rPr>
          <w:rFonts w:ascii="Times New Roman" w:eastAsia="Times New Roman" w:hAnsi="Times New Roman" w:cs="Times New Roman"/>
          <w:b/>
          <w:bCs/>
          <w:sz w:val="24"/>
          <w:szCs w:val="24"/>
        </w:rPr>
        <w:t>Table 02: “Communication Plan”</w:t>
      </w:r>
      <w:r w:rsidRPr="006B239B">
        <w:rPr>
          <w:rFonts w:ascii="Times New Roman" w:eastAsia="Times New Roman" w:hAnsi="Times New Roman" w:cs="Times New Roman"/>
          <w:b/>
          <w:bCs/>
          <w:sz w:val="24"/>
          <w:szCs w:val="24"/>
        </w:rPr>
        <w:br/>
      </w:r>
      <w:r w:rsidRPr="006B239B">
        <w:rPr>
          <w:rFonts w:ascii="Times New Roman" w:eastAsia="Times New Roman" w:hAnsi="Times New Roman" w:cs="Times New Roman"/>
          <w:sz w:val="24"/>
          <w:szCs w:val="24"/>
        </w:rPr>
        <w:t>(</w:t>
      </w:r>
      <w:r w:rsidRPr="006B239B">
        <w:rPr>
          <w:rFonts w:ascii="Times New Roman" w:eastAsia="Times New Roman" w:hAnsi="Times New Roman" w:cs="Times New Roman"/>
          <w:b/>
          <w:bCs/>
          <w:sz w:val="24"/>
          <w:szCs w:val="24"/>
        </w:rPr>
        <w:t xml:space="preserve">Source: </w:t>
      </w:r>
      <w:r w:rsidRPr="006B239B">
        <w:rPr>
          <w:rFonts w:ascii="Times New Roman" w:eastAsia="Times New Roman" w:hAnsi="Times New Roman" w:cs="Times New Roman"/>
          <w:sz w:val="24"/>
          <w:szCs w:val="24"/>
        </w:rPr>
        <w:t>Created by learner)</w:t>
      </w:r>
    </w:p>
    <w:p w14:paraId="5ECB2B2D" w14:textId="77777777" w:rsidR="0000464D" w:rsidRPr="006B239B" w:rsidRDefault="00000000">
      <w:pPr>
        <w:spacing w:line="360" w:lineRule="auto"/>
        <w:jc w:val="both"/>
        <w:rPr>
          <w:rFonts w:ascii="Times New Roman" w:eastAsia="Times New Roman" w:hAnsi="Times New Roman" w:cs="Times New Roman"/>
          <w:b/>
          <w:bCs/>
          <w:sz w:val="24"/>
          <w:szCs w:val="24"/>
        </w:rPr>
      </w:pPr>
      <w:r w:rsidRPr="006B239B">
        <w:rPr>
          <w:rFonts w:ascii="Times New Roman" w:eastAsia="Times New Roman" w:hAnsi="Times New Roman" w:cs="Times New Roman"/>
          <w:b/>
          <w:bCs/>
          <w:sz w:val="24"/>
          <w:szCs w:val="24"/>
        </w:rPr>
        <w:t>Consultation Strategy</w:t>
      </w:r>
    </w:p>
    <w:p w14:paraId="334448B9"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 xml:space="preserve">Public Meetings: </w:t>
      </w:r>
      <w:r w:rsidRPr="006B239B">
        <w:rPr>
          <w:rFonts w:ascii="Times New Roman" w:eastAsia="Times New Roman" w:hAnsi="Times New Roman" w:cs="Times New Roman"/>
          <w:sz w:val="24"/>
          <w:szCs w:val="24"/>
        </w:rPr>
        <w:t>Local residents and businesses will be involved in public meetings, where they will be able to pose questions and share concerns and give suggestions (</w:t>
      </w:r>
      <w:r w:rsidRPr="006B239B">
        <w:rPr>
          <w:rFonts w:ascii="Times New Roman" w:eastAsia="Times New Roman" w:hAnsi="Times New Roman" w:cs="Times New Roman"/>
          <w:sz w:val="24"/>
          <w:szCs w:val="24"/>
          <w:highlight w:val="white"/>
        </w:rPr>
        <w:t>Bell and Newby, 2021)</w:t>
      </w:r>
      <w:r w:rsidRPr="006B239B">
        <w:rPr>
          <w:rFonts w:ascii="Times New Roman" w:eastAsia="Times New Roman" w:hAnsi="Times New Roman" w:cs="Times New Roman"/>
          <w:sz w:val="24"/>
          <w:szCs w:val="24"/>
        </w:rPr>
        <w:t>. Such meetings assist in developing transparency and trust.</w:t>
      </w:r>
    </w:p>
    <w:p w14:paraId="5DA69FD8"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Workshops:</w:t>
      </w:r>
      <w:r w:rsidRPr="006B239B">
        <w:rPr>
          <w:rFonts w:ascii="Times New Roman" w:eastAsia="Times New Roman" w:hAnsi="Times New Roman" w:cs="Times New Roman"/>
          <w:sz w:val="24"/>
          <w:szCs w:val="24"/>
        </w:rPr>
        <w:t xml:space="preserve"> Sports Clubs and Community Groups are best organised in workshops, where they have an organised time to discuss the pool dimensions, equipment requirements, accessibility and schedule of training.</w:t>
      </w:r>
    </w:p>
    <w:p w14:paraId="5C4F1BFA"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 xml:space="preserve">Surveys (Online and Paper-Based): </w:t>
      </w:r>
      <w:r w:rsidRPr="006B239B">
        <w:rPr>
          <w:rFonts w:ascii="Times New Roman" w:eastAsia="Times New Roman" w:hAnsi="Times New Roman" w:cs="Times New Roman"/>
          <w:sz w:val="24"/>
          <w:szCs w:val="24"/>
        </w:rPr>
        <w:t>Surveys are an effective tool to cover a large number of local residents with feedback on how they expect the service, suggestions for opening hours, affordability and needs of the community. The survey is a non-bias and inclusive method, as it targets individuals who cannot meet the schedule of meetings (</w:t>
      </w:r>
      <w:r w:rsidRPr="006B239B">
        <w:rPr>
          <w:rFonts w:ascii="Times New Roman" w:eastAsia="Times New Roman" w:hAnsi="Times New Roman" w:cs="Times New Roman"/>
          <w:sz w:val="24"/>
          <w:szCs w:val="24"/>
          <w:highlight w:val="white"/>
        </w:rPr>
        <w:t>Sørensen, 2020)</w:t>
      </w:r>
      <w:r w:rsidRPr="006B239B">
        <w:rPr>
          <w:rFonts w:ascii="Times New Roman" w:eastAsia="Times New Roman" w:hAnsi="Times New Roman" w:cs="Times New Roman"/>
          <w:sz w:val="24"/>
          <w:szCs w:val="24"/>
        </w:rPr>
        <w:t>.</w:t>
      </w:r>
    </w:p>
    <w:p w14:paraId="61F11EFC"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sz w:val="24"/>
          <w:szCs w:val="24"/>
        </w:rPr>
        <w:t xml:space="preserve">Focus Groups: </w:t>
      </w:r>
      <w:r w:rsidRPr="006B239B">
        <w:rPr>
          <w:rFonts w:ascii="Times New Roman" w:eastAsia="Times New Roman" w:hAnsi="Times New Roman" w:cs="Times New Roman"/>
          <w:sz w:val="24"/>
          <w:szCs w:val="24"/>
        </w:rPr>
        <w:t>The targeted audiences like youth groups, senior citizens, or disability organisations can be included in focus groups that will keep DEI considerations. These deliberations deliver information about the accessibility, safety and programme design.</w:t>
      </w:r>
    </w:p>
    <w:p w14:paraId="7A3E893A" w14:textId="77777777" w:rsidR="0000464D" w:rsidRPr="006B239B" w:rsidRDefault="00000000">
      <w:pPr>
        <w:spacing w:line="360" w:lineRule="auto"/>
        <w:jc w:val="both"/>
        <w:rPr>
          <w:rFonts w:ascii="Times New Roman" w:eastAsia="Times New Roman" w:hAnsi="Times New Roman" w:cs="Times New Roman"/>
          <w:b/>
          <w:bCs/>
          <w:sz w:val="24"/>
          <w:szCs w:val="24"/>
        </w:rPr>
      </w:pPr>
      <w:r w:rsidRPr="006B239B">
        <w:rPr>
          <w:rFonts w:ascii="Times New Roman" w:eastAsia="Times New Roman" w:hAnsi="Times New Roman" w:cs="Times New Roman"/>
          <w:b/>
          <w:bCs/>
          <w:sz w:val="24"/>
          <w:szCs w:val="24"/>
        </w:rPr>
        <w:t>Justification</w:t>
      </w:r>
    </w:p>
    <w:p w14:paraId="4C23748D"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The combination of methods used to consult the stakeholders makes the process of engagement with the stakeholders inclusive, transparent, and truly representative of the community. Public </w:t>
      </w:r>
      <w:r w:rsidRPr="006B239B">
        <w:rPr>
          <w:rFonts w:ascii="Times New Roman" w:eastAsia="Times New Roman" w:hAnsi="Times New Roman" w:cs="Times New Roman"/>
          <w:sz w:val="24"/>
          <w:szCs w:val="24"/>
        </w:rPr>
        <w:lastRenderedPageBreak/>
        <w:t>meetings offer an open-ended opportunity to allow the stakeholders to pose questions and raise their concerns as well as engage in a collective dialogue (</w:t>
      </w:r>
      <w:r w:rsidRPr="006B239B">
        <w:rPr>
          <w:rFonts w:ascii="Times New Roman" w:eastAsia="Times New Roman" w:hAnsi="Times New Roman" w:cs="Times New Roman"/>
          <w:sz w:val="24"/>
          <w:szCs w:val="24"/>
          <w:highlight w:val="white"/>
        </w:rPr>
        <w:t>Luger, Hamilton and True, 2020)</w:t>
      </w:r>
      <w:r w:rsidRPr="006B239B">
        <w:rPr>
          <w:rFonts w:ascii="Times New Roman" w:eastAsia="Times New Roman" w:hAnsi="Times New Roman" w:cs="Times New Roman"/>
          <w:sz w:val="24"/>
          <w:szCs w:val="24"/>
        </w:rPr>
        <w:t>. The workshops provide the opportunity to interact even further with the specialist user groups. Surveys can be used to collect a lot of opinions within a short period of time and this will capture the opinions of people who might not be present during meetings. Focus groups allow more in-depth discussion with minor or smaller stakeholder groups that would otherwise go unheard. Through a combination of these diverse strategies, the process of engagement is more balanced, valuable, and efficient, and ultimately assists in making decisions related to projects fairly, through evidence-based and informed decision-making.</w:t>
      </w:r>
    </w:p>
    <w:p w14:paraId="073B1014" w14:textId="77777777" w:rsidR="0000464D" w:rsidRPr="006B239B" w:rsidRDefault="00000000">
      <w:pPr>
        <w:pStyle w:val="Heading1"/>
        <w:spacing w:before="200"/>
      </w:pPr>
      <w:bookmarkStart w:id="10" w:name="_cx0gnfsrxf0n" w:colFirst="0" w:colLast="0"/>
      <w:bookmarkEnd w:id="10"/>
      <w:r w:rsidRPr="006B239B">
        <w:t>Element 3: Ethical Considerations in Stakeholder Consultation, Participation and Feedback</w:t>
      </w:r>
    </w:p>
    <w:p w14:paraId="7FE49459" w14:textId="77777777" w:rsidR="0000464D" w:rsidRPr="006B239B" w:rsidRDefault="00000000">
      <w:pPr>
        <w:pStyle w:val="Heading2"/>
      </w:pPr>
      <w:bookmarkStart w:id="11" w:name="_8kx2f0mh6xlt" w:colFirst="0" w:colLast="0"/>
      <w:bookmarkEnd w:id="11"/>
      <w:r w:rsidRPr="006B239B">
        <w:t>3.1 Ethical Issues in Data Collection</w:t>
      </w:r>
    </w:p>
    <w:p w14:paraId="7F1C064D"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The Swimming Pool and Fitness Hub project needs to be ethically collected to guarantee trust, fairness, and integrity during the consultation process. </w:t>
      </w:r>
      <w:r w:rsidRPr="006B239B">
        <w:rPr>
          <w:rFonts w:ascii="Times New Roman" w:eastAsia="Times New Roman" w:hAnsi="Times New Roman" w:cs="Times New Roman"/>
          <w:b/>
          <w:bCs/>
          <w:i/>
          <w:iCs/>
          <w:sz w:val="24"/>
          <w:szCs w:val="24"/>
        </w:rPr>
        <w:t>Informed consent</w:t>
      </w:r>
      <w:r w:rsidRPr="006B239B">
        <w:rPr>
          <w:rFonts w:ascii="Times New Roman" w:eastAsia="Times New Roman" w:hAnsi="Times New Roman" w:cs="Times New Roman"/>
          <w:sz w:val="24"/>
          <w:szCs w:val="24"/>
        </w:rPr>
        <w:t xml:space="preserve"> is one of the fundamental ethical requirements to guarantee that all the participants are fully informed about the purpose of collecting their information and how it will be used and that they have a right to withdraw at any time (</w:t>
      </w:r>
      <w:r w:rsidRPr="006B239B">
        <w:rPr>
          <w:rFonts w:ascii="Times New Roman" w:eastAsia="Times New Roman" w:hAnsi="Times New Roman" w:cs="Times New Roman"/>
          <w:sz w:val="24"/>
          <w:szCs w:val="24"/>
          <w:highlight w:val="white"/>
        </w:rPr>
        <w:t>Arellano, Alcubilla and Leguízamo, 2023)</w:t>
      </w:r>
      <w:r w:rsidRPr="006B239B">
        <w:rPr>
          <w:rFonts w:ascii="Times New Roman" w:eastAsia="Times New Roman" w:hAnsi="Times New Roman" w:cs="Times New Roman"/>
          <w:sz w:val="24"/>
          <w:szCs w:val="24"/>
        </w:rPr>
        <w:t>. Information sheets and consent forms should be clear before surveys, interviews, workshops or focus groups are conducted.</w:t>
      </w:r>
    </w:p>
    <w:p w14:paraId="712AAE6E"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The </w:t>
      </w:r>
      <w:r w:rsidRPr="006B239B">
        <w:rPr>
          <w:rFonts w:ascii="Times New Roman" w:eastAsia="Times New Roman" w:hAnsi="Times New Roman" w:cs="Times New Roman"/>
          <w:b/>
          <w:bCs/>
          <w:i/>
          <w:iCs/>
          <w:sz w:val="24"/>
          <w:szCs w:val="24"/>
        </w:rPr>
        <w:t>confidentiality and protection of data</w:t>
      </w:r>
      <w:r w:rsidRPr="006B239B">
        <w:rPr>
          <w:rFonts w:ascii="Times New Roman" w:eastAsia="Times New Roman" w:hAnsi="Times New Roman" w:cs="Times New Roman"/>
          <w:sz w:val="24"/>
          <w:szCs w:val="24"/>
        </w:rPr>
        <w:t xml:space="preserve"> are also vital. The personal information gathered on residents, community organisations, and businesses should be stored in a safe place and processed in compliance with the GDPR (GDPR, 2024). Only team members who are authorised should have access to the data and any responses made should be anonymised to prevent identifying anyone without authorisation.</w:t>
      </w:r>
    </w:p>
    <w:p w14:paraId="0D72B8E9"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b/>
          <w:bCs/>
          <w:i/>
          <w:iCs/>
          <w:sz w:val="24"/>
          <w:szCs w:val="24"/>
        </w:rPr>
        <w:t>Openness or transparency in communication</w:t>
      </w:r>
      <w:r w:rsidRPr="006B239B">
        <w:rPr>
          <w:rFonts w:ascii="Times New Roman" w:eastAsia="Times New Roman" w:hAnsi="Times New Roman" w:cs="Times New Roman"/>
          <w:sz w:val="24"/>
          <w:szCs w:val="24"/>
        </w:rPr>
        <w:t xml:space="preserve"> will help to provide the stakeholders with the true and correct information regarding the project. This involves a clear description of the consultation reasons, the nature of questions posed, and the way stakeholder contribution can be used in decision making. Open communication is a way of gaining credibility and promoting involvement. False information or failure to disclose vital information would be unethical and distrusting to stakeholders.</w:t>
      </w:r>
    </w:p>
    <w:p w14:paraId="052C7B5F" w14:textId="77777777" w:rsidR="0000464D" w:rsidRPr="006B239B" w:rsidRDefault="00000000">
      <w:pPr>
        <w:pStyle w:val="Heading2"/>
      </w:pPr>
      <w:bookmarkStart w:id="12" w:name="_wh5ws2xf9ugc" w:colFirst="0" w:colLast="0"/>
      <w:bookmarkEnd w:id="12"/>
      <w:r w:rsidRPr="006B239B">
        <w:t>3.2 Bias and Fair Representation</w:t>
      </w:r>
    </w:p>
    <w:p w14:paraId="16858BE2"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Discrimination has a great impact on the quality of stakeholder interaction and its fairness. </w:t>
      </w:r>
      <w:r w:rsidRPr="006B239B">
        <w:rPr>
          <w:rFonts w:ascii="Times New Roman" w:eastAsia="Times New Roman" w:hAnsi="Times New Roman" w:cs="Times New Roman"/>
          <w:b/>
          <w:bCs/>
          <w:i/>
          <w:iCs/>
          <w:sz w:val="24"/>
          <w:szCs w:val="24"/>
        </w:rPr>
        <w:t>Sampling bias</w:t>
      </w:r>
      <w:r w:rsidRPr="006B239B">
        <w:rPr>
          <w:rFonts w:ascii="Times New Roman" w:eastAsia="Times New Roman" w:hAnsi="Times New Roman" w:cs="Times New Roman"/>
          <w:sz w:val="24"/>
          <w:szCs w:val="24"/>
        </w:rPr>
        <w:t xml:space="preserve"> is where only selected groups like active community members are more likely </w:t>
      </w:r>
      <w:r w:rsidRPr="006B239B">
        <w:rPr>
          <w:rFonts w:ascii="Times New Roman" w:eastAsia="Times New Roman" w:hAnsi="Times New Roman" w:cs="Times New Roman"/>
          <w:sz w:val="24"/>
          <w:szCs w:val="24"/>
        </w:rPr>
        <w:lastRenderedPageBreak/>
        <w:t>to respond whereas others are not sampled e.g. quieter or marginalised groups (</w:t>
      </w:r>
      <w:r w:rsidRPr="006B239B">
        <w:rPr>
          <w:rFonts w:ascii="Times New Roman" w:eastAsia="Times New Roman" w:hAnsi="Times New Roman" w:cs="Times New Roman"/>
          <w:sz w:val="24"/>
          <w:szCs w:val="24"/>
          <w:highlight w:val="white"/>
        </w:rPr>
        <w:t xml:space="preserve">Adley </w:t>
      </w:r>
      <w:r w:rsidRPr="006B239B">
        <w:rPr>
          <w:rFonts w:ascii="Times New Roman" w:eastAsia="Times New Roman" w:hAnsi="Times New Roman" w:cs="Times New Roman"/>
          <w:i/>
          <w:iCs/>
          <w:sz w:val="24"/>
          <w:szCs w:val="24"/>
          <w:highlight w:val="white"/>
        </w:rPr>
        <w:t>et al.,</w:t>
      </w:r>
      <w:r w:rsidRPr="006B239B">
        <w:rPr>
          <w:rFonts w:ascii="Times New Roman" w:eastAsia="Times New Roman" w:hAnsi="Times New Roman" w:cs="Times New Roman"/>
          <w:sz w:val="24"/>
          <w:szCs w:val="24"/>
          <w:highlight w:val="white"/>
        </w:rPr>
        <w:t xml:space="preserve"> 2024)</w:t>
      </w:r>
      <w:r w:rsidRPr="006B239B">
        <w:rPr>
          <w:rFonts w:ascii="Times New Roman" w:eastAsia="Times New Roman" w:hAnsi="Times New Roman" w:cs="Times New Roman"/>
          <w:sz w:val="24"/>
          <w:szCs w:val="24"/>
        </w:rPr>
        <w:t xml:space="preserve">. The </w:t>
      </w:r>
      <w:r w:rsidRPr="006B239B">
        <w:rPr>
          <w:rFonts w:ascii="Times New Roman" w:eastAsia="Times New Roman" w:hAnsi="Times New Roman" w:cs="Times New Roman"/>
          <w:b/>
          <w:bCs/>
          <w:i/>
          <w:iCs/>
          <w:sz w:val="24"/>
          <w:szCs w:val="24"/>
        </w:rPr>
        <w:t>responsive bias</w:t>
      </w:r>
      <w:r w:rsidRPr="006B239B">
        <w:rPr>
          <w:rFonts w:ascii="Times New Roman" w:eastAsia="Times New Roman" w:hAnsi="Times New Roman" w:cs="Times New Roman"/>
          <w:sz w:val="24"/>
          <w:szCs w:val="24"/>
        </w:rPr>
        <w:t xml:space="preserve"> can be manifested in the situation where the respondent is giving answers that are socially desired rather than truthful. The interpretation of the stakeholder feedback may be affected by </w:t>
      </w:r>
      <w:r w:rsidRPr="006B239B">
        <w:rPr>
          <w:rFonts w:ascii="Times New Roman" w:eastAsia="Times New Roman" w:hAnsi="Times New Roman" w:cs="Times New Roman"/>
          <w:b/>
          <w:bCs/>
          <w:i/>
          <w:iCs/>
          <w:sz w:val="24"/>
          <w:szCs w:val="24"/>
        </w:rPr>
        <w:t>researcher bias</w:t>
      </w:r>
      <w:r w:rsidRPr="006B239B">
        <w:rPr>
          <w:rFonts w:ascii="Times New Roman" w:eastAsia="Times New Roman" w:hAnsi="Times New Roman" w:cs="Times New Roman"/>
          <w:sz w:val="24"/>
          <w:szCs w:val="24"/>
        </w:rPr>
        <w:t xml:space="preserve"> in case personal assumptions influence the analysis of the data.</w:t>
      </w:r>
    </w:p>
    <w:p w14:paraId="1C542290"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A variety of consultation strategies should be employed to capture various voices and this would result in reduced biasness by use of a range of consultation strategies like survey, open meeting, and focus groups. The questions must be neutral and should not contain any leading language and the facilitators must be objective as discussions take place. </w:t>
      </w:r>
    </w:p>
    <w:p w14:paraId="62BEB066"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The fairness of representation is important as it will make sure that the needs of all the stakeholder groups are considered rather than only the most popular or the most powerful (</w:t>
      </w:r>
      <w:r w:rsidRPr="006B239B">
        <w:rPr>
          <w:rFonts w:ascii="Times New Roman" w:eastAsia="Times New Roman" w:hAnsi="Times New Roman" w:cs="Times New Roman"/>
          <w:sz w:val="24"/>
          <w:szCs w:val="24"/>
          <w:highlight w:val="white"/>
        </w:rPr>
        <w:t>Crane, 2020)</w:t>
      </w:r>
      <w:r w:rsidRPr="006B239B">
        <w:rPr>
          <w:rFonts w:ascii="Times New Roman" w:eastAsia="Times New Roman" w:hAnsi="Times New Roman" w:cs="Times New Roman"/>
          <w:sz w:val="24"/>
          <w:szCs w:val="24"/>
        </w:rPr>
        <w:t>. An equitable consultation procedure assists in avoiding the marginalisation and assists in making evidence-based ethical decisions concerning the project.</w:t>
      </w:r>
    </w:p>
    <w:p w14:paraId="48821AD6" w14:textId="77777777" w:rsidR="0000464D" w:rsidRPr="006B239B" w:rsidRDefault="00000000">
      <w:pPr>
        <w:pStyle w:val="Heading2"/>
      </w:pPr>
      <w:bookmarkStart w:id="13" w:name="_th7vjefwp17p" w:colFirst="0" w:colLast="0"/>
      <w:bookmarkEnd w:id="13"/>
      <w:r w:rsidRPr="006B239B">
        <w:t>3.3 Diversity, Equity and Inclusion (DEI)</w:t>
      </w:r>
    </w:p>
    <w:p w14:paraId="424C5F28"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A DEI-oriented strategy enhances the commitment of the stakeholders and makes the consultation process just and open (</w:t>
      </w:r>
      <w:r w:rsidRPr="006B239B">
        <w:rPr>
          <w:rFonts w:ascii="Times New Roman" w:eastAsia="Times New Roman" w:hAnsi="Times New Roman" w:cs="Times New Roman"/>
          <w:sz w:val="24"/>
          <w:szCs w:val="24"/>
          <w:highlight w:val="white"/>
        </w:rPr>
        <w:t>Papaikonomou and Bouchallikht, 2023)</w:t>
      </w:r>
      <w:r w:rsidRPr="006B239B">
        <w:rPr>
          <w:rFonts w:ascii="Times New Roman" w:eastAsia="Times New Roman" w:hAnsi="Times New Roman" w:cs="Times New Roman"/>
          <w:sz w:val="24"/>
          <w:szCs w:val="24"/>
        </w:rPr>
        <w:t xml:space="preserve">. </w:t>
      </w:r>
      <w:r w:rsidRPr="006B239B">
        <w:rPr>
          <w:rFonts w:ascii="Times New Roman" w:eastAsia="Times New Roman" w:hAnsi="Times New Roman" w:cs="Times New Roman"/>
          <w:b/>
          <w:bCs/>
          <w:i/>
          <w:iCs/>
          <w:sz w:val="24"/>
          <w:szCs w:val="24"/>
        </w:rPr>
        <w:t>Inclusive consultation</w:t>
      </w:r>
      <w:r w:rsidRPr="006B239B">
        <w:rPr>
          <w:rFonts w:ascii="Times New Roman" w:eastAsia="Times New Roman" w:hAnsi="Times New Roman" w:cs="Times New Roman"/>
          <w:sz w:val="24"/>
          <w:szCs w:val="24"/>
        </w:rPr>
        <w:t xml:space="preserve"> entails eliminating some obstacles that can lock out some groups. It implies the provision of a variety of engagement forms online surveys, printed questionnaires, drop-in sessions, and translated materials to help most people with their preferences and abilities.</w:t>
      </w:r>
    </w:p>
    <w:p w14:paraId="06EB4C17"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The issues of accessibility should be concerned with language barriers, disabilities, and socio-economic aspects. Further, it is possible to offer meeting venues to handicapped people in wheelchairs, sign language interpreters, large print, or multi-lingual translations so that every stakeholder will feel valued and respected. The provision of virtual opportunities of participation is also beneficial to persons having mobility or time limitations.</w:t>
      </w:r>
    </w:p>
    <w:p w14:paraId="0BD2B792"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The </w:t>
      </w:r>
      <w:r w:rsidRPr="006B239B">
        <w:rPr>
          <w:rFonts w:ascii="Times New Roman" w:eastAsia="Times New Roman" w:hAnsi="Times New Roman" w:cs="Times New Roman"/>
          <w:b/>
          <w:bCs/>
          <w:i/>
          <w:iCs/>
          <w:sz w:val="24"/>
          <w:szCs w:val="24"/>
        </w:rPr>
        <w:t>cultural and religious differences</w:t>
      </w:r>
      <w:r w:rsidRPr="006B239B">
        <w:rPr>
          <w:rFonts w:ascii="Times New Roman" w:eastAsia="Times New Roman" w:hAnsi="Times New Roman" w:cs="Times New Roman"/>
          <w:sz w:val="24"/>
          <w:szCs w:val="24"/>
        </w:rPr>
        <w:t xml:space="preserve"> should be respected when planning the workshops, the time of meetings, and the styles of communication. Being considerate of religious holidays, prayer times, and cultural norms would create an inclusive setting whereby all the interested parties feel involved and empowered to deliver.</w:t>
      </w:r>
    </w:p>
    <w:p w14:paraId="2DD90BC5" w14:textId="77777777" w:rsidR="0000464D" w:rsidRPr="006B239B" w:rsidRDefault="00000000">
      <w:pPr>
        <w:pStyle w:val="Heading2"/>
      </w:pPr>
      <w:bookmarkStart w:id="14" w:name="_wsdmozyj1vs7" w:colFirst="0" w:colLast="0"/>
      <w:bookmarkEnd w:id="14"/>
      <w:r w:rsidRPr="006B239B">
        <w:t>3.4 Ethical Use of Stakeholder Feedback</w:t>
      </w:r>
    </w:p>
    <w:p w14:paraId="7AA55317"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Management of ethical feedback is done to ensure that the contribution of stakeholders is handled with integrity and respect (</w:t>
      </w:r>
      <w:r w:rsidRPr="006B239B">
        <w:rPr>
          <w:rFonts w:ascii="Times New Roman" w:eastAsia="Times New Roman" w:hAnsi="Times New Roman" w:cs="Times New Roman"/>
          <w:sz w:val="24"/>
          <w:szCs w:val="24"/>
          <w:highlight w:val="white"/>
        </w:rPr>
        <w:t>Ogbechie and Oguntimehin Jr, 2024)</w:t>
      </w:r>
      <w:r w:rsidRPr="006B239B">
        <w:rPr>
          <w:rFonts w:ascii="Times New Roman" w:eastAsia="Times New Roman" w:hAnsi="Times New Roman" w:cs="Times New Roman"/>
          <w:sz w:val="24"/>
          <w:szCs w:val="24"/>
        </w:rPr>
        <w:t>. The process of getting feedback must be mixed, and it must include surveys, comment boxes, focus groups, online forms that will enable people to share their opinion at their convenience.</w:t>
      </w:r>
    </w:p>
    <w:p w14:paraId="337180FB" w14:textId="77777777" w:rsidR="0000464D" w:rsidRPr="006B239B" w:rsidRDefault="00000000">
      <w:pPr>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lastRenderedPageBreak/>
        <w:t>Feedback needs to be reviewed in a systematic and objective manner. Categorisation of the responses should not change meaning and the emerging themes ought to be analysed in a transparent manner. The positive or negative feedback must be given a fair chance and the opinion of a group should not be ignored. Another ethical requirement is the dissemination of findings to the stakeholders. The reports on the summaries of results must be conveyed via the newsletters, community meetings, or online platforms. This is an indication of accountability, presentation of how feedback was used to make decisions and strengthens stakeholder confidence in the project.</w:t>
      </w:r>
    </w:p>
    <w:p w14:paraId="246DFF1E" w14:textId="77777777" w:rsidR="0000464D" w:rsidRPr="006B239B" w:rsidRDefault="0000464D">
      <w:pPr>
        <w:widowControl w:val="0"/>
        <w:tabs>
          <w:tab w:val="right" w:pos="9360"/>
        </w:tabs>
        <w:spacing w:line="360" w:lineRule="auto"/>
        <w:jc w:val="both"/>
        <w:rPr>
          <w:rFonts w:ascii="Times New Roman" w:eastAsia="Times New Roman" w:hAnsi="Times New Roman" w:cs="Times New Roman"/>
          <w:b/>
          <w:bCs/>
          <w:sz w:val="24"/>
          <w:szCs w:val="24"/>
        </w:rPr>
      </w:pPr>
    </w:p>
    <w:p w14:paraId="2AE0E4E3"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b/>
          <w:bCs/>
          <w:sz w:val="24"/>
          <w:szCs w:val="24"/>
        </w:rPr>
      </w:pPr>
      <w:r w:rsidRPr="006B239B">
        <w:br w:type="page"/>
      </w:r>
    </w:p>
    <w:p w14:paraId="10B99AC8" w14:textId="77777777" w:rsidR="0000464D" w:rsidRPr="006B239B" w:rsidRDefault="00000000">
      <w:pPr>
        <w:pStyle w:val="Heading1"/>
      </w:pPr>
      <w:bookmarkStart w:id="15" w:name="_wod0u0c74myr" w:colFirst="0" w:colLast="0"/>
      <w:bookmarkEnd w:id="15"/>
      <w:r w:rsidRPr="006B239B">
        <w:lastRenderedPageBreak/>
        <w:t>Element 4: Conclusion and Reflection</w:t>
      </w:r>
    </w:p>
    <w:p w14:paraId="3B73949E" w14:textId="77777777" w:rsidR="0000464D" w:rsidRPr="006B239B" w:rsidRDefault="00000000">
      <w:pPr>
        <w:pStyle w:val="Heading2"/>
        <w:widowControl w:val="0"/>
      </w:pPr>
      <w:bookmarkStart w:id="16" w:name="_6nlsvrq7x0pc" w:colFirst="0" w:colLast="0"/>
      <w:bookmarkEnd w:id="16"/>
      <w:r w:rsidRPr="006B239B">
        <w:t>4.1 Conclusion</w:t>
      </w:r>
    </w:p>
    <w:p w14:paraId="5C194072" w14:textId="6B937213"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Planning, delivery and </w:t>
      </w:r>
      <w:r w:rsidR="006B239B" w:rsidRPr="006B239B">
        <w:rPr>
          <w:rFonts w:ascii="Times New Roman" w:eastAsia="Times New Roman" w:hAnsi="Times New Roman" w:cs="Times New Roman"/>
          <w:sz w:val="24"/>
          <w:szCs w:val="24"/>
        </w:rPr>
        <w:t>long-term</w:t>
      </w:r>
      <w:r w:rsidRPr="006B239B">
        <w:rPr>
          <w:rFonts w:ascii="Times New Roman" w:eastAsia="Times New Roman" w:hAnsi="Times New Roman" w:cs="Times New Roman"/>
          <w:sz w:val="24"/>
          <w:szCs w:val="24"/>
        </w:rPr>
        <w:t xml:space="preserve"> sustainability of any local infrastructure project would not be possible without effective stakeholder engagement (</w:t>
      </w:r>
      <w:r w:rsidRPr="006B239B">
        <w:rPr>
          <w:rFonts w:ascii="Times New Roman" w:eastAsia="Times New Roman" w:hAnsi="Times New Roman" w:cs="Times New Roman"/>
          <w:sz w:val="24"/>
          <w:szCs w:val="24"/>
          <w:highlight w:val="white"/>
        </w:rPr>
        <w:t>Prebanić and Vukomanović, 2023)</w:t>
      </w:r>
      <w:r w:rsidRPr="006B239B">
        <w:rPr>
          <w:rFonts w:ascii="Times New Roman" w:eastAsia="Times New Roman" w:hAnsi="Times New Roman" w:cs="Times New Roman"/>
          <w:sz w:val="24"/>
          <w:szCs w:val="24"/>
        </w:rPr>
        <w:t>. The review in this portfolio revealed that projects in the infrastructure (e.g. a swimming pool and fitness centre) have a large number of audiences, of which the various audiences have varying degrees of interest, influence, expectations and concerns. The meaningful involvement can guarantee that the project does not only meet the technical and financial specifications but also brings real value to the community. It increases transparency, trust, minimises conflict, and promotes the sense of shared ownership of project decisions.</w:t>
      </w:r>
    </w:p>
    <w:p w14:paraId="4FCA4774" w14:textId="2A6FEF20"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The stakeholder analysis in this project has identified the various needs of the key groups that are the Local Authority, residents, local businesses, sports clubs, construction firms, and future employees. The approach of applying the Mendelow’s Matrix enabled a systematic notion of those that should be handled with care, retained or merely observed (</w:t>
      </w:r>
      <w:r w:rsidRPr="006B239B">
        <w:rPr>
          <w:rFonts w:ascii="Times New Roman" w:eastAsia="Times New Roman" w:hAnsi="Times New Roman" w:cs="Times New Roman"/>
          <w:sz w:val="24"/>
          <w:szCs w:val="24"/>
          <w:highlight w:val="white"/>
        </w:rPr>
        <w:t>Mints and Kamyshnykova, 2021</w:t>
      </w:r>
      <w:r w:rsidRPr="006B239B">
        <w:rPr>
          <w:rFonts w:ascii="Times New Roman" w:eastAsia="Times New Roman" w:hAnsi="Times New Roman" w:cs="Times New Roman"/>
          <w:sz w:val="24"/>
          <w:szCs w:val="24"/>
        </w:rPr>
        <w:t xml:space="preserve">). As an example, the Local Authority has been included in the category of Management under closely since it has high power and strategy but community groups and residents were at its best under the Keep Informed category as the power was high but no decision-making power. This mapping helped to get a clear understanding of the way communication effort, consultation activities and </w:t>
      </w:r>
      <w:r w:rsidR="006B239B" w:rsidRPr="006B239B">
        <w:rPr>
          <w:rFonts w:ascii="Times New Roman" w:eastAsia="Times New Roman" w:hAnsi="Times New Roman" w:cs="Times New Roman"/>
          <w:sz w:val="24"/>
          <w:szCs w:val="24"/>
        </w:rPr>
        <w:t>decision-making</w:t>
      </w:r>
      <w:r w:rsidRPr="006B239B">
        <w:rPr>
          <w:rFonts w:ascii="Times New Roman" w:eastAsia="Times New Roman" w:hAnsi="Times New Roman" w:cs="Times New Roman"/>
          <w:sz w:val="24"/>
          <w:szCs w:val="24"/>
        </w:rPr>
        <w:t xml:space="preserve"> processes should be prioritised.</w:t>
      </w:r>
    </w:p>
    <w:p w14:paraId="1E241884"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The main research results highlighted the role of inclusive consultation practices, ethical data management and open communication (</w:t>
      </w:r>
      <w:r w:rsidRPr="006B239B">
        <w:rPr>
          <w:rFonts w:ascii="Times New Roman" w:eastAsia="Times New Roman" w:hAnsi="Times New Roman" w:cs="Times New Roman"/>
          <w:sz w:val="24"/>
          <w:szCs w:val="24"/>
          <w:highlight w:val="white"/>
        </w:rPr>
        <w:t>Ashiq, Usmani and Naeem, 2022)</w:t>
      </w:r>
      <w:r w:rsidRPr="006B239B">
        <w:rPr>
          <w:rFonts w:ascii="Times New Roman" w:eastAsia="Times New Roman" w:hAnsi="Times New Roman" w:cs="Times New Roman"/>
          <w:sz w:val="24"/>
          <w:szCs w:val="24"/>
        </w:rPr>
        <w:t>. The key ethical considerations related to addressing the possible biases, making the environment diverse and accessible, and responsible stakeholder feedback. Hence, stakeholder participation plays a major role towards the sustainability of the project since infrastructural developments will be relevant, accessible and in line with the community needs in the long term (</w:t>
      </w:r>
      <w:r w:rsidRPr="006B239B">
        <w:rPr>
          <w:rFonts w:ascii="Times New Roman" w:eastAsia="Times New Roman" w:hAnsi="Times New Roman" w:cs="Times New Roman"/>
          <w:sz w:val="24"/>
          <w:szCs w:val="24"/>
          <w:highlight w:val="white"/>
        </w:rPr>
        <w:t xml:space="preserve">Musonda </w:t>
      </w:r>
      <w:r w:rsidRPr="006B239B">
        <w:rPr>
          <w:rFonts w:ascii="Times New Roman" w:eastAsia="Times New Roman" w:hAnsi="Times New Roman" w:cs="Times New Roman"/>
          <w:i/>
          <w:iCs/>
          <w:sz w:val="24"/>
          <w:szCs w:val="24"/>
          <w:highlight w:val="white"/>
        </w:rPr>
        <w:t xml:space="preserve">et al., </w:t>
      </w:r>
      <w:r w:rsidRPr="006B239B">
        <w:rPr>
          <w:rFonts w:ascii="Times New Roman" w:eastAsia="Times New Roman" w:hAnsi="Times New Roman" w:cs="Times New Roman"/>
          <w:sz w:val="24"/>
          <w:szCs w:val="24"/>
          <w:highlight w:val="white"/>
        </w:rPr>
        <w:t>2025)</w:t>
      </w:r>
      <w:r w:rsidRPr="006B239B">
        <w:rPr>
          <w:rFonts w:ascii="Times New Roman" w:eastAsia="Times New Roman" w:hAnsi="Times New Roman" w:cs="Times New Roman"/>
          <w:sz w:val="24"/>
          <w:szCs w:val="24"/>
        </w:rPr>
        <w:t>.</w:t>
      </w:r>
    </w:p>
    <w:p w14:paraId="69CD3E97" w14:textId="77777777" w:rsidR="0000464D" w:rsidRPr="006B239B" w:rsidRDefault="00000000">
      <w:pPr>
        <w:pStyle w:val="Heading2"/>
        <w:widowControl w:val="0"/>
      </w:pPr>
      <w:bookmarkStart w:id="17" w:name="_mwcuni8zpv4i" w:colFirst="0" w:colLast="0"/>
      <w:bookmarkEnd w:id="17"/>
      <w:r w:rsidRPr="006B239B">
        <w:t>4.2 Reflection</w:t>
      </w:r>
    </w:p>
    <w:p w14:paraId="01E7215E"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This assessment has made me understand more about stakeholder management as a vital aspect of professional project planning. In the analysis, I was able to learn the way in which the various stakeholder groups possess different degrees of power and interest and how these disparities affect engagement strategies. The process increased the importance of early, consistent and ethical involvement to make sure that the projects are not just designed well but are also socially responsive (</w:t>
      </w:r>
      <w:r w:rsidRPr="006B239B">
        <w:rPr>
          <w:rFonts w:ascii="Times New Roman" w:eastAsia="Times New Roman" w:hAnsi="Times New Roman" w:cs="Times New Roman"/>
          <w:sz w:val="24"/>
          <w:szCs w:val="24"/>
          <w:highlight w:val="white"/>
        </w:rPr>
        <w:t>Collinge, 2020)</w:t>
      </w:r>
      <w:r w:rsidRPr="006B239B">
        <w:rPr>
          <w:rFonts w:ascii="Times New Roman" w:eastAsia="Times New Roman" w:hAnsi="Times New Roman" w:cs="Times New Roman"/>
          <w:sz w:val="24"/>
          <w:szCs w:val="24"/>
        </w:rPr>
        <w:t>.</w:t>
      </w:r>
    </w:p>
    <w:p w14:paraId="1AF7C5F4"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Among the greatest things I learnt was the appreciation of the fact that stakeholder expectations </w:t>
      </w:r>
      <w:r w:rsidRPr="006B239B">
        <w:rPr>
          <w:rFonts w:ascii="Times New Roman" w:eastAsia="Times New Roman" w:hAnsi="Times New Roman" w:cs="Times New Roman"/>
          <w:sz w:val="24"/>
          <w:szCs w:val="24"/>
        </w:rPr>
        <w:lastRenderedPageBreak/>
        <w:t>could be complex. The level of involvement is desired by not all stakeholders, neither is the importance of all concerns to have equal weight on project outcomes. This evaluation was beneficial as it taught me that it is necessary to balance these expectations but at the same time be fair and transparent. I also came to know how instruments like stakeholder mapping, consultation planning and ethical frameworks can be used to make more informed decisions.</w:t>
      </w:r>
    </w:p>
    <w:p w14:paraId="2E71DAF7"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Further, this project has enhanced my critical thinking skills, problem-solving, and communication skills as far as professional growth is concerned. I have become confident in how to organise stakeholder consultations, find ethical risks, and create measures to make sure that inclusivity and representation are achieved. The concept of DEI in engagement also allows one to think about how individual views and suppositions can unconsciously affect the decisions of a project (</w:t>
      </w:r>
      <w:r w:rsidRPr="006B239B">
        <w:rPr>
          <w:rFonts w:ascii="Times New Roman" w:eastAsia="Times New Roman" w:hAnsi="Times New Roman" w:cs="Times New Roman"/>
          <w:sz w:val="24"/>
          <w:szCs w:val="24"/>
          <w:highlight w:val="white"/>
        </w:rPr>
        <w:t>Zheng, 2022)</w:t>
      </w:r>
      <w:r w:rsidRPr="006B239B">
        <w:rPr>
          <w:rFonts w:ascii="Times New Roman" w:eastAsia="Times New Roman" w:hAnsi="Times New Roman" w:cs="Times New Roman"/>
          <w:sz w:val="24"/>
          <w:szCs w:val="24"/>
        </w:rPr>
        <w:t>. The objective analysis and ethical awareness enabled me to be more responsible in planning the interaction with stakeholders.</w:t>
      </w:r>
    </w:p>
    <w:p w14:paraId="60E9FE7C"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In the case of a future project that I will engage the stakeholders, I would consider a more active and ongoing engagement model that would go beyond the planning stage. I will make consultations available to every group of people, employ multi-channel communications, and incorporate feedback mechanisms that will demonstrate to stakeholders the extent to which their input influenced the results. Data protection and transparency would also be a priority on my list to create trust and credibility. Altogether, I now understand that stakeholder management is not a task, but a process that would help to maintain ethical practice, project success, and long-term value creation to the community.</w:t>
      </w:r>
    </w:p>
    <w:p w14:paraId="0BD4C333"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rPr>
      </w:pPr>
      <w:r w:rsidRPr="006B239B">
        <w:br w:type="page"/>
      </w:r>
    </w:p>
    <w:p w14:paraId="7C51416F" w14:textId="77777777" w:rsidR="0000464D" w:rsidRPr="006B239B" w:rsidRDefault="00000000">
      <w:pPr>
        <w:pStyle w:val="Heading1"/>
        <w:widowControl w:val="0"/>
      </w:pPr>
      <w:bookmarkStart w:id="18" w:name="_inodx22nsz92" w:colFirst="0" w:colLast="0"/>
      <w:bookmarkEnd w:id="18"/>
      <w:r w:rsidRPr="006B239B">
        <w:lastRenderedPageBreak/>
        <w:t>References</w:t>
      </w:r>
    </w:p>
    <w:p w14:paraId="54482B38"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Adley, M., Alderson, H., Jackson, K., McGovern, W., Spencer, L., Addison, M. and O’Donnell, A., (2024). Ethical and practical considerations for including marginalised groups in quantitative survey research. </w:t>
      </w:r>
      <w:r w:rsidRPr="006B239B">
        <w:rPr>
          <w:rFonts w:ascii="Times New Roman" w:eastAsia="Times New Roman" w:hAnsi="Times New Roman" w:cs="Times New Roman"/>
          <w:i/>
          <w:iCs/>
          <w:sz w:val="24"/>
          <w:szCs w:val="24"/>
          <w:highlight w:val="white"/>
        </w:rPr>
        <w:t>International Journal of Social Research Methodology</w:t>
      </w:r>
      <w:r w:rsidRPr="006B239B">
        <w:rPr>
          <w:rFonts w:ascii="Times New Roman" w:eastAsia="Times New Roman" w:hAnsi="Times New Roman" w:cs="Times New Roman"/>
          <w:sz w:val="24"/>
          <w:szCs w:val="24"/>
          <w:highlight w:val="white"/>
        </w:rPr>
        <w:t xml:space="preserve">, </w:t>
      </w:r>
      <w:r w:rsidRPr="006B239B">
        <w:rPr>
          <w:rFonts w:ascii="Times New Roman" w:eastAsia="Times New Roman" w:hAnsi="Times New Roman" w:cs="Times New Roman"/>
          <w:i/>
          <w:iCs/>
          <w:sz w:val="24"/>
          <w:szCs w:val="24"/>
          <w:highlight w:val="white"/>
        </w:rPr>
        <w:t>27</w:t>
      </w:r>
      <w:r w:rsidRPr="006B239B">
        <w:rPr>
          <w:rFonts w:ascii="Times New Roman" w:eastAsia="Times New Roman" w:hAnsi="Times New Roman" w:cs="Times New Roman"/>
          <w:sz w:val="24"/>
          <w:szCs w:val="24"/>
          <w:highlight w:val="white"/>
        </w:rPr>
        <w:t>(5), pp.559-574.</w:t>
      </w:r>
    </w:p>
    <w:p w14:paraId="6FAEF2C2"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Arellano, L., Alcubilla, P. and Leguízamo, L., (2023). Ethical considerations in informed consent. In </w:t>
      </w:r>
      <w:r w:rsidRPr="006B239B">
        <w:rPr>
          <w:rFonts w:ascii="Times New Roman" w:eastAsia="Times New Roman" w:hAnsi="Times New Roman" w:cs="Times New Roman"/>
          <w:i/>
          <w:iCs/>
          <w:sz w:val="24"/>
          <w:szCs w:val="24"/>
          <w:highlight w:val="white"/>
        </w:rPr>
        <w:t>Ethics-scientific research, ethical issues, artificial intelligence and education</w:t>
      </w:r>
      <w:r w:rsidRPr="006B239B">
        <w:rPr>
          <w:rFonts w:ascii="Times New Roman" w:eastAsia="Times New Roman" w:hAnsi="Times New Roman" w:cs="Times New Roman"/>
          <w:sz w:val="24"/>
          <w:szCs w:val="24"/>
          <w:highlight w:val="white"/>
        </w:rPr>
        <w:t>. IntechOpen.</w:t>
      </w:r>
    </w:p>
    <w:p w14:paraId="25A40081"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Ashiq, M., Usmani, M.H. and Naeem, M., (2022). A systematic literature review on research data management practices and services. </w:t>
      </w:r>
      <w:r w:rsidRPr="006B239B">
        <w:rPr>
          <w:rFonts w:ascii="Times New Roman" w:eastAsia="Times New Roman" w:hAnsi="Times New Roman" w:cs="Times New Roman"/>
          <w:i/>
          <w:iCs/>
          <w:sz w:val="24"/>
          <w:szCs w:val="24"/>
          <w:highlight w:val="white"/>
        </w:rPr>
        <w:t>Global Knowledge, Memory and Communication</w:t>
      </w:r>
      <w:r w:rsidRPr="006B239B">
        <w:rPr>
          <w:rFonts w:ascii="Times New Roman" w:eastAsia="Times New Roman" w:hAnsi="Times New Roman" w:cs="Times New Roman"/>
          <w:sz w:val="24"/>
          <w:szCs w:val="24"/>
          <w:highlight w:val="white"/>
        </w:rPr>
        <w:t xml:space="preserve">, </w:t>
      </w:r>
      <w:r w:rsidRPr="006B239B">
        <w:rPr>
          <w:rFonts w:ascii="Times New Roman" w:eastAsia="Times New Roman" w:hAnsi="Times New Roman" w:cs="Times New Roman"/>
          <w:i/>
          <w:iCs/>
          <w:sz w:val="24"/>
          <w:szCs w:val="24"/>
          <w:highlight w:val="white"/>
        </w:rPr>
        <w:t>71</w:t>
      </w:r>
      <w:r w:rsidRPr="006B239B">
        <w:rPr>
          <w:rFonts w:ascii="Times New Roman" w:eastAsia="Times New Roman" w:hAnsi="Times New Roman" w:cs="Times New Roman"/>
          <w:sz w:val="24"/>
          <w:szCs w:val="24"/>
          <w:highlight w:val="white"/>
        </w:rPr>
        <w:t>(8/9), pp.649-671.</w:t>
      </w:r>
    </w:p>
    <w:p w14:paraId="1FB40A70"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Bailey, S. and Christidis, A., (2023). Local government in the United Kingdom. In </w:t>
      </w:r>
      <w:r w:rsidRPr="006B239B">
        <w:rPr>
          <w:rFonts w:ascii="Times New Roman" w:eastAsia="Times New Roman" w:hAnsi="Times New Roman" w:cs="Times New Roman"/>
          <w:i/>
          <w:iCs/>
          <w:sz w:val="24"/>
          <w:szCs w:val="24"/>
          <w:highlight w:val="white"/>
        </w:rPr>
        <w:t>Local Governance in Multi-Layered Systems: A Comparative Legal Study in the Federal-Local Connection</w:t>
      </w:r>
      <w:r w:rsidRPr="006B239B">
        <w:rPr>
          <w:rFonts w:ascii="Times New Roman" w:eastAsia="Times New Roman" w:hAnsi="Times New Roman" w:cs="Times New Roman"/>
          <w:sz w:val="24"/>
          <w:szCs w:val="24"/>
          <w:highlight w:val="white"/>
        </w:rPr>
        <w:t xml:space="preserve"> (pp. 301-330). Cham: Springer Nature Switzerland.</w:t>
      </w:r>
    </w:p>
    <w:p w14:paraId="59013FA8"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Bell, C. and Newby, H., (2021). </w:t>
      </w:r>
      <w:r w:rsidRPr="006B239B">
        <w:rPr>
          <w:rFonts w:ascii="Times New Roman" w:eastAsia="Times New Roman" w:hAnsi="Times New Roman" w:cs="Times New Roman"/>
          <w:i/>
          <w:iCs/>
          <w:sz w:val="24"/>
          <w:szCs w:val="24"/>
          <w:highlight w:val="white"/>
        </w:rPr>
        <w:t>Community studies: An introduction to the sociology of the local community</w:t>
      </w:r>
      <w:r w:rsidRPr="006B239B">
        <w:rPr>
          <w:rFonts w:ascii="Times New Roman" w:eastAsia="Times New Roman" w:hAnsi="Times New Roman" w:cs="Times New Roman"/>
          <w:sz w:val="24"/>
          <w:szCs w:val="24"/>
          <w:highlight w:val="white"/>
        </w:rPr>
        <w:t>. Routledge.</w:t>
      </w:r>
    </w:p>
    <w:p w14:paraId="1FF3E920"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Collinge, W., (2020). Stakeholder engagement in construction: Exploring corporate social responsibility, ethical behaviors, and practices. </w:t>
      </w:r>
      <w:r w:rsidRPr="006B239B">
        <w:rPr>
          <w:rFonts w:ascii="Times New Roman" w:eastAsia="Times New Roman" w:hAnsi="Times New Roman" w:cs="Times New Roman"/>
          <w:i/>
          <w:iCs/>
          <w:sz w:val="24"/>
          <w:szCs w:val="24"/>
          <w:highlight w:val="white"/>
        </w:rPr>
        <w:t>Journal of construction engineering and management</w:t>
      </w:r>
      <w:r w:rsidRPr="006B239B">
        <w:rPr>
          <w:rFonts w:ascii="Times New Roman" w:eastAsia="Times New Roman" w:hAnsi="Times New Roman" w:cs="Times New Roman"/>
          <w:sz w:val="24"/>
          <w:szCs w:val="24"/>
          <w:highlight w:val="white"/>
        </w:rPr>
        <w:t xml:space="preserve">, </w:t>
      </w:r>
      <w:r w:rsidRPr="006B239B">
        <w:rPr>
          <w:rFonts w:ascii="Times New Roman" w:eastAsia="Times New Roman" w:hAnsi="Times New Roman" w:cs="Times New Roman"/>
          <w:i/>
          <w:iCs/>
          <w:sz w:val="24"/>
          <w:szCs w:val="24"/>
          <w:highlight w:val="white"/>
        </w:rPr>
        <w:t>146</w:t>
      </w:r>
      <w:r w:rsidRPr="006B239B">
        <w:rPr>
          <w:rFonts w:ascii="Times New Roman" w:eastAsia="Times New Roman" w:hAnsi="Times New Roman" w:cs="Times New Roman"/>
          <w:sz w:val="24"/>
          <w:szCs w:val="24"/>
          <w:highlight w:val="white"/>
        </w:rPr>
        <w:t>(3), p.04020003.</w:t>
      </w:r>
    </w:p>
    <w:p w14:paraId="6B4322F9"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Crane, B., (2020). Revisiting who, when, and why stakeholders matter: Trust and stakeholder connectedness. </w:t>
      </w:r>
      <w:r w:rsidRPr="006B239B">
        <w:rPr>
          <w:rFonts w:ascii="Times New Roman" w:eastAsia="Times New Roman" w:hAnsi="Times New Roman" w:cs="Times New Roman"/>
          <w:i/>
          <w:iCs/>
          <w:sz w:val="24"/>
          <w:szCs w:val="24"/>
          <w:highlight w:val="white"/>
        </w:rPr>
        <w:t>Business &amp; Society</w:t>
      </w:r>
      <w:r w:rsidRPr="006B239B">
        <w:rPr>
          <w:rFonts w:ascii="Times New Roman" w:eastAsia="Times New Roman" w:hAnsi="Times New Roman" w:cs="Times New Roman"/>
          <w:sz w:val="24"/>
          <w:szCs w:val="24"/>
          <w:highlight w:val="white"/>
        </w:rPr>
        <w:t xml:space="preserve">, </w:t>
      </w:r>
      <w:r w:rsidRPr="006B239B">
        <w:rPr>
          <w:rFonts w:ascii="Times New Roman" w:eastAsia="Times New Roman" w:hAnsi="Times New Roman" w:cs="Times New Roman"/>
          <w:i/>
          <w:iCs/>
          <w:sz w:val="24"/>
          <w:szCs w:val="24"/>
          <w:highlight w:val="white"/>
        </w:rPr>
        <w:t>59</w:t>
      </w:r>
      <w:r w:rsidRPr="006B239B">
        <w:rPr>
          <w:rFonts w:ascii="Times New Roman" w:eastAsia="Times New Roman" w:hAnsi="Times New Roman" w:cs="Times New Roman"/>
          <w:sz w:val="24"/>
          <w:szCs w:val="24"/>
          <w:highlight w:val="white"/>
        </w:rPr>
        <w:t>(2), pp.263-286.</w:t>
      </w:r>
    </w:p>
    <w:p w14:paraId="09A1AD10"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Dwivedi, R. and Dwivedi, P., (2021). Role of stakeholders in project success: Theoretical background and approach. </w:t>
      </w:r>
      <w:r w:rsidRPr="006B239B">
        <w:rPr>
          <w:rFonts w:ascii="Times New Roman" w:eastAsia="Times New Roman" w:hAnsi="Times New Roman" w:cs="Times New Roman"/>
          <w:i/>
          <w:iCs/>
          <w:sz w:val="24"/>
          <w:szCs w:val="24"/>
          <w:highlight w:val="white"/>
        </w:rPr>
        <w:t>International journal of finance, insurance and risk management</w:t>
      </w:r>
      <w:r w:rsidRPr="006B239B">
        <w:rPr>
          <w:rFonts w:ascii="Times New Roman" w:eastAsia="Times New Roman" w:hAnsi="Times New Roman" w:cs="Times New Roman"/>
          <w:sz w:val="24"/>
          <w:szCs w:val="24"/>
          <w:highlight w:val="white"/>
        </w:rPr>
        <w:t xml:space="preserve">, </w:t>
      </w:r>
      <w:r w:rsidRPr="006B239B">
        <w:rPr>
          <w:rFonts w:ascii="Times New Roman" w:eastAsia="Times New Roman" w:hAnsi="Times New Roman" w:cs="Times New Roman"/>
          <w:i/>
          <w:iCs/>
          <w:sz w:val="24"/>
          <w:szCs w:val="24"/>
          <w:highlight w:val="white"/>
        </w:rPr>
        <w:t>11</w:t>
      </w:r>
      <w:r w:rsidRPr="006B239B">
        <w:rPr>
          <w:rFonts w:ascii="Times New Roman" w:eastAsia="Times New Roman" w:hAnsi="Times New Roman" w:cs="Times New Roman"/>
          <w:sz w:val="24"/>
          <w:szCs w:val="24"/>
          <w:highlight w:val="white"/>
        </w:rPr>
        <w:t>(1), pp.38-49.</w:t>
      </w:r>
    </w:p>
    <w:p w14:paraId="1A78E301"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GDPR. (2024). </w:t>
      </w:r>
      <w:r w:rsidRPr="006B239B">
        <w:rPr>
          <w:rFonts w:ascii="Times New Roman" w:eastAsia="Times New Roman" w:hAnsi="Times New Roman" w:cs="Times New Roman"/>
          <w:i/>
          <w:iCs/>
          <w:sz w:val="24"/>
          <w:szCs w:val="24"/>
        </w:rPr>
        <w:t>Legal Text</w:t>
      </w:r>
      <w:r w:rsidRPr="006B239B">
        <w:rPr>
          <w:rFonts w:ascii="Times New Roman" w:eastAsia="Times New Roman" w:hAnsi="Times New Roman" w:cs="Times New Roman"/>
          <w:sz w:val="24"/>
          <w:szCs w:val="24"/>
        </w:rPr>
        <w:t xml:space="preserve"> </w:t>
      </w:r>
      <w:r w:rsidRPr="006B239B">
        <w:rPr>
          <w:rFonts w:ascii="Times New Roman" w:eastAsia="Times New Roman" w:hAnsi="Times New Roman" w:cs="Times New Roman"/>
          <w:i/>
          <w:iCs/>
          <w:sz w:val="24"/>
          <w:szCs w:val="24"/>
        </w:rPr>
        <w:t>General Data Protection Regulation</w:t>
      </w:r>
      <w:r w:rsidRPr="006B239B">
        <w:rPr>
          <w:rFonts w:ascii="Times New Roman" w:eastAsia="Times New Roman" w:hAnsi="Times New Roman" w:cs="Times New Roman"/>
          <w:sz w:val="24"/>
          <w:szCs w:val="24"/>
        </w:rPr>
        <w:t xml:space="preserve">. Available at: </w:t>
      </w:r>
      <w:hyperlink r:id="rId8">
        <w:r w:rsidR="0000464D" w:rsidRPr="006B239B">
          <w:rPr>
            <w:rFonts w:ascii="Times New Roman" w:eastAsia="Times New Roman" w:hAnsi="Times New Roman" w:cs="Times New Roman"/>
            <w:color w:val="1155CC"/>
            <w:sz w:val="24"/>
            <w:szCs w:val="24"/>
            <w:u w:val="single"/>
          </w:rPr>
          <w:t>https://gdpr-info.eu/</w:t>
        </w:r>
      </w:hyperlink>
      <w:r w:rsidRPr="006B239B">
        <w:rPr>
          <w:rFonts w:ascii="Times New Roman" w:eastAsia="Times New Roman" w:hAnsi="Times New Roman" w:cs="Times New Roman"/>
          <w:sz w:val="24"/>
          <w:szCs w:val="24"/>
        </w:rPr>
        <w:t xml:space="preserve"> (Accessed: 24 November 2025).</w:t>
      </w:r>
    </w:p>
    <w:p w14:paraId="2AA96CF0"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rPr>
        <w:t xml:space="preserve">Indeed. (2025). Available at: </w:t>
      </w:r>
      <w:hyperlink r:id="rId9">
        <w:r w:rsidR="0000464D" w:rsidRPr="006B239B">
          <w:rPr>
            <w:rFonts w:ascii="Times New Roman" w:eastAsia="Times New Roman" w:hAnsi="Times New Roman" w:cs="Times New Roman"/>
            <w:color w:val="1155CC"/>
            <w:sz w:val="24"/>
            <w:szCs w:val="24"/>
            <w:u w:val="single"/>
          </w:rPr>
          <w:t>https://uk.indeed.com/career-advice/career-development/mendelow-stakeholder-matrix</w:t>
        </w:r>
      </w:hyperlink>
      <w:r w:rsidRPr="006B239B">
        <w:rPr>
          <w:rFonts w:ascii="Times New Roman" w:eastAsia="Times New Roman" w:hAnsi="Times New Roman" w:cs="Times New Roman"/>
          <w:sz w:val="24"/>
          <w:szCs w:val="24"/>
        </w:rPr>
        <w:t xml:space="preserve"> (Accessed: 24 November 2025).</w:t>
      </w:r>
    </w:p>
    <w:p w14:paraId="40C50948"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Kerzner, H., (2025). </w:t>
      </w:r>
      <w:r w:rsidRPr="006B239B">
        <w:rPr>
          <w:rFonts w:ascii="Times New Roman" w:eastAsia="Times New Roman" w:hAnsi="Times New Roman" w:cs="Times New Roman"/>
          <w:i/>
          <w:iCs/>
          <w:sz w:val="24"/>
          <w:szCs w:val="24"/>
          <w:highlight w:val="white"/>
        </w:rPr>
        <w:t>Project management: a systems approach to planning, scheduling, and controlling</w:t>
      </w:r>
      <w:r w:rsidRPr="006B239B">
        <w:rPr>
          <w:rFonts w:ascii="Times New Roman" w:eastAsia="Times New Roman" w:hAnsi="Times New Roman" w:cs="Times New Roman"/>
          <w:sz w:val="24"/>
          <w:szCs w:val="24"/>
          <w:highlight w:val="white"/>
        </w:rPr>
        <w:t>. John Wiley &amp; Sons.</w:t>
      </w:r>
    </w:p>
    <w:p w14:paraId="6201DDAE"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Luger, T.M., Hamilton, A.B. and True, G., (2020). Measuring community‐engaged research contexts, processes, and outcomes: a mapping review. </w:t>
      </w:r>
      <w:r w:rsidRPr="006B239B">
        <w:rPr>
          <w:rFonts w:ascii="Times New Roman" w:eastAsia="Times New Roman" w:hAnsi="Times New Roman" w:cs="Times New Roman"/>
          <w:i/>
          <w:iCs/>
          <w:sz w:val="24"/>
          <w:szCs w:val="24"/>
          <w:highlight w:val="white"/>
        </w:rPr>
        <w:t>The Milbank Quarterly</w:t>
      </w:r>
      <w:r w:rsidRPr="006B239B">
        <w:rPr>
          <w:rFonts w:ascii="Times New Roman" w:eastAsia="Times New Roman" w:hAnsi="Times New Roman" w:cs="Times New Roman"/>
          <w:sz w:val="24"/>
          <w:szCs w:val="24"/>
          <w:highlight w:val="white"/>
        </w:rPr>
        <w:t xml:space="preserve">, </w:t>
      </w:r>
      <w:r w:rsidRPr="006B239B">
        <w:rPr>
          <w:rFonts w:ascii="Times New Roman" w:eastAsia="Times New Roman" w:hAnsi="Times New Roman" w:cs="Times New Roman"/>
          <w:i/>
          <w:iCs/>
          <w:sz w:val="24"/>
          <w:szCs w:val="24"/>
          <w:highlight w:val="white"/>
        </w:rPr>
        <w:t>98</w:t>
      </w:r>
      <w:r w:rsidRPr="006B239B">
        <w:rPr>
          <w:rFonts w:ascii="Times New Roman" w:eastAsia="Times New Roman" w:hAnsi="Times New Roman" w:cs="Times New Roman"/>
          <w:sz w:val="24"/>
          <w:szCs w:val="24"/>
          <w:highlight w:val="white"/>
        </w:rPr>
        <w:t>(2), pp.493-553.</w:t>
      </w:r>
    </w:p>
    <w:p w14:paraId="7CA243D5"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Malizia, E., Feser, E.J., Renski, H. and Drucker, J., (2020). </w:t>
      </w:r>
      <w:r w:rsidRPr="006B239B">
        <w:rPr>
          <w:rFonts w:ascii="Times New Roman" w:eastAsia="Times New Roman" w:hAnsi="Times New Roman" w:cs="Times New Roman"/>
          <w:i/>
          <w:iCs/>
          <w:sz w:val="24"/>
          <w:szCs w:val="24"/>
          <w:highlight w:val="white"/>
        </w:rPr>
        <w:t xml:space="preserve">Understanding local economic </w:t>
      </w:r>
      <w:r w:rsidRPr="006B239B">
        <w:rPr>
          <w:rFonts w:ascii="Times New Roman" w:eastAsia="Times New Roman" w:hAnsi="Times New Roman" w:cs="Times New Roman"/>
          <w:i/>
          <w:iCs/>
          <w:sz w:val="24"/>
          <w:szCs w:val="24"/>
          <w:highlight w:val="white"/>
        </w:rPr>
        <w:lastRenderedPageBreak/>
        <w:t>development</w:t>
      </w:r>
      <w:r w:rsidRPr="006B239B">
        <w:rPr>
          <w:rFonts w:ascii="Times New Roman" w:eastAsia="Times New Roman" w:hAnsi="Times New Roman" w:cs="Times New Roman"/>
          <w:sz w:val="24"/>
          <w:szCs w:val="24"/>
          <w:highlight w:val="white"/>
        </w:rPr>
        <w:t xml:space="preserve"> (p. 312). Taylor &amp; Francis.</w:t>
      </w:r>
    </w:p>
    <w:p w14:paraId="78114A98"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Mints, A. and Kamyshnykova, E., (2021). Fuzzy methods of stakeholder prioritisation in the context of stakeholder management. </w:t>
      </w:r>
      <w:r w:rsidRPr="006B239B">
        <w:rPr>
          <w:rFonts w:ascii="Times New Roman" w:eastAsia="Times New Roman" w:hAnsi="Times New Roman" w:cs="Times New Roman"/>
          <w:i/>
          <w:iCs/>
          <w:sz w:val="24"/>
          <w:szCs w:val="24"/>
          <w:highlight w:val="white"/>
        </w:rPr>
        <w:t>International Journal of Learning and Change</w:t>
      </w:r>
      <w:r w:rsidRPr="006B239B">
        <w:rPr>
          <w:rFonts w:ascii="Times New Roman" w:eastAsia="Times New Roman" w:hAnsi="Times New Roman" w:cs="Times New Roman"/>
          <w:sz w:val="24"/>
          <w:szCs w:val="24"/>
          <w:highlight w:val="white"/>
        </w:rPr>
        <w:t xml:space="preserve">, </w:t>
      </w:r>
      <w:r w:rsidRPr="006B239B">
        <w:rPr>
          <w:rFonts w:ascii="Times New Roman" w:eastAsia="Times New Roman" w:hAnsi="Times New Roman" w:cs="Times New Roman"/>
          <w:i/>
          <w:iCs/>
          <w:sz w:val="24"/>
          <w:szCs w:val="24"/>
          <w:highlight w:val="white"/>
        </w:rPr>
        <w:t>13</w:t>
      </w:r>
      <w:r w:rsidRPr="006B239B">
        <w:rPr>
          <w:rFonts w:ascii="Times New Roman" w:eastAsia="Times New Roman" w:hAnsi="Times New Roman" w:cs="Times New Roman"/>
          <w:sz w:val="24"/>
          <w:szCs w:val="24"/>
          <w:highlight w:val="white"/>
        </w:rPr>
        <w:t>(4-5), pp.372-398.</w:t>
      </w:r>
    </w:p>
    <w:p w14:paraId="4A67B21D"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rPr>
      </w:pPr>
      <w:r w:rsidRPr="006B239B">
        <w:rPr>
          <w:rFonts w:ascii="Times New Roman" w:eastAsia="Times New Roman" w:hAnsi="Times New Roman" w:cs="Times New Roman"/>
          <w:sz w:val="24"/>
          <w:szCs w:val="24"/>
          <w:highlight w:val="white"/>
        </w:rPr>
        <w:t xml:space="preserve">Musonda, I., Zulu, S.L., Zulu, E. and Kavishe, N., (2025). Understanding clients’ role in community stakeholder participation and influence on infrastructure sustainability—a stakeholder theory lens. </w:t>
      </w:r>
      <w:r w:rsidRPr="006B239B">
        <w:rPr>
          <w:rFonts w:ascii="Times New Roman" w:eastAsia="Times New Roman" w:hAnsi="Times New Roman" w:cs="Times New Roman"/>
          <w:i/>
          <w:iCs/>
          <w:sz w:val="24"/>
          <w:szCs w:val="24"/>
          <w:highlight w:val="white"/>
        </w:rPr>
        <w:t>International Journal of Construction Management</w:t>
      </w:r>
      <w:r w:rsidRPr="006B239B">
        <w:rPr>
          <w:rFonts w:ascii="Times New Roman" w:eastAsia="Times New Roman" w:hAnsi="Times New Roman" w:cs="Times New Roman"/>
          <w:sz w:val="24"/>
          <w:szCs w:val="24"/>
          <w:highlight w:val="white"/>
        </w:rPr>
        <w:t xml:space="preserve">, </w:t>
      </w:r>
      <w:r w:rsidRPr="006B239B">
        <w:rPr>
          <w:rFonts w:ascii="Times New Roman" w:eastAsia="Times New Roman" w:hAnsi="Times New Roman" w:cs="Times New Roman"/>
          <w:i/>
          <w:iCs/>
          <w:sz w:val="24"/>
          <w:szCs w:val="24"/>
          <w:highlight w:val="white"/>
        </w:rPr>
        <w:t>25</w:t>
      </w:r>
      <w:r w:rsidRPr="006B239B">
        <w:rPr>
          <w:rFonts w:ascii="Times New Roman" w:eastAsia="Times New Roman" w:hAnsi="Times New Roman" w:cs="Times New Roman"/>
          <w:sz w:val="24"/>
          <w:szCs w:val="24"/>
          <w:highlight w:val="white"/>
        </w:rPr>
        <w:t>(4), pp.419-427.</w:t>
      </w:r>
    </w:p>
    <w:p w14:paraId="0728D6FC"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Ogbechie, R. and Oguntimehin Jr, O.J., (2024). The Ethics of Responsibility in Business: Responsibility to Internal Stakeholders. In </w:t>
      </w:r>
      <w:r w:rsidRPr="006B239B">
        <w:rPr>
          <w:rFonts w:ascii="Times New Roman" w:eastAsia="Times New Roman" w:hAnsi="Times New Roman" w:cs="Times New Roman"/>
          <w:i/>
          <w:iCs/>
          <w:sz w:val="24"/>
          <w:szCs w:val="24"/>
          <w:highlight w:val="white"/>
        </w:rPr>
        <w:t>Business Ethics in Africa, Volume I: Values, Profits and Responsibility</w:t>
      </w:r>
      <w:r w:rsidRPr="006B239B">
        <w:rPr>
          <w:rFonts w:ascii="Times New Roman" w:eastAsia="Times New Roman" w:hAnsi="Times New Roman" w:cs="Times New Roman"/>
          <w:sz w:val="24"/>
          <w:szCs w:val="24"/>
          <w:highlight w:val="white"/>
        </w:rPr>
        <w:t xml:space="preserve"> (pp. 27-42). Cham: Springer Nature Switzerland.</w:t>
      </w:r>
    </w:p>
    <w:p w14:paraId="44CC29DC"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Papaikonomou, Z. and Bouchallikht, K., (2023). </w:t>
      </w:r>
      <w:r w:rsidRPr="006B239B">
        <w:rPr>
          <w:rFonts w:ascii="Times New Roman" w:eastAsia="Times New Roman" w:hAnsi="Times New Roman" w:cs="Times New Roman"/>
          <w:i/>
          <w:iCs/>
          <w:sz w:val="24"/>
          <w:szCs w:val="24"/>
          <w:highlight w:val="white"/>
        </w:rPr>
        <w:t>The inclusion marathon: On diversity and equity in the workplace</w:t>
      </w:r>
      <w:r w:rsidRPr="006B239B">
        <w:rPr>
          <w:rFonts w:ascii="Times New Roman" w:eastAsia="Times New Roman" w:hAnsi="Times New Roman" w:cs="Times New Roman"/>
          <w:sz w:val="24"/>
          <w:szCs w:val="24"/>
          <w:highlight w:val="white"/>
        </w:rPr>
        <w:t>. Amsterdam University Press.</w:t>
      </w:r>
    </w:p>
    <w:p w14:paraId="676EAC1E"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Prebanić, K.R. and Vukomanović, M., (2023). Exploring stakeholder engagement process as the success factor for infrastructure projects. </w:t>
      </w:r>
      <w:r w:rsidRPr="006B239B">
        <w:rPr>
          <w:rFonts w:ascii="Times New Roman" w:eastAsia="Times New Roman" w:hAnsi="Times New Roman" w:cs="Times New Roman"/>
          <w:i/>
          <w:iCs/>
          <w:sz w:val="24"/>
          <w:szCs w:val="24"/>
          <w:highlight w:val="white"/>
        </w:rPr>
        <w:t>Buildings</w:t>
      </w:r>
      <w:r w:rsidRPr="006B239B">
        <w:rPr>
          <w:rFonts w:ascii="Times New Roman" w:eastAsia="Times New Roman" w:hAnsi="Times New Roman" w:cs="Times New Roman"/>
          <w:sz w:val="24"/>
          <w:szCs w:val="24"/>
          <w:highlight w:val="white"/>
        </w:rPr>
        <w:t xml:space="preserve">, </w:t>
      </w:r>
      <w:r w:rsidRPr="006B239B">
        <w:rPr>
          <w:rFonts w:ascii="Times New Roman" w:eastAsia="Times New Roman" w:hAnsi="Times New Roman" w:cs="Times New Roman"/>
          <w:i/>
          <w:iCs/>
          <w:sz w:val="24"/>
          <w:szCs w:val="24"/>
          <w:highlight w:val="white"/>
        </w:rPr>
        <w:t>13</w:t>
      </w:r>
      <w:r w:rsidRPr="006B239B">
        <w:rPr>
          <w:rFonts w:ascii="Times New Roman" w:eastAsia="Times New Roman" w:hAnsi="Times New Roman" w:cs="Times New Roman"/>
          <w:sz w:val="24"/>
          <w:szCs w:val="24"/>
          <w:highlight w:val="white"/>
        </w:rPr>
        <w:t>(7), p.1785.</w:t>
      </w:r>
    </w:p>
    <w:p w14:paraId="1BCDFAE1"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Richards, P.G., (2024). </w:t>
      </w:r>
      <w:r w:rsidRPr="006B239B">
        <w:rPr>
          <w:rFonts w:ascii="Times New Roman" w:eastAsia="Times New Roman" w:hAnsi="Times New Roman" w:cs="Times New Roman"/>
          <w:i/>
          <w:iCs/>
          <w:sz w:val="24"/>
          <w:szCs w:val="24"/>
          <w:highlight w:val="white"/>
        </w:rPr>
        <w:t>The reformed local government system</w:t>
      </w:r>
      <w:r w:rsidRPr="006B239B">
        <w:rPr>
          <w:rFonts w:ascii="Times New Roman" w:eastAsia="Times New Roman" w:hAnsi="Times New Roman" w:cs="Times New Roman"/>
          <w:sz w:val="24"/>
          <w:szCs w:val="24"/>
          <w:highlight w:val="white"/>
        </w:rPr>
        <w:t>. Routledge.</w:t>
      </w:r>
    </w:p>
    <w:p w14:paraId="481E4681"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Rippe, J.M., (2024). The health benefits of regular physical activity. In </w:t>
      </w:r>
      <w:r w:rsidRPr="006B239B">
        <w:rPr>
          <w:rFonts w:ascii="Times New Roman" w:eastAsia="Times New Roman" w:hAnsi="Times New Roman" w:cs="Times New Roman"/>
          <w:i/>
          <w:iCs/>
          <w:sz w:val="24"/>
          <w:szCs w:val="24"/>
          <w:highlight w:val="white"/>
        </w:rPr>
        <w:t>Lifestyle Medicine, Fourth Edition</w:t>
      </w:r>
      <w:r w:rsidRPr="006B239B">
        <w:rPr>
          <w:rFonts w:ascii="Times New Roman" w:eastAsia="Times New Roman" w:hAnsi="Times New Roman" w:cs="Times New Roman"/>
          <w:sz w:val="24"/>
          <w:szCs w:val="24"/>
          <w:highlight w:val="white"/>
        </w:rPr>
        <w:t xml:space="preserve"> (pp. 147-155). CRC Press.</w:t>
      </w:r>
    </w:p>
    <w:p w14:paraId="4C83A89E"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Siedentop, D. and Van der Mars, H., (2022). </w:t>
      </w:r>
      <w:r w:rsidRPr="006B239B">
        <w:rPr>
          <w:rFonts w:ascii="Times New Roman" w:eastAsia="Times New Roman" w:hAnsi="Times New Roman" w:cs="Times New Roman"/>
          <w:i/>
          <w:iCs/>
          <w:sz w:val="24"/>
          <w:szCs w:val="24"/>
          <w:highlight w:val="white"/>
        </w:rPr>
        <w:t>Introduction to physical education, fitness, and sport</w:t>
      </w:r>
      <w:r w:rsidRPr="006B239B">
        <w:rPr>
          <w:rFonts w:ascii="Times New Roman" w:eastAsia="Times New Roman" w:hAnsi="Times New Roman" w:cs="Times New Roman"/>
          <w:sz w:val="24"/>
          <w:szCs w:val="24"/>
          <w:highlight w:val="white"/>
        </w:rPr>
        <w:t>. Human kinetics.</w:t>
      </w:r>
    </w:p>
    <w:p w14:paraId="71E8827F"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Sørensen, K.M., (2020). The values of public libraries: A systematic review of empirical studies of stakeholder perceptions. </w:t>
      </w:r>
      <w:r w:rsidRPr="006B239B">
        <w:rPr>
          <w:rFonts w:ascii="Times New Roman" w:eastAsia="Times New Roman" w:hAnsi="Times New Roman" w:cs="Times New Roman"/>
          <w:i/>
          <w:iCs/>
          <w:sz w:val="24"/>
          <w:szCs w:val="24"/>
          <w:highlight w:val="white"/>
        </w:rPr>
        <w:t>Journal of Documentation</w:t>
      </w:r>
      <w:r w:rsidRPr="006B239B">
        <w:rPr>
          <w:rFonts w:ascii="Times New Roman" w:eastAsia="Times New Roman" w:hAnsi="Times New Roman" w:cs="Times New Roman"/>
          <w:sz w:val="24"/>
          <w:szCs w:val="24"/>
          <w:highlight w:val="white"/>
        </w:rPr>
        <w:t xml:space="preserve">, </w:t>
      </w:r>
      <w:r w:rsidRPr="006B239B">
        <w:rPr>
          <w:rFonts w:ascii="Times New Roman" w:eastAsia="Times New Roman" w:hAnsi="Times New Roman" w:cs="Times New Roman"/>
          <w:i/>
          <w:iCs/>
          <w:sz w:val="24"/>
          <w:szCs w:val="24"/>
          <w:highlight w:val="white"/>
        </w:rPr>
        <w:t>76</w:t>
      </w:r>
      <w:r w:rsidRPr="006B239B">
        <w:rPr>
          <w:rFonts w:ascii="Times New Roman" w:eastAsia="Times New Roman" w:hAnsi="Times New Roman" w:cs="Times New Roman"/>
          <w:sz w:val="24"/>
          <w:szCs w:val="24"/>
          <w:highlight w:val="white"/>
        </w:rPr>
        <w:t>(4), pp.909-927.</w:t>
      </w:r>
    </w:p>
    <w:p w14:paraId="7FE33ED0" w14:textId="77777777" w:rsidR="0000464D" w:rsidRPr="006B239B" w:rsidRDefault="00000000">
      <w:pPr>
        <w:widowControl w:val="0"/>
        <w:tabs>
          <w:tab w:val="right" w:pos="9360"/>
        </w:tabs>
        <w:spacing w:line="360" w:lineRule="auto"/>
        <w:jc w:val="both"/>
        <w:rPr>
          <w:rFonts w:ascii="Times New Roman" w:eastAsia="Times New Roman" w:hAnsi="Times New Roman" w:cs="Times New Roman"/>
          <w:sz w:val="24"/>
          <w:szCs w:val="24"/>
          <w:highlight w:val="white"/>
        </w:rPr>
      </w:pPr>
      <w:r w:rsidRPr="006B239B">
        <w:rPr>
          <w:rFonts w:ascii="Times New Roman" w:eastAsia="Times New Roman" w:hAnsi="Times New Roman" w:cs="Times New Roman"/>
          <w:sz w:val="24"/>
          <w:szCs w:val="24"/>
          <w:highlight w:val="white"/>
        </w:rPr>
        <w:t xml:space="preserve">Zheng, L., (2022). </w:t>
      </w:r>
      <w:r w:rsidRPr="006B239B">
        <w:rPr>
          <w:rFonts w:ascii="Times New Roman" w:eastAsia="Times New Roman" w:hAnsi="Times New Roman" w:cs="Times New Roman"/>
          <w:i/>
          <w:iCs/>
          <w:sz w:val="24"/>
          <w:szCs w:val="24"/>
          <w:highlight w:val="white"/>
        </w:rPr>
        <w:t>DEI deconstructed: Your no-nonsense guide to doing the work and doing it right</w:t>
      </w:r>
      <w:r w:rsidRPr="006B239B">
        <w:rPr>
          <w:rFonts w:ascii="Times New Roman" w:eastAsia="Times New Roman" w:hAnsi="Times New Roman" w:cs="Times New Roman"/>
          <w:sz w:val="24"/>
          <w:szCs w:val="24"/>
          <w:highlight w:val="white"/>
        </w:rPr>
        <w:t>. Berrett-Koehler Publishers.</w:t>
      </w:r>
    </w:p>
    <w:p w14:paraId="4BEDBB5B" w14:textId="77777777" w:rsidR="0000464D" w:rsidRDefault="0000464D">
      <w:pPr>
        <w:widowControl w:val="0"/>
        <w:tabs>
          <w:tab w:val="right" w:pos="9360"/>
        </w:tabs>
        <w:spacing w:line="360" w:lineRule="auto"/>
        <w:jc w:val="both"/>
        <w:rPr>
          <w:rFonts w:ascii="Times New Roman" w:eastAsia="Times New Roman" w:hAnsi="Times New Roman" w:cs="Times New Roman"/>
          <w:sz w:val="24"/>
          <w:szCs w:val="24"/>
        </w:rPr>
      </w:pPr>
    </w:p>
    <w:sectPr w:rsidR="0000464D">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1485F" w14:textId="77777777" w:rsidR="00155632" w:rsidRPr="006B239B" w:rsidRDefault="00155632">
      <w:pPr>
        <w:spacing w:line="240" w:lineRule="auto"/>
      </w:pPr>
      <w:r w:rsidRPr="006B239B">
        <w:separator/>
      </w:r>
    </w:p>
  </w:endnote>
  <w:endnote w:type="continuationSeparator" w:id="0">
    <w:p w14:paraId="07270C69" w14:textId="77777777" w:rsidR="00155632" w:rsidRPr="006B239B" w:rsidRDefault="00155632">
      <w:pPr>
        <w:spacing w:line="240" w:lineRule="auto"/>
      </w:pPr>
      <w:r w:rsidRPr="006B239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35D85E8-A8C5-4663-895D-2A16DEF98B3E}"/>
  </w:font>
  <w:font w:name="Cambria">
    <w:panose1 w:val="02040503050406030204"/>
    <w:charset w:val="00"/>
    <w:family w:val="roman"/>
    <w:pitch w:val="variable"/>
    <w:sig w:usb0="E00006FF" w:usb1="420024FF" w:usb2="02000000" w:usb3="00000000" w:csb0="0000019F" w:csb1="00000000"/>
    <w:embedRegular r:id="rId2" w:fontKey="{245A591F-2A96-451F-A9F5-D5FBC2796A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E10E5" w14:textId="77777777" w:rsidR="0000464D" w:rsidRPr="006B239B" w:rsidRDefault="00000000">
    <w:pPr>
      <w:jc w:val="right"/>
      <w:rPr>
        <w:rFonts w:ascii="Times New Roman" w:eastAsia="Times New Roman" w:hAnsi="Times New Roman" w:cs="Times New Roman"/>
        <w:b/>
        <w:bCs/>
        <w:sz w:val="20"/>
        <w:szCs w:val="20"/>
      </w:rPr>
    </w:pPr>
    <w:r w:rsidRPr="006B239B">
      <w:rPr>
        <w:rFonts w:ascii="Times New Roman" w:eastAsia="Times New Roman" w:hAnsi="Times New Roman" w:cs="Times New Roman"/>
        <w:b/>
        <w:bCs/>
        <w:sz w:val="20"/>
        <w:szCs w:val="20"/>
      </w:rPr>
      <w:fldChar w:fldCharType="begin"/>
    </w:r>
    <w:r w:rsidRPr="006B239B">
      <w:rPr>
        <w:rFonts w:ascii="Times New Roman" w:eastAsia="Times New Roman" w:hAnsi="Times New Roman" w:cs="Times New Roman"/>
        <w:b/>
        <w:bCs/>
        <w:sz w:val="20"/>
        <w:szCs w:val="20"/>
      </w:rPr>
      <w:instrText>PAGE</w:instrText>
    </w:r>
    <w:r w:rsidRPr="006B239B">
      <w:rPr>
        <w:rFonts w:ascii="Times New Roman" w:eastAsia="Times New Roman" w:hAnsi="Times New Roman" w:cs="Times New Roman"/>
        <w:b/>
        <w:bCs/>
        <w:sz w:val="20"/>
        <w:szCs w:val="20"/>
      </w:rPr>
      <w:fldChar w:fldCharType="separate"/>
    </w:r>
    <w:r w:rsidR="006B239B" w:rsidRPr="006B239B">
      <w:rPr>
        <w:rFonts w:ascii="Times New Roman" w:eastAsia="Times New Roman" w:hAnsi="Times New Roman" w:cs="Times New Roman"/>
        <w:b/>
        <w:bCs/>
        <w:sz w:val="20"/>
        <w:szCs w:val="20"/>
      </w:rPr>
      <w:t>1</w:t>
    </w:r>
    <w:r w:rsidRPr="006B239B">
      <w:rPr>
        <w:rFonts w:ascii="Times New Roman" w:eastAsia="Times New Roman" w:hAnsi="Times New Roman" w:cs="Times New Roman"/>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E96943" w14:textId="77777777" w:rsidR="00155632" w:rsidRPr="006B239B" w:rsidRDefault="00155632">
      <w:pPr>
        <w:spacing w:line="240" w:lineRule="auto"/>
      </w:pPr>
      <w:r w:rsidRPr="006B239B">
        <w:separator/>
      </w:r>
    </w:p>
  </w:footnote>
  <w:footnote w:type="continuationSeparator" w:id="0">
    <w:p w14:paraId="32A41955" w14:textId="77777777" w:rsidR="00155632" w:rsidRPr="006B239B" w:rsidRDefault="00155632">
      <w:pPr>
        <w:spacing w:line="240" w:lineRule="auto"/>
      </w:pPr>
      <w:r w:rsidRPr="006B239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5089A"/>
    <w:multiLevelType w:val="multilevel"/>
    <w:tmpl w:val="CE5889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01025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64D"/>
    <w:rsid w:val="0000464D"/>
    <w:rsid w:val="00155632"/>
    <w:rsid w:val="001953D8"/>
    <w:rsid w:val="00313A46"/>
    <w:rsid w:val="006B239B"/>
    <w:rsid w:val="006D3891"/>
    <w:rsid w:val="00CB3E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1712B"/>
  <w15:docId w15:val="{7B848BB6-788D-485C-BCCD-85F109E04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tabs>
        <w:tab w:val="right" w:pos="9360"/>
      </w:tabs>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unhideWhenUsed/>
    <w:qFormat/>
    <w:pPr>
      <w:keepNext/>
      <w:keepLines/>
      <w:tabs>
        <w:tab w:val="right" w:pos="9360"/>
      </w:tabs>
      <w:spacing w:line="360" w:lineRule="auto"/>
      <w:jc w:val="both"/>
      <w:outlineLvl w:val="1"/>
    </w:pPr>
    <w:rPr>
      <w:rFonts w:ascii="Times New Roman" w:eastAsia="Times New Roman" w:hAnsi="Times New Roman" w:cs="Times New Roman"/>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line="360" w:lineRule="auto"/>
      <w:jc w:val="center"/>
    </w:pPr>
    <w:rPr>
      <w:rFonts w:ascii="Times New Roman" w:eastAsia="Times New Roman" w:hAnsi="Times New Roman" w:cs="Times New Roman"/>
      <w:b/>
      <w:bCs/>
      <w:sz w:val="32"/>
      <w:szCs w:val="3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dpr-info.eu/"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uk.indeed.com/career-advice/career-development/mendelow-stakeholder-matrix"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3888</Words>
  <Characters>22943</Characters>
  <Application>Microsoft Office Word</Application>
  <DocSecurity>0</DocSecurity>
  <Lines>458</Lines>
  <Paragraphs>209</Paragraphs>
  <ScaleCrop>false</ScaleCrop>
  <Company/>
  <LinksUpToDate>false</LinksUpToDate>
  <CharactersWithSpaces>26622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Constantin-Marius Dascalescu (2328200)</cp:lastModifiedBy>
  <cp:revision>5</cp:revision>
  <cp:lastPrinted>2025-12-14T12:21:00Z</cp:lastPrinted>
  <dcterms:created xsi:type="dcterms:W3CDTF">2025-11-24T09:42:00Z</dcterms:created>
  <dcterms:modified xsi:type="dcterms:W3CDTF">2025-12-14T12:22:00Z</dcterms:modified>
</cp:coreProperties>
</file>